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B14850F1-3D24-4163-BF1B-9D8F34D08D83" style="width:450.75pt;height:420pt">
            <v:imagedata r:id="rId8" o:title=""/>
          </v:shape>
        </w:pict>
      </w:r>
    </w:p>
    <w:bookmarkEnd w:id="0"/>
    <w:p>
      <w:pPr>
        <w:rPr>
          <w:rFonts w:eastAsiaTheme="minorHAnsi"/>
          <w:noProof/>
          <w:lang w:val="en-IE" w:eastAsia="en-US"/>
        </w:rPr>
        <w:sectPr>
          <w:headerReference w:type="even" r:id="rId9"/>
          <w:headerReference w:type="default" r:id="rId10"/>
          <w:footerReference w:type="even" r:id="rId11"/>
          <w:footerReference w:type="default" r:id="rId12"/>
          <w:headerReference w:type="first" r:id="rId13"/>
          <w:footerReference w:type="first" r:id="rId14"/>
          <w:pgSz w:w="11900" w:h="16840"/>
          <w:pgMar w:top="1134" w:right="1417" w:bottom="1134" w:left="1417" w:header="709" w:footer="709" w:gutter="0"/>
          <w:pgNumType w:start="0"/>
          <w:cols w:space="720"/>
          <w:docGrid w:linePitch="360"/>
        </w:sectPr>
      </w:pPr>
    </w:p>
    <w:p>
      <w:pPr>
        <w:spacing w:after="0"/>
        <w:jc w:val="center"/>
        <w:rPr>
          <w:rFonts w:eastAsiaTheme="minorHAnsi"/>
          <w:b/>
          <w:noProof/>
          <w:szCs w:val="24"/>
          <w:lang w:val="en-IE" w:eastAsia="en-US"/>
        </w:rPr>
      </w:pPr>
      <w:bookmarkStart w:id="1" w:name="_GoBack"/>
      <w:bookmarkEnd w:id="1"/>
      <w:r>
        <w:rPr>
          <w:rFonts w:eastAsiaTheme="minorHAnsi"/>
          <w:b/>
          <w:noProof/>
          <w:szCs w:val="24"/>
          <w:lang w:val="en-IE" w:eastAsia="en-US"/>
        </w:rPr>
        <w:lastRenderedPageBreak/>
        <w:t xml:space="preserve">ANNEX 1: </w:t>
      </w:r>
    </w:p>
    <w:p>
      <w:pPr>
        <w:spacing w:after="0"/>
        <w:jc w:val="center"/>
        <w:rPr>
          <w:rFonts w:eastAsiaTheme="minorHAnsi"/>
          <w:b/>
          <w:noProof/>
          <w:szCs w:val="24"/>
          <w:lang w:val="en-IE" w:eastAsia="en-US"/>
        </w:rPr>
      </w:pPr>
      <w:r>
        <w:rPr>
          <w:rFonts w:eastAsiaTheme="minorHAnsi"/>
          <w:b/>
          <w:noProof/>
          <w:szCs w:val="24"/>
          <w:lang w:val="en-IE" w:eastAsia="en-US"/>
        </w:rPr>
        <w:t>KEY COMMISSION ACTIONS</w:t>
      </w:r>
    </w:p>
    <w:p>
      <w:pPr>
        <w:spacing w:after="0"/>
        <w:jc w:val="center"/>
        <w:rPr>
          <w:rFonts w:eastAsiaTheme="minorHAnsi"/>
          <w:b/>
          <w:noProof/>
          <w:szCs w:val="24"/>
          <w:lang w:eastAsia="en-GB"/>
        </w:rPr>
      </w:pPr>
    </w:p>
    <w:p>
      <w:pPr>
        <w:spacing w:after="0"/>
        <w:jc w:val="center"/>
        <w:rPr>
          <w:rFonts w:eastAsiaTheme="minorHAnsi"/>
          <w:b/>
          <w:noProof/>
          <w:szCs w:val="24"/>
          <w:lang w:eastAsia="en-GB"/>
        </w:rPr>
      </w:pPr>
      <w:r>
        <w:rPr>
          <w:rFonts w:eastAsiaTheme="minorHAnsi"/>
          <w:b/>
          <w:noProof/>
          <w:szCs w:val="24"/>
          <w:lang w:eastAsia="en-GB"/>
        </w:rPr>
        <w:drawing>
          <wp:inline distT="0" distB="0" distL="0" distR="0">
            <wp:extent cx="5727700" cy="8115267"/>
            <wp:effectExtent l="0" t="0" r="6350" b="635"/>
            <wp:docPr id="5" name="Picture 5" descr="C:\Users\subhama\AppData\Local\Microsoft\Windows\INetCache\Content.Outlook\OOM4G2HK\Annex I 2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hama\AppData\Local\Microsoft\Windows\INetCache\Content.Outlook\OOM4G2HK\Annex I 2M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8115267"/>
                    </a:xfrm>
                    <a:prstGeom prst="rect">
                      <a:avLst/>
                    </a:prstGeom>
                    <a:noFill/>
                    <a:ln>
                      <a:noFill/>
                    </a:ln>
                  </pic:spPr>
                </pic:pic>
              </a:graphicData>
            </a:graphic>
          </wp:inline>
        </w:drawing>
      </w:r>
    </w:p>
    <w:p>
      <w:pPr>
        <w:spacing w:after="0"/>
        <w:jc w:val="center"/>
        <w:rPr>
          <w:rFonts w:eastAsiaTheme="minorHAnsi"/>
          <w:b/>
          <w:noProof/>
          <w:szCs w:val="24"/>
          <w:lang w:val="en-IE" w:eastAsia="en-US"/>
        </w:rPr>
      </w:pPr>
      <w:r>
        <w:rPr>
          <w:rFonts w:eastAsiaTheme="minorHAnsi"/>
          <w:b/>
          <w:noProof/>
          <w:szCs w:val="24"/>
          <w:lang w:val="en-IE" w:eastAsia="en-US"/>
        </w:rPr>
        <w:br w:type="page"/>
      </w:r>
    </w:p>
    <w:p>
      <w:pPr>
        <w:spacing w:after="0" w:line="276" w:lineRule="auto"/>
        <w:jc w:val="center"/>
        <w:rPr>
          <w:rFonts w:eastAsiaTheme="minorHAnsi"/>
          <w:b/>
          <w:noProof/>
          <w:szCs w:val="24"/>
          <w:lang w:val="en-IE" w:eastAsia="en-US"/>
        </w:rPr>
      </w:pPr>
      <w:r>
        <w:rPr>
          <w:rFonts w:eastAsiaTheme="minorHAnsi"/>
          <w:b/>
          <w:noProof/>
          <w:szCs w:val="24"/>
          <w:lang w:val="en-IE" w:eastAsia="en-US"/>
        </w:rPr>
        <w:lastRenderedPageBreak/>
        <w:t>ANNEX 2:</w:t>
      </w:r>
    </w:p>
    <w:p>
      <w:pPr>
        <w:spacing w:after="0" w:line="276" w:lineRule="auto"/>
        <w:jc w:val="center"/>
        <w:rPr>
          <w:rFonts w:eastAsiaTheme="minorHAnsi"/>
          <w:b/>
          <w:noProof/>
          <w:szCs w:val="24"/>
          <w:lang w:val="en-IE" w:eastAsia="en-US"/>
        </w:rPr>
      </w:pPr>
      <w:r>
        <w:rPr>
          <w:rFonts w:eastAsiaTheme="minorHAnsi"/>
          <w:b/>
          <w:noProof/>
          <w:szCs w:val="24"/>
          <w:lang w:val="en-IE" w:eastAsia="en-US"/>
        </w:rPr>
        <w:t xml:space="preserve">THE REVISED SOCIAL SCOREBOARD </w:t>
      </w:r>
    </w:p>
    <w:p>
      <w:pPr>
        <w:spacing w:after="0" w:line="276" w:lineRule="auto"/>
        <w:jc w:val="center"/>
        <w:rPr>
          <w:rFonts w:eastAsiaTheme="minorHAnsi"/>
          <w:noProof/>
          <w:szCs w:val="24"/>
          <w:lang w:val="en-IE" w:eastAsia="en-US"/>
        </w:rPr>
      </w:pPr>
    </w:p>
    <w:tbl>
      <w:tblPr>
        <w:tblStyle w:val="TableGrid"/>
        <w:tblW w:w="10206" w:type="dxa"/>
        <w:tblInd w:w="-459" w:type="dxa"/>
        <w:tblLook w:val="04A0" w:firstRow="1" w:lastRow="0" w:firstColumn="1" w:lastColumn="0" w:noHBand="0" w:noVBand="1"/>
      </w:tblPr>
      <w:tblGrid>
        <w:gridCol w:w="563"/>
        <w:gridCol w:w="3043"/>
        <w:gridCol w:w="5462"/>
        <w:gridCol w:w="1138"/>
      </w:tblGrid>
      <w:tr>
        <w:trPr>
          <w:trHeight w:val="503"/>
        </w:trPr>
        <w:tc>
          <w:tcPr>
            <w:tcW w:w="563" w:type="dxa"/>
          </w:tcPr>
          <w:p>
            <w:pPr>
              <w:spacing w:after="0"/>
              <w:jc w:val="left"/>
              <w:rPr>
                <w:noProof/>
                <w:lang w:val="en-IE"/>
              </w:rPr>
            </w:pPr>
          </w:p>
        </w:tc>
        <w:tc>
          <w:tcPr>
            <w:tcW w:w="3050" w:type="dxa"/>
            <w:vAlign w:val="center"/>
          </w:tcPr>
          <w:p>
            <w:pPr>
              <w:spacing w:after="0"/>
              <w:jc w:val="center"/>
              <w:rPr>
                <w:b/>
                <w:i/>
                <w:noProof/>
                <w:sz w:val="20"/>
                <w:lang w:val="en-IE"/>
              </w:rPr>
            </w:pPr>
            <w:r>
              <w:rPr>
                <w:b/>
                <w:i/>
                <w:noProof/>
                <w:sz w:val="20"/>
                <w:lang w:val="en-IE"/>
              </w:rPr>
              <w:t>Headline indicators</w:t>
            </w:r>
          </w:p>
        </w:tc>
        <w:tc>
          <w:tcPr>
            <w:tcW w:w="5479" w:type="dxa"/>
            <w:vAlign w:val="center"/>
          </w:tcPr>
          <w:p>
            <w:pPr>
              <w:spacing w:after="0"/>
              <w:jc w:val="center"/>
              <w:rPr>
                <w:noProof/>
                <w:lang w:val="en-IE"/>
              </w:rPr>
            </w:pPr>
            <w:r>
              <w:rPr>
                <w:b/>
                <w:i/>
                <w:noProof/>
                <w:sz w:val="20"/>
                <w:lang w:val="en-IE"/>
              </w:rPr>
              <w:t>Secondary indicators</w:t>
            </w:r>
          </w:p>
        </w:tc>
        <w:tc>
          <w:tcPr>
            <w:tcW w:w="1114" w:type="dxa"/>
            <w:vAlign w:val="center"/>
          </w:tcPr>
          <w:p>
            <w:pPr>
              <w:spacing w:after="0"/>
              <w:jc w:val="left"/>
              <w:rPr>
                <w:noProof/>
                <w:lang w:val="en-IE"/>
              </w:rPr>
            </w:pPr>
            <w:r>
              <w:rPr>
                <w:b/>
                <w:i/>
                <w:noProof/>
                <w:sz w:val="20"/>
                <w:lang w:val="en-IE"/>
              </w:rPr>
              <w:t>SDG</w:t>
            </w:r>
          </w:p>
        </w:tc>
      </w:tr>
      <w:tr>
        <w:trPr>
          <w:cantSplit/>
          <w:trHeight w:val="1134"/>
        </w:trPr>
        <w:tc>
          <w:tcPr>
            <w:tcW w:w="563" w:type="dxa"/>
            <w:textDirection w:val="btLr"/>
          </w:tcPr>
          <w:p>
            <w:pPr>
              <w:spacing w:after="0"/>
              <w:ind w:left="113" w:right="113"/>
              <w:jc w:val="left"/>
              <w:rPr>
                <w:noProof/>
                <w:color w:val="000000" w:themeColor="text1"/>
                <w:lang w:val="en-IE"/>
              </w:rPr>
            </w:pPr>
            <w:r>
              <w:rPr>
                <w:b/>
                <w:noProof/>
                <w:color w:val="000000" w:themeColor="text1"/>
                <w:sz w:val="20"/>
                <w:lang w:val="en-IE"/>
              </w:rPr>
              <w:t>Equal opportunities</w:t>
            </w:r>
          </w:p>
        </w:tc>
        <w:tc>
          <w:tcPr>
            <w:tcW w:w="3050" w:type="dxa"/>
          </w:tcPr>
          <w:p>
            <w:pPr>
              <w:shd w:val="clear" w:color="auto" w:fill="FFFFFF" w:themeFill="background1"/>
              <w:spacing w:after="0"/>
              <w:jc w:val="left"/>
              <w:rPr>
                <w:noProof/>
                <w:color w:val="000000" w:themeColor="text1"/>
                <w:sz w:val="20"/>
                <w:lang w:val="en-IE"/>
              </w:rPr>
            </w:pPr>
            <w:r>
              <w:rPr>
                <w:noProof/>
                <w:color w:val="000000" w:themeColor="text1"/>
                <w:sz w:val="20"/>
                <w:lang w:val="en-IE"/>
              </w:rPr>
              <w:t>Adult participation in learning during the last 12 months**</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Share of early leavers from education and training</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Individuals’ level of digital skills</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Youth NEET rate (15-29)</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strike/>
                <w:noProof/>
                <w:color w:val="000000" w:themeColor="text1"/>
                <w:sz w:val="20"/>
                <w:lang w:val="en-IE"/>
              </w:rPr>
            </w:pPr>
            <w:r>
              <w:rPr>
                <w:noProof/>
                <w:color w:val="000000" w:themeColor="text1"/>
                <w:sz w:val="20"/>
                <w:lang w:val="en-IE"/>
              </w:rPr>
              <w:t>Gender employment gap</w:t>
            </w:r>
          </w:p>
          <w:p>
            <w:pPr>
              <w:spacing w:after="0"/>
              <w:jc w:val="left"/>
              <w:rPr>
                <w:noProof/>
                <w:color w:val="000000" w:themeColor="text1"/>
                <w:sz w:val="20"/>
                <w:lang w:val="en-US"/>
              </w:rPr>
            </w:pPr>
          </w:p>
          <w:p>
            <w:pPr>
              <w:spacing w:after="0"/>
              <w:jc w:val="left"/>
              <w:rPr>
                <w:noProof/>
                <w:color w:val="000000" w:themeColor="text1"/>
                <w:lang w:val="en-US"/>
              </w:rPr>
            </w:pPr>
            <w:r>
              <w:rPr>
                <w:noProof/>
                <w:color w:val="000000" w:themeColor="text1"/>
                <w:sz w:val="20"/>
                <w:lang w:val="en-US"/>
              </w:rPr>
              <w:t>Income quintile ratio (S80/S20)</w:t>
            </w:r>
          </w:p>
        </w:tc>
        <w:tc>
          <w:tcPr>
            <w:tcW w:w="5479" w:type="dxa"/>
          </w:tcPr>
          <w:p>
            <w:pPr>
              <w:shd w:val="clear" w:color="auto" w:fill="FFFFFF" w:themeFill="background1"/>
              <w:spacing w:after="0"/>
              <w:jc w:val="left"/>
              <w:rPr>
                <w:noProof/>
                <w:color w:val="000000" w:themeColor="text1"/>
                <w:sz w:val="20"/>
                <w:lang w:val="en-IE"/>
              </w:rPr>
            </w:pPr>
            <w:r>
              <w:rPr>
                <w:noProof/>
                <w:color w:val="000000" w:themeColor="text1"/>
                <w:sz w:val="20"/>
                <w:lang w:val="en-IE"/>
              </w:rPr>
              <w:t xml:space="preserve">Tertiary education attainment </w:t>
            </w:r>
          </w:p>
          <w:p>
            <w:pPr>
              <w:shd w:val="clear" w:color="auto" w:fill="FFFFFF" w:themeFill="background1"/>
              <w:spacing w:after="0"/>
              <w:jc w:val="left"/>
              <w:rPr>
                <w:noProof/>
                <w:color w:val="000000" w:themeColor="text1"/>
                <w:sz w:val="20"/>
                <w:lang w:val="en-IE"/>
              </w:rPr>
            </w:pPr>
            <w:r>
              <w:rPr>
                <w:noProof/>
                <w:color w:val="000000" w:themeColor="text1"/>
                <w:sz w:val="20"/>
                <w:lang w:val="en-IE"/>
              </w:rPr>
              <w:t>Underachievement in education (including in digital skills**)</w:t>
            </w:r>
          </w:p>
          <w:p>
            <w:pPr>
              <w:shd w:val="clear" w:color="auto" w:fill="FFFFFF" w:themeFill="background1"/>
              <w:spacing w:after="0"/>
              <w:jc w:val="left"/>
              <w:rPr>
                <w:noProof/>
                <w:color w:val="000000" w:themeColor="text1"/>
                <w:sz w:val="20"/>
                <w:lang w:val="en-IE"/>
              </w:rPr>
            </w:pPr>
            <w:r>
              <w:rPr>
                <w:noProof/>
                <w:color w:val="000000" w:themeColor="text1"/>
                <w:sz w:val="20"/>
                <w:lang w:val="en-IE"/>
              </w:rPr>
              <w:t>Participation of low-qualified adults in learning **</w:t>
            </w:r>
          </w:p>
          <w:p>
            <w:pPr>
              <w:shd w:val="clear" w:color="auto" w:fill="FFFFFF" w:themeFill="background1"/>
              <w:spacing w:after="0"/>
              <w:jc w:val="left"/>
              <w:rPr>
                <w:noProof/>
                <w:color w:val="000000" w:themeColor="text1"/>
                <w:sz w:val="20"/>
                <w:lang w:val="en-IE"/>
              </w:rPr>
            </w:pPr>
            <w:r>
              <w:rPr>
                <w:noProof/>
                <w:color w:val="000000" w:themeColor="text1"/>
                <w:sz w:val="20"/>
                <w:lang w:val="en-IE"/>
              </w:rPr>
              <w:t>Share of unemployed adults with a recent learning experience**</w:t>
            </w:r>
          </w:p>
          <w:p>
            <w:pPr>
              <w:shd w:val="clear" w:color="auto" w:fill="FFFFFF" w:themeFill="background1"/>
              <w:spacing w:after="0"/>
              <w:ind w:left="142" w:hanging="141"/>
              <w:jc w:val="left"/>
              <w:rPr>
                <w:noProof/>
                <w:color w:val="000000" w:themeColor="text1"/>
                <w:sz w:val="20"/>
                <w:lang w:val="en-IE"/>
              </w:rPr>
            </w:pPr>
            <w:r>
              <w:rPr>
                <w:noProof/>
                <w:color w:val="000000" w:themeColor="text1"/>
                <w:sz w:val="20"/>
                <w:lang w:val="en-IE"/>
              </w:rPr>
              <w:t>Gap in underachievement between the bottom and top quarter of the socio-economic index (PISA)**</w:t>
            </w:r>
          </w:p>
          <w:p>
            <w:pPr>
              <w:shd w:val="clear" w:color="auto" w:fill="FFFFFF" w:themeFill="background1"/>
              <w:spacing w:after="0"/>
              <w:jc w:val="left"/>
              <w:rPr>
                <w:strike/>
                <w:noProof/>
                <w:color w:val="000000" w:themeColor="text1"/>
                <w:sz w:val="20"/>
                <w:lang w:val="en-IE"/>
              </w:rPr>
            </w:pPr>
            <w:r>
              <w:rPr>
                <w:noProof/>
                <w:color w:val="000000" w:themeColor="text1"/>
                <w:sz w:val="20"/>
                <w:lang w:val="en-IE"/>
              </w:rPr>
              <w:t>Gender gap in part-time employment</w:t>
            </w:r>
          </w:p>
          <w:p>
            <w:pPr>
              <w:shd w:val="clear" w:color="auto" w:fill="FFFFFF" w:themeFill="background1"/>
              <w:spacing w:after="0"/>
              <w:jc w:val="left"/>
              <w:rPr>
                <w:noProof/>
                <w:color w:val="000000" w:themeColor="text1"/>
                <w:sz w:val="20"/>
                <w:lang w:val="en-IE"/>
              </w:rPr>
            </w:pPr>
            <w:r>
              <w:rPr>
                <w:noProof/>
                <w:color w:val="000000" w:themeColor="text1"/>
                <w:sz w:val="20"/>
                <w:lang w:val="en-IE"/>
              </w:rPr>
              <w:t>Gender pay gap in unadjusted form</w:t>
            </w:r>
          </w:p>
          <w:p>
            <w:pPr>
              <w:spacing w:after="0"/>
              <w:jc w:val="left"/>
              <w:rPr>
                <w:noProof/>
                <w:color w:val="000000" w:themeColor="text1"/>
                <w:sz w:val="20"/>
                <w:lang w:val="en-IE"/>
              </w:rPr>
            </w:pPr>
            <w:r>
              <w:rPr>
                <w:noProof/>
                <w:color w:val="000000" w:themeColor="text1"/>
                <w:sz w:val="20"/>
                <w:lang w:val="en-IE"/>
              </w:rPr>
              <w:t>Income share of the bottom 40% earners (SDG)**</w:t>
            </w:r>
          </w:p>
        </w:tc>
        <w:tc>
          <w:tcPr>
            <w:tcW w:w="1114" w:type="dxa"/>
          </w:tcPr>
          <w:p>
            <w:pPr>
              <w:spacing w:after="0"/>
              <w:jc w:val="left"/>
              <w:rPr>
                <w:noProof/>
                <w:color w:val="000000" w:themeColor="text1"/>
                <w:sz w:val="20"/>
                <w:lang w:val="en-IE"/>
              </w:rPr>
            </w:pPr>
            <w:r>
              <w:rPr>
                <w:noProof/>
                <w:color w:val="000000" w:themeColor="text1"/>
                <w:sz w:val="20"/>
                <w:lang w:val="en-IE"/>
              </w:rPr>
              <w:t>4. Quality education</w:t>
            </w:r>
          </w:p>
          <w:p>
            <w:pPr>
              <w:spacing w:after="0"/>
              <w:jc w:val="left"/>
              <w:rPr>
                <w:noProof/>
                <w:color w:val="000000" w:themeColor="text1"/>
                <w:sz w:val="20"/>
                <w:lang w:val="en-IE"/>
              </w:rPr>
            </w:pPr>
          </w:p>
          <w:p>
            <w:pPr>
              <w:spacing w:after="0"/>
              <w:jc w:val="left"/>
              <w:rPr>
                <w:noProof/>
                <w:color w:val="000000" w:themeColor="text1"/>
                <w:sz w:val="20"/>
                <w:lang w:val="en-IE"/>
              </w:rPr>
            </w:pPr>
            <w:r>
              <w:rPr>
                <w:noProof/>
                <w:color w:val="000000" w:themeColor="text1"/>
                <w:sz w:val="20"/>
                <w:lang w:val="en-IE"/>
              </w:rPr>
              <w:t>5. Gender equality</w:t>
            </w:r>
          </w:p>
          <w:p>
            <w:pPr>
              <w:spacing w:after="0"/>
              <w:jc w:val="left"/>
              <w:rPr>
                <w:noProof/>
                <w:color w:val="000000" w:themeColor="text1"/>
                <w:sz w:val="20"/>
                <w:lang w:val="en-IE"/>
              </w:rPr>
            </w:pPr>
          </w:p>
          <w:p>
            <w:pPr>
              <w:spacing w:after="0"/>
              <w:jc w:val="left"/>
              <w:rPr>
                <w:noProof/>
                <w:color w:val="000000" w:themeColor="text1"/>
                <w:sz w:val="20"/>
                <w:lang w:val="en-IE"/>
              </w:rPr>
            </w:pPr>
            <w:r>
              <w:rPr>
                <w:noProof/>
                <w:color w:val="000000" w:themeColor="text1"/>
                <w:sz w:val="20"/>
                <w:lang w:val="en-IE"/>
              </w:rPr>
              <w:t>10. Reduced inequalities</w:t>
            </w:r>
          </w:p>
          <w:p>
            <w:pPr>
              <w:spacing w:after="0"/>
              <w:jc w:val="left"/>
              <w:rPr>
                <w:noProof/>
                <w:color w:val="000000" w:themeColor="text1"/>
                <w:lang w:val="en-IE"/>
              </w:rPr>
            </w:pPr>
          </w:p>
        </w:tc>
      </w:tr>
      <w:tr>
        <w:trPr>
          <w:cantSplit/>
          <w:trHeight w:val="1625"/>
        </w:trPr>
        <w:tc>
          <w:tcPr>
            <w:tcW w:w="563" w:type="dxa"/>
            <w:textDirection w:val="btLr"/>
          </w:tcPr>
          <w:p>
            <w:pPr>
              <w:spacing w:after="0"/>
              <w:ind w:left="113" w:right="113"/>
              <w:jc w:val="left"/>
              <w:rPr>
                <w:noProof/>
                <w:color w:val="000000" w:themeColor="text1"/>
                <w:lang w:val="en-IE"/>
              </w:rPr>
            </w:pPr>
            <w:r>
              <w:rPr>
                <w:b/>
                <w:noProof/>
                <w:color w:val="000000" w:themeColor="text1"/>
                <w:sz w:val="20"/>
                <w:lang w:val="en-IE"/>
              </w:rPr>
              <w:t>Fair working conditions</w:t>
            </w:r>
          </w:p>
        </w:tc>
        <w:tc>
          <w:tcPr>
            <w:tcW w:w="3050" w:type="dxa"/>
          </w:tcPr>
          <w:p>
            <w:pPr>
              <w:shd w:val="clear" w:color="auto" w:fill="FFFFFF" w:themeFill="background1"/>
              <w:spacing w:after="0"/>
              <w:jc w:val="left"/>
              <w:rPr>
                <w:noProof/>
                <w:color w:val="000000" w:themeColor="text1"/>
                <w:sz w:val="20"/>
                <w:lang w:val="en-IE"/>
              </w:rPr>
            </w:pPr>
            <w:r>
              <w:rPr>
                <w:noProof/>
                <w:color w:val="000000" w:themeColor="text1"/>
                <w:sz w:val="20"/>
                <w:lang w:val="en-IE"/>
              </w:rPr>
              <w:t>Employment rate</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 xml:space="preserve">Unemployment rate </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Long-term unemployment rate</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GDHI per capita growth</w:t>
            </w:r>
          </w:p>
        </w:tc>
        <w:tc>
          <w:tcPr>
            <w:tcW w:w="5479" w:type="dxa"/>
          </w:tcPr>
          <w:p>
            <w:pPr>
              <w:shd w:val="clear" w:color="auto" w:fill="FFFFFF" w:themeFill="background1"/>
              <w:spacing w:after="0"/>
              <w:jc w:val="left"/>
              <w:rPr>
                <w:noProof/>
                <w:color w:val="000000" w:themeColor="text1"/>
                <w:sz w:val="20"/>
                <w:lang w:val="en-IE"/>
              </w:rPr>
            </w:pPr>
            <w:r>
              <w:rPr>
                <w:noProof/>
                <w:color w:val="000000" w:themeColor="text1"/>
                <w:sz w:val="20"/>
                <w:lang w:val="en-IE"/>
              </w:rPr>
              <w:t xml:space="preserve">Activity rate </w:t>
            </w:r>
          </w:p>
          <w:p>
            <w:pPr>
              <w:shd w:val="clear" w:color="auto" w:fill="FFFFFF" w:themeFill="background1"/>
              <w:spacing w:after="0"/>
              <w:jc w:val="left"/>
              <w:rPr>
                <w:noProof/>
                <w:color w:val="000000" w:themeColor="text1"/>
                <w:sz w:val="20"/>
                <w:lang w:val="en-IE"/>
              </w:rPr>
            </w:pPr>
            <w:r>
              <w:rPr>
                <w:noProof/>
                <w:color w:val="000000" w:themeColor="text1"/>
                <w:sz w:val="20"/>
                <w:lang w:val="en-IE"/>
              </w:rPr>
              <w:t>Youth unemployment rate</w:t>
            </w:r>
          </w:p>
          <w:p>
            <w:pPr>
              <w:shd w:val="clear" w:color="auto" w:fill="FFFFFF" w:themeFill="background1"/>
              <w:spacing w:after="0"/>
              <w:jc w:val="left"/>
              <w:rPr>
                <w:noProof/>
                <w:color w:val="000000" w:themeColor="text1"/>
                <w:sz w:val="20"/>
                <w:lang w:val="en-IE"/>
              </w:rPr>
            </w:pPr>
            <w:r>
              <w:rPr>
                <w:noProof/>
                <w:color w:val="000000" w:themeColor="text1"/>
                <w:sz w:val="20"/>
                <w:lang w:val="en-IE"/>
              </w:rPr>
              <w:t>Employment in current job by duration</w:t>
            </w:r>
          </w:p>
          <w:p>
            <w:pPr>
              <w:shd w:val="clear" w:color="auto" w:fill="FFFFFF" w:themeFill="background1"/>
              <w:spacing w:after="0"/>
              <w:jc w:val="left"/>
              <w:rPr>
                <w:noProof/>
                <w:color w:val="000000" w:themeColor="text1"/>
                <w:sz w:val="20"/>
                <w:lang w:val="en-IE"/>
              </w:rPr>
            </w:pPr>
            <w:r>
              <w:rPr>
                <w:noProof/>
                <w:color w:val="000000" w:themeColor="text1"/>
                <w:sz w:val="20"/>
                <w:lang w:val="en-IE"/>
              </w:rPr>
              <w:t>Transition rates from temporary to permanent contracts</w:t>
            </w:r>
          </w:p>
          <w:p>
            <w:pPr>
              <w:shd w:val="clear" w:color="auto" w:fill="FFFFFF" w:themeFill="background1"/>
              <w:spacing w:after="0"/>
              <w:jc w:val="left"/>
              <w:rPr>
                <w:noProof/>
                <w:color w:val="000000" w:themeColor="text1"/>
                <w:sz w:val="20"/>
                <w:lang w:val="en-IE"/>
              </w:rPr>
            </w:pPr>
            <w:r>
              <w:rPr>
                <w:noProof/>
                <w:color w:val="000000" w:themeColor="text1"/>
                <w:sz w:val="20"/>
                <w:lang w:val="en-IE"/>
              </w:rPr>
              <w:t>Share of involuntary temporary employees**</w:t>
            </w:r>
          </w:p>
          <w:p>
            <w:pPr>
              <w:shd w:val="clear" w:color="auto" w:fill="FFFFFF" w:themeFill="background1"/>
              <w:spacing w:after="0"/>
              <w:jc w:val="left"/>
              <w:rPr>
                <w:noProof/>
                <w:color w:val="000000" w:themeColor="text1"/>
                <w:sz w:val="20"/>
                <w:lang w:val="en-IE"/>
              </w:rPr>
            </w:pPr>
            <w:r>
              <w:rPr>
                <w:noProof/>
                <w:color w:val="000000" w:themeColor="text1"/>
                <w:sz w:val="20"/>
                <w:lang w:val="en-IE"/>
              </w:rPr>
              <w:t>Fatal accidents at work per 100,000 workers (SDG)**</w:t>
            </w:r>
          </w:p>
          <w:p>
            <w:pPr>
              <w:shd w:val="clear" w:color="auto" w:fill="FFFFFF" w:themeFill="background1"/>
              <w:spacing w:after="0"/>
              <w:jc w:val="left"/>
              <w:rPr>
                <w:noProof/>
                <w:color w:val="000000" w:themeColor="text1"/>
                <w:sz w:val="20"/>
                <w:lang w:val="en-IE"/>
              </w:rPr>
            </w:pPr>
            <w:r>
              <w:rPr>
                <w:noProof/>
                <w:color w:val="000000" w:themeColor="text1"/>
                <w:sz w:val="20"/>
                <w:lang w:val="en-IE"/>
              </w:rPr>
              <w:t xml:space="preserve">In-work-at-risk-of-poverty rate </w:t>
            </w:r>
          </w:p>
        </w:tc>
        <w:tc>
          <w:tcPr>
            <w:tcW w:w="1114" w:type="dxa"/>
          </w:tcPr>
          <w:p>
            <w:pPr>
              <w:spacing w:after="0"/>
              <w:jc w:val="left"/>
              <w:rPr>
                <w:noProof/>
                <w:color w:val="000000" w:themeColor="text1"/>
                <w:lang w:val="en-IE"/>
              </w:rPr>
            </w:pPr>
            <w:r>
              <w:rPr>
                <w:noProof/>
                <w:color w:val="000000" w:themeColor="text1"/>
                <w:sz w:val="20"/>
                <w:lang w:val="en-IE"/>
              </w:rPr>
              <w:t>8. Decent work and economic growth</w:t>
            </w:r>
          </w:p>
        </w:tc>
      </w:tr>
      <w:tr>
        <w:trPr>
          <w:cantSplit/>
          <w:trHeight w:val="1134"/>
        </w:trPr>
        <w:tc>
          <w:tcPr>
            <w:tcW w:w="563" w:type="dxa"/>
            <w:textDirection w:val="btLr"/>
          </w:tcPr>
          <w:p>
            <w:pPr>
              <w:spacing w:after="0"/>
              <w:ind w:left="113" w:right="113"/>
              <w:jc w:val="left"/>
              <w:rPr>
                <w:noProof/>
                <w:color w:val="000000" w:themeColor="text1"/>
                <w:lang w:val="en-IE"/>
              </w:rPr>
            </w:pPr>
            <w:r>
              <w:rPr>
                <w:b/>
                <w:noProof/>
                <w:color w:val="000000" w:themeColor="text1"/>
                <w:sz w:val="20"/>
                <w:lang w:val="en-IE"/>
              </w:rPr>
              <w:t>Social protection and inclusion</w:t>
            </w:r>
          </w:p>
        </w:tc>
        <w:tc>
          <w:tcPr>
            <w:tcW w:w="3050" w:type="dxa"/>
          </w:tcPr>
          <w:p>
            <w:pPr>
              <w:shd w:val="clear" w:color="auto" w:fill="FFFFFF" w:themeFill="background1"/>
              <w:spacing w:after="0"/>
              <w:jc w:val="left"/>
              <w:rPr>
                <w:noProof/>
                <w:color w:val="000000" w:themeColor="text1"/>
                <w:sz w:val="20"/>
                <w:lang w:val="en-IE"/>
              </w:rPr>
            </w:pPr>
            <w:r>
              <w:rPr>
                <w:noProof/>
                <w:color w:val="000000" w:themeColor="text1"/>
                <w:sz w:val="20"/>
                <w:lang w:val="en-IE"/>
              </w:rPr>
              <w:t>At risk of poverty or social exclusion rate (AROPE)</w:t>
            </w:r>
          </w:p>
          <w:p>
            <w:pPr>
              <w:shd w:val="clear" w:color="auto" w:fill="FFFFFF" w:themeFill="background1"/>
              <w:spacing w:after="0"/>
              <w:jc w:val="left"/>
              <w:rPr>
                <w:b/>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rPr>
              <w:t>At-risk-of-poverty rate or exclusion for children (0-17)</w:t>
            </w:r>
            <w:r>
              <w:rPr>
                <w:noProof/>
                <w:color w:val="000000" w:themeColor="text1"/>
                <w:sz w:val="20"/>
                <w:lang w:val="en-IE"/>
              </w:rPr>
              <w:t>**</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Impact of social transfers (other than pensions) on poverty reduction</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Disability employment gap**</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Housing cost overburden**</w:t>
            </w:r>
          </w:p>
          <w:p>
            <w:pPr>
              <w:shd w:val="clear" w:color="auto" w:fill="FFFFFF" w:themeFill="background1"/>
              <w:spacing w:after="0"/>
              <w:jc w:val="left"/>
              <w:rPr>
                <w:noProof/>
                <w:color w:val="000000" w:themeColor="text1"/>
                <w:sz w:val="20"/>
                <w:lang w:val="en-IE"/>
              </w:rPr>
            </w:pPr>
          </w:p>
          <w:p>
            <w:pPr>
              <w:shd w:val="clear" w:color="auto" w:fill="FFFFFF" w:themeFill="background1"/>
              <w:spacing w:after="0"/>
              <w:jc w:val="left"/>
              <w:rPr>
                <w:noProof/>
                <w:color w:val="000000" w:themeColor="text1"/>
                <w:sz w:val="20"/>
                <w:lang w:val="en-IE"/>
              </w:rPr>
            </w:pPr>
            <w:r>
              <w:rPr>
                <w:noProof/>
                <w:color w:val="000000" w:themeColor="text1"/>
                <w:sz w:val="20"/>
                <w:lang w:val="en-IE"/>
              </w:rPr>
              <w:t>Children aged less than 3 years in formal childcare</w:t>
            </w:r>
          </w:p>
          <w:p>
            <w:pPr>
              <w:spacing w:after="0"/>
              <w:jc w:val="left"/>
              <w:rPr>
                <w:noProof/>
                <w:color w:val="000000" w:themeColor="text1"/>
                <w:sz w:val="20"/>
                <w:lang w:val="en-IE"/>
              </w:rPr>
            </w:pPr>
          </w:p>
          <w:p>
            <w:pPr>
              <w:spacing w:after="0"/>
              <w:jc w:val="left"/>
              <w:rPr>
                <w:noProof/>
                <w:color w:val="000000" w:themeColor="text1"/>
                <w:lang w:val="en-IE"/>
              </w:rPr>
            </w:pPr>
            <w:r>
              <w:rPr>
                <w:noProof/>
                <w:color w:val="000000" w:themeColor="text1"/>
                <w:sz w:val="20"/>
                <w:lang w:val="en-IE"/>
              </w:rPr>
              <w:t>Self-reported unmet need for medical care</w:t>
            </w:r>
          </w:p>
        </w:tc>
        <w:tc>
          <w:tcPr>
            <w:tcW w:w="5479" w:type="dxa"/>
          </w:tcPr>
          <w:p>
            <w:pPr>
              <w:shd w:val="clear" w:color="auto" w:fill="FFFFFF" w:themeFill="background1"/>
              <w:spacing w:after="0"/>
              <w:jc w:val="left"/>
              <w:rPr>
                <w:noProof/>
                <w:color w:val="000000" w:themeColor="text1"/>
                <w:sz w:val="20"/>
                <w:lang w:val="en-IE"/>
              </w:rPr>
            </w:pPr>
            <w:r>
              <w:rPr>
                <w:noProof/>
                <w:color w:val="000000" w:themeColor="text1"/>
                <w:sz w:val="20"/>
                <w:lang w:val="en-IE"/>
              </w:rPr>
              <w:t>At-risk-of-poverty rate (AROP)</w:t>
            </w:r>
            <w:r>
              <w:rPr>
                <w:rStyle w:val="CommentReference"/>
                <w:rFonts w:eastAsia="DengXian"/>
                <w:noProof/>
                <w:lang w:eastAsia="en-GB"/>
              </w:rPr>
              <w:t xml:space="preserve"> </w:t>
            </w:r>
          </w:p>
          <w:p>
            <w:pPr>
              <w:shd w:val="clear" w:color="auto" w:fill="FFFFFF" w:themeFill="background1"/>
              <w:spacing w:after="0"/>
              <w:jc w:val="left"/>
              <w:rPr>
                <w:noProof/>
                <w:color w:val="000000" w:themeColor="text1"/>
                <w:sz w:val="20"/>
                <w:lang w:val="en-IE"/>
              </w:rPr>
            </w:pPr>
            <w:r>
              <w:rPr>
                <w:noProof/>
                <w:color w:val="000000" w:themeColor="text1"/>
                <w:sz w:val="20"/>
                <w:lang w:val="en-IE"/>
              </w:rPr>
              <w:t>Severe material and social deprivation rate (SMSD)</w:t>
            </w:r>
          </w:p>
          <w:p>
            <w:pPr>
              <w:shd w:val="clear" w:color="auto" w:fill="FFFFFF" w:themeFill="background1"/>
              <w:spacing w:after="0"/>
              <w:jc w:val="left"/>
              <w:rPr>
                <w:noProof/>
                <w:color w:val="000000" w:themeColor="text1"/>
                <w:sz w:val="20"/>
                <w:lang w:val="en-IE"/>
              </w:rPr>
            </w:pPr>
            <w:r>
              <w:rPr>
                <w:noProof/>
                <w:color w:val="000000" w:themeColor="text1"/>
                <w:sz w:val="20"/>
                <w:lang w:val="en-IE"/>
              </w:rPr>
              <w:t>Persons living in a household with a very low work intensity</w:t>
            </w:r>
          </w:p>
          <w:p>
            <w:pPr>
              <w:shd w:val="clear" w:color="auto" w:fill="FFFFFF" w:themeFill="background1"/>
              <w:spacing w:after="0"/>
              <w:jc w:val="left"/>
              <w:rPr>
                <w:noProof/>
                <w:color w:val="000000" w:themeColor="text1"/>
                <w:sz w:val="20"/>
                <w:lang w:val="en-IE"/>
              </w:rPr>
            </w:pPr>
            <w:r>
              <w:rPr>
                <w:noProof/>
                <w:color w:val="000000" w:themeColor="text1"/>
                <w:sz w:val="20"/>
                <w:lang w:val="en-IE"/>
              </w:rPr>
              <w:t>Severe housing deprivation (owner and tenant)</w:t>
            </w:r>
          </w:p>
          <w:p>
            <w:pPr>
              <w:shd w:val="clear" w:color="auto" w:fill="FFFFFF" w:themeFill="background1"/>
              <w:spacing w:after="0"/>
              <w:jc w:val="left"/>
              <w:rPr>
                <w:noProof/>
                <w:color w:val="000000" w:themeColor="text1"/>
                <w:sz w:val="20"/>
                <w:lang w:val="en-IE"/>
              </w:rPr>
            </w:pPr>
            <w:r>
              <w:rPr>
                <w:noProof/>
                <w:color w:val="000000" w:themeColor="text1"/>
                <w:sz w:val="20"/>
                <w:lang w:val="en-IE"/>
              </w:rPr>
              <w:t>Median at-risk-of-poverty gap**</w:t>
            </w:r>
          </w:p>
          <w:p>
            <w:pPr>
              <w:shd w:val="clear" w:color="auto" w:fill="FFFFFF" w:themeFill="background1"/>
              <w:spacing w:after="0"/>
              <w:ind w:left="142" w:hanging="141"/>
              <w:jc w:val="left"/>
              <w:rPr>
                <w:noProof/>
                <w:color w:val="000000" w:themeColor="text1"/>
                <w:sz w:val="20"/>
                <w:lang w:val="en-IE"/>
              </w:rPr>
            </w:pPr>
            <w:r>
              <w:rPr>
                <w:noProof/>
                <w:color w:val="000000" w:themeColor="text1"/>
                <w:sz w:val="20"/>
                <w:lang w:val="en-IE"/>
              </w:rPr>
              <w:t>Benefit recipients rate [</w:t>
            </w:r>
            <w:r>
              <w:rPr>
                <w:noProof/>
                <w:color w:val="000000" w:themeColor="text1"/>
                <w:sz w:val="20"/>
                <w:lang w:eastAsia="el-GR" w:bidi="el-GR"/>
              </w:rPr>
              <w:t>share of individuals aged 18-59 receiving any social benefits (other than old-age) among the population at-risk-of-poverty</w:t>
            </w:r>
            <w:r>
              <w:rPr>
                <w:noProof/>
                <w:color w:val="000000" w:themeColor="text1"/>
                <w:sz w:val="20"/>
              </w:rPr>
              <w:t>]</w:t>
            </w:r>
            <w:r>
              <w:rPr>
                <w:noProof/>
                <w:color w:val="000000" w:themeColor="text1"/>
                <w:sz w:val="20"/>
                <w:lang w:val="en-IE"/>
              </w:rPr>
              <w:t>**</w:t>
            </w:r>
          </w:p>
          <w:p>
            <w:pPr>
              <w:shd w:val="clear" w:color="auto" w:fill="FFFFFF" w:themeFill="background1"/>
              <w:spacing w:after="0"/>
              <w:ind w:left="142" w:hanging="141"/>
              <w:jc w:val="left"/>
              <w:rPr>
                <w:noProof/>
                <w:color w:val="000000" w:themeColor="text1"/>
                <w:sz w:val="20"/>
                <w:lang w:val="en-IE"/>
              </w:rPr>
            </w:pPr>
            <w:r>
              <w:rPr>
                <w:noProof/>
                <w:color w:val="000000" w:themeColor="text1"/>
                <w:sz w:val="20"/>
                <w:lang w:val="en-IE"/>
              </w:rPr>
              <w:t>Total social expenditure by function (% of GDP): Social protection, healthcare, education, long-term care**</w:t>
            </w:r>
          </w:p>
          <w:p>
            <w:pPr>
              <w:shd w:val="clear" w:color="auto" w:fill="FFFFFF" w:themeFill="background1"/>
              <w:spacing w:after="0"/>
              <w:ind w:left="142" w:hanging="141"/>
              <w:jc w:val="left"/>
              <w:rPr>
                <w:noProof/>
                <w:color w:val="000000" w:themeColor="text1"/>
                <w:sz w:val="20"/>
                <w:lang w:val="en-IE"/>
              </w:rPr>
            </w:pPr>
            <w:r>
              <w:rPr>
                <w:noProof/>
                <w:color w:val="000000" w:themeColor="text1"/>
                <w:sz w:val="20"/>
                <w:lang w:val="en-IE"/>
              </w:rPr>
              <w:t>Coverage of unemployment benefits [among short-term unemployed]**</w:t>
            </w:r>
          </w:p>
          <w:p>
            <w:pPr>
              <w:shd w:val="clear" w:color="auto" w:fill="FFFFFF" w:themeFill="background1"/>
              <w:spacing w:after="0"/>
              <w:jc w:val="left"/>
              <w:rPr>
                <w:noProof/>
                <w:color w:val="000000" w:themeColor="text1"/>
                <w:sz w:val="20"/>
                <w:lang w:val="en-IE"/>
              </w:rPr>
            </w:pPr>
            <w:r>
              <w:rPr>
                <w:noProof/>
                <w:color w:val="000000" w:themeColor="text1"/>
                <w:sz w:val="20"/>
                <w:lang w:val="en-IE"/>
              </w:rPr>
              <w:t>Coverage of long-term care needs**</w:t>
            </w:r>
          </w:p>
          <w:p>
            <w:pPr>
              <w:shd w:val="clear" w:color="auto" w:fill="FFFFFF" w:themeFill="background1"/>
              <w:spacing w:after="0"/>
              <w:jc w:val="left"/>
              <w:rPr>
                <w:noProof/>
                <w:color w:val="000000" w:themeColor="text1"/>
                <w:sz w:val="20"/>
                <w:lang w:val="en-IE"/>
              </w:rPr>
            </w:pPr>
            <w:r>
              <w:rPr>
                <w:noProof/>
                <w:color w:val="000000" w:themeColor="text1"/>
                <w:sz w:val="20"/>
                <w:lang w:val="en-IE"/>
              </w:rPr>
              <w:t>Aggregate replacement ratio for pensions</w:t>
            </w:r>
          </w:p>
          <w:p>
            <w:pPr>
              <w:shd w:val="clear" w:color="auto" w:fill="FFFFFF" w:themeFill="background1"/>
              <w:spacing w:after="0"/>
              <w:ind w:left="142" w:hanging="141"/>
              <w:jc w:val="left"/>
              <w:rPr>
                <w:noProof/>
                <w:color w:val="000000" w:themeColor="text1"/>
                <w:sz w:val="20"/>
                <w:lang w:val="en-IE"/>
              </w:rPr>
            </w:pPr>
            <w:r>
              <w:rPr>
                <w:noProof/>
                <w:color w:val="000000" w:themeColor="text1"/>
                <w:sz w:val="20"/>
                <w:lang w:val="en-IE"/>
              </w:rPr>
              <w:t>S</w:t>
            </w:r>
            <w:r>
              <w:rPr>
                <w:noProof/>
                <w:color w:val="000000" w:themeColor="text1"/>
                <w:sz w:val="20"/>
              </w:rPr>
              <w:t>hare of the population unable to keep home adequately warm (SDG)**</w:t>
            </w:r>
          </w:p>
          <w:p>
            <w:pPr>
              <w:shd w:val="clear" w:color="auto" w:fill="FFFFFF" w:themeFill="background1"/>
              <w:spacing w:after="0"/>
              <w:ind w:left="142" w:hanging="141"/>
              <w:jc w:val="left"/>
              <w:rPr>
                <w:noProof/>
                <w:color w:val="000000" w:themeColor="text1"/>
                <w:sz w:val="20"/>
                <w:lang w:val="en-IE"/>
              </w:rPr>
            </w:pPr>
            <w:r>
              <w:rPr>
                <w:noProof/>
                <w:color w:val="000000" w:themeColor="text1"/>
                <w:sz w:val="20"/>
                <w:lang w:val="en-IE"/>
              </w:rPr>
              <w:t>Connectivity dimension of the Digital Economy and Society Index</w:t>
            </w:r>
          </w:p>
          <w:p>
            <w:pPr>
              <w:shd w:val="clear" w:color="auto" w:fill="FFFFFF" w:themeFill="background1"/>
              <w:spacing w:after="0"/>
              <w:ind w:left="142" w:hanging="141"/>
              <w:jc w:val="left"/>
              <w:rPr>
                <w:noProof/>
                <w:color w:val="000000" w:themeColor="text1"/>
                <w:sz w:val="20"/>
              </w:rPr>
            </w:pPr>
            <w:r>
              <w:rPr>
                <w:noProof/>
                <w:color w:val="000000" w:themeColor="text1"/>
                <w:sz w:val="20"/>
                <w:lang w:val="en-IE"/>
              </w:rPr>
              <w:t>Children from age 3 to mandatory primary school age in formal childcare**</w:t>
            </w:r>
          </w:p>
          <w:p>
            <w:pPr>
              <w:shd w:val="clear" w:color="auto" w:fill="FFFFFF" w:themeFill="background1"/>
              <w:spacing w:after="0"/>
              <w:jc w:val="left"/>
              <w:rPr>
                <w:noProof/>
                <w:color w:val="000000" w:themeColor="text1"/>
                <w:sz w:val="20"/>
                <w:lang w:val="en-IE"/>
              </w:rPr>
            </w:pPr>
            <w:r>
              <w:rPr>
                <w:noProof/>
                <w:color w:val="000000" w:themeColor="text1"/>
                <w:sz w:val="20"/>
                <w:lang w:val="en-IE"/>
              </w:rPr>
              <w:t>Out-of-pocket expenditure on healthcare</w:t>
            </w:r>
          </w:p>
          <w:p>
            <w:pPr>
              <w:shd w:val="clear" w:color="auto" w:fill="FFFFFF" w:themeFill="background1"/>
              <w:spacing w:after="0"/>
              <w:jc w:val="left"/>
              <w:rPr>
                <w:noProof/>
                <w:color w:val="000000" w:themeColor="text1"/>
                <w:sz w:val="20"/>
                <w:lang w:val="en-IE"/>
              </w:rPr>
            </w:pPr>
            <w:r>
              <w:rPr>
                <w:noProof/>
                <w:color w:val="000000" w:themeColor="text1"/>
                <w:sz w:val="20"/>
                <w:lang w:val="en-IE"/>
              </w:rPr>
              <w:t>Healthy life years at age 65: Women and men</w:t>
            </w:r>
          </w:p>
          <w:p>
            <w:pPr>
              <w:spacing w:after="0"/>
              <w:jc w:val="left"/>
              <w:rPr>
                <w:noProof/>
                <w:color w:val="000000" w:themeColor="text1"/>
                <w:lang w:val="en-IE"/>
              </w:rPr>
            </w:pPr>
            <w:r>
              <w:rPr>
                <w:noProof/>
                <w:color w:val="000000" w:themeColor="text1"/>
                <w:sz w:val="20"/>
                <w:lang w:val="en-IE"/>
              </w:rPr>
              <w:t xml:space="preserve">Standardised preventable and treatable mortality (SDG)** </w:t>
            </w:r>
          </w:p>
        </w:tc>
        <w:tc>
          <w:tcPr>
            <w:tcW w:w="1114" w:type="dxa"/>
          </w:tcPr>
          <w:p>
            <w:pPr>
              <w:spacing w:after="0"/>
              <w:jc w:val="left"/>
              <w:rPr>
                <w:noProof/>
                <w:color w:val="000000" w:themeColor="text1"/>
                <w:sz w:val="20"/>
                <w:lang w:val="en-IE"/>
              </w:rPr>
            </w:pPr>
            <w:r>
              <w:rPr>
                <w:noProof/>
                <w:color w:val="000000" w:themeColor="text1"/>
                <w:sz w:val="20"/>
                <w:lang w:val="en-IE"/>
              </w:rPr>
              <w:t>1. No poverty</w:t>
            </w:r>
          </w:p>
          <w:p>
            <w:pPr>
              <w:spacing w:after="0"/>
              <w:jc w:val="left"/>
              <w:rPr>
                <w:noProof/>
                <w:color w:val="000000" w:themeColor="text1"/>
                <w:sz w:val="20"/>
                <w:lang w:val="en-IE"/>
              </w:rPr>
            </w:pPr>
          </w:p>
          <w:p>
            <w:pPr>
              <w:spacing w:after="0"/>
              <w:jc w:val="left"/>
              <w:rPr>
                <w:noProof/>
                <w:color w:val="000000" w:themeColor="text1"/>
                <w:sz w:val="20"/>
                <w:lang w:val="en-IE"/>
              </w:rPr>
            </w:pPr>
            <w:r>
              <w:rPr>
                <w:noProof/>
                <w:color w:val="000000" w:themeColor="text1"/>
                <w:sz w:val="20"/>
                <w:lang w:val="en-IE"/>
              </w:rPr>
              <w:t>3. Good health and well-being</w:t>
            </w:r>
          </w:p>
        </w:tc>
      </w:tr>
    </w:tbl>
    <w:p>
      <w:pPr>
        <w:spacing w:after="0"/>
        <w:rPr>
          <w:rFonts w:eastAsiaTheme="minorHAnsi"/>
          <w:noProof/>
          <w:color w:val="000000" w:themeColor="text1"/>
          <w:sz w:val="20"/>
          <w:lang w:val="en-IE" w:eastAsia="en-US"/>
        </w:rPr>
      </w:pPr>
      <w:r>
        <w:rPr>
          <w:rFonts w:eastAsiaTheme="minorHAnsi"/>
          <w:noProof/>
          <w:color w:val="000000" w:themeColor="text1"/>
          <w:sz w:val="20"/>
          <w:lang w:val="en-IE" w:eastAsia="en-US"/>
        </w:rPr>
        <w:t>** New indicator compared to current version of the Scoreboard (in brackets the framework where it is currently used)</w:t>
      </w:r>
    </w:p>
    <w:p>
      <w:pPr>
        <w:spacing w:after="160" w:line="259" w:lineRule="auto"/>
        <w:rPr>
          <w:rFonts w:eastAsiaTheme="minorHAnsi"/>
          <w:noProof/>
          <w:color w:val="000000" w:themeColor="text1"/>
          <w:sz w:val="20"/>
          <w:lang w:val="en-IE" w:eastAsia="en-US"/>
        </w:rPr>
      </w:pPr>
      <w:r>
        <w:rPr>
          <w:rFonts w:eastAsiaTheme="minorHAnsi"/>
          <w:noProof/>
          <w:color w:val="000000" w:themeColor="text1"/>
          <w:sz w:val="20"/>
          <w:lang w:val="en-IE" w:eastAsia="en-US"/>
        </w:rPr>
        <w:t>Note - breakdowns to the social scoreboard indicators by age group, gender, country of birth, disability status will be used for complementing the analysis where relevant.</w:t>
      </w:r>
    </w:p>
    <w:p>
      <w:pPr>
        <w:spacing w:after="0"/>
        <w:jc w:val="left"/>
        <w:rPr>
          <w:noProof/>
        </w:rPr>
      </w:pPr>
      <w:r>
        <w:rPr>
          <w:noProof/>
        </w:rPr>
        <w:br w:type="page"/>
      </w:r>
    </w:p>
    <w:tbl>
      <w:tblPr>
        <w:tblStyle w:val="TableGrid"/>
        <w:tblW w:w="0" w:type="auto"/>
        <w:tblLook w:val="04A0" w:firstRow="1" w:lastRow="0" w:firstColumn="1" w:lastColumn="0" w:noHBand="0" w:noVBand="1"/>
      </w:tblPr>
      <w:tblGrid>
        <w:gridCol w:w="889"/>
        <w:gridCol w:w="8121"/>
      </w:tblGrid>
      <w:tr>
        <w:trPr>
          <w:trHeight w:val="557"/>
        </w:trPr>
        <w:tc>
          <w:tcPr>
            <w:tcW w:w="9010" w:type="dxa"/>
            <w:gridSpan w:val="2"/>
            <w:tcBorders>
              <w:top w:val="nil"/>
              <w:left w:val="nil"/>
              <w:right w:val="nil"/>
            </w:tcBorders>
          </w:tcPr>
          <w:p>
            <w:pPr>
              <w:spacing w:after="0"/>
              <w:jc w:val="center"/>
              <w:rPr>
                <w:rFonts w:eastAsiaTheme="minorHAnsi"/>
                <w:b/>
                <w:noProof/>
                <w:szCs w:val="24"/>
                <w:lang w:val="en-IE" w:eastAsia="en-US"/>
              </w:rPr>
            </w:pPr>
            <w:r>
              <w:rPr>
                <w:rFonts w:eastAsiaTheme="minorHAnsi"/>
                <w:b/>
                <w:noProof/>
                <w:szCs w:val="24"/>
                <w:lang w:val="en-IE" w:eastAsia="en-US"/>
              </w:rPr>
              <w:t xml:space="preserve">ANNEX 3: THE PILLAR PRINCIPLES PROCLAIMED </w:t>
            </w:r>
            <w:r>
              <w:rPr>
                <w:rFonts w:eastAsiaTheme="minorHAnsi"/>
                <w:b/>
                <w:noProof/>
                <w:szCs w:val="24"/>
                <w:lang w:val="en-IE" w:eastAsia="en-US"/>
              </w:rPr>
              <w:br/>
              <w:t>AT THE 2017 GOTHENBORG SUMMIT</w:t>
            </w:r>
          </w:p>
        </w:tc>
      </w:tr>
      <w:tr>
        <w:tc>
          <w:tcPr>
            <w:tcW w:w="889" w:type="dxa"/>
          </w:tcPr>
          <w:p>
            <w:pPr>
              <w:jc w:val="center"/>
              <w:rPr>
                <w:noProof/>
              </w:rPr>
            </w:pPr>
            <w:r>
              <w:rPr>
                <w:noProof/>
                <w:lang w:eastAsia="en-GB"/>
              </w:rPr>
              <w:drawing>
                <wp:inline distT="0" distB="0" distL="0" distR="0">
                  <wp:extent cx="371960" cy="33395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960" cy="333955"/>
                          </a:xfrm>
                          <a:prstGeom prst="rect">
                            <a:avLst/>
                          </a:prstGeom>
                        </pic:spPr>
                      </pic:pic>
                    </a:graphicData>
                  </a:graphic>
                </wp:inline>
              </w:drawing>
            </w:r>
          </w:p>
        </w:tc>
        <w:tc>
          <w:tcPr>
            <w:tcW w:w="8121" w:type="dxa"/>
          </w:tcPr>
          <w:p>
            <w:pPr>
              <w:shd w:val="clear" w:color="auto" w:fill="FFFFFF"/>
              <w:spacing w:after="0"/>
              <w:rPr>
                <w:rFonts w:ascii="Microsoft Himalaya" w:hAnsi="Microsoft Himalaya" w:cs="Microsoft Himalaya"/>
                <w:b/>
                <w:bCs/>
                <w:noProof/>
                <w:color w:val="000000"/>
                <w:lang w:eastAsia="en-GB"/>
              </w:rPr>
            </w:pPr>
            <w:r>
              <w:rPr>
                <w:rFonts w:ascii="Microsoft Himalaya" w:hAnsi="Microsoft Himalaya" w:cs="Microsoft Himalaya"/>
                <w:b/>
                <w:bCs/>
                <w:noProof/>
                <w:color w:val="000000"/>
                <w:lang w:eastAsia="en-GB"/>
              </w:rPr>
              <w:t xml:space="preserve">1. Education, training and life-long learning </w:t>
            </w:r>
          </w:p>
          <w:p>
            <w:pPr>
              <w:shd w:val="clear" w:color="auto" w:fill="FFFFFF"/>
              <w:spacing w:after="0"/>
              <w:rPr>
                <w:rFonts w:ascii="Microsoft Himalaya" w:hAnsi="Microsoft Himalaya" w:cs="Microsoft Himalaya"/>
                <w:i/>
                <w:noProof/>
                <w:color w:val="000000"/>
                <w:lang w:eastAsia="en-GB"/>
              </w:rPr>
            </w:pPr>
            <w:r>
              <w:rPr>
                <w:rFonts w:ascii="Microsoft Himalaya" w:hAnsi="Microsoft Himalaya" w:cs="Microsoft Himalaya"/>
                <w:i/>
                <w:noProof/>
                <w:color w:val="000000"/>
                <w:lang w:eastAsia="en-GB"/>
              </w:rPr>
              <w:t>Everyone has the right to quality and inclusive education, training and life-long learning in order to maintain and acquire skills that enable them to participate fully in society and manage successfully transitions in the labour market.</w:t>
            </w:r>
            <w:r>
              <w:rPr>
                <w:noProof/>
                <w:lang w:val="en-IE"/>
              </w:rPr>
              <w:t xml:space="preserve"> </w:t>
            </w:r>
          </w:p>
        </w:tc>
      </w:tr>
      <w:tr>
        <w:trPr>
          <w:trHeight w:val="988"/>
        </w:trPr>
        <w:tc>
          <w:tcPr>
            <w:tcW w:w="889" w:type="dxa"/>
          </w:tcPr>
          <w:p>
            <w:pPr>
              <w:jc w:val="center"/>
              <w:rPr>
                <w:noProof/>
              </w:rPr>
            </w:pPr>
            <w:r>
              <w:rPr>
                <w:noProof/>
                <w:lang w:eastAsia="en-GB"/>
              </w:rPr>
              <w:drawing>
                <wp:inline distT="0" distB="0" distL="0" distR="0">
                  <wp:extent cx="353695" cy="29781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695" cy="297815"/>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2. Gender equality</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Equality of treatment and opportunities between women and men must be ensured and fostered in all areas, including regarding participation in the labour market, terms and conditions of employment and career progression.</w:t>
            </w:r>
            <w:r>
              <w:rPr>
                <w:rFonts w:ascii="Microsoft Himalaya" w:hAnsi="Microsoft Himalaya" w:cs="Microsoft Himalaya"/>
                <w:i/>
                <w:noProof/>
                <w:color w:val="000000"/>
                <w:lang w:eastAsia="en-GB"/>
              </w:rPr>
              <w:br/>
              <w:t>b.</w:t>
            </w:r>
            <w:r>
              <w:rPr>
                <w:noProof/>
              </w:rPr>
              <w:t xml:space="preserve"> </w:t>
            </w:r>
            <w:r>
              <w:rPr>
                <w:rFonts w:ascii="Microsoft Himalaya" w:hAnsi="Microsoft Himalaya" w:cs="Microsoft Himalaya"/>
                <w:i/>
                <w:noProof/>
                <w:color w:val="000000"/>
                <w:lang w:eastAsia="en-GB"/>
              </w:rPr>
              <w:t>Women and men have the right to equal pay for work of equal value.</w:t>
            </w:r>
          </w:p>
        </w:tc>
      </w:tr>
      <w:t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36421" cy="341906"/>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421" cy="341906"/>
                          </a:xfrm>
                          <a:prstGeom prst="rect">
                            <a:avLst/>
                          </a:prstGeom>
                        </pic:spPr>
                      </pic:pic>
                    </a:graphicData>
                  </a:graphic>
                </wp:inline>
              </w:drawing>
            </w:r>
          </w:p>
        </w:tc>
        <w:tc>
          <w:tcPr>
            <w:tcW w:w="8121" w:type="dxa"/>
          </w:tcPr>
          <w:p>
            <w:pPr>
              <w:spacing w:after="0"/>
              <w:jc w:val="left"/>
              <w:rPr>
                <w:rFonts w:ascii="Microsoft Himalaya" w:hAnsi="Microsoft Himalaya" w:cs="Microsoft Himalaya"/>
                <w:i/>
                <w:noProof/>
                <w:color w:val="000000"/>
                <w:lang w:eastAsia="en-GB"/>
              </w:rPr>
            </w:pPr>
            <w:r>
              <w:rPr>
                <w:rFonts w:ascii="Microsoft Himalaya" w:hAnsi="Microsoft Himalaya" w:cs="Microsoft Himalaya"/>
                <w:b/>
                <w:bCs/>
                <w:noProof/>
                <w:color w:val="000000"/>
                <w:lang w:eastAsia="en-GB"/>
              </w:rPr>
              <w:t>3. Equal opportunities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Regardless of gender, racial or ethnic origin, religion or belief, disability, age or sexual orientation, everyone has the right to equal treatment and opportunities regarding employment, social protection, education, and access to goods and services available to the public. Equal opportunities of under-represented groups shall be fostered.</w:t>
            </w:r>
          </w:p>
        </w:tc>
      </w:tr>
      <w:tr>
        <w:tc>
          <w:tcPr>
            <w:tcW w:w="889" w:type="dxa"/>
          </w:tcPr>
          <w:p>
            <w:pPr>
              <w:jc w:val="center"/>
              <w:rPr>
                <w:noProof/>
              </w:rPr>
            </w:pPr>
            <w:r>
              <w:rPr>
                <w:noProof/>
                <w:lang w:eastAsia="en-GB"/>
              </w:rPr>
              <w:drawing>
                <wp:inline distT="0" distB="0" distL="0" distR="0">
                  <wp:extent cx="397121" cy="353833"/>
                  <wp:effectExtent l="0" t="0" r="3175"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121" cy="353833"/>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4. Active support to employment</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Everyone has the right to timely and tailor-made assistance to improve employment or self-employment prospects. This includes the right to receive support for job search, training and re-qualification. Everyone has the right to transfer social protection and training entitlements during professional transitions.</w:t>
            </w:r>
            <w:r>
              <w:rPr>
                <w:rFonts w:ascii="Microsoft Himalaya" w:hAnsi="Microsoft Himalaya" w:cs="Microsoft Himalaya"/>
                <w:i/>
                <w:noProof/>
                <w:color w:val="000000"/>
                <w:lang w:eastAsia="en-GB"/>
              </w:rPr>
              <w:br/>
              <w:t>b. Young people have the right to continued education, apprenticeship, traineeship or a job offer of good standing within 4 months of becoming unemployed or leaving education.</w:t>
            </w:r>
            <w:r>
              <w:rPr>
                <w:rFonts w:ascii="Microsoft Himalaya" w:hAnsi="Microsoft Himalaya" w:cs="Microsoft Himalaya"/>
                <w:i/>
                <w:noProof/>
                <w:color w:val="000000"/>
                <w:lang w:eastAsia="en-GB"/>
              </w:rPr>
              <w:br/>
              <w:t>c. People unemployed have the right to personalised, continuous and consistent support. The long-term unemployed have the right to an in-depth individual assessment at the latest at 18 months of unemployment.</w:t>
            </w:r>
          </w:p>
        </w:tc>
      </w:tr>
      <w:t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43786" cy="32202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786" cy="322027"/>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5. Secure and adaptable employment</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Regardless of the type and duration of the employment relationship, workers have the right to fair and equal treatment regarding working conditions, access to social protection and training. The transition towards open-ended forms of employment shall be fostered.</w:t>
            </w:r>
            <w:r>
              <w:rPr>
                <w:rFonts w:ascii="Microsoft Himalaya" w:hAnsi="Microsoft Himalaya" w:cs="Microsoft Himalaya"/>
                <w:i/>
                <w:noProof/>
                <w:color w:val="000000"/>
                <w:lang w:eastAsia="en-GB"/>
              </w:rPr>
              <w:br/>
              <w:t>b. In accordance with legislation and collective agreements, the necessary flexibility for employers to adapt swiftly to changes in the economic context shall be ensured.</w:t>
            </w:r>
            <w:r>
              <w:rPr>
                <w:rFonts w:ascii="Microsoft Himalaya" w:hAnsi="Microsoft Himalaya" w:cs="Microsoft Himalaya"/>
                <w:i/>
                <w:noProof/>
                <w:color w:val="000000"/>
                <w:lang w:eastAsia="en-GB"/>
              </w:rPr>
              <w:br/>
              <w:t>c. Innovative forms of work that ensure quality working conditions shall be fostered. Entrepreneurship and self-employment shall be encouraged. Occupational mobility shall be facilitated.</w:t>
            </w:r>
            <w:r>
              <w:rPr>
                <w:rFonts w:ascii="Microsoft Himalaya" w:hAnsi="Microsoft Himalaya" w:cs="Microsoft Himalaya"/>
                <w:i/>
                <w:noProof/>
                <w:color w:val="000000"/>
                <w:lang w:eastAsia="en-GB"/>
              </w:rPr>
              <w:br/>
              <w:t>d. Employment relationships that lead to precarious working conditions shall be prevented, including by prohibiting abuse of atypical contracts. Any probation period should be of reasonable duration.</w:t>
            </w:r>
          </w:p>
        </w:tc>
      </w:tr>
      <w:tr>
        <w:trPr>
          <w:trHeight w:val="1686"/>
        </w:trP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37185" cy="31750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185" cy="317500"/>
                          </a:xfrm>
                          <a:prstGeom prst="rect">
                            <a:avLst/>
                          </a:prstGeom>
                        </pic:spPr>
                      </pic:pic>
                    </a:graphicData>
                  </a:graphic>
                </wp:inline>
              </w:drawing>
            </w:r>
          </w:p>
        </w:tc>
        <w:tc>
          <w:tcPr>
            <w:tcW w:w="8121" w:type="dxa"/>
          </w:tcPr>
          <w:p>
            <w:pPr>
              <w:spacing w:after="0"/>
              <w:jc w:val="left"/>
              <w:rPr>
                <w:rFonts w:ascii="Microsoft Himalaya" w:hAnsi="Microsoft Himalaya" w:cs="Microsoft Himalaya"/>
                <w:i/>
                <w:noProof/>
                <w:color w:val="000000"/>
                <w:lang w:eastAsia="en-GB"/>
              </w:rPr>
            </w:pPr>
            <w:r>
              <w:rPr>
                <w:rFonts w:ascii="Microsoft Himalaya" w:hAnsi="Microsoft Himalaya" w:cs="Microsoft Himalaya"/>
                <w:b/>
                <w:bCs/>
                <w:noProof/>
                <w:color w:val="000000"/>
                <w:lang w:eastAsia="en-GB"/>
              </w:rPr>
              <w:t>6. Wages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Workers have the right to fair wages that provide for a decent standard of living.</w:t>
            </w:r>
            <w:r>
              <w:rPr>
                <w:rFonts w:ascii="Microsoft Himalaya" w:hAnsi="Microsoft Himalaya" w:cs="Microsoft Himalaya"/>
                <w:i/>
                <w:noProof/>
                <w:color w:val="000000"/>
                <w:lang w:eastAsia="en-GB"/>
              </w:rPr>
              <w:br/>
              <w:t>b. Adequate minimum wages shall be ensured, in a way that provide for the satisfaction of the needs of the worker and his/her family in the light of national economic and social conditions, whilst safeguarding access to employment and incentives to seek work. In-work poverty shall be prevented.</w:t>
            </w:r>
            <w:r>
              <w:rPr>
                <w:rFonts w:ascii="Microsoft Himalaya" w:hAnsi="Microsoft Himalaya" w:cs="Microsoft Himalaya"/>
                <w:i/>
                <w:noProof/>
                <w:color w:val="000000"/>
                <w:lang w:eastAsia="en-GB"/>
              </w:rPr>
              <w:br/>
              <w:t>c. All wages shall be set in a transparent and predictable way according to national practices and respecting the autonomy of the social partners.</w:t>
            </w:r>
          </w:p>
        </w:tc>
      </w:tr>
      <w:tr>
        <w:trPr>
          <w:trHeight w:val="1468"/>
        </w:trP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417443" cy="352425"/>
                  <wp:effectExtent l="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443" cy="352425"/>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7. Information about employment conditions and protection in case of dismissals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Workers have the right to be informed in writing at the start of employment about their rights and obligations resulting from the employment relationship, including on probation period.</w:t>
            </w:r>
            <w:r>
              <w:rPr>
                <w:rFonts w:ascii="Microsoft Himalaya" w:hAnsi="Microsoft Himalaya" w:cs="Microsoft Himalaya"/>
                <w:i/>
                <w:noProof/>
                <w:color w:val="000000"/>
                <w:lang w:eastAsia="en-GB"/>
              </w:rPr>
              <w:br/>
              <w:t>b. Prior to any dismissal, workers have the right to be informed of the reasons and be granted a reasonable period of notice. They have the right to access to effective and impartial dispute resolution and, in case of unjustified dismissal, a right to redress, including adequate compensation.</w:t>
            </w:r>
          </w:p>
        </w:tc>
      </w:tr>
      <w:t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85638" cy="3131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638" cy="313198"/>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8. Social dialogue and involvement of workers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The social partners shall be consulted on the design and implementation of economic, employment and social policies according to national practices. They shall be encouraged to negotiate and conclude collective agreements in matters relevant to them, while respecting their autonomy and the right to collective action. Where appropriate, agreements concluded between the social partners shall be implemented at the level of the Union and its Member States.</w:t>
            </w:r>
            <w:r>
              <w:rPr>
                <w:rFonts w:ascii="Microsoft Himalaya" w:hAnsi="Microsoft Himalaya" w:cs="Microsoft Himalaya"/>
                <w:i/>
                <w:noProof/>
                <w:color w:val="000000"/>
                <w:lang w:eastAsia="en-GB"/>
              </w:rPr>
              <w:br/>
              <w:t>b. Workers or their representatives have the right to be informed and consulted in good time on matters relevant to them, in particular on the transfer, restructuring and merger of undertakings and on collective redundancies.</w:t>
            </w:r>
            <w:r>
              <w:rPr>
                <w:rFonts w:ascii="Microsoft Himalaya" w:hAnsi="Microsoft Himalaya" w:cs="Microsoft Himalaya"/>
                <w:i/>
                <w:noProof/>
                <w:color w:val="000000"/>
                <w:lang w:eastAsia="en-GB"/>
              </w:rPr>
              <w:br/>
              <w:t>c. Support for increased capacity of social partners to promote social dialogue shall be encouraged.</w:t>
            </w:r>
          </w:p>
        </w:tc>
      </w:tr>
      <w:tr>
        <w:tc>
          <w:tcPr>
            <w:tcW w:w="889" w:type="dxa"/>
          </w:tcPr>
          <w:p>
            <w:pPr>
              <w:tabs>
                <w:tab w:val="left" w:pos="425"/>
              </w:tabs>
              <w:jc w:val="center"/>
              <w:rPr>
                <w:noProof/>
              </w:rPr>
            </w:pPr>
            <w:r>
              <w:rPr>
                <w:rFonts w:asciiTheme="minorHAnsi" w:eastAsiaTheme="minorHAnsi" w:hAnsiTheme="minorHAnsi" w:cstheme="minorBidi"/>
                <w:noProof/>
                <w:sz w:val="22"/>
                <w:szCs w:val="22"/>
                <w:lang w:eastAsia="en-GB"/>
              </w:rPr>
              <w:drawing>
                <wp:inline distT="0" distB="0" distL="0" distR="0">
                  <wp:extent cx="427628" cy="32724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628" cy="327246"/>
                          </a:xfrm>
                          <a:prstGeom prst="rect">
                            <a:avLst/>
                          </a:prstGeom>
                        </pic:spPr>
                      </pic:pic>
                    </a:graphicData>
                  </a:graphic>
                </wp:inline>
              </w:drawing>
            </w:r>
          </w:p>
        </w:tc>
        <w:tc>
          <w:tcPr>
            <w:tcW w:w="8121" w:type="dxa"/>
          </w:tcPr>
          <w:p>
            <w:pPr>
              <w:shd w:val="clear" w:color="auto" w:fill="FFFFFF"/>
              <w:spacing w:after="0"/>
              <w:rPr>
                <w:rFonts w:ascii="Microsoft Himalaya" w:hAnsi="Microsoft Himalaya" w:cs="Microsoft Himalaya"/>
                <w:b/>
                <w:bCs/>
                <w:noProof/>
                <w:color w:val="000000"/>
                <w:lang w:eastAsia="en-GB"/>
              </w:rPr>
            </w:pPr>
            <w:r>
              <w:rPr>
                <w:rFonts w:ascii="Microsoft Himalaya" w:hAnsi="Microsoft Himalaya" w:cs="Microsoft Himalaya"/>
                <w:b/>
                <w:bCs/>
                <w:noProof/>
                <w:color w:val="000000"/>
                <w:lang w:eastAsia="en-GB"/>
              </w:rPr>
              <w:t xml:space="preserve">9.   Work-life balance </w:t>
            </w:r>
          </w:p>
          <w:p>
            <w:pPr>
              <w:shd w:val="clear" w:color="auto" w:fill="FFFFFF"/>
              <w:spacing w:after="0"/>
              <w:rPr>
                <w:rFonts w:ascii="Microsoft Himalaya" w:hAnsi="Microsoft Himalaya" w:cs="Microsoft Himalaya"/>
                <w:i/>
                <w:noProof/>
                <w:color w:val="000000"/>
                <w:lang w:eastAsia="en-GB"/>
              </w:rPr>
            </w:pPr>
            <w:r>
              <w:rPr>
                <w:rFonts w:ascii="Microsoft Himalaya" w:hAnsi="Microsoft Himalaya" w:cs="Microsoft Himalaya"/>
                <w:i/>
                <w:noProof/>
                <w:color w:val="000000"/>
                <w:lang w:eastAsia="en-GB"/>
              </w:rPr>
              <w:t>Parents and people with caring responsibilities have the right to suitable leave, flexible working arrangements and access to care services. Women and men shall have equal access to special leaves of absence in order to fulfil their caring responsibilities and be encouraged to use them in a balanced way.</w:t>
            </w:r>
          </w:p>
        </w:tc>
      </w:tr>
      <w:tr>
        <w:trPr>
          <w:trHeight w:val="1291"/>
        </w:trPr>
        <w:tc>
          <w:tcPr>
            <w:tcW w:w="889" w:type="dxa"/>
          </w:tcPr>
          <w:p>
            <w:pPr>
              <w:jc w:val="center"/>
              <w:rPr>
                <w:noProof/>
              </w:rPr>
            </w:pPr>
            <w:r>
              <w:rPr>
                <w:noProof/>
                <w:lang w:eastAsia="en-GB"/>
              </w:rPr>
              <w:drawing>
                <wp:inline distT="0" distB="0" distL="0" distR="0">
                  <wp:extent cx="349857" cy="357719"/>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857" cy="357719"/>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10.   Healthy, safe and well-adapted work environment and data protection</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Workers have the right to a high level of protection of their health and safety at work.</w:t>
            </w:r>
            <w:r>
              <w:rPr>
                <w:rFonts w:ascii="Microsoft Himalaya" w:hAnsi="Microsoft Himalaya" w:cs="Microsoft Himalaya"/>
                <w:i/>
                <w:noProof/>
                <w:color w:val="000000"/>
                <w:lang w:eastAsia="en-GB"/>
              </w:rPr>
              <w:br/>
              <w:t>b. Workers have the right to a working environment adapted to their professional needs and which enables them to prolong their participation in the labour market.</w:t>
            </w:r>
            <w:r>
              <w:rPr>
                <w:rFonts w:ascii="Microsoft Himalaya" w:hAnsi="Microsoft Himalaya" w:cs="Microsoft Himalaya"/>
                <w:i/>
                <w:noProof/>
                <w:color w:val="000000"/>
                <w:lang w:eastAsia="en-GB"/>
              </w:rPr>
              <w:br/>
              <w:t>c.</w:t>
            </w:r>
            <w:r>
              <w:rPr>
                <w:noProof/>
              </w:rPr>
              <w:t xml:space="preserve"> </w:t>
            </w:r>
            <w:r>
              <w:rPr>
                <w:rFonts w:ascii="Microsoft Himalaya" w:hAnsi="Microsoft Himalaya" w:cs="Microsoft Himalaya"/>
                <w:i/>
                <w:noProof/>
                <w:color w:val="000000"/>
                <w:lang w:eastAsia="en-GB"/>
              </w:rPr>
              <w:t>Workers have the right to have their personal data protected in the employment context.</w:t>
            </w:r>
          </w:p>
        </w:tc>
      </w:tr>
      <w:tr>
        <w:trPr>
          <w:trHeight w:val="972"/>
        </w:trP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06070" cy="298942"/>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242" t="13309" r="1"/>
                          <a:stretch/>
                        </pic:blipFill>
                        <pic:spPr bwMode="auto">
                          <a:xfrm>
                            <a:off x="0" y="0"/>
                            <a:ext cx="306604" cy="299464"/>
                          </a:xfrm>
                          <a:prstGeom prst="rect">
                            <a:avLst/>
                          </a:prstGeom>
                          <a:ln>
                            <a:noFill/>
                          </a:ln>
                          <a:extLst>
                            <a:ext uri="{53640926-AAD7-44D8-BBD7-CCE9431645EC}">
                              <a14:shadowObscured xmlns:a14="http://schemas.microsoft.com/office/drawing/2010/main"/>
                            </a:ext>
                          </a:extLst>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11. Childcare and support to children</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Children have the right to affordable early childhood education and care of good quality.</w:t>
            </w:r>
            <w:r>
              <w:rPr>
                <w:rFonts w:ascii="Microsoft Himalaya" w:hAnsi="Microsoft Himalaya" w:cs="Microsoft Himalaya"/>
                <w:i/>
                <w:noProof/>
                <w:color w:val="000000"/>
                <w:lang w:eastAsia="en-GB"/>
              </w:rPr>
              <w:br/>
              <w:t>b. Children have the right to protection from poverty. Children from disadvantaged backgrounds have the right to specific measures to enhance equal opportunities.</w:t>
            </w:r>
          </w:p>
        </w:tc>
      </w:tr>
      <w:t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49857" cy="34985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9857" cy="349857"/>
                          </a:xfrm>
                          <a:prstGeom prst="rect">
                            <a:avLst/>
                          </a:prstGeom>
                        </pic:spPr>
                      </pic:pic>
                    </a:graphicData>
                  </a:graphic>
                </wp:inline>
              </w:drawing>
            </w:r>
          </w:p>
        </w:tc>
        <w:tc>
          <w:tcPr>
            <w:tcW w:w="8121" w:type="dxa"/>
          </w:tcPr>
          <w:p>
            <w:pPr>
              <w:shd w:val="clear" w:color="auto" w:fill="FFFFFF"/>
              <w:spacing w:after="0"/>
              <w:rPr>
                <w:rFonts w:ascii="Microsoft Himalaya" w:hAnsi="Microsoft Himalaya" w:cs="Microsoft Himalaya"/>
                <w:b/>
                <w:bCs/>
                <w:noProof/>
                <w:color w:val="000000"/>
                <w:lang w:eastAsia="en-GB"/>
              </w:rPr>
            </w:pPr>
            <w:r>
              <w:rPr>
                <w:rFonts w:ascii="Microsoft Himalaya" w:hAnsi="Microsoft Himalaya" w:cs="Microsoft Himalaya"/>
                <w:b/>
                <w:bCs/>
                <w:noProof/>
                <w:color w:val="000000"/>
                <w:lang w:eastAsia="en-GB"/>
              </w:rPr>
              <w:t xml:space="preserve">12.   Social protection </w:t>
            </w:r>
          </w:p>
          <w:p>
            <w:pPr>
              <w:spacing w:after="0"/>
              <w:rPr>
                <w:noProof/>
              </w:rPr>
            </w:pPr>
            <w:r>
              <w:rPr>
                <w:rFonts w:ascii="Microsoft Himalaya" w:hAnsi="Microsoft Himalaya" w:cs="Microsoft Himalaya"/>
                <w:i/>
                <w:noProof/>
                <w:color w:val="000000"/>
                <w:lang w:eastAsia="en-GB"/>
              </w:rPr>
              <w:t>Regardless of the type and duration of their employment relationship, workers, and, under comparable conditions, the self-employed, have the right to adequate social protection.</w:t>
            </w:r>
          </w:p>
        </w:tc>
      </w:tr>
      <w:tr>
        <w:tc>
          <w:tcPr>
            <w:tcW w:w="889" w:type="dxa"/>
          </w:tcPr>
          <w:p>
            <w:pPr>
              <w:jc w:val="center"/>
              <w:rPr>
                <w:noProof/>
              </w:rPr>
            </w:pPr>
            <w:r>
              <w:rPr>
                <w:noProof/>
                <w:lang w:eastAsia="en-GB"/>
              </w:rPr>
              <w:drawing>
                <wp:inline distT="0" distB="0" distL="0" distR="0">
                  <wp:extent cx="355935" cy="357808"/>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935" cy="357808"/>
                          </a:xfrm>
                          <a:prstGeom prst="rect">
                            <a:avLst/>
                          </a:prstGeom>
                        </pic:spPr>
                      </pic:pic>
                    </a:graphicData>
                  </a:graphic>
                </wp:inline>
              </w:drawing>
            </w:r>
          </w:p>
        </w:tc>
        <w:tc>
          <w:tcPr>
            <w:tcW w:w="8121" w:type="dxa"/>
          </w:tcPr>
          <w:p>
            <w:pPr>
              <w:spacing w:after="0"/>
              <w:jc w:val="left"/>
              <w:rPr>
                <w:rFonts w:ascii="Microsoft Himalaya" w:hAnsi="Microsoft Himalaya" w:cs="Microsoft Himalaya"/>
                <w:i/>
                <w:noProof/>
                <w:color w:val="000000"/>
                <w:lang w:eastAsia="en-GB"/>
              </w:rPr>
            </w:pPr>
            <w:r>
              <w:rPr>
                <w:rFonts w:ascii="Microsoft Himalaya" w:hAnsi="Microsoft Himalaya" w:cs="Microsoft Himalaya"/>
                <w:b/>
                <w:bCs/>
                <w:noProof/>
                <w:color w:val="000000"/>
                <w:lang w:eastAsia="en-GB"/>
              </w:rPr>
              <w:t>13.   Unemployment benefits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The unemployed have the right to adequate activation support from public employment services to (re)integrate in the labour market and adequate unemployment benefits of reasonable duration, in line with their contributions and national eligibility rules. Such benefits shall not constitute a disincentive for a quick return to employment.</w:t>
            </w:r>
          </w:p>
        </w:tc>
      </w:tr>
      <w:tr>
        <w:tc>
          <w:tcPr>
            <w:tcW w:w="889" w:type="dxa"/>
          </w:tcPr>
          <w:p>
            <w:pPr>
              <w:jc w:val="center"/>
              <w:rPr>
                <w:noProof/>
              </w:rPr>
            </w:pPr>
            <w:r>
              <w:rPr>
                <w:noProof/>
                <w:lang w:eastAsia="en-GB"/>
              </w:rPr>
              <w:drawing>
                <wp:inline distT="0" distB="0" distL="0" distR="0">
                  <wp:extent cx="366987" cy="3260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987" cy="326004"/>
                          </a:xfrm>
                          <a:prstGeom prst="rect">
                            <a:avLst/>
                          </a:prstGeom>
                        </pic:spPr>
                      </pic:pic>
                    </a:graphicData>
                  </a:graphic>
                </wp:inline>
              </w:drawing>
            </w:r>
          </w:p>
        </w:tc>
        <w:tc>
          <w:tcPr>
            <w:tcW w:w="8121" w:type="dxa"/>
          </w:tcPr>
          <w:p>
            <w:pPr>
              <w:spacing w:after="0"/>
              <w:jc w:val="left"/>
              <w:rPr>
                <w:rFonts w:ascii="Microsoft Himalaya" w:hAnsi="Microsoft Himalaya" w:cs="Microsoft Himalaya"/>
                <w:i/>
                <w:noProof/>
                <w:color w:val="000000"/>
                <w:lang w:eastAsia="en-GB"/>
              </w:rPr>
            </w:pPr>
            <w:r>
              <w:rPr>
                <w:rFonts w:ascii="Microsoft Himalaya" w:hAnsi="Microsoft Himalaya" w:cs="Microsoft Himalaya"/>
                <w:b/>
                <w:bCs/>
                <w:noProof/>
                <w:color w:val="000000"/>
                <w:lang w:eastAsia="en-GB"/>
              </w:rPr>
              <w:t>14.   Minimum income</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Everyone lacking sufficient resources has the right to adequate minimum income benefits ensuring a life in dignity at all stages of life, and effective access to enabling goods and services. For those who can work, minimum income benefits should be combined with incentives to (re)integrate into the labour market.</w:t>
            </w:r>
          </w:p>
        </w:tc>
      </w:tr>
      <w:tr>
        <w:tc>
          <w:tcPr>
            <w:tcW w:w="889" w:type="dxa"/>
          </w:tcPr>
          <w:p>
            <w:pPr>
              <w:jc w:val="center"/>
              <w:rPr>
                <w:noProof/>
              </w:rPr>
            </w:pPr>
            <w:r>
              <w:rPr>
                <w:noProof/>
                <w:lang w:eastAsia="en-GB"/>
              </w:rPr>
              <w:drawing>
                <wp:inline distT="0" distB="0" distL="0" distR="0">
                  <wp:extent cx="359410" cy="33337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410" cy="333375"/>
                          </a:xfrm>
                          <a:prstGeom prst="rect">
                            <a:avLst/>
                          </a:prstGeom>
                        </pic:spPr>
                      </pic:pic>
                    </a:graphicData>
                  </a:graphic>
                </wp:inline>
              </w:drawing>
            </w:r>
          </w:p>
        </w:tc>
        <w:tc>
          <w:tcPr>
            <w:tcW w:w="8121" w:type="dxa"/>
          </w:tcPr>
          <w:p>
            <w:pPr>
              <w:spacing w:after="0"/>
              <w:jc w:val="left"/>
              <w:rPr>
                <w:rFonts w:ascii="Microsoft Himalaya" w:hAnsi="Microsoft Himalaya" w:cs="Microsoft Himalaya"/>
                <w:b/>
                <w:bCs/>
                <w:noProof/>
                <w:color w:val="000000"/>
                <w:lang w:eastAsia="en-GB"/>
              </w:rPr>
            </w:pPr>
            <w:r>
              <w:rPr>
                <w:rFonts w:ascii="Microsoft Himalaya" w:hAnsi="Microsoft Himalaya" w:cs="Microsoft Himalaya"/>
                <w:b/>
                <w:bCs/>
                <w:noProof/>
                <w:color w:val="000000"/>
                <w:lang w:eastAsia="en-GB"/>
              </w:rPr>
              <w:t>15.   Old-age income and pensions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Workers and the self-employed in retirement have the right to a pension commensurate to their contributions and ensuring an adequate income. Women and men shall have equal opportunities to acquire pension rights.</w:t>
            </w:r>
            <w:r>
              <w:rPr>
                <w:rFonts w:ascii="Microsoft Himalaya" w:hAnsi="Microsoft Himalaya" w:cs="Microsoft Himalaya"/>
                <w:i/>
                <w:noProof/>
                <w:color w:val="000000"/>
                <w:lang w:eastAsia="en-GB"/>
              </w:rPr>
              <w:br/>
              <w:t>b. Everyone in old age has the right to resources that ensure living in dignity.</w:t>
            </w:r>
          </w:p>
        </w:tc>
      </w:tr>
      <w:t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57505" cy="31051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505" cy="310515"/>
                          </a:xfrm>
                          <a:prstGeom prst="rect">
                            <a:avLst/>
                          </a:prstGeom>
                        </pic:spPr>
                      </pic:pic>
                    </a:graphicData>
                  </a:graphic>
                </wp:inline>
              </w:drawing>
            </w:r>
          </w:p>
        </w:tc>
        <w:tc>
          <w:tcPr>
            <w:tcW w:w="8121" w:type="dxa"/>
          </w:tcPr>
          <w:p>
            <w:pPr>
              <w:spacing w:after="0"/>
              <w:rPr>
                <w:noProof/>
              </w:rPr>
            </w:pPr>
            <w:r>
              <w:rPr>
                <w:rFonts w:ascii="Microsoft Himalaya" w:hAnsi="Microsoft Himalaya" w:cs="Microsoft Himalaya"/>
                <w:b/>
                <w:bCs/>
                <w:noProof/>
                <w:color w:val="000000"/>
                <w:lang w:eastAsia="en-GB"/>
              </w:rPr>
              <w:t>16.   Healthcare</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Everyone has the right to timely access to affordable, preventive and curative healthcare of good quality.</w:t>
            </w:r>
          </w:p>
        </w:tc>
      </w:tr>
      <w:tr>
        <w:tc>
          <w:tcPr>
            <w:tcW w:w="889" w:type="dxa"/>
          </w:tcPr>
          <w:p>
            <w:pPr>
              <w:jc w:val="center"/>
              <w:rPr>
                <w:noProof/>
              </w:rPr>
            </w:pPr>
            <w:r>
              <w:rPr>
                <w:noProof/>
                <w:lang w:eastAsia="en-GB"/>
              </w:rPr>
              <w:drawing>
                <wp:inline distT="0" distB="0" distL="0" distR="0">
                  <wp:extent cx="337820" cy="303530"/>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7820" cy="303530"/>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17.   Inclusion of people with disabilities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People with disabilities have the right to income support that ensures living in dignity, services that enable them to participate in the labour market and in society, and a work environment adapted to their needs.</w:t>
            </w:r>
          </w:p>
        </w:tc>
      </w:tr>
      <w:tr>
        <w:trPr>
          <w:trHeight w:val="682"/>
        </w:trP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326004" cy="313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004" cy="313465"/>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18.   Long-term care</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Everyone has the right to affordable long-term care services of good quality, in particular home-care and community-based services.</w:t>
            </w:r>
          </w:p>
        </w:tc>
      </w:tr>
      <w:tr>
        <w:tc>
          <w:tcPr>
            <w:tcW w:w="889" w:type="dxa"/>
          </w:tcPr>
          <w:p>
            <w:pPr>
              <w:jc w:val="center"/>
              <w:rPr>
                <w:noProof/>
              </w:rPr>
            </w:pPr>
            <w:r>
              <w:rPr>
                <w:noProof/>
                <w:lang w:eastAsia="en-GB"/>
              </w:rPr>
              <w:drawing>
                <wp:inline distT="0" distB="0" distL="0" distR="0">
                  <wp:extent cx="393065" cy="29019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3065" cy="290195"/>
                          </a:xfrm>
                          <a:prstGeom prst="rect">
                            <a:avLst/>
                          </a:prstGeom>
                        </pic:spPr>
                      </pic:pic>
                    </a:graphicData>
                  </a:graphic>
                </wp:inline>
              </w:drawing>
            </w:r>
          </w:p>
        </w:tc>
        <w:tc>
          <w:tcPr>
            <w:tcW w:w="8121" w:type="dxa"/>
          </w:tcPr>
          <w:p>
            <w:pPr>
              <w:spacing w:after="0"/>
              <w:jc w:val="left"/>
              <w:rPr>
                <w:noProof/>
              </w:rPr>
            </w:pPr>
            <w:r>
              <w:rPr>
                <w:rFonts w:ascii="Microsoft Himalaya" w:hAnsi="Microsoft Himalaya" w:cs="Microsoft Himalaya"/>
                <w:b/>
                <w:bCs/>
                <w:noProof/>
                <w:color w:val="000000"/>
                <w:lang w:eastAsia="en-GB"/>
              </w:rPr>
              <w:t>19.   Housing and assistance for the homeless</w:t>
            </w:r>
            <w:r>
              <w:rPr>
                <w:rFonts w:ascii="Microsoft Himalaya" w:hAnsi="Microsoft Himalaya" w:cs="Microsoft Himalaya"/>
                <w:b/>
                <w:bCs/>
                <w:noProof/>
                <w:color w:val="000000"/>
                <w:lang w:eastAsia="en-GB"/>
              </w:rPr>
              <w:br/>
            </w:r>
            <w:r>
              <w:rPr>
                <w:rFonts w:ascii="Microsoft Himalaya" w:hAnsi="Microsoft Himalaya" w:cs="Microsoft Himalaya"/>
                <w:i/>
                <w:noProof/>
                <w:color w:val="000000"/>
                <w:lang w:eastAsia="en-GB"/>
              </w:rPr>
              <w:t>a. Access to social housing or housing assistance of good quality shall be provided for those in need.</w:t>
            </w:r>
            <w:r>
              <w:rPr>
                <w:rFonts w:ascii="Microsoft Himalaya" w:hAnsi="Microsoft Himalaya" w:cs="Microsoft Himalaya"/>
                <w:i/>
                <w:noProof/>
                <w:color w:val="000000"/>
                <w:lang w:eastAsia="en-GB"/>
              </w:rPr>
              <w:br/>
              <w:t>b. Vulnerable people have the right to appropriate assistance and protection against forced eviction.</w:t>
            </w:r>
            <w:r>
              <w:rPr>
                <w:rFonts w:ascii="Microsoft Himalaya" w:hAnsi="Microsoft Himalaya" w:cs="Microsoft Himalaya"/>
                <w:i/>
                <w:noProof/>
                <w:color w:val="000000"/>
                <w:lang w:eastAsia="en-GB"/>
              </w:rPr>
              <w:br/>
              <w:t>c. Adequate shelter and services shall be provided to the homeless in order to promote their social inclusion.</w:t>
            </w:r>
          </w:p>
        </w:tc>
      </w:tr>
      <w:tr>
        <w:tc>
          <w:tcPr>
            <w:tcW w:w="889" w:type="dxa"/>
          </w:tcPr>
          <w:p>
            <w:pPr>
              <w:jc w:val="center"/>
              <w:rPr>
                <w:noProof/>
              </w:rPr>
            </w:pPr>
            <w:r>
              <w:rPr>
                <w:rFonts w:asciiTheme="minorHAnsi" w:eastAsiaTheme="minorHAnsi" w:hAnsiTheme="minorHAnsi" w:cstheme="minorBidi"/>
                <w:noProof/>
                <w:sz w:val="22"/>
                <w:szCs w:val="22"/>
                <w:lang w:eastAsia="en-GB"/>
              </w:rPr>
              <w:drawing>
                <wp:inline distT="0" distB="0" distL="0" distR="0">
                  <wp:extent cx="297815" cy="339725"/>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815" cy="339725"/>
                          </a:xfrm>
                          <a:prstGeom prst="rect">
                            <a:avLst/>
                          </a:prstGeom>
                        </pic:spPr>
                      </pic:pic>
                    </a:graphicData>
                  </a:graphic>
                </wp:inline>
              </w:drawing>
            </w:r>
          </w:p>
        </w:tc>
        <w:tc>
          <w:tcPr>
            <w:tcW w:w="8121" w:type="dxa"/>
          </w:tcPr>
          <w:p>
            <w:pPr>
              <w:spacing w:after="0"/>
              <w:rPr>
                <w:rFonts w:ascii="Microsoft Himalaya" w:hAnsi="Microsoft Himalaya" w:cs="Microsoft Himalaya"/>
                <w:b/>
                <w:bCs/>
                <w:noProof/>
                <w:color w:val="000000"/>
                <w:lang w:eastAsia="en-GB"/>
              </w:rPr>
            </w:pPr>
            <w:r>
              <w:rPr>
                <w:rFonts w:ascii="Microsoft Himalaya" w:hAnsi="Microsoft Himalaya" w:cs="Microsoft Himalaya"/>
                <w:b/>
                <w:bCs/>
                <w:noProof/>
                <w:color w:val="000000"/>
                <w:lang w:eastAsia="en-GB"/>
              </w:rPr>
              <w:t>20.   Access to essential services</w:t>
            </w:r>
          </w:p>
          <w:p>
            <w:pPr>
              <w:spacing w:after="0"/>
              <w:rPr>
                <w:noProof/>
              </w:rPr>
            </w:pPr>
            <w:r>
              <w:rPr>
                <w:rFonts w:ascii="Microsoft Himalaya" w:hAnsi="Microsoft Himalaya" w:cs="Microsoft Himalaya"/>
                <w:i/>
                <w:noProof/>
                <w:color w:val="000000"/>
                <w:lang w:eastAsia="en-GB"/>
              </w:rPr>
              <w:t>Everyone has the right to access essential services of good quality, including water, sanitation, energy, transport, financial services and digital communications. Support for access to such services shall be available for those in need.</w:t>
            </w:r>
          </w:p>
        </w:tc>
      </w:tr>
    </w:tbl>
    <w:p>
      <w:pPr>
        <w:rPr>
          <w:noProof/>
        </w:rPr>
      </w:pPr>
    </w:p>
    <w:sectPr>
      <w:headerReference w:type="even" r:id="rId36"/>
      <w:headerReference w:type="default" r:id="rId37"/>
      <w:footerReference w:type="even" r:id="rId38"/>
      <w:footerReference w:type="default" r:id="rId39"/>
      <w:headerReference w:type="first" r:id="rId40"/>
      <w:footerReference w:type="first" r:id="rId41"/>
      <w:pgSz w:w="11900" w:h="16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614291561"/>
      <w:docPartObj>
        <w:docPartGallery w:val="Page Numbers (Bottom of Page)"/>
        <w:docPartUnique/>
      </w:docPartObj>
    </w:sdtPr>
    <w:sdtEndPr>
      <w:rPr>
        <w:noProof/>
      </w:rPr>
    </w:sdtEndPr>
    <w:sdtContent>
      <w:p>
        <w:pPr>
          <w:pStyle w:val="Footer"/>
          <w:jc w:val="center"/>
          <w:rPr>
            <w:sz w:val="20"/>
          </w:rPr>
        </w:pPr>
        <w:r>
          <w:rPr>
            <w:sz w:val="20"/>
          </w:rPr>
          <w:fldChar w:fldCharType="begin"/>
        </w:r>
        <w:r>
          <w:rPr>
            <w:sz w:val="20"/>
          </w:rPr>
          <w:instrText xml:space="preserve"> PAGE   \* MERGEFORMAT </w:instrText>
        </w:r>
        <w:r>
          <w:rPr>
            <w:sz w:val="20"/>
          </w:rPr>
          <w:fldChar w:fldCharType="separate"/>
        </w:r>
        <w:r>
          <w:rPr>
            <w:noProof/>
            <w:sz w:val="20"/>
          </w:rPr>
          <w:t>1</w:t>
        </w:r>
        <w:r>
          <w:rPr>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o the "/>
    <w:docVar w:name="LW_ANNEX_NBR_FIRST" w:val="1"/>
    <w:docVar w:name="LW_ANNEX_NBR_LAST" w:val="3"/>
    <w:docVar w:name="LW_ANNEX_UNIQUE" w:val="0"/>
    <w:docVar w:name="LW_CORRIGENDUM" w:val="&lt;UNUSED&gt;"/>
    <w:docVar w:name="LW_COVERPAGE_EXISTS" w:val="True"/>
    <w:docVar w:name="LW_COVERPAGE_GUID" w:val="B14850F1-3D24-4163-BF1B-9D8F34D08D83"/>
    <w:docVar w:name="LW_COVERPAGE_TYPE" w:val="1"/>
    <w:docVar w:name="LW_CROSSREFERENCE" w:val="{SWD(2021) 46 final}"/>
    <w:docVar w:name="LW_DocType" w:val="NORMAL"/>
    <w:docVar w:name="LW_EMISSION" w:val="4.3.2021"/>
    <w:docVar w:name="LW_EMISSION_ISODATE" w:val="2021-03-04"/>
    <w:docVar w:name="LW_EMISSION_LOCATION" w:val="BRX"/>
    <w:docVar w:name="LW_EMISSION_PREFIX" w:val="Brussels, "/>
    <w:docVar w:name="LW_EMISSION_SUFFIX" w:val=" "/>
    <w:docVar w:name="LW_ID_DOCTYPE_NONLW" w:val="CP-039"/>
    <w:docVar w:name="LW_LANGUE" w:val="EN"/>
    <w:docVar w:name="LW_LEVEL_OF_SENSITIVITY" w:val="Standard treatment"/>
    <w:docVar w:name="LW_NOM.INST" w:val="EUROPEAN COMMISSION"/>
    <w:docVar w:name="LW_NOM.INST_JOINTDOC" w:val="&lt;EMPTY&gt;"/>
    <w:docVar w:name="LW_OBJETACTEPRINCIPAL.CP" w:val="&lt;FMT:Bold&gt;The European Pillar of Social Rights Action Plan &lt;/FMT&gt;"/>
    <w:docVar w:name="LW_PART_NBR" w:val="&lt;UNUSED&gt;"/>
    <w:docVar w:name="LW_PART_NBR_TOTAL" w:val="&lt;UNUSED&gt;"/>
    <w:docVar w:name="LW_REF.INST.NEW" w:val="COM"/>
    <w:docVar w:name="LW_REF.INST.NEW_ADOPTED" w:val="final"/>
    <w:docVar w:name="LW_REF.INST.NEW_TEXT" w:val="(2021) 10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ES_x000b_"/>
    <w:docVar w:name="LW_TYPEACTEPRINCIPAL.CP" w:val="COMMUNICATION FROM THE COMMISSION TO THE EUROPEAN PARLIAMENT, THE COUNCIL, THE EUROPEAN ECONOMIC AND SOCIAL COMMITTEE AND THE COMMITTEE OF THE REGIONS_x000b_"/>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9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jc w:val="both"/>
    </w:pPr>
    <w:rPr>
      <w:rFonts w:ascii="Times New Roman" w:eastAsia="Times New Roman" w:hAnsi="Times New Roman" w:cs="Times New Roman"/>
      <w:szCs w:val="20"/>
      <w:lang w:val="en-GB"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styleId="CommentReference">
    <w:name w:val="annotation reference"/>
    <w:aliases w:val="Footnote Text Char2,Footnote Text Char1 Char"/>
    <w:basedOn w:val="DefaultParagraphFont"/>
    <w:uiPriority w:val="99"/>
    <w:semiHidden/>
    <w:rPr>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Cs w:val="20"/>
      <w:lang w:val="en-GB" w:eastAsia="fr-BE"/>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Cs w:val="20"/>
      <w:lang w:val="en-GB" w:eastAsia="fr-B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lang w:val="en-GB" w:eastAsia="fr-B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0"/>
      <w:lang w:val="en-GB" w:eastAsia="fr-B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GB" w:eastAsia="fr-B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eastAsia="fr-BE"/>
    </w:rPr>
  </w:style>
  <w:style w:type="paragraph" w:styleId="Revision">
    <w:name w:val="Revision"/>
    <w:hidden/>
    <w:uiPriority w:val="99"/>
    <w:semiHidden/>
    <w:rPr>
      <w:rFonts w:ascii="Times New Roman" w:eastAsia="Times New Roman" w:hAnsi="Times New Roman" w:cs="Times New Roman"/>
      <w:szCs w:val="20"/>
      <w:lang w:val="en-GB" w:eastAsia="fr-B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9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jc w:val="both"/>
    </w:pPr>
    <w:rPr>
      <w:rFonts w:ascii="Times New Roman" w:eastAsia="Times New Roman" w:hAnsi="Times New Roman" w:cs="Times New Roman"/>
      <w:szCs w:val="20"/>
      <w:lang w:val="en-GB" w:eastAsia="fr-B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styleId="CommentReference">
    <w:name w:val="annotation reference"/>
    <w:aliases w:val="Footnote Text Char2,Footnote Text Char1 Char"/>
    <w:basedOn w:val="DefaultParagraphFont"/>
    <w:uiPriority w:val="99"/>
    <w:semiHidden/>
    <w:rPr>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Cs w:val="20"/>
      <w:lang w:val="en-GB" w:eastAsia="fr-BE"/>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Cs w:val="20"/>
      <w:lang w:val="en-GB" w:eastAsia="fr-B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0"/>
      <w:lang w:val="en-GB" w:eastAsia="fr-B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0"/>
      <w:lang w:val="en-GB" w:eastAsia="fr-B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GB" w:eastAsia="fr-B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eastAsia="fr-BE"/>
    </w:rPr>
  </w:style>
  <w:style w:type="paragraph" w:styleId="Revision">
    <w:name w:val="Revision"/>
    <w:hidden/>
    <w:uiPriority w:val="99"/>
    <w:semiHidden/>
    <w:rPr>
      <w:rFonts w:ascii="Times New Roman" w:eastAsia="Times New Roman" w:hAnsi="Times New Roman" w:cs="Times New Roman"/>
      <w:szCs w:val="20"/>
      <w:lang w:val="en-GB" w:eastAsia="fr-B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A5978E-7626-42D6-AB11-5DEB4E642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1634</Words>
  <Characters>9401</Characters>
  <Application>Microsoft Office Word</Application>
  <DocSecurity>0</DocSecurity>
  <Lines>247</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Tchorzewska</dc:creator>
  <cp:keywords/>
  <dc:description/>
  <cp:lastModifiedBy>WES PDFC Administrator</cp:lastModifiedBy>
  <cp:revision>14</cp:revision>
  <dcterms:created xsi:type="dcterms:W3CDTF">2021-03-02T16:43:00Z</dcterms:created>
  <dcterms:modified xsi:type="dcterms:W3CDTF">2021-03-03T16:04:00Z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3</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7.0.1, Build 20190916</vt:lpwstr>
  </property>
  <property fmtid="{D5CDD505-2E9C-101B-9397-08002B2CF9AE}" pid="11" name="Created using">
    <vt:lpwstr>LW 7.0.1, Build 20190916</vt:lpwstr>
  </property>
</Properties>
</file>