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C1EE4B-C289-4DBD-B14E-14D6DEC8D144" style="width:450.8pt;height:365.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rPr>
      </w:pPr>
      <w:r>
        <w:rPr>
          <w:noProof/>
        </w:rPr>
        <w:t>Le Conseil, sur la base de la recommandation de la Commission européenne, a autorisé la Commission européenne à négocier, au nom de l’Union européenne, un nouvel accord entre l’Union européenne, d’une part, et le gouvernement du Groenland et le gouvernement du Danemark, d’autre part, ainsi qu’un protocole fixant les possibilités de pêche et la contrepartie financière. À l'issue de ces négociations, un accord et un protocole ont été paraphés par les négociateurs le 11 janvier 2021. Le nouvel accord abroge et remplace l’accord existant, entré en vigueur le 28 juin 2007</w:t>
      </w:r>
      <w:r>
        <w:rPr>
          <w:rStyle w:val="FootnoteReference"/>
          <w:noProof/>
        </w:rPr>
        <w:footnoteReference w:id="1"/>
      </w:r>
      <w:r>
        <w:rPr>
          <w:noProof/>
        </w:rPr>
        <w:t xml:space="preserve">; il couvre une période de six ans (2021-2026) à compter de la date de son application provisoire et est renouvelable par tacite reconduction. Le nouveau protocole couvre une période de quatre ans (2021-2024) à compter de la date d’application provisoire prévue à l’article 15, cette date correspondant à celle de la signature du protocole par les parties, et peut être prorogé de deux ans si les parties en décident ainsi.  </w:t>
      </w:r>
    </w:p>
    <w:p>
      <w:pPr>
        <w:rPr>
          <w:rFonts w:eastAsia="Calibri"/>
          <w:noProof/>
        </w:rPr>
      </w:pPr>
      <w:r>
        <w:rPr>
          <w:noProof/>
        </w:rPr>
        <w:t>La présente proposition vise à permettre au Conseil d’autoriser la signature et l’application provisoire de l’accord de partenariat dans le domaine de la pêche durable et de son protocole de mise en œuvre.</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rPr>
          <w:noProof/>
        </w:rPr>
      </w:pPr>
      <w:r>
        <w:rPr>
          <w:noProof/>
        </w:rPr>
        <w:t>L’accord actuel de partenariat dans le secteur de la pêche (APP) entre l’Union européenne et les gouvernements du Danemark et du Groenland</w:t>
      </w:r>
      <w:r>
        <w:rPr>
          <w:rStyle w:val="FootnoteReference"/>
          <w:noProof/>
        </w:rPr>
        <w:footnoteReference w:id="2"/>
      </w:r>
      <w:r>
        <w:rPr>
          <w:noProof/>
        </w:rPr>
        <w:t xml:space="preserve"> a été signé le 28 juin 2007 et est entré en vigueur le 2 novembre 2007 pour une durée de six ans. L’accord est tacitement renouvelé tous les six ans, la dernière prorogation ayant eu lieu le 1</w:t>
      </w:r>
      <w:r>
        <w:rPr>
          <w:noProof/>
          <w:vertAlign w:val="superscript"/>
        </w:rPr>
        <w:t>er</w:t>
      </w:r>
      <w:r>
        <w:rPr>
          <w:noProof/>
        </w:rPr>
        <w:t xml:space="preserve"> janvier 2019. Sur cette base, l’actuel protocole à l’APP d’une durée de cinq ans</w:t>
      </w:r>
      <w:r>
        <w:rPr>
          <w:rStyle w:val="FootnoteReference"/>
          <w:noProof/>
        </w:rPr>
        <w:footnoteReference w:id="3"/>
      </w:r>
      <w:r>
        <w:rPr>
          <w:noProof/>
        </w:rPr>
        <w:t xml:space="preserve"> est entré en application le 1</w:t>
      </w:r>
      <w:r>
        <w:rPr>
          <w:noProof/>
          <w:vertAlign w:val="superscript"/>
        </w:rPr>
        <w:t>er</w:t>
      </w:r>
      <w:r>
        <w:rPr>
          <w:noProof/>
        </w:rPr>
        <w:t xml:space="preserve"> janvier 2016</w:t>
      </w:r>
      <w:r>
        <w:rPr>
          <w:rStyle w:val="FootnoteReference"/>
          <w:noProof/>
        </w:rPr>
        <w:footnoteReference w:id="4"/>
      </w:r>
      <w:r>
        <w:rPr>
          <w:noProof/>
        </w:rPr>
        <w:t xml:space="preserve"> (et est arrivé à expiration le 31 décembre 2020); celui-ci établit les possibilités de pêche pour la flotte de l’Union et la contrepartie financière correspondante que l’Union et les armateurs de l’UE doivent verser.</w:t>
      </w:r>
    </w:p>
    <w:p>
      <w:pPr>
        <w:rPr>
          <w:noProof/>
        </w:rPr>
      </w:pPr>
      <w:r>
        <w:rPr>
          <w:noProof/>
        </w:rPr>
        <w:t>Le nouvel APPD et son protocole de mise en œuvre visent à réaliser les priorités de la politique commune de la pêche réformée</w:t>
      </w:r>
      <w:r>
        <w:rPr>
          <w:rStyle w:val="FootnoteReference"/>
          <w:noProof/>
        </w:rPr>
        <w:footnoteReference w:id="5"/>
      </w:r>
      <w:r>
        <w:rPr>
          <w:noProof/>
        </w:rPr>
        <w:t xml:space="preserve"> et de sa dimension externe</w:t>
      </w:r>
      <w:r>
        <w:rPr>
          <w:rStyle w:val="FootnoteReference"/>
          <w:noProof/>
        </w:rPr>
        <w:footnoteReference w:id="6"/>
      </w:r>
      <w:r>
        <w:rPr>
          <w:noProof/>
        </w:rPr>
        <w:t>, en vue de poursuivre et de renforcer le partenariat stratégique entre l'Union européenne et les gouvernements du Groenland et du Danemark dans le domaine de la pêche.</w:t>
      </w:r>
    </w:p>
    <w:p>
      <w:pPr>
        <w:rPr>
          <w:noProof/>
          <w:szCs w:val="24"/>
        </w:rPr>
      </w:pPr>
      <w:r>
        <w:rPr>
          <w:noProof/>
        </w:rPr>
        <w:t xml:space="preserve">Le protocole a pour but d’accorder des possibilités de pêche aux navires de l’Union dans les eaux groenlandaises, sur la base des meilleurs avis scientifiques disponibles et dans le respect des recommandations du Conseil international pour l’exploration de la mer (CIEM), de l’Organisation des pêches de l’Atlantique du Nord-Ouest (OPANO) et de la Commission des pêches de l’Atlantique du Nord-Est (CPANE). La Commission a fondé sa position en partie sur les résultats d’une évaluation des précédents accord et protocole et d’une évaluation prospective de l’opportunité de conclure un nouvel accord et un nouveau protocole. Le protocole permet également à l’Union européenne et au Groenland de collaborer plus </w:t>
      </w:r>
      <w:r>
        <w:rPr>
          <w:noProof/>
        </w:rPr>
        <w:lastRenderedPageBreak/>
        <w:t xml:space="preserve">étroitement afin de promouvoir l’exploitation responsable des ressources halieutiques dans les eaux groenlandaises et de soutenir les efforts du gouvernement du Groenland visant à développer le secteur de la pêche, dans l’intérêt des deux parties. </w:t>
      </w:r>
    </w:p>
    <w:p>
      <w:pPr>
        <w:rPr>
          <w:noProof/>
          <w:szCs w:val="24"/>
        </w:rPr>
      </w:pPr>
      <w:r>
        <w:rPr>
          <w:noProof/>
        </w:rPr>
        <w:t xml:space="preserve">Les espèces relevant du nouveau protocole sont le cabillaud, le sébaste pélagique, le sébaste démersal, le flétan noir commun, la crevette nordique, le grenadier, le capelan et le maquereau commun. Le nouveau protocole prévoit des possibilités de pêche pour 12 navires. Six États membres de l’UE ont un intérêt direct en matière de pêche dans le nouveau protocole, à savoir le Danemark, la France, l’Allemagne, la Pologne, la Lituanie et la Suède et, dans une moindre mesure, l’Espagne et le Portugal. </w:t>
      </w:r>
    </w:p>
    <w:p>
      <w:pPr>
        <w:rPr>
          <w:noProof/>
          <w:szCs w:val="24"/>
        </w:rPr>
      </w:pPr>
      <w:r>
        <w:rPr>
          <w:noProof/>
        </w:rPr>
        <w:t>En contrepartie, le budget de l’UE allouera une compensation financière annuelle au Groenland de 16 521 754 EUR, dont 2 931 000 EUR sont destinés à soutenir la politique de la pêche du Groenland.</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négociation d'un nouvel accord de partenariat dans le domaine de la pêche durable et de son protocole de mise en œuvre s'inscrit dans le cadre de l'action extérieure de l'Union envers les pays et territoires d’outre-mer (PTOM).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keepNext/>
        <w:rPr>
          <w:noProof/>
        </w:rPr>
      </w:pPr>
      <w:r>
        <w:rPr>
          <w:noProof/>
        </w:rPr>
        <w:t xml:space="preserve">La base juridique est l'article 43, paragraphe 2, du traité sur le fonctionnement de l'Union européenne, qui établit la politique commune de la pêche, ainsi que l’article 218, paragraphe 6, point a) v), et l’article 218, paragraphe 7, du TFUE qui concernent la conclusion d'accords entre l'Union et les pays tiers et la possibilité d’autoriser le négociateur à approuver, au nom de l’Union, des modifications de l’accord adoptées selon une procédure simplifiée ou par un organe créé par l’accord. </w:t>
      </w:r>
    </w:p>
    <w:p>
      <w:pPr>
        <w:pStyle w:val="ManualHeading2"/>
        <w:rPr>
          <w:noProof/>
          <w:u w:color="000000"/>
          <w:bdr w:val="nil"/>
        </w:rPr>
      </w:pPr>
      <w:r>
        <w:rPr>
          <w:noProof/>
        </w:rPr>
        <w:t xml:space="preserve"> </w:t>
      </w: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proportionnée à l'objectif d'établir un cadre de gouvernance juridique, environnementale, économique et sociale pour les activités de pêche menées par les navires de l'Union dans les eaux de pays tiers, conformément à l'article 31 du règlement établissant la politique commune de la pêche. Elle est conforme à ces dispositions ainsi qu’à celles relatives à l’aide financière aux pays tiers prévues à l’article 32 de ce même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spacing w:before="0" w:after="240"/>
        <w:rPr>
          <w:rFonts w:eastAsia="Arial Unicode MS"/>
          <w:noProof/>
        </w:rPr>
      </w:pPr>
      <w:r>
        <w:rPr>
          <w:noProof/>
        </w:rPr>
        <w:t xml:space="preserve">L’évaluation ex post a été réalisée au cours de la période comprise entre les mois d’avril et d’août 2019. Les parties intéressées ont été consultées lors de l’évaluation ex post du protocole pour la période 2016-2020. Les experts des États membres ont aussi été consultés lors de réunions techniques. Ces consultations ont conclu à l'intérêt de reconduire le protocole avec les gouvernements du Groenland et du Danemark.  Les principales raisons pour lesquelles il a été jugé bénéfique de renouveler le protocole sont, d’une part, le fait que l’APP et le protocole sont particulièrement adaptés aux besoins de l’UE en ce qui concerne l’accès </w:t>
      </w:r>
      <w:r>
        <w:rPr>
          <w:noProof/>
        </w:rPr>
        <w:lastRenderedPageBreak/>
        <w:t>de la flotte de l’UE et le soutien en faveur de la collaboration scientifique et de l’exploitation durable et, d’autre part, le fait que l’accord présente un intérêt pour le gouvernement du Groenland pour ce qui est de la coopération avec l’UE.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Les États membres, des représentants du secteur, des organisations internationales de la société civile ainsi que l'administration des pêches et des représentants de la société civile du Groenland ont été consultés dans le cadre de l'évaluation. Des consultations ont également eu lieu dans le cadre du Conseil consultatif pour la pêche lointaine.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spacing w:before="0" w:after="240"/>
        <w:rPr>
          <w:noProof/>
        </w:rPr>
      </w:pPr>
      <w:r>
        <w:rPr>
          <w:noProof/>
        </w:rPr>
        <w:t xml:space="preserve">La Commission a fait appel à un consultant indépendant pour les évaluations ex post et ex ante réalisées conformément aux dispositions de l'article 31, paragraphe 10, du règlement établissant la politique commune de la pêche. </w:t>
      </w:r>
    </w:p>
    <w:p>
      <w:pPr>
        <w:pStyle w:val="ManualHeading1"/>
        <w:rPr>
          <w:noProof/>
        </w:rPr>
      </w:pPr>
      <w:r>
        <w:rPr>
          <w:noProof/>
        </w:rPr>
        <w:t>4.</w:t>
      </w:r>
      <w:r>
        <w:rPr>
          <w:noProof/>
        </w:rPr>
        <w:tab/>
        <w:t>INCIDENCE BUDGÉTAIRE</w:t>
      </w:r>
    </w:p>
    <w:p>
      <w:pPr>
        <w:rPr>
          <w:noProof/>
        </w:rPr>
      </w:pPr>
      <w:r>
        <w:rPr>
          <w:noProof/>
        </w:rPr>
        <w:t>La contrepartie financière annuelle de l’Union européenne s’élève à 16 521 754 EUR, sur la base:</w:t>
      </w:r>
    </w:p>
    <w:p>
      <w:pPr>
        <w:rPr>
          <w:noProof/>
        </w:rPr>
      </w:pPr>
      <w:r>
        <w:rPr>
          <w:noProof/>
        </w:rPr>
        <w:t>a) d’un montant annuel pour l’accès aux ressources halieutiques, pour les catégories prévues dans le protocole, fixé à 13 590 754 EUR pour la durée du protocole;</w:t>
      </w:r>
    </w:p>
    <w:p>
      <w:pPr>
        <w:rPr>
          <w:noProof/>
        </w:rPr>
      </w:pPr>
      <w:r>
        <w:rPr>
          <w:noProof/>
        </w:rPr>
        <w:t>b) d’un appui au développement de la politique sectorielle de la pêche du Groenland pour un montant annuel de 2 931 000 EUR pour la durée du protocole. Cet appui répond aux objectifs de la politique nationale du Groenland en matière de gestion durable des ressources halieutiques pour toute la durée du protocole.</w:t>
      </w:r>
    </w:p>
    <w:p>
      <w:pPr>
        <w:rPr>
          <w:noProof/>
        </w:rPr>
      </w:pPr>
      <w:r>
        <w:rPr>
          <w:noProof/>
        </w:rPr>
        <w:t>Le montant annuel pour les crédits d'engagement et de paiement est établi lors de la procédure budgétaire annuelle, y compris pour la ligne de la réserve pour les protocoles n'étant pas encore entrés en vigueur au début de l'année</w:t>
      </w:r>
      <w:r>
        <w:rPr>
          <w:rStyle w:val="FootnoteReference"/>
          <w:noProof/>
        </w:rPr>
        <w:footnoteReference w:id="7"/>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spacing w:before="0" w:after="240"/>
        <w:rPr>
          <w:rFonts w:eastAsia="Arial Unicode MS"/>
          <w:noProof/>
        </w:rPr>
      </w:pPr>
      <w:r>
        <w:rPr>
          <w:noProof/>
        </w:rPr>
        <w:t>Les modalités de suivi sont prévues dans le protocole mettant en œuvre le nouvel accord de partenariat.</w:t>
      </w:r>
    </w:p>
    <w:p>
      <w:pPr>
        <w:pStyle w:val="ManualHeading2"/>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accord de partenariat dans le domaine de la pêche durable entre l’Union européenne, d’une part, et le gouvernement du Groenland et le gouvernement du Danemark, d’autre part, ainsi que de son protocole de mise en œuvre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son article 218, paragraphe 6, point a) v), et son 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8"/>
      </w:r>
      <w:r>
        <w:rPr>
          <w:noProof/>
        </w:rPr>
        <w:t>,</w:t>
      </w:r>
    </w:p>
    <w:p>
      <w:pPr>
        <w:rPr>
          <w:noProof/>
        </w:rPr>
      </w:pPr>
      <w:r>
        <w:rPr>
          <w:noProof/>
        </w:rPr>
        <w:t>considérant ce qui suit:</w:t>
      </w:r>
    </w:p>
    <w:p>
      <w:pPr>
        <w:pStyle w:val="ManualConsidrant"/>
        <w:rPr>
          <w:noProof/>
        </w:rPr>
      </w:pPr>
      <w:r>
        <w:t>(1)</w:t>
      </w:r>
      <w:r>
        <w:tab/>
      </w:r>
      <w:r>
        <w:rPr>
          <w:noProof/>
        </w:rPr>
        <w:t>La Commission a négocié, au nom de l'Union européenne, un nouvel accord de partenariat dans le domaine de la pêche durable entre l’Union européenne, d’une part, et le gouvernement du Groenland et le gouvernement du Danemark, d’autre part, (ci-après l’«accord de partenariat») ainsi qu’un nouveau protocole de mise en œuvre de cet accord de partenariat.</w:t>
      </w:r>
    </w:p>
    <w:p>
      <w:pPr>
        <w:pStyle w:val="ManualConsidrant"/>
        <w:rPr>
          <w:noProof/>
        </w:rPr>
      </w:pPr>
      <w:r>
        <w:t>(2)</w:t>
      </w:r>
      <w:r>
        <w:tab/>
      </w:r>
      <w:r>
        <w:rPr>
          <w:noProof/>
        </w:rPr>
        <w:t>À l’issue de ces négociations, l’accord de partenariat et le protocole de mise en œuvre ont été paraphés le 11 janvier 2021.</w:t>
      </w:r>
    </w:p>
    <w:p>
      <w:pPr>
        <w:pStyle w:val="ManualConsidrant"/>
        <w:rPr>
          <w:noProof/>
        </w:rPr>
      </w:pPr>
      <w:r>
        <w:t>(3)</w:t>
      </w:r>
      <w:r>
        <w:tab/>
      </w:r>
      <w:r>
        <w:rPr>
          <w:noProof/>
        </w:rPr>
        <w:t xml:space="preserve">L’accord de partenariat abroge l’accord précédent qui a été conclu entre la Communauté européenne, d’une part, le gouvernement du Danemark et le gouvernement autonome du Groenland, d'autre part, et est entré en vigueur le 28 juin 2007. </w:t>
      </w:r>
    </w:p>
    <w:p>
      <w:pPr>
        <w:pStyle w:val="ManualConsidrant"/>
        <w:rPr>
          <w:noProof/>
        </w:rPr>
      </w:pPr>
      <w:r>
        <w:t>(4)</w:t>
      </w:r>
      <w:r>
        <w:tab/>
      </w:r>
      <w:r>
        <w:rPr>
          <w:noProof/>
        </w:rPr>
        <w:t>Conformément à la décision 2021/.../UE du Conseil</w:t>
      </w:r>
      <w:r>
        <w:rPr>
          <w:rStyle w:val="FootnoteReference"/>
          <w:noProof/>
        </w:rPr>
        <w:footnoteReference w:id="9"/>
      </w:r>
      <w:r>
        <w:rPr>
          <w:noProof/>
        </w:rPr>
        <w:t>, le nouvel accord de partenariat et le protocole de mise en œuvre ont été signés le... [</w:t>
      </w:r>
      <w:r>
        <w:rPr>
          <w:i/>
          <w:noProof/>
        </w:rPr>
        <w:t>insérer la date de la signature</w:t>
      </w:r>
      <w:r>
        <w:rPr>
          <w:noProof/>
        </w:rPr>
        <w:t>].</w:t>
      </w:r>
    </w:p>
    <w:p>
      <w:pPr>
        <w:pStyle w:val="ManualConsidrant"/>
        <w:rPr>
          <w:noProof/>
        </w:rPr>
      </w:pPr>
      <w:r>
        <w:t>(5)</w:t>
      </w:r>
      <w:r>
        <w:tab/>
      </w:r>
      <w:r>
        <w:rPr>
          <w:noProof/>
        </w:rPr>
        <w:t xml:space="preserve">L’accord de partenariat et le protocole de mise en œuvre ont été appliqués à titre provisoire à partir de la date de leur signature. </w:t>
      </w:r>
    </w:p>
    <w:p>
      <w:pPr>
        <w:pStyle w:val="ManualConsidrant"/>
        <w:rPr>
          <w:noProof/>
        </w:rPr>
      </w:pPr>
      <w:r>
        <w:t>(6)</w:t>
      </w:r>
      <w:r>
        <w:tab/>
      </w:r>
      <w:r>
        <w:rPr>
          <w:noProof/>
        </w:rPr>
        <w:t>Il convient d'approuver l’accord de partenariat et le protocole de mise en œuvre au nom de l'Union européenne.</w:t>
      </w:r>
    </w:p>
    <w:p>
      <w:pPr>
        <w:pStyle w:val="ManualConsidrant"/>
        <w:rPr>
          <w:noProof/>
        </w:rPr>
      </w:pPr>
      <w:r>
        <w:t>(7)</w:t>
      </w:r>
      <w:r>
        <w:tab/>
      </w:r>
      <w:r>
        <w:rPr>
          <w:noProof/>
        </w:rPr>
        <w:t>L’article 12 de l’accord institue la commission mixte chargée de contrôler son application. En outre, conformément aux articles 4 et 7 du protocole, la commission mixte peut approuver certaines modifications du protocole. Afin de faciliter l'approbation de ces modifications, il convient d'habiliter la Commission, sous réserve de conditions spécifiques, à les approuver selon une procédure simplifiée,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L’accord de partenariat dans le domaine de la pêche durable entre l’Union européenne, d’une part, et le gouvernement du Groenland et le gouvernement du Danemark, d’autre part, (ci-après dénommé l’«accord») et son protocole de mise en œuvre (ci-après dénommé le «protocole») sont approuvés au nom de l’Union.</w:t>
      </w:r>
    </w:p>
    <w:p>
      <w:pPr>
        <w:rPr>
          <w:noProof/>
        </w:rPr>
      </w:pPr>
      <w:r>
        <w:rPr>
          <w:noProof/>
        </w:rPr>
        <w:t xml:space="preserve">Le texte de l'accord et du protocole sont joints à la présente décision en tant qu'annexe I. </w:t>
      </w:r>
    </w:p>
    <w:p>
      <w:pPr>
        <w:pStyle w:val="Titrearticle"/>
        <w:rPr>
          <w:noProof/>
        </w:rPr>
      </w:pPr>
      <w:r>
        <w:rPr>
          <w:noProof/>
        </w:rPr>
        <w:t>Article 2</w:t>
      </w:r>
    </w:p>
    <w:p>
      <w:pPr>
        <w:rPr>
          <w:noProof/>
        </w:rPr>
      </w:pPr>
      <w:r>
        <w:rPr>
          <w:noProof/>
        </w:rPr>
        <w:t xml:space="preserve">Conformément aux dispositions et conditions énoncées à l'annexe II de la présente décision, la Commission est habilitée à approuver, au nom de l'Union, les modifications du protocole adoptées par la commission mixte instituée conformément à l'article 12 de l'accord. </w:t>
      </w:r>
    </w:p>
    <w:p>
      <w:pPr>
        <w:pStyle w:val="Titrearticle"/>
        <w:rPr>
          <w:noProof/>
        </w:rPr>
      </w:pPr>
      <w:r>
        <w:rPr>
          <w:noProof/>
        </w:rPr>
        <w:t>Article 3</w:t>
      </w:r>
    </w:p>
    <w:p>
      <w:pPr>
        <w:rPr>
          <w:noProof/>
        </w:rPr>
      </w:pPr>
      <w:r>
        <w:rPr>
          <w:noProof/>
        </w:rPr>
        <w:t xml:space="preserve">Le président du Conseil procède, au nom de l'Union, à la notification prévue à l'article 20 de l'accord de pêche et à l'article 14 de son protocole de mise en œuvre. </w:t>
      </w:r>
    </w:p>
    <w:p>
      <w:pPr>
        <w:pStyle w:val="Titrearticle"/>
        <w:rPr>
          <w:noProof/>
        </w:rPr>
      </w:pPr>
      <w:r>
        <w:rPr>
          <w:noProof/>
        </w:rPr>
        <w:t>Article 4</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rPr>
          <w:noProof/>
        </w:rPr>
      </w:pPr>
      <w:r>
        <w:rPr>
          <w:noProof/>
        </w:rPr>
        <w:t>Article 5</w:t>
      </w:r>
    </w:p>
    <w:p>
      <w:pPr>
        <w:keepNext/>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rPr>
        <w:t>Proposition de décision du Conseil relative à la signature, au nom de l’Union européenne, et à l’application provisoire de l’accord de partenariat dans le domaine de la pêche durable et de son protocole de mise en œuvre entre l’Union européenne, d’une part, et le gouvernement du Groenland et le gouvernement du Danemark, d’autre part.</w:t>
      </w:r>
    </w:p>
    <w:p>
      <w:pPr>
        <w:pStyle w:val="ManualHeading2"/>
        <w:rPr>
          <w:noProof/>
          <w:szCs w:val="24"/>
        </w:rPr>
      </w:pPr>
      <w:r>
        <w:t>1.2.</w:t>
      </w:r>
      <w:r>
        <w:tab/>
      </w:r>
      <w:r>
        <w:rPr>
          <w:noProof/>
        </w:rPr>
        <w:t>Domaine(s) politique(s) concerné(s) dans la structure ABM/ABB</w:t>
      </w:r>
      <w:r>
        <w:rPr>
          <w:rStyle w:val="FootnoteReference"/>
          <w:noProof/>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Text1"/>
        <w:pBdr>
          <w:top w:val="single" w:sz="4" w:space="1" w:color="auto"/>
          <w:left w:val="single" w:sz="4" w:space="4" w:color="auto"/>
          <w:bottom w:val="single" w:sz="4" w:space="1" w:color="auto"/>
          <w:right w:val="single" w:sz="4" w:space="4" w:color="auto"/>
        </w:pBdr>
        <w:rPr>
          <w:noProof/>
        </w:rPr>
      </w:pPr>
      <w:r>
        <w:rPr>
          <w:noProof/>
        </w:rPr>
        <w:t>11.03.01 – Établir un cadre de gouvernance pour les activités de pêche menées par les navires de pêche de l’Union dans les eaux des pays tiers</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t xml:space="preserve">X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1"/>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et de son protocole de mise en œuvre permet de poursuivre et de renforcer le partenariat stratégique dans le domaine de la pêche entre l’Union européenne et le Groenland. La conclusion du protocole créera des possibilités de pêche pour les navires de l'Union dans la zone de pêche groenlandaise.</w:t>
      </w:r>
    </w:p>
    <w:p>
      <w:pPr>
        <w:pStyle w:val="Text1"/>
        <w:pBdr>
          <w:top w:val="single" w:sz="4" w:space="1" w:color="auto"/>
          <w:left w:val="single" w:sz="4" w:space="4" w:color="auto"/>
          <w:bottom w:val="single" w:sz="4" w:space="1" w:color="auto"/>
          <w:right w:val="single" w:sz="4" w:space="4" w:color="auto"/>
        </w:pBdr>
        <w:rPr>
          <w:noProof/>
        </w:rPr>
      </w:pPr>
      <w:r>
        <w:rPr>
          <w:noProof/>
        </w:rPr>
        <w:t>L’accord et le protocole contribueront également à la meilleure gestion et conservation des ressources halieutiques, à travers le support financier (appui sectoriel) à la mise en œuvre des programmes adoptés au niveau national par le pays partenaire, notamment pour renforcer le suivi, le contrôle et la surveillance.</w:t>
      </w:r>
    </w:p>
    <w:p>
      <w:pPr>
        <w:pStyle w:val="Text1"/>
        <w:pBdr>
          <w:top w:val="single" w:sz="4" w:space="1" w:color="auto"/>
          <w:left w:val="single" w:sz="4" w:space="4" w:color="auto"/>
          <w:bottom w:val="single" w:sz="4" w:space="1" w:color="auto"/>
          <w:right w:val="single" w:sz="4" w:space="4" w:color="auto"/>
        </w:pBdr>
        <w:rPr>
          <w:noProof/>
        </w:rPr>
      </w:pPr>
      <w:r>
        <w:rPr>
          <w:noProof/>
        </w:rPr>
        <w:t>Enfin, l’accord et le protocole contribueront à l’exploitation durable, par le Groenland, de ses ressources marines, ainsi qu’à l’économie de la pêche du Groenland, en promouvant la croissance liée aux activités économiques en rapport avec la pêche.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Données des captures (collecte et analyse) et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ainsi qu'à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Contribution à l’amélioration de la recherche, de la surveillance et du contrôle des activités de pêche par le pays partenaire et du développement de son secteur de la pêche.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de mise en œuvre s’appliquent de manière provisoire à partir de la date de leur signature afin de réduire l’interruption éventuelle des opérations de pêche en cours dans le cadre du protocole actuel.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nouvel accord et le nouveau protocole permettront d’encadrer les activités de pêche de la flotte de l’Union dans la zone de pêche du Groenland, et autoriseront les armateurs des navires de l’Union à demander des autorisations de pêche leur permettant de pêcher dans cette zone. En outre, le nouvel accord et le nouveau protocole renforceront la coopération entre l’Union et le Groenland en vue de promouvoir le développement d’une politique de pêche durable. Ils prévoient notamment le suivi des navires par VMS et la communication des données relatives aux captures par voie électronique. L’appui sectoriel disponible en vertu du protocole aidera le Groenland dans le cadre de sa stratégie nationale en matière de pêche. </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Si l’Union ne concluait pas de nouvel accord et de nouveau protocole, les navires de l’Union ne pourraient pas exercer leurs activités de pêche, étant donné que l’accord actuel comporte une clause excluant les activités de pêche ne se déroulant pas dans le cadre défini par un protocole à l’accord. La valeur ajoutée est donc évidente pour la flotte de pêche lointaine de l’Union. Le protocole offre également un cadre pour une coopération renforcée entre l’Union et le Groenland.</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Les fonds alloués au titre de la compensation financière pour l’accès de l’APPD constituent des recettes fongibles dans le budget national du Groenland. Toutefois, les fonds dédiés à l’appui sectoriel sont affectés (généralement par inscription dans la loi annuelle de finances) au ministère en charge des pêches, cela étant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1.6.</w:t>
      </w:r>
      <w:r>
        <w:tab/>
      </w:r>
      <w:r>
        <w:rPr>
          <w:noProof/>
        </w:rPr>
        <w:t xml:space="preserve">Durée et incidence financière </w:t>
      </w:r>
    </w:p>
    <w:p>
      <w:pPr>
        <w:pStyle w:val="Text1"/>
        <w:rPr>
          <w:noProof/>
        </w:rPr>
      </w:pPr>
      <w:r>
        <w:rPr>
          <w:noProof/>
        </w:rPr>
        <w:t xml:space="preserve">Proposition à </w:t>
      </w:r>
      <w:r>
        <w:rPr>
          <w:b/>
          <w:noProof/>
        </w:rPr>
        <w:t xml:space="preserve">durée limitée </w:t>
      </w:r>
    </w:p>
    <w:p>
      <w:pPr>
        <w:pStyle w:val="ListDash2"/>
        <w:rPr>
          <w:noProof/>
        </w:rPr>
      </w:pPr>
      <w:r>
        <w:rPr>
          <w:noProof/>
        </w:rPr>
        <w:t>X</w:t>
      </w:r>
      <w:r>
        <w:rPr>
          <w:noProof/>
        </w:rPr>
        <w:tab/>
        <w:t xml:space="preserve">Proposition/initiative en vigueur à partir de 2021 jusqu’en 2026 </w:t>
      </w:r>
    </w:p>
    <w:p>
      <w:pPr>
        <w:pStyle w:val="ListDash2"/>
        <w:rPr>
          <w:noProof/>
        </w:rPr>
      </w:pPr>
      <w:r>
        <w:rPr>
          <w:noProof/>
        </w:rPr>
        <w:t>X</w:t>
      </w:r>
      <w:r>
        <w:rPr>
          <w:noProof/>
        </w:rPr>
        <w:tab/>
        <w:t xml:space="preserve">Incidence financière de 2021 jusqu'en 2025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2"/>
      </w:r>
      <w:r>
        <w:rPr>
          <w:rStyle w:val="FootnoteReference"/>
          <w:noProof/>
        </w:rPr>
        <w:t xml:space="preserve">  </w:t>
      </w:r>
    </w:p>
    <w:p>
      <w:pPr>
        <w:pStyle w:val="Text1"/>
        <w:rPr>
          <w:noProof/>
        </w:rPr>
      </w:pPr>
      <w:r>
        <w:rPr>
          <w:noProof/>
        </w:rPr>
        <w:t xml:space="preserve">X </w:t>
      </w:r>
      <w:r>
        <w:rPr>
          <w:b/>
          <w:noProof/>
        </w:rPr>
        <w:t>Gestion directe</w:t>
      </w:r>
      <w:r>
        <w:rPr>
          <w:noProof/>
        </w:rPr>
        <w:t xml:space="preserve"> par la Commission </w:t>
      </w:r>
    </w:p>
    <w:p>
      <w:pPr>
        <w:pStyle w:val="ListDash2"/>
        <w:rPr>
          <w:rFonts w:cs="EUAlbertina"/>
          <w:noProof/>
        </w:rPr>
      </w:pPr>
      <w:r>
        <w:rPr>
          <w:noProof/>
        </w:rPr>
        <w:t xml:space="preserve">X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assurera un suivi régulier de la mise en œuvre du protocole en ce qui concerne l’utilisation par les opérateurs des possibilités de pêche, les données relatives aux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En outre, l’APPD prévoit au moins une réunion annuelle de la commission mixte pendant laquelle la Commission et le Groenland font le point sur la mise en œuvre de l’accord et de son protocole et apportent, si nécessaire, des ajustements à la programmation et, le cas échéant, à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recensé(s)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sont mis en œuvre de manière découplée pour la contrepartie liée à l’accès et la contrepartie liée à l’appui sectoriel.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relatifs à l’accès sont effectués chaque année à la date anniversaire du protocole, sauf la première année, où le paiement a lieu dans les trois mois suivant le début de l’application provisoire. L’accès des navires est contrôlé par la délivrance des autorisations de pêche. </w:t>
      </w:r>
    </w:p>
    <w:p>
      <w:pPr>
        <w:pStyle w:val="Text1"/>
        <w:pBdr>
          <w:top w:val="single" w:sz="4" w:space="1" w:color="auto"/>
          <w:left w:val="single" w:sz="4" w:space="4" w:color="auto"/>
          <w:bottom w:val="single" w:sz="4" w:space="1" w:color="auto"/>
          <w:right w:val="single" w:sz="4" w:space="4" w:color="auto"/>
        </w:pBdr>
        <w:rPr>
          <w:noProof/>
        </w:rPr>
      </w:pPr>
      <w:r>
        <w:rPr>
          <w:noProof/>
        </w:rPr>
        <w:t>Le paiement de l’appui a lieu la première fois dans les trois mois suivant le début de l’application provisoire, sous réserve d’un accord sur le programme annuel et pluriannuel de mise en œuvre; pour les années suivantes, le paiement sera subordonné aux résultats obtenus. Les résultats obtenus et le taux d’exécution feront l’objet d’un suivi conformément aux lignes directrices sur la mise en œuvre de l’appui sectoriel pour la politique de la pêche du Groenland qui seront convenues par les Parties, sur la base des rapports ou des preuves documentaires fournis par le pays partenaire.</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risque identifié est une sous-utilisation des possibilités de pêche de la part des armateurs de l’UE et une sous-utilisation ou des retards dans l’utilisation des fonds destinés au financement de la politique sectorielle de la pêche par le Groenland. Il est prévu un dialogue soutenu sur la programmation et la mise en œuvre de la politique sectorielle prévue par l’accord et le protocole. L’analyse conjointe des résultats mentionnée à l’article 4 du protocole fait également partie de ces moyens de contrôle. 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des coûts d’accès des accords de partenariat de pêche durable (APPD) font l’objet de contrôles visant à assurer leur conformité aux dispositions des accords internationaux. Les contrôles relatifs à l’appui sectoriel visent à permettre de suivre la mise en œuvre de cet appui. Le suivi est effectué par le personnel de la Commission basé dans les délégations de l’Union ainsi que lors des réunions de la commission mixte. Une matrice de programmation pluriannuelle sert à l’évaluation des progrès. Si ceux-ci sont insuffisants, le paiement de la tranche suivante est suspendu, ou éventuellement réduit. On estime que le coût global des contrôles sur l’ensemble des APPD avoisine les 1,8 % (de l’ensemble des contributions de 2018). Les procédures de contrôle des APPD reposent en grande partie sur les exigences réglementaires essentielles. Si aucune insuffisance susceptible d’avoir une incidence significative sur la légalité et la régularité des opérations financières n’est détectée, les contrôles sont jugés efficaces. Le taux moyen d’erreur est estimé à 0,0%.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 Groenland afin de pouvoir améliorer la gestion de l’accord et du protocole et de renforcer la contribution de l’Union à la gestion durable des ressources. Tout paiement effectué par la Commission dans le cadre d'un APPD est soumis aux règles et aux procédures budgétaires et financières normales de la Commission. En particulier, les comptes bancaires des pays tiers sur lesquels sont versés les montants de la contrepartie financière sont identifiés de façon complète. L’article 3, paragraphe 6, du protocole dispose que la contrepartie financière relative à l’accès et celle destinée au développement du secteur doivent être versées dans un compte du Trésor public.</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p>
        </w:tc>
        <w:tc>
          <w:tcPr>
            <w:tcW w:w="1080" w:type="dxa"/>
            <w:vAlign w:val="center"/>
          </w:tcPr>
          <w:p>
            <w:pPr>
              <w:jc w:val="center"/>
              <w:rPr>
                <w:noProof/>
                <w:sz w:val="22"/>
              </w:rPr>
            </w:pPr>
            <w:r>
              <w:rPr>
                <w:noProof/>
                <w:sz w:val="18"/>
              </w:rPr>
              <w:t>CD/CND</w:t>
            </w:r>
            <w:r>
              <w:rPr>
                <w:rStyle w:val="FootnoteReference"/>
                <w:noProof/>
                <w:sz w:val="18"/>
              </w:rPr>
              <w:footnoteReference w:id="13"/>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 dans les eaux des pays tiers (APD)</w:t>
            </w:r>
          </w:p>
          <w:p>
            <w:pPr>
              <w:spacing w:after="60"/>
              <w:rPr>
                <w:noProof/>
                <w:sz w:val="22"/>
              </w:rPr>
            </w:pPr>
            <w:r>
              <w:rPr>
                <w:noProof/>
                <w:sz w:val="22"/>
              </w:rPr>
              <w:t xml:space="preserve"> </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rPr>
              <w:t xml:space="preserve"> </w:t>
            </w:r>
            <w:r>
              <w:rPr>
                <w:noProof/>
              </w:rPr>
              <w:br/>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w:t>
            </w:r>
          </w:p>
          <w:p>
            <w:pPr>
              <w:jc w:val="center"/>
              <w:rPr>
                <w:noProof/>
                <w:sz w:val="22"/>
              </w:rPr>
            </w:pPr>
            <w:r>
              <w:rPr>
                <w:noProof/>
                <w:sz w:val="22"/>
              </w:rPr>
              <w:t>NON</w:t>
            </w:r>
          </w:p>
        </w:tc>
        <w:tc>
          <w:tcPr>
            <w:tcW w:w="1080" w:type="dxa"/>
            <w:vAlign w:val="center"/>
          </w:tcPr>
          <w:p>
            <w:pPr>
              <w:jc w:val="center"/>
              <w:rPr>
                <w:noProof/>
                <w:sz w:val="22"/>
              </w:rPr>
            </w:pPr>
            <w:r>
              <w:rPr>
                <w:noProof/>
                <w:sz w:val="22"/>
              </w:rPr>
              <w:t>OUI/</w:t>
            </w:r>
          </w:p>
          <w:p>
            <w:pPr>
              <w:jc w:val="center"/>
              <w:rPr>
                <w:noProof/>
                <w:color w:val="0000FF"/>
                <w:sz w:val="18"/>
              </w:rPr>
            </w:pPr>
            <w:r>
              <w:rPr>
                <w:noProof/>
                <w:sz w:val="22"/>
              </w:rPr>
              <w:t>NON</w:t>
            </w:r>
          </w:p>
        </w:tc>
        <w:tc>
          <w:tcPr>
            <w:tcW w:w="956" w:type="dxa"/>
            <w:vAlign w:val="center"/>
          </w:tcPr>
          <w:p>
            <w:pPr>
              <w:jc w:val="center"/>
              <w:rPr>
                <w:noProof/>
                <w:sz w:val="22"/>
              </w:rPr>
            </w:pPr>
            <w:r>
              <w:rPr>
                <w:noProof/>
                <w:sz w:val="22"/>
              </w:rPr>
              <w:t>OUI/</w:t>
            </w:r>
          </w:p>
          <w:p>
            <w:pPr>
              <w:jc w:val="center"/>
              <w:rPr>
                <w:noProof/>
                <w:color w:val="0000FF"/>
                <w:sz w:val="18"/>
              </w:rPr>
            </w:pPr>
            <w:r>
              <w:rPr>
                <w:noProof/>
                <w:sz w:val="22"/>
              </w:rPr>
              <w:t>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rPr>
              <w:br/>
            </w:r>
            <w:r>
              <w:rPr>
                <w:b/>
                <w:noProof/>
                <w:sz w:val="22"/>
              </w:rPr>
              <w:t xml:space="preserve"> pluriannuel </w:t>
            </w:r>
          </w:p>
        </w:tc>
        <w:tc>
          <w:tcPr>
            <w:tcW w:w="1080" w:type="dxa"/>
            <w:vAlign w:val="center"/>
          </w:tcPr>
          <w:p>
            <w:pPr>
              <w:spacing w:before="60" w:after="60"/>
              <w:jc w:val="center"/>
              <w:rPr>
                <w:noProof/>
                <w:sz w:val="22"/>
              </w:rPr>
            </w:pPr>
            <w:r>
              <w:rPr>
                <w:noProof/>
                <w:sz w:val="22"/>
              </w:rPr>
              <w:t>nº 2</w:t>
            </w:r>
          </w:p>
        </w:tc>
        <w:tc>
          <w:tcPr>
            <w:tcW w:w="7817" w:type="dxa"/>
            <w:vAlign w:val="center"/>
          </w:tcPr>
          <w:p>
            <w:pPr>
              <w:spacing w:before="60" w:after="60"/>
              <w:rPr>
                <w:noProof/>
                <w:sz w:val="22"/>
              </w:rPr>
            </w:pPr>
            <w:r>
              <w:rPr>
                <w:noProof/>
              </w:rPr>
              <w:t>Croissance durable: ressources naturelles</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DG: MARE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2025</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b/>
                <w:noProof/>
                <w:sz w:val="20"/>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 xml:space="preserve"> </w:t>
            </w:r>
            <w:r>
              <w:rPr>
                <w:noProof/>
                <w:sz w:val="21"/>
              </w:rPr>
              <w:t xml:space="preserve">Crédits opérationnels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sz w:val="20"/>
              </w:rPr>
              <w:t>Ligne budgétaire</w:t>
            </w:r>
            <w:r>
              <w:rPr>
                <w:rStyle w:val="FootnoteReference"/>
                <w:noProof/>
                <w:sz w:val="20"/>
              </w:rPr>
              <w:footnoteReference w:id="16"/>
            </w:r>
            <w:r>
              <w:rPr>
                <w:noProof/>
              </w:rPr>
              <w:t xml:space="preserve"> 11.03.2001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Ligne budgétaire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sz w:val="21"/>
              </w:rPr>
              <w:t>Crédits de nature administrative financés par l'enveloppe de certains programmes spécifiques</w:t>
            </w:r>
            <w:r>
              <w:rPr>
                <w:rStyle w:val="FootnoteReference"/>
                <w:noProof/>
                <w:sz w:val="21"/>
              </w:rPr>
              <w:footnoteReference w:id="17"/>
            </w:r>
            <w:r>
              <w:rPr>
                <w:noProof/>
                <w:sz w:val="21"/>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TOTAL des crédits</w:t>
            </w:r>
            <w:r>
              <w:rPr>
                <w:noProof/>
              </w:rPr>
              <w:t xml:space="preserve"> </w:t>
            </w:r>
            <w:r>
              <w:rPr>
                <w:noProof/>
              </w:rPr>
              <w:br/>
            </w:r>
            <w:r>
              <w:rPr>
                <w:b/>
                <w:noProof/>
                <w:sz w:val="22"/>
              </w:rPr>
              <w:t>pour la DG</w:t>
            </w:r>
            <w:r>
              <w:rPr>
                <w:noProof/>
                <w:sz w:val="22"/>
              </w:rPr>
              <w:t xml:space="preserve"> MARE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=1a+1b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=2a+2b</w:t>
            </w:r>
          </w:p>
          <w:p>
            <w:pPr>
              <w:spacing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bl>
    <w:p>
      <w:pPr>
        <w:rPr>
          <w:noProof/>
        </w:rPr>
      </w:pPr>
      <w:r>
        <w:rPr>
          <w:noProof/>
        </w:rPr>
        <w:t xml:space="preserve"> </w:t>
      </w:r>
      <w:r>
        <w:rPr>
          <w:noProof/>
        </w:rPr>
        <w:br/>
        <w:t xml:space="preserve"> </w:t>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w:t>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2</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w:t>
            </w:r>
            <w:r>
              <w:rPr>
                <w:noProof/>
                <w:sz w:val="21"/>
              </w:rPr>
              <w:t xml:space="preserve">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w:t>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les RUBRIQUES 1 à 4</w:t>
            </w:r>
            <w:r>
              <w:rPr>
                <w:noProof/>
              </w:rPr>
              <w:t xml:space="preserve"> </w:t>
            </w:r>
            <w:r>
              <w:rPr>
                <w:noProof/>
              </w:rPr>
              <w:br/>
            </w:r>
            <w:r>
              <w:rPr>
                <w:noProof/>
                <w:sz w:val="22"/>
              </w:rPr>
              <w:t>du cadre financier pluriannuel</w:t>
            </w:r>
            <w:r>
              <w:rPr>
                <w:noProof/>
              </w:rPr>
              <w:t xml:space="preserve"> </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vAlign w:val="center"/>
          </w:tcPr>
          <w:p>
            <w:pPr>
              <w:spacing w:before="20" w:after="20" w:line="276" w:lineRule="auto"/>
              <w:jc w:val="right"/>
              <w:rPr>
                <w:b/>
                <w:noProof/>
                <w:sz w:val="20"/>
              </w:rPr>
            </w:pPr>
            <w:r>
              <w:rPr>
                <w:b/>
                <w:noProof/>
                <w:sz w:val="20"/>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rPr>
              <w:br/>
            </w:r>
            <w:r>
              <w:rPr>
                <w:b/>
                <w:noProof/>
                <w:sz w:val="22"/>
              </w:rPr>
              <w:t xml:space="preserve"> 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gridSpan w:val="2"/>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99" w:type="dxa"/>
          </w:tcPr>
          <w:p>
            <w:pPr>
              <w:jc w:val="center"/>
              <w:rPr>
                <w:noProof/>
                <w:sz w:val="18"/>
              </w:rPr>
            </w:pPr>
            <w:r>
              <w:rPr>
                <w:noProof/>
                <w:sz w:val="20"/>
              </w:rPr>
              <w:t>Année</w:t>
            </w:r>
            <w:r>
              <w:rPr>
                <w:noProof/>
              </w:rPr>
              <w:t xml:space="preserve"> </w:t>
            </w:r>
            <w:r>
              <w:rPr>
                <w:noProof/>
              </w:rPr>
              <w:br/>
            </w:r>
            <w:r>
              <w:rPr>
                <w:b/>
                <w:noProof/>
                <w:sz w:val="20"/>
              </w:rPr>
              <w:t>2025</w:t>
            </w:r>
          </w:p>
        </w:tc>
        <w:tc>
          <w:tcPr>
            <w:tcW w:w="992" w:type="dxa"/>
          </w:tcPr>
          <w:p>
            <w:pPr>
              <w:jc w:val="center"/>
              <w:rPr>
                <w:b/>
                <w:noProof/>
                <w:sz w:val="18"/>
              </w:rPr>
            </w:pPr>
            <w:r>
              <w:rPr>
                <w:noProof/>
                <w:sz w:val="20"/>
              </w:rPr>
              <w:t>Année</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TOTAL</w:t>
            </w:r>
          </w:p>
        </w:tc>
      </w:tr>
      <w:tr>
        <w:trPr>
          <w:gridAfter w:val="4"/>
          <w:wAfter w:w="4026" w:type="dxa"/>
        </w:trPr>
        <w:tc>
          <w:tcPr>
            <w:tcW w:w="3960" w:type="dxa"/>
            <w:vAlign w:val="center"/>
          </w:tcPr>
          <w:p>
            <w:pPr>
              <w:spacing w:before="60" w:after="60"/>
              <w:jc w:val="center"/>
              <w:rPr>
                <w:noProof/>
                <w:sz w:val="22"/>
              </w:rPr>
            </w:pPr>
            <w:r>
              <w:rPr>
                <w:noProof/>
                <w:sz w:val="22"/>
              </w:rPr>
              <w:t>DG: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 xml:space="preserve">Ressources humaines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Autres dépenses administratives</w:t>
            </w:r>
            <w:r>
              <w:rPr>
                <w:noProof/>
              </w:rPr>
              <w:t xml:space="preserve"> </w:t>
            </w:r>
            <w:r>
              <w:rPr>
                <w:noProof/>
                <w:sz w:val="22"/>
              </w:rPr>
              <w:t xml:space="preserv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w:t>
            </w:r>
            <w:r>
              <w:rPr>
                <w:noProof/>
                <w:sz w:val="22"/>
              </w:rPr>
              <w:t xml:space="preserve"> &lt;….&gt;</w:t>
            </w:r>
          </w:p>
        </w:tc>
        <w:tc>
          <w:tcPr>
            <w:tcW w:w="2094" w:type="dxa"/>
            <w:gridSpan w:val="2"/>
            <w:vAlign w:val="center"/>
          </w:tcPr>
          <w:p>
            <w:pPr>
              <w:rPr>
                <w:noProof/>
                <w:sz w:val="14"/>
              </w:rPr>
            </w:pPr>
            <w:r>
              <w:rPr>
                <w:noProof/>
                <w:sz w:val="18"/>
              </w:rPr>
              <w:t xml:space="preserve">Crédits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r>
              <w:rPr>
                <w:rStyle w:val="FootnoteReference"/>
                <w:b/>
                <w:noProof/>
                <w:sz w:val="20"/>
              </w:rPr>
              <w:footnoteReference w:id="18"/>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899" w:type="dxa"/>
          </w:tcPr>
          <w:p>
            <w:pPr>
              <w:jc w:val="center"/>
              <w:rPr>
                <w:noProof/>
                <w:sz w:val="18"/>
              </w:rPr>
            </w:pPr>
            <w:r>
              <w:rPr>
                <w:noProof/>
                <w:sz w:val="20"/>
              </w:rPr>
              <w:t>Année</w:t>
            </w:r>
            <w:r>
              <w:rPr>
                <w:noProof/>
              </w:rPr>
              <w:t xml:space="preserve"> </w:t>
            </w:r>
            <w:r>
              <w:rPr>
                <w:noProof/>
              </w:rPr>
              <w:br/>
            </w:r>
            <w:r>
              <w:rPr>
                <w:b/>
                <w:noProof/>
                <w:sz w:val="20"/>
              </w:rPr>
              <w:t>2025</w:t>
            </w:r>
          </w:p>
        </w:tc>
        <w:tc>
          <w:tcPr>
            <w:tcW w:w="992" w:type="dxa"/>
          </w:tcPr>
          <w:p>
            <w:pPr>
              <w:jc w:val="center"/>
              <w:rPr>
                <w:noProof/>
                <w:sz w:val="18"/>
              </w:rPr>
            </w:pPr>
            <w:r>
              <w:rPr>
                <w:noProof/>
                <w:sz w:val="20"/>
              </w:rPr>
              <w:t>Année</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rPr>
              <w:t xml:space="preserve"> </w:t>
            </w:r>
            <w:r>
              <w:rPr>
                <w:noProof/>
              </w:rPr>
              <w:br/>
            </w:r>
            <w:r>
              <w:rPr>
                <w:b/>
                <w:noProof/>
                <w:sz w:val="22"/>
              </w:rPr>
              <w:t>pour les RUBRIQUES 1 à 5</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746"/>
        <w:gridCol w:w="27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Indiquer les objectifs et les réalisations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997" w:type="dxa"/>
            <w:gridSpan w:val="4"/>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2021</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2022</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2023</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2024</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b/>
                <w:noProof/>
                <w:sz w:val="18"/>
              </w:rPr>
              <w:t>2025</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rPr>
            </w:pPr>
            <w:r>
              <w:rPr>
                <w:b/>
                <w:noProof/>
                <w:sz w:val="18"/>
              </w:rPr>
              <w:t>2026</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TOTAL</w:t>
            </w:r>
          </w:p>
        </w:tc>
      </w:tr>
      <w:tr>
        <w:trPr>
          <w:gridBefore w:val="1"/>
          <w:gridAfter w:val="27"/>
          <w:wBefore w:w="6" w:type="dxa"/>
          <w:wAfter w:w="970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rPr>
            </w:pPr>
          </w:p>
        </w:tc>
        <w:tc>
          <w:tcPr>
            <w:tcW w:w="1646"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Type</w:t>
            </w:r>
            <w:r>
              <w:rPr>
                <w:rStyle w:val="FootnoteReference"/>
                <w:noProof/>
                <w:sz w:val="18"/>
              </w:rPr>
              <w:footnoteReference w:id="19"/>
            </w:r>
          </w:p>
          <w:p>
            <w:pPr>
              <w:spacing w:before="0" w:after="0" w:line="276" w:lineRule="auto"/>
              <w:jc w:val="center"/>
              <w:rPr>
                <w:noProof/>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Coût moyen</w:t>
            </w:r>
          </w:p>
        </w:tc>
        <w:tc>
          <w:tcPr>
            <w:tcW w:w="277" w:type="dxa"/>
            <w:gridSpan w:val="2"/>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rPr>
            </w:pPr>
            <w:r>
              <w:rPr>
                <w:noProof/>
                <w:sz w:val="18"/>
              </w:rPr>
              <w:t>Nombre total</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 total</w:t>
            </w:r>
          </w:p>
        </w:tc>
      </w:tr>
      <w:tr>
        <w:trPr>
          <w:gridAfter w:val="2"/>
          <w:wAfter w:w="18" w:type="dxa"/>
          <w:jc w:val="center"/>
        </w:trPr>
        <w:tc>
          <w:tcPr>
            <w:tcW w:w="3074"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OBJECTIF SPÉCIFIQUE nº 1</w:t>
            </w:r>
            <w:r>
              <w:rPr>
                <w:rStyle w:val="FootnoteReference"/>
                <w:noProof/>
                <w:sz w:val="18"/>
              </w:rPr>
              <w:footnoteReference w:id="20"/>
            </w:r>
            <w:r>
              <w:rPr>
                <w:noProof/>
                <w:sz w:val="18"/>
              </w:rPr>
              <w:t>...</w:t>
            </w:r>
          </w:p>
        </w:tc>
        <w:tc>
          <w:tcPr>
            <w:tcW w:w="271"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c>
          <w:tcPr>
            <w:tcW w:w="723"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08" w:type="dxa"/>
            <w:gridSpan w:val="2"/>
            <w:tcBorders>
              <w:top w:val="nil"/>
              <w:left w:val="nil"/>
              <w:bottom w:val="nil"/>
              <w:right w:val="nil"/>
            </w:tcBorders>
          </w:tcPr>
          <w:p>
            <w:pPr>
              <w:spacing w:before="60" w:after="60" w:line="276" w:lineRule="auto"/>
              <w:ind w:right="-29"/>
              <w:jc w:val="center"/>
              <w:rPr>
                <w:noProof/>
                <w:sz w:val="18"/>
                <w:szCs w:val="18"/>
              </w:rPr>
            </w:pPr>
          </w:p>
        </w:tc>
        <w:tc>
          <w:tcPr>
            <w:tcW w:w="942" w:type="dxa"/>
            <w:gridSpan w:val="2"/>
            <w:tcBorders>
              <w:top w:val="nil"/>
              <w:left w:val="nil"/>
              <w:bottom w:val="nil"/>
              <w:right w:val="nil"/>
            </w:tcBorders>
          </w:tcPr>
          <w:p>
            <w:pPr>
              <w:spacing w:before="60" w:after="60" w:line="276" w:lineRule="auto"/>
              <w:ind w:right="-29"/>
              <w:jc w:val="center"/>
              <w:rPr>
                <w:noProof/>
                <w:sz w:val="18"/>
                <w:szCs w:val="18"/>
              </w:rPr>
            </w:pPr>
          </w:p>
        </w:tc>
        <w:tc>
          <w:tcPr>
            <w:tcW w:w="1284"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xml:space="preserve">- Accès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Annuel</w:t>
            </w: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81,544524</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Sectoriel</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Annuel</w:t>
            </w: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5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27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After w:val="2"/>
          <w:wAfter w:w="18" w:type="dxa"/>
          <w:trHeight w:val="77"/>
          <w:jc w:val="center"/>
        </w:trPr>
        <w:tc>
          <w:tcPr>
            <w:tcW w:w="3074"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Sous-total objectif spécifique nº 1</w:t>
            </w:r>
          </w:p>
        </w:tc>
        <w:tc>
          <w:tcPr>
            <w:tcW w:w="27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gridAfter w:val="2"/>
          <w:wAfter w:w="18" w:type="dxa"/>
          <w:jc w:val="center"/>
        </w:trPr>
        <w:tc>
          <w:tcPr>
            <w:tcW w:w="3074"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TOTAUX</w:t>
            </w:r>
          </w:p>
        </w:tc>
        <w:tc>
          <w:tcPr>
            <w:tcW w:w="271"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rPr>
            </w:pPr>
            <w:r>
              <w:rPr>
                <w:b/>
                <w:noProof/>
                <w:sz w:val="20"/>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 nécessite pas l’utilisation de crédits de nature administrative. </w:t>
      </w:r>
    </w:p>
    <w:p>
      <w:pPr>
        <w:pStyle w:val="ListDash1"/>
        <w:rPr>
          <w:noProof/>
        </w:rPr>
      </w:pPr>
      <w:r>
        <w:rPr>
          <w:noProof/>
        </w:rPr>
        <w:sym w:font="Wingdings" w:char="F0A8"/>
      </w:r>
      <w:r>
        <w:rPr>
          <w:noProof/>
        </w:rPr>
        <w:tab/>
        <w:t>La proposition/l’initiative nécessite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 xml:space="preserve">N </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2"/>
            </w:r>
            <w:r>
              <w:rPr>
                <w:noProof/>
              </w:rPr>
              <w:t xml:space="preserve"> </w:t>
            </w:r>
            <w:r>
              <w:rPr>
                <w:noProof/>
              </w:rPr>
              <w:br/>
            </w:r>
            <w:r>
              <w:rPr>
                <w:b/>
                <w:noProof/>
                <w:sz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nécessite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Personnel externe (en équivalents temps plein: ETP)</w:t>
            </w:r>
            <w:r>
              <w:rPr>
                <w:rStyle w:val="FootnoteReference"/>
                <w:b/>
                <w:noProof/>
                <w:sz w:val="16"/>
              </w:rPr>
              <w:footnoteReference w:id="23"/>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Cela concerne l’utilisation de la ligne de réserve (Chapitre 40).</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X La proposition/l’initiative ne prévoit pas de cofinancement par des tiers. </w:t>
      </w:r>
    </w:p>
    <w:p>
      <w:pPr>
        <w:pStyle w:val="ListDash1"/>
        <w:rPr>
          <w:noProof/>
        </w:rPr>
      </w:pPr>
      <w:r>
        <w:rPr>
          <w:noProof/>
        </w:rPr>
        <w:sym w:font="Wingdings" w:char="F0A8"/>
      </w:r>
      <w:r>
        <w:rPr>
          <w:noProof/>
        </w:rPr>
        <w:t xml:space="preserve"> 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https://www.consilium.europa.eu/fr/documents-publications/treaties-agreements/agreement/?id=2007046&amp;DocLanguage=fr</w:t>
      </w:r>
    </w:p>
  </w:footnote>
  <w:footnote w:id="2">
    <w:p>
      <w:pPr>
        <w:pStyle w:val="FootnoteText"/>
        <w:rPr>
          <w:lang w:val="fr-BE"/>
        </w:rPr>
      </w:pPr>
      <w:r>
        <w:rPr>
          <w:rStyle w:val="FootnoteReference"/>
        </w:rPr>
        <w:footnoteRef/>
      </w:r>
      <w:r>
        <w:rPr>
          <w:lang w:val="fr-BE"/>
        </w:rPr>
        <w:tab/>
        <w:t>JO L 172 du 30.6.2007.</w:t>
      </w:r>
    </w:p>
  </w:footnote>
  <w:footnote w:id="3">
    <w:p>
      <w:pPr>
        <w:pStyle w:val="FootnoteText"/>
        <w:ind w:left="0" w:firstLine="0"/>
        <w:rPr>
          <w:lang w:val="fr-BE"/>
        </w:rPr>
      </w:pPr>
      <w:r>
        <w:rPr>
          <w:rStyle w:val="FootnoteReference"/>
        </w:rPr>
        <w:footnoteRef/>
      </w:r>
      <w:r>
        <w:rPr>
          <w:lang w:val="fr-BE"/>
        </w:rPr>
        <w:tab/>
        <w:t>JO L 305 du 21.11.2015, p. 1.</w:t>
      </w:r>
    </w:p>
  </w:footnote>
  <w:footnote w:id="4">
    <w:p>
      <w:pPr>
        <w:pStyle w:val="FootnoteText"/>
        <w:ind w:left="0" w:firstLine="0"/>
        <w:rPr>
          <w:lang w:val="fr-BE"/>
        </w:rPr>
      </w:pPr>
      <w:r>
        <w:rPr>
          <w:rStyle w:val="FootnoteReference"/>
        </w:rPr>
        <w:footnoteRef/>
      </w:r>
      <w:r>
        <w:rPr>
          <w:lang w:val="fr-BE"/>
        </w:rPr>
        <w:tab/>
        <w:t>https://www.consilium.europa.eu/fr/documents-publications/treaties-agreements/agreement/?id=2015055&amp;DocLanguage=fr.</w:t>
      </w:r>
    </w:p>
  </w:footnote>
  <w:footnote w:id="5">
    <w:p>
      <w:pPr>
        <w:pStyle w:val="FootnoteText"/>
        <w:ind w:left="0" w:firstLine="0"/>
        <w:rPr>
          <w:lang w:val="fr-BE"/>
        </w:rPr>
      </w:pPr>
      <w:r>
        <w:rPr>
          <w:rStyle w:val="FootnoteReference"/>
        </w:rPr>
        <w:footnoteRef/>
      </w:r>
      <w:r>
        <w:rPr>
          <w:lang w:val="fr-BE"/>
        </w:rPr>
        <w:tab/>
        <w:t>JO L 354 du 28.12.2013, p. 22.</w:t>
      </w:r>
    </w:p>
  </w:footnote>
  <w:footnote w:id="6">
    <w:p>
      <w:pPr>
        <w:pStyle w:val="FootnoteText"/>
        <w:ind w:left="0" w:firstLine="0"/>
        <w:rPr>
          <w:lang w:val="fr-BE"/>
        </w:rPr>
      </w:pPr>
      <w:r>
        <w:rPr>
          <w:rStyle w:val="FootnoteReference"/>
        </w:rPr>
        <w:footnoteRef/>
      </w:r>
      <w:r>
        <w:rPr>
          <w:lang w:val="fr-BE"/>
        </w:rPr>
        <w:tab/>
        <w:t xml:space="preserve">Conclusions du Conseil du 19 mars 2012 sur la communication de la Commission relative à </w:t>
      </w:r>
      <w:r>
        <w:rPr>
          <w:i/>
          <w:iCs/>
          <w:lang w:val="fr-BE"/>
        </w:rPr>
        <w:t>la dimension extérieure de la politique commune de la pêche</w:t>
      </w:r>
      <w:r>
        <w:rPr>
          <w:lang w:val="fr-BE"/>
        </w:rPr>
        <w:t>.</w:t>
      </w:r>
    </w:p>
  </w:footnote>
  <w:footnote w:id="7">
    <w:p>
      <w:pPr>
        <w:pStyle w:val="FootnoteText"/>
        <w:rPr>
          <w:lang w:val="fr-BE"/>
        </w:rPr>
      </w:pPr>
      <w:r>
        <w:rPr>
          <w:rStyle w:val="FootnoteReference"/>
        </w:rPr>
        <w:footnoteRef/>
      </w:r>
      <w:r>
        <w:rPr>
          <w:lang w:val="fr-BE"/>
        </w:rPr>
        <w:tab/>
        <w:t>Conformément à l'accord interinstitutionnel sur la coopération en matière budgétaire (2013/C 373/01).</w:t>
      </w:r>
    </w:p>
  </w:footnote>
  <w:footnote w:id="8">
    <w:p>
      <w:pPr>
        <w:pStyle w:val="FootnoteText"/>
      </w:pPr>
      <w:r>
        <w:rPr>
          <w:rStyle w:val="FootnoteReference"/>
        </w:rPr>
        <w:footnoteRef/>
      </w:r>
      <w:r>
        <w:tab/>
      </w:r>
    </w:p>
  </w:footnote>
  <w:footnote w:id="9">
    <w:p>
      <w:pPr>
        <w:pStyle w:val="FootnoteText"/>
        <w:ind w:left="0" w:firstLine="0"/>
        <w:rPr>
          <w:lang w:val="en-US"/>
        </w:rPr>
      </w:pPr>
      <w:r>
        <w:rPr>
          <w:rStyle w:val="FootnoteReference"/>
        </w:rPr>
        <w:footnoteRef/>
      </w:r>
      <w:r>
        <w:rPr>
          <w:lang w:val="en-US"/>
        </w:rPr>
        <w:tab/>
        <w:t>JO L [...] du […], p. […].</w:t>
      </w:r>
    </w:p>
  </w:footnote>
  <w:footnote w:id="10">
    <w:p>
      <w:pPr>
        <w:pStyle w:val="FootnoteText"/>
        <w:rPr>
          <w:szCs w:val="24"/>
          <w:lang w:val="en-US"/>
        </w:rPr>
      </w:pPr>
      <w:r>
        <w:rPr>
          <w:rStyle w:val="FootnoteReference"/>
        </w:rPr>
        <w:footnoteRef/>
      </w:r>
      <w:r>
        <w:rPr>
          <w:lang w:val="en-US"/>
        </w:rPr>
        <w:tab/>
        <w:t>ABM: activity-based management; ABB: activity-based budgeting.</w:t>
      </w:r>
    </w:p>
  </w:footnote>
  <w:footnote w:id="11">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2">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sz w:val="18"/>
            <w:lang w:val="fr-BE"/>
          </w:rPr>
          <w:t>http://www.cc.cec/budg/man/budgmanag/budgmanag_fr.html</w:t>
        </w:r>
      </w:hyperlink>
    </w:p>
  </w:footnote>
  <w:footnote w:id="13">
    <w:p>
      <w:pPr>
        <w:pStyle w:val="FootnoteText"/>
        <w:rPr>
          <w:szCs w:val="24"/>
          <w:lang w:val="fr-BE"/>
        </w:rPr>
      </w:pPr>
      <w:r>
        <w:rPr>
          <w:rStyle w:val="FootnoteReference"/>
        </w:rPr>
        <w:footnoteRef/>
      </w:r>
      <w:r>
        <w:rPr>
          <w:lang w:val="fr-BE"/>
        </w:rPr>
        <w:tab/>
        <w:t>CD = crédits dissociés / CND = crédits non dissociés.</w:t>
      </w:r>
    </w:p>
  </w:footnote>
  <w:footnote w:id="14">
    <w:p>
      <w:pPr>
        <w:pStyle w:val="FootnoteText"/>
        <w:rPr>
          <w:szCs w:val="24"/>
          <w:lang w:val="fr-BE"/>
        </w:rPr>
      </w:pPr>
      <w:r>
        <w:rPr>
          <w:rStyle w:val="FootnoteReference"/>
        </w:rPr>
        <w:footnoteRef/>
      </w:r>
      <w:r>
        <w:rPr>
          <w:lang w:val="fr-BE"/>
        </w:rPr>
        <w:tab/>
        <w:t xml:space="preserve">AELE: Association européenne de libre-échange. </w:t>
      </w:r>
    </w:p>
  </w:footnote>
  <w:footnote w:id="15">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6">
    <w:p>
      <w:pPr>
        <w:pStyle w:val="FootnoteText"/>
        <w:rPr>
          <w:sz w:val="18"/>
          <w:szCs w:val="18"/>
          <w:lang w:val="fr-BE"/>
        </w:rPr>
      </w:pPr>
      <w:r>
        <w:rPr>
          <w:rStyle w:val="FootnoteReference"/>
        </w:rPr>
        <w:footnoteRef/>
      </w:r>
      <w:r>
        <w:rPr>
          <w:lang w:val="fr-BE"/>
        </w:rPr>
        <w:tab/>
      </w:r>
      <w:r>
        <w:rPr>
          <w:sz w:val="18"/>
          <w:lang w:val="fr-BE"/>
        </w:rPr>
        <w:t>Selon la nomenclature budgétaire officielle.</w:t>
      </w:r>
    </w:p>
  </w:footnote>
  <w:footnote w:id="17">
    <w:p>
      <w:pPr>
        <w:pStyle w:val="FootnoteText"/>
        <w:rPr>
          <w:szCs w:val="24"/>
          <w:lang w:val="fr-BE"/>
        </w:rPr>
      </w:pPr>
      <w:r>
        <w:rPr>
          <w:rStyle w:val="FootnoteReference"/>
        </w:rPr>
        <w:footnoteRef/>
      </w:r>
      <w:r>
        <w:rPr>
          <w:lang w:val="fr-BE"/>
        </w:rPr>
        <w:tab/>
      </w:r>
      <w:r>
        <w:rPr>
          <w:sz w:val="18"/>
          <w:lang w:val="fr-BE"/>
        </w:rPr>
        <w:t>Assistance technique et/ou administrative et dépenses d’appui à la mise en œuvre de programmes et/ou d’actions de l’UE (anciennes lignes «BA»), recherche indirecte, recherche directe.</w:t>
      </w:r>
    </w:p>
  </w:footnote>
  <w:footnote w:id="18">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9">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20">
    <w:p>
      <w:pPr>
        <w:pStyle w:val="FootnoteText"/>
        <w:rPr>
          <w:szCs w:val="24"/>
          <w:lang w:val="fr-BE"/>
        </w:rPr>
      </w:pPr>
      <w:r>
        <w:rPr>
          <w:rStyle w:val="FootnoteReference"/>
        </w:rPr>
        <w:footnoteRef/>
      </w:r>
      <w:r>
        <w:rPr>
          <w:lang w:val="fr-BE"/>
        </w:rPr>
        <w:tab/>
        <w:t xml:space="preserve">Tel que décrit dans la partie 1.4.2. «Objectif(s) spécifique(s)…». </w:t>
      </w:r>
    </w:p>
  </w:footnote>
  <w:footnote w:id="21">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2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3">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4">
    <w:p>
      <w:pPr>
        <w:pStyle w:val="FootnoteText"/>
        <w:rPr>
          <w:szCs w:val="24"/>
          <w:lang w:val="fr-BE"/>
        </w:rPr>
      </w:pPr>
      <w:r>
        <w:rPr>
          <w:rStyle w:val="FootnoteReference"/>
        </w:rPr>
        <w:footnoteRef/>
      </w:r>
      <w:r>
        <w:rPr>
          <w:lang w:val="fr-BE"/>
        </w:rPr>
        <w:tab/>
        <w:t>Sous-plafond de personnel externe financé sur crédits opérationnels (anciennes lignes «BA»).</w:t>
      </w:r>
    </w:p>
  </w:footnote>
  <w:footnote w:id="25">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19: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C1EE4B-C289-4DBD-B14E-14D6DEC8D144"/>
    <w:docVar w:name="LW_COVERPAGE_TYPE" w:val="1"/>
    <w:docVar w:name="LW_CROSSREFERENCE" w:val="&lt;UNUSED&gt;"/>
    <w:docVar w:name="LW_DocType" w:val="COM"/>
    <w:docVar w:name="LW_EMISSION" w:val="16.2.2021"/>
    <w:docVar w:name="LW_EMISSION_ISODATE" w:val="2021-02-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7"/>
    <w:docVar w:name="LW_REF.II.NEW.CP_YEAR" w:val="2021"/>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u8217?un accord de partenariat dans le domaine de la pêche durable entre l\u8217?Union européenne, d\u8217?une part, et le gouvernement du Groenland et le gouvernement du Danemark, d\u8217?autre part, ainsi que de son protocole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21</Pages>
  <Words>5189</Words>
  <Characters>29060</Characters>
  <Application>Microsoft Office Word</Application>
  <DocSecurity>0</DocSecurity>
  <Lines>1453</Lines>
  <Paragraphs>611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2021-02-25T11:16:00Z</dcterms:created>
  <dcterms:modified xsi:type="dcterms:W3CDTF">2021-03-03T22:19:00Z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