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09E4DF7-F2AB-4B61-A27C-F4E4D46BAA0D" style="width:451pt;height:379.8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Calibri"/>
          <w:noProof/>
        </w:rPr>
      </w:pPr>
      <w:r>
        <w:rPr>
          <w:noProof/>
        </w:rPr>
        <w:t>Въз основа на препоръката на Европейската комисия</w:t>
      </w:r>
      <w:r>
        <w:rPr>
          <w:rStyle w:val="FootnoteReference"/>
          <w:rFonts w:eastAsia="Calibri"/>
          <w:noProof/>
          <w:lang w:eastAsia="en-GB"/>
        </w:rPr>
        <w:footnoteReference w:id="1"/>
      </w:r>
      <w:r>
        <w:rPr>
          <w:noProof/>
        </w:rPr>
        <w:t xml:space="preserve"> Съветът упълномощи Европейската комисия да проведе преговори от името на Европейския съюз за ново споразумение между Европейския съюз, от една страна, и правителството на Гренландия и правителството на Дания, от друга страна, както и протокол за определяне на възможностите за риболов и финансовото участие. Преговорите завършиха с парафиране на споразумението и на протокола на 11 януари 2021 г. Новото споразумение отменя и заменя съществуващата спогодба, влязла в сила на 28 юни 2007 г.,</w:t>
      </w:r>
      <w:r>
        <w:rPr>
          <w:rStyle w:val="FootnoteReference"/>
          <w:noProof/>
        </w:rPr>
        <w:t xml:space="preserve"> </w:t>
      </w:r>
      <w:r>
        <w:rPr>
          <w:rStyle w:val="FootnoteReference"/>
          <w:noProof/>
        </w:rPr>
        <w:footnoteReference w:id="2"/>
      </w:r>
      <w:r>
        <w:rPr>
          <w:noProof/>
        </w:rPr>
        <w:t xml:space="preserve"> и обхваща период от шест години (2021—2026 г.), считано от датата на временното му прилагане, който може да бъде подновен с мълчаливо съгласие. Новият протокол обхваща период от четири години (2021—2024 г.), считано от датата на временното му прилагане по член 15, т.е. датата, на която е подписан от страните, и може да бъде удължен с две години, ако страните се споразумеят за това.  </w:t>
      </w:r>
    </w:p>
    <w:p>
      <w:pPr>
        <w:rPr>
          <w:noProof/>
          <w:szCs w:val="24"/>
        </w:rPr>
      </w:pPr>
      <w:r>
        <w:rPr>
          <w:noProof/>
        </w:rPr>
        <w:t>Целта на настоящото предложение е Съветът да разреши подписването и временното прилагане на споразумението за партньорство в областта на устойчивото рибарство и на протокола за неговото изпълнение.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Действащата понастоящем Спогодба за партньорство в областта на рибарството между Европейския съюз, от една страна, и правителството на Дания и автономното правителство на Гренландия, от друга</w:t>
      </w:r>
      <w:r>
        <w:rPr>
          <w:rStyle w:val="FootnoteReference"/>
          <w:rFonts w:eastAsia="Arial Unicode MS"/>
          <w:noProof/>
        </w:rPr>
        <w:footnoteReference w:id="3"/>
      </w:r>
      <w:r>
        <w:rPr>
          <w:noProof/>
        </w:rPr>
        <w:t>, беше подписана на 28 юни 2007 г. и влезе в сила на 2 ноември 2007 г. със срок на действие шест години. Спогодбата се подновява с мълчаливо съгласие на всеки шест години, като последното удължаване на нейния срок е от 1 януари 2019 г. и съответно все още е в сила. Въз основа на това действащият в момента петгодишен протокол</w:t>
      </w:r>
      <w:r>
        <w:rPr>
          <w:rStyle w:val="FootnoteReference"/>
          <w:rFonts w:eastAsia="Arial Unicode MS"/>
          <w:noProof/>
        </w:rPr>
        <w:footnoteReference w:id="4"/>
      </w:r>
      <w:r>
        <w:rPr>
          <w:noProof/>
        </w:rPr>
        <w:t xml:space="preserve"> към Спогодбата за партньорство в областта на рибарството започна да се прилага на 1 януари 2016 г.</w:t>
      </w:r>
      <w:r>
        <w:rPr>
          <w:rStyle w:val="FootnoteReference"/>
          <w:rFonts w:eastAsia="Arial Unicode MS"/>
          <w:noProof/>
        </w:rPr>
        <w:footnoteReference w:id="5"/>
      </w:r>
      <w:r>
        <w:rPr>
          <w:noProof/>
        </w:rPr>
        <w:t xml:space="preserve"> (т.е. срокът му изтече на 31 декември 2020 г.), като в него се определят възможностите за риболов за флота на Съюза и съответното финансово участие, което трябва да бъде платено от Съюза и корабособствениците от ЕС.</w:t>
      </w:r>
    </w:p>
    <w:p>
      <w:pPr>
        <w:rPr>
          <w:noProof/>
          <w:szCs w:val="24"/>
        </w:rPr>
      </w:pPr>
      <w:r>
        <w:rPr>
          <w:noProof/>
        </w:rPr>
        <w:t>Новото споразумение за партньорство в областта на устойчивото рибарство и протоколът за неговото изпълнение са насочени към приоритетите на реформираната обща политика в областта на рибарството</w:t>
      </w:r>
      <w:r>
        <w:rPr>
          <w:rStyle w:val="FootnoteReference"/>
          <w:noProof/>
        </w:rPr>
        <w:footnoteReference w:id="6"/>
      </w:r>
      <w:r>
        <w:rPr>
          <w:noProof/>
        </w:rPr>
        <w:t xml:space="preserve"> и нейното външно измерение</w:t>
      </w:r>
      <w:r>
        <w:rPr>
          <w:rStyle w:val="FootnoteReference"/>
          <w:rFonts w:eastAsia="Calibri"/>
          <w:noProof/>
          <w:lang w:eastAsia="en-GB"/>
        </w:rPr>
        <w:footnoteReference w:id="7"/>
      </w:r>
      <w:r>
        <w:rPr>
          <w:noProof/>
        </w:rPr>
        <w:t>, като целта е да се съхрани и укрепи стратегическото партньорство в областта на рибарството между Европейския съюз и правителствата на Гренландия и Дания.</w:t>
      </w:r>
    </w:p>
    <w:p>
      <w:pPr>
        <w:pBdr>
          <w:top w:val="nil"/>
          <w:left w:val="nil"/>
          <w:bottom w:val="nil"/>
          <w:right w:val="nil"/>
          <w:between w:val="nil"/>
          <w:bar w:val="nil"/>
        </w:pBdr>
        <w:spacing w:before="0" w:after="240"/>
        <w:rPr>
          <w:noProof/>
        </w:rPr>
      </w:pPr>
      <w:r>
        <w:rPr>
          <w:noProof/>
        </w:rPr>
        <w:t xml:space="preserve">Целта на протокола е на корабите на Съюза да се предоставят възможности за риболов във водите на Гренландия въз основа на най-добрите налични научни становища и при </w:t>
      </w:r>
      <w:r>
        <w:rPr>
          <w:noProof/>
        </w:rPr>
        <w:lastRenderedPageBreak/>
        <w:t xml:space="preserve">спазване на препоръките на Международния съвет за изследване на морето (ICES), Организацията за риболова в северозападната част на Атлантическия океан (NAFO) и Комисията за риболова в североизточните части на Атлантическия океан (NEAFC). Позицията на Комисията се основава частично върху резултатите от оценката на предишното споразумение и на протокола към него, както и на прогнозната оценка за необходимостта от сключване на ново споразумение и нов протокол. Протоколът също така позволява на Европейския съюз и на Гренландия да работят в по-тясно сътрудничество, така че да се насърчи отговорното използване на рибните ресурси във водите на Гренландия и да се подпомогнат полаганите от нейното правителство усилия за развитие на риболовния отрасъл, което е в интерес и на двете страни. </w:t>
      </w:r>
    </w:p>
    <w:p>
      <w:pPr>
        <w:rPr>
          <w:noProof/>
          <w:szCs w:val="24"/>
        </w:rPr>
      </w:pPr>
      <w:r>
        <w:rPr>
          <w:noProof/>
        </w:rPr>
        <w:t xml:space="preserve">Видовете, обхванати от новия протокол, са атлантическа треска, пелагичен морски костур, дънен морски костур, черна писия, северна скарида, макрурус, мойва и скумрия. В новия протокол се предвиждат възможности за риболов за 12 кораба. Пряк риболовен интерес от него имат шест държави — членки на ЕС: Дания, Франция, Германия, Полша, Литва и Швеция; такъв интерес, макар в по-малка степен, имат също Испания и Португалия. </w:t>
      </w:r>
    </w:p>
    <w:p>
      <w:pPr>
        <w:rPr>
          <w:noProof/>
          <w:szCs w:val="24"/>
        </w:rPr>
      </w:pPr>
      <w:r>
        <w:rPr>
          <w:noProof/>
        </w:rPr>
        <w:t>В замяна на предоставените възможности за риболов ЕС ще отпусне на Гренландия годишна финансова компенсация в размер на 16 521 754 EUR, от които 2 931 000 EUR са предназначени за подпомагане на нейната политика в областта на рибарството.</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Договарянето на ново споразумение за партньорство в областта на устойчивото рибарство и на протокол за неговото изпълнение е част от външната дейност на ЕС по отношение на отвъдморските страни и територии.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rFonts w:eastAsia="Arial Unicode MS"/>
          <w:noProof/>
          <w:u w:color="000000"/>
          <w:bdr w:val="nil"/>
        </w:rPr>
      </w:pPr>
      <w:r>
        <w:rPr>
          <w:noProof/>
        </w:rPr>
        <w:t>Правното основание е член 43, параграф 2 от Договора за функционирането на Европейския съюз, с който се установява общата политика в областта на рибарството, както и член 218, параграф 5 от същия договор, в който се предвиждат подписването и възможността за временно прилагане на споразумения между ЕС и трети държави.</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 на Европейския съюз.</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Предложението е пропорционално на определената в член 31 от Регламента за общата политика в областта на рибарството цел за осигуряване на правна, екологична, икономическа и социална рамка за управление на риболовните дейности, извършвани от корабите на ЕС във водите на трети държави. То е съобразено както с посочените разпоредби, така и със съдържащите се в член 32 от същия регламент разпоредби относно финансовата помощ за трети държави.</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Последващата оценка беше извършена между април и август 2019 г. По време на последващата оценка на протокола за периода 2016—2020 г. бяха проведени консултации със заинтересованите страни. Беше извършено и допитване до експерти на държавите членки в рамките на технически срещи. В хода на тези консултации се наложи изводът, че би било целесъобразно да се поднови протоколът с правителствата на Гренландия и Дания.  Това подновяване беше счетено за целесъобразно най-вече поради следните причини: от една страна, тъй като споразумението за партньорство в областта на рибарството и протоколът имат съществено значение за нуждите на ЕС, свързани с осигуряване на достъп на неговия флот и подпомагане на научното сътрудничество и устойчивата експлоатация, а от друга страна, тъй като споразумението е от значение за правителството на Гренландия по отношение на сътрудничеството с ЕС.</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rPr>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органа за управление на рибарството и представители на гражданското общество на Гренландия. Бяха проведени също така дискусии в рамките на Консултативния съвет по далечно плаване.</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spacing w:before="0" w:after="240"/>
        <w:rPr>
          <w:rFonts w:eastAsia="Arial Unicode MS"/>
          <w:noProof/>
          <w:u w:color="000000"/>
          <w:bdr w:val="nil"/>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rPr>
          <w:noProof/>
        </w:rPr>
        <w:t>4.</w:t>
      </w:r>
      <w:r>
        <w:rPr>
          <w:noProof/>
        </w:rPr>
        <w:tab/>
        <w:t>ОТРАЖЕНИЕ ВЪРХУ БЮДЖЕТА</w:t>
      </w:r>
    </w:p>
    <w:p>
      <w:pPr>
        <w:rPr>
          <w:noProof/>
        </w:rPr>
      </w:pPr>
      <w:r>
        <w:rPr>
          <w:noProof/>
        </w:rPr>
        <w:t>Годишното финансово участие на Европейския съюз възлиза на 16 521 754 EUR и е въз основа на:</w:t>
      </w:r>
    </w:p>
    <w:p>
      <w:pPr>
        <w:pStyle w:val="Point0"/>
        <w:rPr>
          <w:noProof/>
        </w:rPr>
      </w:pPr>
      <w:r>
        <w:rPr>
          <w:noProof/>
        </w:rPr>
        <w:t>а)</w:t>
      </w:r>
      <w:r>
        <w:rPr>
          <w:noProof/>
        </w:rPr>
        <w:tab/>
        <w:t>годишна сума за достъп до рибните ресурси за предвидените в протокола категории, определена в размер на 13 590 754 EUR за срока на действие на протокола;</w:t>
      </w:r>
    </w:p>
    <w:p>
      <w:pPr>
        <w:pStyle w:val="Point0"/>
        <w:rPr>
          <w:noProof/>
        </w:rPr>
      </w:pPr>
      <w:r>
        <w:rPr>
          <w:noProof/>
        </w:rPr>
        <w:t>б)</w:t>
      </w:r>
      <w:r>
        <w:rPr>
          <w:noProof/>
        </w:rPr>
        <w:tab/>
        <w:t>подкрепа за развитието на гренландската секторна политика в областта на рибарството в размер на 2 931 000 EUR за срока на действие на протокола. Тази подкрепа отговаря на целите на националната политика в областта на устойчивото управление на морските рибни ресурси на Гренландия за целия срок на действие на протокола.</w:t>
      </w:r>
    </w:p>
    <w:p>
      <w:pPr>
        <w:rPr>
          <w:noProof/>
        </w:rPr>
      </w:pPr>
      <w:r>
        <w:rPr>
          <w:noProof/>
        </w:rPr>
        <w:t>Годишният размер на бюджетните кредити за поети задължения и за плащания се определя в рамките на годишната бюджетна процедура, включително за бюджетния ред с резервни средства, по отношение на протоколите, които още не са влезли в сила към началото на годината</w:t>
      </w:r>
      <w:r>
        <w:rPr>
          <w:rStyle w:val="FootnoteReference"/>
          <w:noProof/>
        </w:rPr>
        <w:footnoteReference w:id="8"/>
      </w:r>
      <w:r>
        <w:rPr>
          <w:noProof/>
        </w:rPr>
        <w:t>.</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наблюдение, оценка и докладване</w:t>
      </w:r>
    </w:p>
    <w:p>
      <w:pPr>
        <w:spacing w:before="0" w:after="240"/>
        <w:rPr>
          <w:rFonts w:eastAsia="Arial Unicode MS"/>
          <w:noProof/>
        </w:rPr>
      </w:pPr>
      <w:r>
        <w:rPr>
          <w:noProof/>
        </w:rPr>
        <w:t>Механизмът за наблюдение е предвиден в протокола за изпълнение на новото споразумение за партньорство.</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и временно прилагане на Споразумението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 и на протокола за неговото изпълнение</w:t>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43, параграф 2 във връзка с член 218, параграф 5 от него,</w:t>
      </w:r>
    </w:p>
    <w:p>
      <w:pPr>
        <w:rPr>
          <w:rFonts w:eastAsia="Calibri"/>
          <w:noProof/>
          <w:szCs w:val="24"/>
        </w:rPr>
      </w:pPr>
      <w:r>
        <w:rPr>
          <w:noProof/>
          <w:color w:val="444444"/>
          <w:szCs w:val="24"/>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Комисията проведе преговори от името на Европейския съюз за ново Споразумение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 („споразумение за партньорство“), както и за нов протокол за неговото изпълнение.</w:t>
      </w:r>
    </w:p>
    <w:p>
      <w:pPr>
        <w:pStyle w:val="ManualConsidrant"/>
        <w:rPr>
          <w:noProof/>
        </w:rPr>
      </w:pPr>
      <w:r>
        <w:t>(2)</w:t>
      </w:r>
      <w:r>
        <w:tab/>
      </w:r>
      <w:r>
        <w:rPr>
          <w:noProof/>
        </w:rPr>
        <w:t>Преговорите завършиха с парафиране на споразумението за партньорство и на протокола за неговото изпълнение на 11 януари 2021 г.</w:t>
      </w:r>
    </w:p>
    <w:p>
      <w:pPr>
        <w:pStyle w:val="ManualConsidrant"/>
        <w:rPr>
          <w:noProof/>
        </w:rPr>
      </w:pPr>
      <w:r>
        <w:t>(3)</w:t>
      </w:r>
      <w:r>
        <w:tab/>
      </w:r>
      <w:r>
        <w:rPr>
          <w:noProof/>
        </w:rPr>
        <w:t>Със споразумението за партньорство се отменя предишната спогодба, сключена между Европейската общност, от една страна, и правителството на Дания и автономното правителство на Гренландия, от друга страна, която влезе в сила на 28 юни 2007 г.</w:t>
      </w:r>
    </w:p>
    <w:p>
      <w:pPr>
        <w:pStyle w:val="ManualConsidrant"/>
        <w:rPr>
          <w:noProof/>
        </w:rPr>
      </w:pPr>
      <w:r>
        <w:t>(4)</w:t>
      </w:r>
      <w:r>
        <w:tab/>
      </w:r>
      <w:r>
        <w:rPr>
          <w:noProof/>
        </w:rPr>
        <w:t>Целта на протокола е да се даде възможност на Европейския съюз, правителството на Дания и правителството на Гренландия да работят в по-тясно сътрудничество за по-нататъшно насърчаване на развитието на политика за устойчиво рибарство и за отговорно използване на рибните ресурси във водите на Гренландия.</w:t>
      </w:r>
    </w:p>
    <w:p>
      <w:pPr>
        <w:pStyle w:val="ManualConsidrant"/>
        <w:rPr>
          <w:noProof/>
        </w:rPr>
      </w:pPr>
      <w:r>
        <w:t>(5)</w:t>
      </w:r>
      <w:r>
        <w:tab/>
      </w:r>
      <w:r>
        <w:rPr>
          <w:noProof/>
        </w:rPr>
        <w:t>В член 15 от споразумението за партньорство и член 12 от протокола за неговото изпълнение се предвижда съответно временното им прилагане от датата на тяхното подписване.</w:t>
      </w:r>
    </w:p>
    <w:p>
      <w:pPr>
        <w:pStyle w:val="ManualConsidrant"/>
        <w:rPr>
          <w:noProof/>
        </w:rPr>
      </w:pPr>
      <w:r>
        <w:t>(6)</w:t>
      </w:r>
      <w:r>
        <w:tab/>
      </w:r>
      <w:r>
        <w:rPr>
          <w:noProof/>
        </w:rPr>
        <w:t>Съответно се разрешава подписването на споразумението за партньорство и на протокола за неговото изпълнение.</w:t>
      </w:r>
    </w:p>
    <w:p>
      <w:pPr>
        <w:pStyle w:val="ManualConsidrant"/>
        <w:rPr>
          <w:noProof/>
        </w:rPr>
      </w:pPr>
      <w:r>
        <w:t>(7)</w:t>
      </w:r>
      <w:r>
        <w:tab/>
      </w:r>
      <w:r>
        <w:rPr>
          <w:noProof/>
        </w:rPr>
        <w:t xml:space="preserve">С цел да се осигури скорошно започване на риболовните дейности на корабите на Съюза споразумението за партньорство и протоколът за неговото изпълнение следва да се прилагат временно от датата на подписването им, при условие че влязат в сила на по-късна дата, </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keepNext/>
        <w:rPr>
          <w:noProof/>
        </w:rPr>
      </w:pPr>
      <w:r>
        <w:rPr>
          <w:noProof/>
        </w:rPr>
        <w:t xml:space="preserve">Подписването на Споразумението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 („споразумението за партньорство“) и на протокола за неговото изпълнение се разрешава от името на Съюза, при условие че тези актове бъдат сключени. </w:t>
      </w:r>
    </w:p>
    <w:p>
      <w:pPr>
        <w:rPr>
          <w:noProof/>
        </w:rPr>
      </w:pPr>
      <w:r>
        <w:rPr>
          <w:noProof/>
        </w:rPr>
        <w:t>Текстовете на споразумението и на протокола за неговото изпълнение са приложени към настоящото решение.</w:t>
      </w:r>
    </w:p>
    <w:p>
      <w:pPr>
        <w:pStyle w:val="Titrearticle"/>
        <w:keepNext w:val="0"/>
        <w:rPr>
          <w:noProof/>
        </w:rPr>
      </w:pPr>
      <w:r>
        <w:rPr>
          <w:noProof/>
        </w:rPr>
        <w:t>Член 2</w:t>
      </w:r>
    </w:p>
    <w:p>
      <w:pPr>
        <w:rPr>
          <w:noProof/>
        </w:rPr>
      </w:pPr>
      <w:r>
        <w:rPr>
          <w:noProof/>
        </w:rPr>
        <w:t>Генералният секретариат на Съвета изготвя акта за предоставяне на пълномощия за подписване на споразумението за партньорство и на протокола за неговото изпълнение, при условие че те бъдат сключени, на лицето или лицата, посочени от преговарящия по споразумението.</w:t>
      </w:r>
    </w:p>
    <w:p>
      <w:pPr>
        <w:pStyle w:val="Titrearticle"/>
        <w:rPr>
          <w:noProof/>
        </w:rPr>
      </w:pPr>
      <w:r>
        <w:rPr>
          <w:noProof/>
        </w:rPr>
        <w:t>Член 3</w:t>
      </w:r>
    </w:p>
    <w:p>
      <w:pPr>
        <w:keepNext/>
        <w:rPr>
          <w:noProof/>
        </w:rPr>
      </w:pPr>
      <w:r>
        <w:rPr>
          <w:noProof/>
        </w:rPr>
        <w:t>От датата на подписване до влизането в сила на споразумението за партньорство то се прилага временно в съответствие с член 15 от него.</w:t>
      </w:r>
    </w:p>
    <w:p>
      <w:pPr>
        <w:pStyle w:val="Titrearticle"/>
        <w:rPr>
          <w:noProof/>
        </w:rPr>
      </w:pPr>
      <w:r>
        <w:rPr>
          <w:noProof/>
        </w:rPr>
        <w:t>Член 4</w:t>
      </w:r>
    </w:p>
    <w:p>
      <w:pPr>
        <w:keepNext/>
        <w:rPr>
          <w:noProof/>
        </w:rPr>
      </w:pPr>
      <w:r>
        <w:rPr>
          <w:noProof/>
        </w:rPr>
        <w:t>От датата на подписване до влизането в сила на протокола за изпълнение той се прилага временно в съответствие с член 12 от него.</w:t>
      </w:r>
    </w:p>
    <w:p>
      <w:pPr>
        <w:pStyle w:val="Titrearticle"/>
        <w:rPr>
          <w:noProof/>
        </w:rPr>
      </w:pPr>
      <w:r>
        <w:rPr>
          <w:noProof/>
        </w:rPr>
        <w:t>Член 5</w:t>
      </w:r>
    </w:p>
    <w:p>
      <w:pPr>
        <w:keepNext/>
        <w:rPr>
          <w:noProof/>
        </w:rPr>
      </w:pPr>
      <w:r>
        <w:rPr>
          <w:noProof/>
        </w:rPr>
        <w:t xml:space="preserve">Настоящото решение влиза в сила в деня след деня на публикуването му в </w:t>
      </w:r>
      <w:r>
        <w:rPr>
          <w:i/>
          <w:iCs/>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szCs w:val="24"/>
        </w:rPr>
      </w:pPr>
      <w:r>
        <w:rPr>
          <w:noProof/>
          <w:color w:val="000000"/>
          <w:szCs w:val="24"/>
        </w:rPr>
        <w:t>Предложение за Решение на Съвета за подписване от името на Европейския съюз и временно прилагане на Споразумението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 и на протокола за неговото изпълнение.</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9"/>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 —Задължителни вноски в регионалните организации за управление на рибарството и в други международни организации и споразумения за устойчиво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11.03.01 — Установяване на рамка за управление на риболовните дейности, извършвани от риболовните кораби на Съюза във водите на трети държави</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rPr>
        <w:t xml:space="preserve">X Предложението/инициативата е във връзка с </w:t>
      </w:r>
      <w:r>
        <w:rPr>
          <w:b/>
          <w:bCs/>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bCs/>
          <w:noProof/>
        </w:rPr>
        <w:t>ново действие след пилотен проект/подготвително действие</w:t>
      </w:r>
      <w:r>
        <w:rPr>
          <w:rStyle w:val="FootnoteReference"/>
          <w:b/>
          <w:noProof/>
        </w:rPr>
        <w:footnoteReference w:id="10"/>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bCs/>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bCs/>
          <w:noProof/>
        </w:rPr>
        <w:t>действие, пренасочено към ново действие</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 на достъп на риболовните кораби на ЕС до риболовните зони на трети държави и за развиване на партньорство с тези държави с оглед укрепване на устойчивата експлоатация на рибните ресурси извън водите на ЕС.</w:t>
      </w:r>
    </w:p>
    <w:p>
      <w:pPr>
        <w:pStyle w:val="Text1"/>
        <w:pBdr>
          <w:top w:val="single" w:sz="4" w:space="1" w:color="auto"/>
          <w:left w:val="single" w:sz="4" w:space="4" w:color="auto"/>
          <w:bottom w:val="single" w:sz="4" w:space="1" w:color="auto"/>
          <w:right w:val="single" w:sz="4" w:space="4" w:color="auto"/>
        </w:pBdr>
        <w:rPr>
          <w:noProof/>
        </w:rPr>
      </w:pPr>
      <w:r>
        <w:rPr>
          <w:noProof/>
        </w:rPr>
        <w:t>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партньори в глобалната икономика, както и по-добро политическо и финансово управление на рибарството).</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w:t>
      </w:r>
    </w:p>
    <w:p>
      <w:pPr>
        <w:pStyle w:val="Text1"/>
        <w:pBdr>
          <w:top w:val="single" w:sz="4" w:space="1" w:color="auto"/>
          <w:left w:val="single" w:sz="4" w:space="4" w:color="auto"/>
          <w:bottom w:val="single" w:sz="4" w:space="1" w:color="auto"/>
          <w:right w:val="single" w:sz="4" w:space="4" w:color="auto"/>
        </w:pBdr>
        <w:rPr>
          <w:noProof/>
        </w:rPr>
      </w:pPr>
      <w:r>
        <w:rPr>
          <w:noProof/>
        </w:rPr>
        <w:t>Да се допринесе за устойчивия риболов извън водите на ЕС,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Style w:val="ManualHeading3"/>
        <w:rPr>
          <w:bCs/>
          <w:noProof/>
          <w:szCs w:val="24"/>
        </w:rPr>
      </w:pPr>
      <w:r>
        <w:t>1.4.3.</w:t>
      </w:r>
      <w:r>
        <w:tab/>
      </w:r>
      <w:r>
        <w:rPr>
          <w:noProof/>
        </w:rPr>
        <w:t>Очаквани резултати и въздействие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Сключването на споразумението и на протокола за неговото изпълнение дава възможност за продължаване и укрепване на стратегическото партньорство в областта на рибарството между Европейския съюз и Гренландия. Сключването на протокола ще създаде възможности за риболов за корабите на Съюза в риболовната зона на Гренландия.</w:t>
      </w:r>
    </w:p>
    <w:p>
      <w:pPr>
        <w:pStyle w:val="Text1"/>
        <w:pBdr>
          <w:top w:val="single" w:sz="4" w:space="1" w:color="auto"/>
          <w:left w:val="single" w:sz="4" w:space="4" w:color="auto"/>
          <w:bottom w:val="single" w:sz="4" w:space="1" w:color="auto"/>
          <w:right w:val="single" w:sz="4" w:space="4" w:color="auto"/>
        </w:pBdr>
        <w:rPr>
          <w:noProof/>
        </w:rPr>
      </w:pPr>
      <w:r>
        <w:rPr>
          <w:noProof/>
        </w:rPr>
        <w:t>Споразумението и протоколът също така ще помогнат да се подобрят управлението и опазването на рибните ресурси чрез финансова подкрепа (секторна подкрепа) за изпълнение на програмите, приети на национално равнище от държавата партньор, и по-конкретно за засилване на наблюдението, контрола и надзора.</w:t>
      </w:r>
    </w:p>
    <w:p>
      <w:pPr>
        <w:pStyle w:val="Text1"/>
        <w:pBdr>
          <w:top w:val="single" w:sz="4" w:space="1" w:color="auto"/>
          <w:left w:val="single" w:sz="4" w:space="4" w:color="auto"/>
          <w:bottom w:val="single" w:sz="4" w:space="1" w:color="auto"/>
          <w:right w:val="single" w:sz="4" w:space="4" w:color="auto"/>
        </w:pBdr>
        <w:rPr>
          <w:noProof/>
        </w:rPr>
      </w:pPr>
      <w:r>
        <w:rPr>
          <w:noProof/>
        </w:rPr>
        <w:t>На последно място, споразумението и протоколът ще допринесат за устойчивата експлоатация от страна на Гренландия на нейните морски ресурси и за гренландския сектор на рибарството, като насърчават растежа, свързан с икономическите дейности в областта на рибарството.</w:t>
      </w:r>
    </w:p>
    <w:p>
      <w:pPr>
        <w:pStyle w:val="ManualHeading3"/>
        <w:rPr>
          <w:bCs/>
          <w:noProof/>
          <w:szCs w:val="24"/>
        </w:rPr>
      </w:pPr>
      <w:r>
        <w:t>1.4.4.</w:t>
      </w:r>
      <w:r>
        <w:tab/>
      </w:r>
      <w:r>
        <w:rPr>
          <w:noProof/>
        </w:rPr>
        <w:t xml:space="preserve">Показатели за резултатите и за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съгласно протокола).</w:t>
      </w:r>
    </w:p>
    <w:p>
      <w:pPr>
        <w:pStyle w:val="Text1"/>
        <w:pBdr>
          <w:top w:val="single" w:sz="4" w:space="1" w:color="auto"/>
          <w:left w:val="single" w:sz="4" w:space="4" w:color="auto"/>
          <w:bottom w:val="single" w:sz="4" w:space="1" w:color="auto"/>
          <w:right w:val="single" w:sz="4" w:space="4" w:color="auto"/>
        </w:pBdr>
        <w:rPr>
          <w:noProof/>
        </w:rPr>
      </w:pPr>
      <w:r>
        <w:rPr>
          <w:noProof/>
        </w:rPr>
        <w:t>Данни за улова (събиране и анализ) и търговска стойност на споразумението.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добавената стойност в ЕС и към стабилизиране на пазара на ЕС (заедно с други СПОУР).</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подобряването на изследователската работа, надзора и контрола на риболовната дейност от държавата партньор и към развитието на нейния сектор на рибарството.</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Изисквания, които трябва да бъдат изпълнени в краткосрочна или дългосрочна перспектива </w:t>
      </w:r>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новото споразумение и протоколът за неговото изпълнение да се прилагат временно от датата на подписване, за да се ограничи прекъсването на риболовните операции, които в момента се извършват по силата на действащия протокол.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Новото споразумение и протоколът ще осигурят рамка за риболовните дейности на флота на Съюза в риболовната зона на Гренландия и ще позволят на корабособствениците от ЕС да подават заявления за разрешения за извършване на риболов в тази зона. С тях също така се укрепва сътрудничеството между ЕС и Гренландия, като целта е да се насърчи развитието на устойчива политика в областта на рибарството. В споразумението и протокола по-конкретно се предвижда наблюдение на корабите чрез VMS и съобщаване на данните за улова по електронен път. Секторната подкрепа, предоставяна съгласно протокола, ще помогне на Гренландия да изпълнява националната си стратегия в областта на рибарството. </w:t>
      </w:r>
    </w:p>
    <w:p>
      <w:pPr>
        <w:pStyle w:val="ManualHeading3"/>
        <w:rPr>
          <w:bCs/>
          <w:noProof/>
          <w:szCs w:val="24"/>
        </w:rPr>
      </w:pPr>
      <w:r>
        <w:t>1.5.2.</w:t>
      </w:r>
      <w:r>
        <w:tab/>
      </w:r>
      <w:r>
        <w:rPr>
          <w:noProof/>
        </w:rPr>
        <w:t>Добавена стойност от участието на ЕС</w:t>
      </w:r>
    </w:p>
    <w:p>
      <w:pPr>
        <w:pStyle w:val="Text1"/>
        <w:pBdr>
          <w:top w:val="single" w:sz="4" w:space="1" w:color="auto"/>
          <w:left w:val="single" w:sz="4" w:space="4" w:color="auto"/>
          <w:bottom w:val="single" w:sz="4" w:space="1" w:color="auto"/>
          <w:right w:val="single" w:sz="4" w:space="4" w:color="auto"/>
        </w:pBdr>
        <w:rPr>
          <w:noProof/>
        </w:rPr>
      </w:pPr>
      <w:r>
        <w:rPr>
          <w:noProof/>
        </w:rPr>
        <w:t>В случай че Съюзът не договори ново споразумение и протокол, това би възпрепятствало риболовните дейности на неговите кораби, тъй като действащото в момента споразумение съдържа клауза, изключваща риболовни дейности, които не се извършват съгласно протокола към споразумението. Следователно е налице ясно изразена добавена стойност за флота за далечно плаване на ЕС. Протоколът предоставя също така рамка за засилено сътрудничество между Съюза и Гренландия.</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Средствата, предоставени като финансова компенсация за достъпа съгласно СПОУР, представляват приходи в националния бюджет на Гренландия, които не са определени за конкретни цели. Независимо от това средствата, предназначени за секторна подкрепа, се предоставят (обикновено чрез вписване в годишния закон за държавния бюджет) на компетентното министерство по въпросите на рибарството, като това е условие за сключването и наблюдението на СПОУР. Тези финансови ресурси са съвместими с други източници на финансиране от други международни донори за осъществяването на проекти и/или програми в сектора на рибарството, провеждани на национално равнище.</w:t>
      </w:r>
    </w:p>
    <w:p>
      <w:pPr>
        <w:pStyle w:val="ManualHeading3"/>
        <w:rPr>
          <w:bCs/>
          <w:noProof/>
          <w:szCs w:val="24"/>
        </w:rPr>
      </w:pPr>
      <w:r>
        <w:t>1.5.4.</w:t>
      </w:r>
      <w:r>
        <w:tab/>
      </w:r>
      <w:r>
        <w:rPr>
          <w:noProof/>
        </w:rPr>
        <w:t>Съгласуваност и възможности за полезно взаимодействие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t>1.6.</w:t>
      </w:r>
      <w:r>
        <w:tab/>
      </w:r>
      <w:r>
        <w:rPr>
          <w:noProof/>
        </w:rPr>
        <w:t xml:space="preserve">Срок на действие и финансово отражение </w:t>
      </w:r>
    </w:p>
    <w:p>
      <w:pPr>
        <w:pStyle w:val="Text1"/>
        <w:rPr>
          <w:noProof/>
        </w:rPr>
      </w:pPr>
      <w:r>
        <w:rPr>
          <w:noProof/>
        </w:rPr>
        <w:t xml:space="preserve">Предложение с </w:t>
      </w:r>
      <w:r>
        <w:rPr>
          <w:b/>
          <w:bCs/>
          <w:noProof/>
        </w:rPr>
        <w:t>ограничен срок на действие</w:t>
      </w:r>
      <w:r>
        <w:rPr>
          <w:b/>
          <w:noProof/>
        </w:rPr>
        <w:t xml:space="preserve"> </w:t>
      </w:r>
    </w:p>
    <w:p>
      <w:pPr>
        <w:pStyle w:val="ListDash2"/>
        <w:rPr>
          <w:noProof/>
        </w:rPr>
      </w:pPr>
      <w:r>
        <w:rPr>
          <w:noProof/>
        </w:rPr>
        <w:t>X</w:t>
      </w:r>
      <w:r>
        <w:rPr>
          <w:noProof/>
        </w:rPr>
        <w:tab/>
        <w:t xml:space="preserve">Предложение/инициатива в сила от 2021 г. до 2026 г. </w:t>
      </w:r>
    </w:p>
    <w:p>
      <w:pPr>
        <w:pStyle w:val="ListDash2"/>
        <w:rPr>
          <w:noProof/>
        </w:rPr>
      </w:pPr>
      <w:r>
        <w:rPr>
          <w:noProof/>
        </w:rPr>
        <w:t>X</w:t>
      </w:r>
      <w:r>
        <w:rPr>
          <w:noProof/>
        </w:rPr>
        <w:tab/>
        <w:t xml:space="preserve">Финансово отражение — от 2021 г. до 2025 г. </w:t>
      </w:r>
    </w:p>
    <w:p>
      <w:pPr>
        <w:pStyle w:val="Text1"/>
        <w:rPr>
          <w:noProof/>
        </w:rPr>
      </w:pPr>
      <w:r>
        <w:rPr>
          <w:noProof/>
        </w:rPr>
        <w:sym w:font="Wingdings" w:char="F0A8"/>
      </w:r>
      <w:r>
        <w:rPr>
          <w:b/>
          <w:i/>
          <w:noProof/>
        </w:rPr>
        <w:t xml:space="preserve"> </w:t>
      </w:r>
      <w:r>
        <w:rPr>
          <w:noProof/>
        </w:rPr>
        <w:t xml:space="preserve">Предложение/инициатива с </w:t>
      </w:r>
      <w:r>
        <w:rPr>
          <w:b/>
          <w:bCs/>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1"/>
      </w:r>
      <w:r>
        <w:rPr>
          <w:rStyle w:val="FootnoteReference"/>
          <w:noProof/>
        </w:rPr>
        <w:t xml:space="preserve">  </w:t>
      </w:r>
    </w:p>
    <w:p>
      <w:pPr>
        <w:pStyle w:val="Text1"/>
        <w:rPr>
          <w:noProof/>
        </w:rPr>
      </w:pPr>
      <w:r>
        <w:rPr>
          <w:noProof/>
        </w:rPr>
        <w:t xml:space="preserve">X </w:t>
      </w:r>
      <w:r>
        <w:rPr>
          <w:b/>
          <w:bCs/>
          <w:noProof/>
        </w:rPr>
        <w:t>Пряко управление</w:t>
      </w:r>
      <w:r>
        <w:rPr>
          <w:noProof/>
        </w:rPr>
        <w:t xml:space="preserve"> от Комисията </w:t>
      </w:r>
    </w:p>
    <w:p>
      <w:pPr>
        <w:pStyle w:val="ListDash2"/>
        <w:rPr>
          <w:rFonts w:cs="EUAlbertina"/>
          <w:noProof/>
        </w:rPr>
      </w:pPr>
      <w:r>
        <w:rPr>
          <w:noProof/>
        </w:rPr>
        <w:t xml:space="preserve">X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bCs/>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bCs/>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да се поясни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t xml:space="preserve"> </w:t>
      </w: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(ГД „Морско дело и рибарство“) осигурява редовно наблюдение върху изпълнението на протокола по отношение на оползотворяването на възможностите за риболов от страна на операторите, данните за улова и спазването на изискванията за секторната подкрепа. </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СПОУР се предвижда поне по едно ежегодно заседание на Съвместния комитет, по време на което Комисията и Гренландия да разгледат изпълнението на споразумението и на протокола, като при необходимост внесат корекции в програмното планиране и във финансовото участие.</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Плащанията се извършват отделно за вноските във връзка с достъпа и вноските за секторна подкрепа.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Плащанията във връзка с достъпа се извършват ежегодно на датата на годишнината на протокола, с изключение на първата година, когато плащането се извършва в срок от три месеца след началната дата на временното прилагане. Достъпът на корабите се контролира чрез издаването на разрешения за риболов. </w:t>
      </w:r>
    </w:p>
    <w:p>
      <w:pPr>
        <w:pStyle w:val="Text1"/>
        <w:pBdr>
          <w:top w:val="single" w:sz="4" w:space="1" w:color="auto"/>
          <w:left w:val="single" w:sz="4" w:space="4" w:color="auto"/>
          <w:bottom w:val="single" w:sz="4" w:space="1" w:color="auto"/>
          <w:right w:val="single" w:sz="4" w:space="4" w:color="auto"/>
        </w:pBdr>
        <w:rPr>
          <w:noProof/>
        </w:rPr>
      </w:pPr>
      <w:r>
        <w:rPr>
          <w:noProof/>
        </w:rPr>
        <w:t>Първото плащане на помощта ще бъде в срок от три месеца след началото на временното прилагане, при условие че се постигне договореност за годишна и многогодишна програма за изпълнение; за следващите години плащанията ще бъдат обвързани с постигнатите резултати. Постигнатите резултати и степента на изпълнение ще бъдат подложени на наблюдение в съответствие с Насоките за изпълнение на секторната подкрепа за политиката в областта на рибарството на Гренландия, за които страните трябва да се договорят, като това ще стане на базата на доклади или на документални свидетелства, предоставени от държавата партньор.</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Установеният риск се състои в недостатъчното използване на възможностите за риболов от корабособствениците от ЕС и в недостатъчното или забавеното използване на средствата, предназначени за финансиране на гренландската секторна политика в областта на рибарството. Предвижда се задълбочен диалог за програмното планиране и изпълнението на секторната политика съгласно споразумението и протокола. Съвместният анализ на резултатите, посочен в член 4 от протокола, също представлява част от тези методи за контрол. Наред с това в споразумението и протокола се предвиждат конкретни клаузи за временното им преустановяване при определени условия и обстоятелства.</w:t>
      </w:r>
    </w:p>
    <w:p>
      <w:pPr>
        <w:pStyle w:val="ManualHeading3"/>
        <w:rPr>
          <w:noProof/>
        </w:rPr>
      </w:pPr>
      <w:r>
        <w:t>2.2.3.</w:t>
      </w:r>
      <w:r>
        <w:tab/>
      </w:r>
      <w:r>
        <w:rPr>
          <w:noProof/>
        </w:rPr>
        <w:t xml:space="preserve">Оценка на разходите и ползите от проверките и на очакваната степен на риска от грешки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Плащанията на разходите за достъп по силата на СПОУР са обект на проверки, с които да се гарантира, че съответстват на разпоредбите на международните споразумения. Целта на проверките, свързани със секторната подкрепа, е да се извърши наблюдение на нейното изпълнение. Наблюдението се извършва от персонала на Комисията в делегациите на ЕС, както и по време на заседанията на Съвместния комитет. За оценяването на напредъка се използва матрица за многогодишно програмно планиране. В случай че напредъкът е недостатъчен, не се пристъпва към изплащане на следващия транш или е възможно неговият размер да се намали. Общите разходи за проверки на всички СПОУР се изчисляват на около 1,8 % (от финансовото участие за 2018 г.). Процедурите за проверки на СПОУР до голяма степен са на базата на основни регулаторни изисквания. Ако не бъдат установени слабости, които биха могли да окажат съществено отражение върху законосъобразността и редовността на финансовите трансакции, проверките се считат за ефективни. Средният процент на грешка се оценява на 0,0 %.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се ангажира да установи политически диалог и редовно съгласуване с Гренландия с цел подобряване на управлението на споразумението и протокола и укрепване на приноса на Съюза към устойчивото управление на ресурсите. Всяко извършено от Комисията плащане по СПОУР е съобразено с нейните правила и обичайните ѝ бюджетни и финансови процедури. Това се отнася по-специално до пълното идентифициране на банковите сметки на третите държави, по които се превеждат сумите по финансовото участие. В съответствие с член 3, параграф 6 от протокола финансовото участие за достъп и финансовото участие за развитието на сектора се внасят по бюджетна сметка.</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0"/>
                <w:szCs w:val="20"/>
              </w:rPr>
            </w:pPr>
            <w:r>
              <w:rPr>
                <w:noProof/>
                <w:sz w:val="20"/>
                <w:szCs w:val="20"/>
              </w:rPr>
              <w:t xml:space="preserve">Вид на </w:t>
            </w:r>
            <w:r>
              <w:rPr>
                <w:noProof/>
                <w:sz w:val="20"/>
                <w:szCs w:val="20"/>
              </w:rPr>
              <w:br/>
              <w:t>разхода</w:t>
            </w:r>
          </w:p>
        </w:tc>
        <w:tc>
          <w:tcPr>
            <w:tcW w:w="4440" w:type="dxa"/>
            <w:gridSpan w:val="4"/>
            <w:vAlign w:val="center"/>
          </w:tcPr>
          <w:p>
            <w:pPr>
              <w:spacing w:before="60" w:after="60"/>
              <w:jc w:val="center"/>
              <w:rPr>
                <w:noProof/>
                <w:sz w:val="20"/>
                <w:szCs w:val="20"/>
              </w:rPr>
            </w:pPr>
            <w:r>
              <w:rPr>
                <w:noProof/>
                <w:sz w:val="20"/>
                <w:szCs w:val="20"/>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rPr>
              <w:t xml:space="preserve"> </w:t>
            </w:r>
            <w:r>
              <w:rPr>
                <w:noProof/>
              </w:rPr>
              <w:br/>
            </w:r>
          </w:p>
        </w:tc>
        <w:tc>
          <w:tcPr>
            <w:tcW w:w="1080" w:type="dxa"/>
            <w:vAlign w:val="center"/>
          </w:tcPr>
          <w:p>
            <w:pPr>
              <w:jc w:val="center"/>
              <w:rPr>
                <w:noProof/>
                <w:sz w:val="18"/>
                <w:szCs w:val="18"/>
              </w:rPr>
            </w:pPr>
            <w:r>
              <w:rPr>
                <w:noProof/>
                <w:sz w:val="18"/>
                <w:szCs w:val="18"/>
              </w:rPr>
              <w:t>Многогод./едногод.</w:t>
            </w:r>
            <w:r>
              <w:rPr>
                <w:rStyle w:val="FootnoteReference"/>
                <w:noProof/>
                <w:sz w:val="18"/>
                <w:szCs w:val="18"/>
              </w:rPr>
              <w:footnoteReference w:id="12"/>
            </w:r>
          </w:p>
        </w:tc>
        <w:tc>
          <w:tcPr>
            <w:tcW w:w="956" w:type="dxa"/>
            <w:vAlign w:val="center"/>
          </w:tcPr>
          <w:p>
            <w:pPr>
              <w:jc w:val="center"/>
              <w:rPr>
                <w:noProof/>
                <w:sz w:val="18"/>
                <w:szCs w:val="18"/>
              </w:rPr>
            </w:pPr>
            <w:r>
              <w:rPr>
                <w:noProof/>
                <w:sz w:val="18"/>
                <w:szCs w:val="18"/>
              </w:rPr>
              <w:t>от държави от ЕАСТ</w:t>
            </w:r>
            <w:r>
              <w:rPr>
                <w:rStyle w:val="FootnoteReference"/>
                <w:noProof/>
                <w:sz w:val="18"/>
                <w:szCs w:val="18"/>
              </w:rPr>
              <w:footnoteReference w:id="13"/>
            </w:r>
          </w:p>
          <w:p>
            <w:pPr>
              <w:spacing w:before="0" w:after="0"/>
              <w:jc w:val="center"/>
              <w:rPr>
                <w:b/>
                <w:noProof/>
                <w:sz w:val="18"/>
                <w:szCs w:val="18"/>
              </w:rPr>
            </w:pPr>
          </w:p>
        </w:tc>
        <w:tc>
          <w:tcPr>
            <w:tcW w:w="1080" w:type="dxa"/>
            <w:vAlign w:val="center"/>
          </w:tcPr>
          <w:p>
            <w:pPr>
              <w:jc w:val="center"/>
              <w:rPr>
                <w:noProof/>
                <w:sz w:val="18"/>
                <w:szCs w:val="18"/>
              </w:rPr>
            </w:pPr>
            <w:r>
              <w:rPr>
                <w:noProof/>
                <w:sz w:val="18"/>
                <w:szCs w:val="18"/>
              </w:rPr>
              <w:t>от държави кандидатки</w:t>
            </w:r>
            <w:r>
              <w:rPr>
                <w:rStyle w:val="FootnoteReference"/>
                <w:noProof/>
                <w:sz w:val="18"/>
                <w:szCs w:val="18"/>
              </w:rPr>
              <w:footnoteReference w:id="14"/>
            </w:r>
          </w:p>
          <w:p>
            <w:pPr>
              <w:spacing w:before="0" w:after="0"/>
              <w:jc w:val="center"/>
              <w:rPr>
                <w:noProof/>
                <w:sz w:val="18"/>
                <w:szCs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0"/>
                <w:szCs w:val="20"/>
              </w:rPr>
            </w:pPr>
            <w:r>
              <w:rPr>
                <w:noProof/>
                <w:sz w:val="20"/>
                <w:szCs w:val="20"/>
              </w:rPr>
              <w:t>11.03.01</w:t>
            </w:r>
          </w:p>
          <w:p>
            <w:pPr>
              <w:spacing w:before="60"/>
              <w:rPr>
                <w:noProof/>
                <w:sz w:val="20"/>
                <w:szCs w:val="20"/>
              </w:rPr>
            </w:pPr>
            <w:r>
              <w:rPr>
                <w:noProof/>
                <w:sz w:val="20"/>
                <w:szCs w:val="20"/>
              </w:rPr>
              <w:t>Установяване на рамка за управление на риболовните дейности, извършвани от риболовни кораби на Европейския съюз във водите на трети държави (СУР)</w:t>
            </w:r>
          </w:p>
          <w:p>
            <w:pPr>
              <w:spacing w:after="60"/>
              <w:rPr>
                <w:noProof/>
                <w:sz w:val="22"/>
              </w:rPr>
            </w:pPr>
            <w:r>
              <w:rPr>
                <w:noProof/>
                <w:sz w:val="22"/>
              </w:rPr>
              <w:t xml:space="preserve"> </w:t>
            </w:r>
          </w:p>
        </w:tc>
        <w:tc>
          <w:tcPr>
            <w:tcW w:w="1080" w:type="dxa"/>
            <w:vAlign w:val="center"/>
          </w:tcPr>
          <w:p>
            <w:pPr>
              <w:jc w:val="center"/>
              <w:rPr>
                <w:noProof/>
                <w:color w:val="0000FF"/>
                <w:sz w:val="18"/>
                <w:szCs w:val="18"/>
              </w:rPr>
            </w:pPr>
            <w:r>
              <w:rPr>
                <w:noProof/>
                <w:sz w:val="18"/>
                <w:szCs w:val="18"/>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rPr>
              <w:t xml:space="preserve">Вид на </w:t>
            </w:r>
            <w:r>
              <w:rPr>
                <w:noProof/>
              </w:rPr>
              <w:br/>
              <w:t>разхода</w:t>
            </w:r>
          </w:p>
        </w:tc>
        <w:tc>
          <w:tcPr>
            <w:tcW w:w="4440" w:type="dxa"/>
            <w:gridSpan w:val="4"/>
            <w:vAlign w:val="center"/>
          </w:tcPr>
          <w:p>
            <w:pPr>
              <w:spacing w:before="60" w:after="60"/>
              <w:jc w:val="center"/>
              <w:rPr>
                <w:noProof/>
                <w:sz w:val="22"/>
              </w:rPr>
            </w:pPr>
            <w:r>
              <w:rPr>
                <w:noProof/>
                <w:sz w:val="20"/>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rPr>
              <w:t xml:space="preserve"> </w:t>
            </w:r>
            <w:r>
              <w:rPr>
                <w:noProof/>
              </w:rPr>
              <w:br/>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bCs/>
                <w:noProof/>
              </w:rPr>
              <w:t xml:space="preserve">Функция от многогодишната финансова </w:t>
            </w:r>
            <w:r>
              <w:rPr>
                <w:b/>
                <w:bCs/>
                <w:noProof/>
              </w:rPr>
              <w:br/>
              <w:t>рамка</w:t>
            </w:r>
            <w:r>
              <w:rPr>
                <w:b/>
                <w:noProof/>
                <w:sz w:val="22"/>
              </w:rPr>
              <w:t xml:space="preserve"> </w:t>
            </w:r>
          </w:p>
        </w:tc>
        <w:tc>
          <w:tcPr>
            <w:tcW w:w="1080" w:type="dxa"/>
            <w:vAlign w:val="center"/>
          </w:tcPr>
          <w:p>
            <w:pPr>
              <w:spacing w:before="60" w:after="60"/>
              <w:jc w:val="center"/>
              <w:rPr>
                <w:noProof/>
                <w:sz w:val="22"/>
              </w:rPr>
            </w:pPr>
            <w:r>
              <w:rPr>
                <w:noProof/>
                <w:sz w:val="22"/>
              </w:rPr>
              <w:t>№ 2</w:t>
            </w:r>
          </w:p>
        </w:tc>
        <w:tc>
          <w:tcPr>
            <w:tcW w:w="7817" w:type="dxa"/>
            <w:vAlign w:val="center"/>
          </w:tcPr>
          <w:p>
            <w:pPr>
              <w:spacing w:before="60" w:after="60"/>
              <w:rPr>
                <w:noProof/>
                <w:sz w:val="22"/>
              </w:rPr>
            </w:pPr>
            <w:r>
              <w:rPr>
                <w:noProof/>
              </w:rPr>
              <w:t>Устойчив растеж: природни ресурси</w:t>
            </w:r>
          </w:p>
        </w:tc>
      </w:tr>
    </w:tbl>
    <w:p>
      <w:pPr>
        <w:rPr>
          <w:noProof/>
          <w:sz w:val="16"/>
        </w:rPr>
      </w:pPr>
    </w:p>
    <w:p>
      <w:pPr>
        <w:rPr>
          <w:noProof/>
          <w:sz w:val="16"/>
        </w:rPr>
      </w:pPr>
    </w:p>
    <w:tbl>
      <w:tblPr>
        <w:tblW w:w="12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914"/>
        <w:gridCol w:w="992"/>
        <w:gridCol w:w="992"/>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ГД: „Морско дело и рибарство“</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2024 г.</w:t>
            </w:r>
          </w:p>
        </w:tc>
        <w:tc>
          <w:tcPr>
            <w:tcW w:w="91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2025 г.</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b/>
                <w:noProof/>
                <w:sz w:val="20"/>
              </w:rPr>
              <w:t>2026 г.</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rPr>
            </w:pPr>
            <w:r>
              <w:rPr>
                <w:noProof/>
                <w:sz w:val="21"/>
              </w:rPr>
              <w:sym w:font="Wingdings" w:char="F09F"/>
            </w:r>
            <w:r>
              <w:rPr>
                <w:noProof/>
              </w:rPr>
              <w:t xml:space="preserve"> Бюджетни кредити за оперативни разходи</w:t>
            </w:r>
            <w:r>
              <w:rPr>
                <w:noProof/>
                <w:sz w:val="21"/>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Бюджетен ред</w:t>
            </w:r>
            <w:r>
              <w:rPr>
                <w:rStyle w:val="FootnoteReference"/>
                <w:noProof/>
              </w:rPr>
              <w:footnoteReference w:id="15"/>
            </w:r>
            <w:r>
              <w:rPr>
                <w:noProof/>
              </w:rPr>
              <w:t xml:space="preserve"> 11.03.01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Бюджетен ред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6"/>
            </w:r>
            <w:r>
              <w:rPr>
                <w:noProof/>
                <w:sz w:val="21"/>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Бюджетен ред</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rPr>
            </w:pPr>
            <w:r>
              <w:rPr>
                <w:b/>
                <w:noProof/>
                <w:sz w:val="22"/>
              </w:rPr>
              <w:t>ОБЩО бюджетни кредити</w:t>
            </w:r>
            <w:r>
              <w:rPr>
                <w:noProof/>
              </w:rPr>
              <w:t xml:space="preserve"> </w:t>
            </w:r>
            <w:r>
              <w:rPr>
                <w:noProof/>
              </w:rPr>
              <w:br/>
            </w:r>
            <w:r>
              <w:rPr>
                <w:b/>
                <w:bCs/>
                <w:noProof/>
                <w:sz w:val="22"/>
              </w:rPr>
              <w:t>за ГД</w:t>
            </w:r>
            <w:r>
              <w:rPr>
                <w:noProof/>
                <w:sz w:val="22"/>
              </w:rPr>
              <w:t xml:space="preserve"> „Морско дело и рибарство“</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 1a + 1b + 3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 2a + 2b</w:t>
            </w:r>
          </w:p>
          <w:p>
            <w:pPr>
              <w:spacing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(4)</w:t>
            </w:r>
          </w:p>
          <w:p>
            <w:pPr>
              <w:spacing w:line="276" w:lineRule="auto"/>
              <w:jc w:val="center"/>
              <w:rPr>
                <w:noProof/>
                <w:sz w:val="14"/>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(5)</w:t>
            </w:r>
          </w:p>
          <w:p>
            <w:pPr>
              <w:spacing w:line="276" w:lineRule="auto"/>
              <w:jc w:val="center"/>
              <w:rPr>
                <w:noProof/>
                <w:sz w:val="14"/>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bl>
    <w:p>
      <w:pPr>
        <w:rPr>
          <w:noProof/>
        </w:rPr>
      </w:pPr>
      <w:r>
        <w:rPr>
          <w:noProof/>
        </w:rPr>
        <w:t xml:space="preserve"> </w:t>
      </w:r>
      <w:r>
        <w:rPr>
          <w:noProof/>
        </w:rPr>
        <w:br/>
        <w:t xml:space="preserve"> </w:t>
      </w:r>
      <w:r>
        <w:rPr>
          <w:noProof/>
        </w:rPr>
        <w:br/>
      </w:r>
    </w:p>
    <w:tbl>
      <w:tblPr>
        <w:tblW w:w="12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специфични програми</w:t>
            </w:r>
            <w:r>
              <w:rPr>
                <w:noProof/>
                <w:sz w:val="21"/>
              </w:rPr>
              <w:t xml:space="preserve">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bCs/>
                <w:noProof/>
              </w:rPr>
              <w:t xml:space="preserve">ОБЩО бюджетни кредити </w:t>
            </w:r>
            <w:r>
              <w:rPr>
                <w:b/>
                <w:bCs/>
                <w:noProof/>
              </w:rPr>
              <w:br/>
              <w:t>за ФУНКЦИЯ 2</w:t>
            </w:r>
            <w:r>
              <w:rPr>
                <w:noProof/>
              </w:rPr>
              <w:t xml:space="preserve"> </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 5 + 6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rPr>
              <w:t xml:space="preserve"> ОБЩО бюджетни кредити за оперативни разходи</w:t>
            </w:r>
            <w:r>
              <w:rPr>
                <w:noProof/>
                <w:sz w:val="21"/>
              </w:rPr>
              <w:t xml:space="preserve"> </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vAlign w:val="center"/>
          </w:tcPr>
          <w:p>
            <w:pPr>
              <w:spacing w:before="20" w:after="20" w:line="276" w:lineRule="auto"/>
              <w:jc w:val="right"/>
              <w:rPr>
                <w:b/>
                <w:noProof/>
                <w:sz w:val="20"/>
              </w:rPr>
            </w:pPr>
            <w:r>
              <w:rPr>
                <w:b/>
                <w:noProof/>
                <w:sz w:val="20"/>
              </w:rPr>
              <w:t>99,130524</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специфични програми</w:t>
            </w:r>
            <w:r>
              <w:rPr>
                <w:noProof/>
                <w:sz w:val="21"/>
              </w:rPr>
              <w:t xml:space="preserve">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bCs/>
                <w:noProof/>
              </w:rPr>
              <w:t xml:space="preserve">ОБЩО бюджетни кредити </w:t>
            </w:r>
            <w:r>
              <w:rPr>
                <w:b/>
                <w:bCs/>
                <w:noProof/>
              </w:rPr>
              <w:br/>
              <w:t>по ФУНКЦИИ 1—4</w:t>
            </w:r>
            <w:r>
              <w:rPr>
                <w:noProof/>
              </w:rPr>
              <w:t xml:space="preserve"> </w:t>
            </w:r>
            <w:r>
              <w:rPr>
                <w:noProof/>
              </w:rPr>
              <w:br/>
            </w:r>
            <w:r>
              <w:rPr>
                <w:noProof/>
                <w:sz w:val="22"/>
              </w:rPr>
              <w:t>от многогодишната финансова рамка</w:t>
            </w:r>
            <w:r>
              <w:rPr>
                <w:noProof/>
              </w:rPr>
              <w:t xml:space="preserve"> </w:t>
            </w:r>
            <w:r>
              <w:rPr>
                <w:noProof/>
              </w:rPr>
              <w:br/>
            </w:r>
            <w:r>
              <w:rPr>
                <w:noProof/>
                <w:sz w:val="20"/>
              </w:rPr>
              <w:t>(референтна сума)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 5 + 6</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vAlign w:val="center"/>
          </w:tcPr>
          <w:p>
            <w:pPr>
              <w:spacing w:before="20" w:after="20" w:line="276" w:lineRule="auto"/>
              <w:jc w:val="right"/>
              <w:rPr>
                <w:b/>
                <w:noProof/>
                <w:sz w:val="20"/>
              </w:rPr>
            </w:pPr>
            <w:r>
              <w:rPr>
                <w:b/>
                <w:noProof/>
                <w:sz w:val="20"/>
              </w:rPr>
              <w:t>99,130524</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bCs/>
                <w:noProof/>
              </w:rPr>
              <w:t xml:space="preserve">Функция от многогодишната финансова </w:t>
            </w:r>
            <w:r>
              <w:rPr>
                <w:b/>
                <w:bCs/>
                <w:noProof/>
              </w:rPr>
              <w:br/>
              <w:t>рамка</w:t>
            </w:r>
            <w:r>
              <w:rPr>
                <w:b/>
                <w:noProof/>
                <w:sz w:val="22"/>
              </w:rPr>
              <w:t xml:space="preserve">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EUR (до 3-тия знак след десетичната запетая)</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510"/>
        <w:gridCol w:w="358"/>
        <w:gridCol w:w="868"/>
        <w:gridCol w:w="868"/>
        <w:gridCol w:w="510"/>
        <w:gridCol w:w="35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gridSpan w:val="2"/>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99" w:type="dxa"/>
          </w:tcPr>
          <w:p>
            <w:pPr>
              <w:jc w:val="center"/>
              <w:rPr>
                <w:noProof/>
                <w:sz w:val="18"/>
              </w:rPr>
            </w:pPr>
            <w:r>
              <w:rPr>
                <w:noProof/>
                <w:sz w:val="20"/>
              </w:rPr>
              <w:t>Година</w:t>
            </w:r>
            <w:r>
              <w:rPr>
                <w:noProof/>
              </w:rPr>
              <w:t xml:space="preserve"> </w:t>
            </w:r>
            <w:r>
              <w:rPr>
                <w:noProof/>
              </w:rPr>
              <w:br/>
            </w:r>
            <w:r>
              <w:rPr>
                <w:b/>
                <w:noProof/>
                <w:sz w:val="20"/>
              </w:rPr>
              <w:t>2025</w:t>
            </w:r>
          </w:p>
        </w:tc>
        <w:tc>
          <w:tcPr>
            <w:tcW w:w="992" w:type="dxa"/>
          </w:tcPr>
          <w:p>
            <w:pPr>
              <w:jc w:val="center"/>
              <w:rPr>
                <w:b/>
                <w:noProof/>
                <w:sz w:val="18"/>
              </w:rPr>
            </w:pPr>
            <w:r>
              <w:rPr>
                <w:noProof/>
                <w:sz w:val="20"/>
              </w:rPr>
              <w:t>Година</w:t>
            </w:r>
            <w:r>
              <w:rPr>
                <w:noProof/>
              </w:rPr>
              <w:t xml:space="preserve"> </w:t>
            </w:r>
            <w:r>
              <w:rPr>
                <w:noProof/>
              </w:rPr>
              <w:br/>
            </w:r>
            <w:r>
              <w:rPr>
                <w:b/>
                <w:noProof/>
                <w:sz w:val="20"/>
              </w:rPr>
              <w:t>2026</w:t>
            </w:r>
          </w:p>
        </w:tc>
        <w:tc>
          <w:tcPr>
            <w:tcW w:w="1777" w:type="dxa"/>
            <w:vAlign w:val="center"/>
          </w:tcPr>
          <w:p>
            <w:pPr>
              <w:jc w:val="center"/>
              <w:rPr>
                <w:b/>
                <w:noProof/>
                <w:sz w:val="20"/>
              </w:rPr>
            </w:pPr>
            <w:r>
              <w:rPr>
                <w:b/>
                <w:noProof/>
                <w:sz w:val="20"/>
              </w:rPr>
              <w:t>ОБЩО</w:t>
            </w:r>
          </w:p>
        </w:tc>
      </w:tr>
      <w:tr>
        <w:trPr>
          <w:gridAfter w:val="4"/>
          <w:wAfter w:w="4026" w:type="dxa"/>
        </w:trPr>
        <w:tc>
          <w:tcPr>
            <w:tcW w:w="3960" w:type="dxa"/>
            <w:vAlign w:val="center"/>
          </w:tcPr>
          <w:p>
            <w:pPr>
              <w:spacing w:before="60" w:after="60"/>
              <w:jc w:val="center"/>
              <w:rPr>
                <w:noProof/>
                <w:sz w:val="22"/>
              </w:rPr>
            </w:pPr>
            <w:r>
              <w:rPr>
                <w:noProof/>
                <w:sz w:val="22"/>
              </w:rPr>
              <w:t>ГД: &lt;…….&gt;</w:t>
            </w:r>
          </w:p>
        </w:tc>
        <w:tc>
          <w:tcPr>
            <w:tcW w:w="2604" w:type="dxa"/>
            <w:gridSpan w:val="3"/>
          </w:tcPr>
          <w:p>
            <w:pPr>
              <w:spacing w:before="60" w:after="60"/>
              <w:jc w:val="center"/>
              <w:rPr>
                <w:noProof/>
                <w:sz w:val="22"/>
              </w:rPr>
            </w:pPr>
          </w:p>
        </w:tc>
        <w:tc>
          <w:tcPr>
            <w:tcW w:w="2604" w:type="dxa"/>
            <w:gridSpan w:val="4"/>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w:t>
            </w:r>
            <w:r>
              <w:rPr>
                <w:noProof/>
              </w:rPr>
              <w:t>Човешки ресурси</w:t>
            </w:r>
            <w:r>
              <w:rPr>
                <w:noProof/>
                <w:sz w:val="22"/>
              </w:rPr>
              <w:t xml:space="preserve"> </w:t>
            </w: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rPr>
              <w:t xml:space="preserve"> Други административни разходи</w:t>
            </w:r>
            <w:r>
              <w:rPr>
                <w:noProof/>
                <w:sz w:val="22"/>
              </w:rPr>
              <w:t xml:space="preserve"> </w:t>
            </w: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99" w:type="dxa"/>
          </w:tcPr>
          <w:p>
            <w:pPr>
              <w:spacing w:before="20" w:after="20"/>
              <w:jc w:val="right"/>
              <w:rPr>
                <w:b/>
                <w:noProof/>
                <w:sz w:val="20"/>
              </w:rPr>
            </w:pPr>
          </w:p>
        </w:tc>
        <w:tc>
          <w:tcPr>
            <w:tcW w:w="992" w:type="dxa"/>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bCs/>
                <w:noProof/>
                <w:sz w:val="22"/>
              </w:rPr>
              <w:t>ОБЩО ГД &lt;…….&gt;</w:t>
            </w:r>
          </w:p>
        </w:tc>
        <w:tc>
          <w:tcPr>
            <w:tcW w:w="2094" w:type="dxa"/>
            <w:gridSpan w:val="2"/>
            <w:vAlign w:val="center"/>
          </w:tcPr>
          <w:p>
            <w:pPr>
              <w:rPr>
                <w:noProof/>
                <w:sz w:val="14"/>
              </w:rPr>
            </w:pPr>
            <w:r>
              <w:rPr>
                <w:noProof/>
                <w:sz w:val="18"/>
              </w:rPr>
              <w:t xml:space="preserve">Бюджетни кредити </w:t>
            </w:r>
          </w:p>
        </w:tc>
        <w:tc>
          <w:tcPr>
            <w:tcW w:w="868" w:type="dxa"/>
            <w:gridSpan w:val="2"/>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rPr>
              <w:t xml:space="preserve"> </w:t>
            </w:r>
            <w:r>
              <w:rPr>
                <w:noProof/>
              </w:rPr>
              <w:br/>
            </w:r>
            <w:r>
              <w:rPr>
                <w:b/>
                <w:noProof/>
                <w:sz w:val="22"/>
              </w:rPr>
              <w:t>за ФУНКЦИЯ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EUR (до 3-тия знак след десетичната запетая)</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r>
              <w:rPr>
                <w:rStyle w:val="FootnoteReference"/>
                <w:b/>
                <w:noProof/>
                <w:sz w:val="20"/>
              </w:rPr>
              <w:footnoteReference w:id="17"/>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99" w:type="dxa"/>
          </w:tcPr>
          <w:p>
            <w:pPr>
              <w:jc w:val="center"/>
              <w:rPr>
                <w:noProof/>
                <w:sz w:val="18"/>
              </w:rPr>
            </w:pPr>
            <w:r>
              <w:rPr>
                <w:noProof/>
                <w:sz w:val="20"/>
              </w:rPr>
              <w:t>Година</w:t>
            </w:r>
            <w:r>
              <w:rPr>
                <w:noProof/>
              </w:rPr>
              <w:t xml:space="preserve"> </w:t>
            </w:r>
            <w:r>
              <w:rPr>
                <w:noProof/>
              </w:rPr>
              <w:br/>
            </w:r>
            <w:r>
              <w:rPr>
                <w:b/>
                <w:noProof/>
                <w:sz w:val="20"/>
              </w:rPr>
              <w:t>2025</w:t>
            </w:r>
          </w:p>
        </w:tc>
        <w:tc>
          <w:tcPr>
            <w:tcW w:w="992" w:type="dxa"/>
          </w:tcPr>
          <w:p>
            <w:pPr>
              <w:jc w:val="center"/>
              <w:rPr>
                <w:noProof/>
                <w:sz w:val="18"/>
              </w:rPr>
            </w:pPr>
            <w:r>
              <w:rPr>
                <w:noProof/>
                <w:sz w:val="20"/>
              </w:rPr>
              <w:t>Година</w:t>
            </w:r>
            <w:r>
              <w:rPr>
                <w:noProof/>
              </w:rPr>
              <w:t xml:space="preserve"> </w:t>
            </w:r>
            <w:r>
              <w:rPr>
                <w:noProof/>
              </w:rPr>
              <w:br/>
            </w:r>
            <w:r>
              <w:rPr>
                <w:b/>
                <w:noProof/>
                <w:sz w:val="20"/>
              </w:rPr>
              <w:t>2026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bCs/>
                <w:noProof/>
              </w:rPr>
              <w:t xml:space="preserve">ОБЩО бюджетни кредити </w:t>
            </w:r>
            <w:r>
              <w:rPr>
                <w:b/>
                <w:bCs/>
                <w:noProof/>
              </w:rPr>
              <w:br/>
              <w:t>по ФУНКЦИИ 1—5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99" w:type="dxa"/>
          </w:tcPr>
          <w:p>
            <w:pPr>
              <w:spacing w:line="276" w:lineRule="auto"/>
              <w:rPr>
                <w:noProof/>
              </w:rPr>
            </w:pPr>
            <w:r>
              <w:rPr>
                <w:noProof/>
                <w:sz w:val="20"/>
              </w:rPr>
              <w:t>16,521754</w:t>
            </w:r>
          </w:p>
        </w:tc>
        <w:tc>
          <w:tcPr>
            <w:tcW w:w="992" w:type="dxa"/>
          </w:tcPr>
          <w:p>
            <w:pPr>
              <w:spacing w:line="276" w:lineRule="auto"/>
              <w:rPr>
                <w:noProof/>
              </w:rPr>
            </w:pPr>
            <w:r>
              <w:rPr>
                <w:noProof/>
                <w:sz w:val="20"/>
              </w:rPr>
              <w:t>16,521754</w:t>
            </w:r>
          </w:p>
        </w:tc>
        <w:tc>
          <w:tcPr>
            <w:tcW w:w="1777" w:type="dxa"/>
            <w:vAlign w:val="center"/>
          </w:tcPr>
          <w:p>
            <w:pPr>
              <w:spacing w:before="20" w:after="20" w:line="276" w:lineRule="auto"/>
              <w:jc w:val="right"/>
              <w:rPr>
                <w:b/>
                <w:noProof/>
                <w:sz w:val="20"/>
              </w:rPr>
            </w:pPr>
            <w:r>
              <w:rPr>
                <w:b/>
                <w:noProof/>
                <w:sz w:val="20"/>
              </w:rPr>
              <w:t>99,130524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99" w:type="dxa"/>
          </w:tcPr>
          <w:p>
            <w:pPr>
              <w:spacing w:line="276" w:lineRule="auto"/>
              <w:rPr>
                <w:noProof/>
              </w:rPr>
            </w:pPr>
            <w:r>
              <w:rPr>
                <w:noProof/>
                <w:sz w:val="20"/>
              </w:rPr>
              <w:t>16,521754</w:t>
            </w:r>
          </w:p>
        </w:tc>
        <w:tc>
          <w:tcPr>
            <w:tcW w:w="992" w:type="dxa"/>
          </w:tcPr>
          <w:p>
            <w:pPr>
              <w:spacing w:line="276" w:lineRule="auto"/>
              <w:rPr>
                <w:noProof/>
              </w:rPr>
            </w:pPr>
            <w:r>
              <w:rPr>
                <w:noProof/>
                <w:sz w:val="20"/>
              </w:rPr>
              <w:t>16,521754</w:t>
            </w:r>
          </w:p>
        </w:tc>
        <w:tc>
          <w:tcPr>
            <w:tcW w:w="1777" w:type="dxa"/>
            <w:vAlign w:val="center"/>
          </w:tcPr>
          <w:p>
            <w:pPr>
              <w:spacing w:before="20" w:after="20" w:line="276" w:lineRule="auto"/>
              <w:jc w:val="right"/>
              <w:rPr>
                <w:b/>
                <w:noProof/>
                <w:sz w:val="20"/>
              </w:rPr>
            </w:pPr>
            <w:r>
              <w:rPr>
                <w:b/>
                <w:noProof/>
                <w:sz w:val="20"/>
              </w:rPr>
              <w:t>99,130524</w:t>
            </w:r>
          </w:p>
        </w:tc>
      </w:tr>
    </w:tbl>
    <w:p>
      <w:pPr>
        <w:rPr>
          <w:noProof/>
        </w:rPr>
        <w:sectPr>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16"/>
        <w:gridCol w:w="6"/>
        <w:gridCol w:w="888"/>
        <w:gridCol w:w="12"/>
        <w:gridCol w:w="513"/>
        <w:gridCol w:w="6"/>
        <w:gridCol w:w="147"/>
        <w:gridCol w:w="351"/>
        <w:gridCol w:w="6"/>
        <w:gridCol w:w="714"/>
        <w:gridCol w:w="6"/>
        <w:gridCol w:w="534"/>
        <w:gridCol w:w="6"/>
        <w:gridCol w:w="714"/>
        <w:gridCol w:w="6"/>
        <w:gridCol w:w="714"/>
        <w:gridCol w:w="6"/>
        <w:gridCol w:w="714"/>
        <w:gridCol w:w="6"/>
        <w:gridCol w:w="894"/>
        <w:gridCol w:w="6"/>
        <w:gridCol w:w="717"/>
        <w:gridCol w:w="6"/>
        <w:gridCol w:w="534"/>
        <w:gridCol w:w="6"/>
        <w:gridCol w:w="702"/>
        <w:gridCol w:w="12"/>
        <w:gridCol w:w="930"/>
        <w:gridCol w:w="12"/>
        <w:gridCol w:w="1272"/>
        <w:gridCol w:w="6"/>
        <w:gridCol w:w="894"/>
        <w:gridCol w:w="6"/>
        <w:gridCol w:w="12"/>
      </w:tblGrid>
      <w:tr>
        <w:trPr>
          <w:gridBefore w:val="1"/>
          <w:wBefore w:w="6" w:type="dxa"/>
          <w:jc w:val="center"/>
        </w:trPr>
        <w:tc>
          <w:tcPr>
            <w:tcW w:w="1422" w:type="dxa"/>
            <w:gridSpan w:val="2"/>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rPr>
            </w:pPr>
            <w:r>
              <w:rPr>
                <w:b/>
                <w:noProof/>
                <w:sz w:val="18"/>
              </w:rPr>
              <w:t xml:space="preserve">Да се посочат целите и крайните продукти </w:t>
            </w:r>
          </w:p>
          <w:p>
            <w:pPr>
              <w:spacing w:line="276" w:lineRule="auto"/>
              <w:ind w:right="-29"/>
              <w:jc w:val="center"/>
              <w:rPr>
                <w:b/>
                <w:noProof/>
                <w:sz w:val="18"/>
                <w:szCs w:val="18"/>
              </w:rPr>
            </w:pPr>
          </w:p>
          <w:p>
            <w:pPr>
              <w:spacing w:line="276" w:lineRule="auto"/>
              <w:ind w:right="-29"/>
              <w:jc w:val="center"/>
              <w:rPr>
                <w:noProof/>
                <w:sz w:val="18"/>
                <w:szCs w:val="18"/>
              </w:rPr>
            </w:pPr>
            <w:r>
              <w:rPr>
                <w:noProof/>
                <w:sz w:val="18"/>
              </w:rPr>
              <w:sym w:font="Wingdings" w:char="F0F2"/>
            </w: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51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1224" w:type="dxa"/>
            <w:gridSpan w:val="5"/>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2021 г.</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2022 г.</w:t>
            </w:r>
          </w:p>
        </w:tc>
        <w:tc>
          <w:tcPr>
            <w:tcW w:w="144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2023 г.</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2024 г.</w:t>
            </w:r>
          </w:p>
        </w:tc>
        <w:tc>
          <w:tcPr>
            <w:tcW w:w="1254"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b/>
                <w:noProof/>
                <w:sz w:val="18"/>
              </w:rPr>
              <w:t>2025 г.</w:t>
            </w:r>
          </w:p>
        </w:tc>
        <w:tc>
          <w:tcPr>
            <w:tcW w:w="942" w:type="dxa"/>
            <w:gridSpan w:val="2"/>
            <w:tcBorders>
              <w:top w:val="single" w:sz="4" w:space="0" w:color="auto"/>
              <w:left w:val="single" w:sz="4" w:space="0" w:color="auto"/>
              <w:bottom w:val="single" w:sz="4" w:space="0" w:color="auto"/>
              <w:right w:val="nil"/>
            </w:tcBorders>
            <w:hideMark/>
          </w:tcPr>
          <w:p>
            <w:pPr>
              <w:spacing w:line="276" w:lineRule="auto"/>
              <w:ind w:right="-29"/>
              <w:jc w:val="center"/>
              <w:rPr>
                <w:b/>
                <w:noProof/>
                <w:sz w:val="18"/>
              </w:rPr>
            </w:pPr>
            <w:r>
              <w:rPr>
                <w:b/>
                <w:noProof/>
                <w:sz w:val="18"/>
              </w:rPr>
              <w:t>2026 г.</w:t>
            </w:r>
          </w:p>
        </w:tc>
        <w:tc>
          <w:tcPr>
            <w:tcW w:w="2190" w:type="dxa"/>
            <w:gridSpan w:val="5"/>
            <w:tcBorders>
              <w:top w:val="single" w:sz="4" w:space="0" w:color="auto"/>
              <w:left w:val="nil"/>
              <w:bottom w:val="nil"/>
              <w:right w:val="single" w:sz="4" w:space="0" w:color="auto"/>
            </w:tcBorders>
            <w:vAlign w:val="center"/>
            <w:hideMark/>
          </w:tcPr>
          <w:p>
            <w:pPr>
              <w:spacing w:line="276" w:lineRule="auto"/>
              <w:ind w:right="-29"/>
              <w:jc w:val="center"/>
              <w:rPr>
                <w:noProof/>
                <w:sz w:val="18"/>
                <w:szCs w:val="18"/>
              </w:rPr>
            </w:pPr>
            <w:r>
              <w:rPr>
                <w:b/>
                <w:noProof/>
                <w:sz w:val="18"/>
              </w:rPr>
              <w:t>ОБЩО</w:t>
            </w:r>
          </w:p>
        </w:tc>
      </w:tr>
      <w:tr>
        <w:trPr>
          <w:gridBefore w:val="1"/>
          <w:gridAfter w:val="27"/>
          <w:wBefore w:w="6" w:type="dxa"/>
          <w:wAfter w:w="9786" w:type="dxa"/>
          <w:trHeight w:val="465"/>
          <w:jc w:val="center"/>
        </w:trPr>
        <w:tc>
          <w:tcPr>
            <w:tcW w:w="1422" w:type="dxa"/>
            <w:gridSpan w:val="2"/>
            <w:vMerge/>
            <w:tcBorders>
              <w:top w:val="nil"/>
              <w:left w:val="nil"/>
              <w:bottom w:val="nil"/>
              <w:right w:val="nil"/>
            </w:tcBorders>
            <w:vAlign w:val="center"/>
            <w:hideMark/>
          </w:tcPr>
          <w:p>
            <w:pPr>
              <w:spacing w:before="0" w:after="0" w:line="276" w:lineRule="auto"/>
              <w:jc w:val="left"/>
              <w:rPr>
                <w:noProof/>
                <w:sz w:val="18"/>
                <w:szCs w:val="18"/>
              </w:rPr>
            </w:pPr>
          </w:p>
        </w:tc>
        <w:tc>
          <w:tcPr>
            <w:tcW w:w="1566" w:type="dxa"/>
            <w:gridSpan w:val="5"/>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gridBefore w:val="1"/>
          <w:gridAfter w:val="1"/>
          <w:wBefore w:w="6" w:type="dxa"/>
          <w:wAfter w:w="12" w:type="dxa"/>
          <w:cantSplit/>
          <w:trHeight w:val="1134"/>
          <w:jc w:val="center"/>
        </w:trPr>
        <w:tc>
          <w:tcPr>
            <w:tcW w:w="1422" w:type="dxa"/>
            <w:gridSpan w:val="2"/>
            <w:vMerge/>
            <w:tcBorders>
              <w:top w:val="nil"/>
              <w:left w:val="nil"/>
              <w:bottom w:val="single" w:sz="8" w:space="0" w:color="auto"/>
              <w:right w:val="nil"/>
            </w:tcBorders>
            <w:vAlign w:val="center"/>
            <w:hideMark/>
          </w:tcPr>
          <w:p>
            <w:pPr>
              <w:spacing w:before="0" w:after="0" w:line="276" w:lineRule="auto"/>
              <w:jc w:val="left"/>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r>
              <w:rPr>
                <w:noProof/>
                <w:sz w:val="18"/>
              </w:rPr>
              <w:t>Вид</w:t>
            </w:r>
            <w:r>
              <w:rPr>
                <w:rStyle w:val="FootnoteReference"/>
                <w:noProof/>
                <w:sz w:val="18"/>
              </w:rPr>
              <w:footnoteReference w:id="18"/>
            </w:r>
          </w:p>
          <w:p>
            <w:pPr>
              <w:spacing w:before="0" w:after="0" w:line="276" w:lineRule="auto"/>
              <w:jc w:val="center"/>
              <w:rPr>
                <w:noProof/>
                <w:sz w:val="18"/>
                <w:szCs w:val="18"/>
              </w:rPr>
            </w:pPr>
          </w:p>
        </w:tc>
        <w:tc>
          <w:tcPr>
            <w:tcW w:w="519"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noProof/>
                <w:sz w:val="18"/>
              </w:rPr>
              <w:t>Средни разходи</w:t>
            </w:r>
          </w:p>
        </w:tc>
        <w:tc>
          <w:tcPr>
            <w:tcW w:w="504" w:type="dxa"/>
            <w:gridSpan w:val="3"/>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72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90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23"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14"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942" w:type="dxa"/>
            <w:gridSpan w:val="2"/>
            <w:tcBorders>
              <w:top w:val="single" w:sz="4" w:space="0" w:color="auto"/>
              <w:left w:val="single" w:sz="4" w:space="0" w:color="auto"/>
              <w:bottom w:val="single" w:sz="4" w:space="0" w:color="auto"/>
              <w:right w:val="single" w:sz="4" w:space="0" w:color="auto"/>
            </w:tcBorders>
            <w:shd w:val="pct10" w:color="auto" w:fill="auto"/>
          </w:tcPr>
          <w:p>
            <w:pPr>
              <w:spacing w:line="276" w:lineRule="auto"/>
              <w:jc w:val="center"/>
              <w:rPr>
                <w:noProof/>
                <w:sz w:val="18"/>
              </w:rPr>
            </w:pPr>
          </w:p>
        </w:tc>
        <w:tc>
          <w:tcPr>
            <w:tcW w:w="1278" w:type="dxa"/>
            <w:gridSpan w:val="2"/>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szCs w:val="18"/>
              </w:rPr>
            </w:pPr>
            <w:r>
              <w:rPr>
                <w:noProof/>
                <w:sz w:val="18"/>
              </w:rPr>
              <w:t>Общ брой</w:t>
            </w:r>
          </w:p>
        </w:tc>
        <w:tc>
          <w:tcPr>
            <w:tcW w:w="90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Общо разходи</w:t>
            </w:r>
          </w:p>
        </w:tc>
      </w:tr>
      <w:tr>
        <w:trPr>
          <w:gridAfter w:val="2"/>
          <w:wAfter w:w="18" w:type="dxa"/>
          <w:jc w:val="center"/>
        </w:trPr>
        <w:tc>
          <w:tcPr>
            <w:tcW w:w="2841" w:type="dxa"/>
            <w:gridSpan w:val="6"/>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noProof/>
                <w:sz w:val="18"/>
              </w:rPr>
              <w:t>КОНКРЕТНА ЦЕЛ № 1</w:t>
            </w:r>
            <w:r>
              <w:rPr>
                <w:rStyle w:val="FootnoteReference"/>
                <w:noProof/>
                <w:sz w:val="18"/>
              </w:rPr>
              <w:footnoteReference w:id="19"/>
            </w:r>
            <w:r>
              <w:rPr>
                <w:noProof/>
                <w:sz w:val="18"/>
              </w:rPr>
              <w:t>...</w:t>
            </w:r>
          </w:p>
        </w:tc>
        <w:tc>
          <w:tcPr>
            <w:tcW w:w="504" w:type="dxa"/>
            <w:gridSpan w:val="3"/>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900" w:type="dxa"/>
            <w:gridSpan w:val="2"/>
            <w:tcBorders>
              <w:top w:val="nil"/>
              <w:left w:val="nil"/>
              <w:bottom w:val="nil"/>
              <w:right w:val="nil"/>
            </w:tcBorders>
          </w:tcPr>
          <w:p>
            <w:pPr>
              <w:spacing w:before="60" w:after="60" w:line="276" w:lineRule="auto"/>
              <w:ind w:right="-29"/>
              <w:jc w:val="center"/>
              <w:rPr>
                <w:noProof/>
                <w:sz w:val="18"/>
                <w:szCs w:val="18"/>
              </w:rPr>
            </w:pPr>
          </w:p>
        </w:tc>
        <w:tc>
          <w:tcPr>
            <w:tcW w:w="723"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gridSpan w:val="2"/>
            <w:tcBorders>
              <w:top w:val="nil"/>
              <w:left w:val="nil"/>
              <w:bottom w:val="nil"/>
              <w:right w:val="nil"/>
            </w:tcBorders>
          </w:tcPr>
          <w:p>
            <w:pPr>
              <w:spacing w:before="60" w:after="60" w:line="276" w:lineRule="auto"/>
              <w:ind w:right="-29"/>
              <w:jc w:val="center"/>
              <w:rPr>
                <w:noProof/>
                <w:sz w:val="18"/>
                <w:szCs w:val="18"/>
              </w:rPr>
            </w:pPr>
          </w:p>
        </w:tc>
        <w:tc>
          <w:tcPr>
            <w:tcW w:w="708" w:type="dxa"/>
            <w:gridSpan w:val="2"/>
            <w:tcBorders>
              <w:top w:val="nil"/>
              <w:left w:val="nil"/>
              <w:bottom w:val="nil"/>
              <w:right w:val="nil"/>
            </w:tcBorders>
          </w:tcPr>
          <w:p>
            <w:pPr>
              <w:spacing w:before="60" w:after="60" w:line="276" w:lineRule="auto"/>
              <w:ind w:right="-29"/>
              <w:jc w:val="center"/>
              <w:rPr>
                <w:noProof/>
                <w:sz w:val="18"/>
                <w:szCs w:val="18"/>
              </w:rPr>
            </w:pPr>
          </w:p>
        </w:tc>
        <w:tc>
          <w:tcPr>
            <w:tcW w:w="942" w:type="dxa"/>
            <w:gridSpan w:val="2"/>
            <w:tcBorders>
              <w:top w:val="nil"/>
              <w:left w:val="nil"/>
              <w:bottom w:val="nil"/>
              <w:right w:val="nil"/>
            </w:tcBorders>
          </w:tcPr>
          <w:p>
            <w:pPr>
              <w:spacing w:before="60" w:after="60" w:line="276" w:lineRule="auto"/>
              <w:ind w:right="-29"/>
              <w:jc w:val="center"/>
              <w:rPr>
                <w:noProof/>
                <w:sz w:val="18"/>
                <w:szCs w:val="18"/>
              </w:rPr>
            </w:pPr>
          </w:p>
        </w:tc>
        <w:tc>
          <w:tcPr>
            <w:tcW w:w="1284" w:type="dxa"/>
            <w:gridSpan w:val="2"/>
            <w:tcBorders>
              <w:top w:val="nil"/>
              <w:left w:val="nil"/>
              <w:bottom w:val="nil"/>
              <w:right w:val="nil"/>
            </w:tcBorders>
          </w:tcPr>
          <w:p>
            <w:pPr>
              <w:spacing w:before="60" w:after="60" w:line="276" w:lineRule="auto"/>
              <w:ind w:right="-29"/>
              <w:jc w:val="center"/>
              <w:rPr>
                <w:noProof/>
                <w:sz w:val="18"/>
                <w:szCs w:val="18"/>
              </w:rPr>
            </w:pPr>
          </w:p>
        </w:tc>
        <w:tc>
          <w:tcPr>
            <w:tcW w:w="900" w:type="dxa"/>
            <w:gridSpan w:val="2"/>
            <w:tcBorders>
              <w:top w:val="nil"/>
              <w:left w:val="nil"/>
              <w:bottom w:val="nil"/>
              <w:right w:val="nil"/>
            </w:tcBorders>
          </w:tcPr>
          <w:p>
            <w:pPr>
              <w:spacing w:before="60" w:after="60" w:line="276" w:lineRule="auto"/>
              <w:ind w:right="-29"/>
              <w:jc w:val="center"/>
              <w:rPr>
                <w:noProof/>
                <w:sz w:val="18"/>
                <w:szCs w:val="18"/>
              </w:rPr>
            </w:pPr>
          </w:p>
        </w:tc>
      </w:tr>
      <w:tr>
        <w:trPr>
          <w:gridAfter w:val="2"/>
          <w:wAfter w:w="18" w:type="dxa"/>
          <w:trHeight w:hRule="exact" w:val="605"/>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xml:space="preserve">— Достъп </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Годишно</w:t>
            </w: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gridSpan w:val="3"/>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81,544524</w:t>
            </w:r>
          </w:p>
        </w:tc>
      </w:tr>
      <w:tr>
        <w:trPr>
          <w:gridAfter w:val="2"/>
          <w:wAfter w:w="18" w:type="dxa"/>
          <w:trHeight w:hRule="exact" w:val="593"/>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Секторна подкрепа</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Годишно</w:t>
            </w: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gridSpan w:val="3"/>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17,586000</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Резултат</w:t>
            </w:r>
          </w:p>
        </w:tc>
        <w:tc>
          <w:tcPr>
            <w:tcW w:w="89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3"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gridAfter w:val="2"/>
          <w:wAfter w:w="18" w:type="dxa"/>
          <w:trHeight w:val="77"/>
          <w:jc w:val="center"/>
        </w:trPr>
        <w:tc>
          <w:tcPr>
            <w:tcW w:w="2841" w:type="dxa"/>
            <w:gridSpan w:val="6"/>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rPr>
            </w:pPr>
            <w:r>
              <w:rPr>
                <w:noProof/>
                <w:sz w:val="18"/>
              </w:rPr>
              <w:t>Междинен сбор за конкретна цел № 1</w:t>
            </w:r>
          </w:p>
        </w:tc>
        <w:tc>
          <w:tcPr>
            <w:tcW w:w="504" w:type="dxa"/>
            <w:gridSpan w:val="3"/>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3"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08"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42"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1284"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r>
      <w:tr>
        <w:trPr>
          <w:gridAfter w:val="2"/>
          <w:wAfter w:w="18" w:type="dxa"/>
          <w:jc w:val="center"/>
        </w:trPr>
        <w:tc>
          <w:tcPr>
            <w:tcW w:w="2841" w:type="dxa"/>
            <w:gridSpan w:val="6"/>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rPr>
            </w:pPr>
            <w:r>
              <w:rPr>
                <w:b/>
                <w:noProof/>
                <w:sz w:val="18"/>
              </w:rPr>
              <w:t>ОБЩО</w:t>
            </w:r>
          </w:p>
        </w:tc>
        <w:tc>
          <w:tcPr>
            <w:tcW w:w="504" w:type="dxa"/>
            <w:gridSpan w:val="3"/>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72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90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3"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08"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942"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1284"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900" w:type="dxa"/>
            <w:gridSpan w:val="2"/>
            <w:tcBorders>
              <w:top w:val="single" w:sz="12" w:space="0" w:color="auto"/>
              <w:left w:val="single" w:sz="4" w:space="0" w:color="auto"/>
              <w:bottom w:val="single" w:sz="12" w:space="0" w:color="auto"/>
              <w:right w:val="single" w:sz="12" w:space="0" w:color="auto"/>
            </w:tcBorders>
            <w:vAlign w:val="center"/>
            <w:hideMark/>
          </w:tcPr>
          <w:p>
            <w:pPr>
              <w:spacing w:before="20" w:after="20" w:line="276" w:lineRule="auto"/>
              <w:jc w:val="right"/>
              <w:rPr>
                <w:b/>
                <w:noProof/>
                <w:sz w:val="20"/>
              </w:rPr>
            </w:pPr>
            <w:r>
              <w:rPr>
                <w:b/>
                <w:noProof/>
                <w:sz w:val="20"/>
              </w:rPr>
              <w:t>99,130524</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Резюме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w:t>
            </w:r>
            <w:r>
              <w:rPr>
                <w:rStyle w:val="FootnoteReference"/>
                <w:b/>
                <w:noProof/>
                <w:sz w:val="16"/>
              </w:rPr>
              <w:footnoteReference w:id="20"/>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bCs/>
                <w:noProof/>
              </w:rPr>
              <w:t>Извън ФУНКЦИЯ 5</w:t>
            </w:r>
            <w:r>
              <w:rPr>
                <w:rStyle w:val="FootnoteReference"/>
                <w:b/>
                <w:noProof/>
              </w:rPr>
              <w:footnoteReference w:id="21"/>
            </w:r>
            <w:r>
              <w:rPr>
                <w:noProof/>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w:t>
            </w:r>
            <w:r>
              <w:rPr>
                <w:noProof/>
                <w:sz w:val="16"/>
                <w:szCs w:val="16"/>
              </w:rPr>
              <w:b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bCs/>
                <w:noProof/>
              </w:rPr>
              <w:t xml:space="preserve">Междинен сбор </w:t>
            </w:r>
            <w:r>
              <w:rPr>
                <w:b/>
                <w:bCs/>
                <w:noProof/>
              </w:rPr>
              <w:br/>
              <w:t>извън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t>X</w:t>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Година </w:t>
            </w:r>
            <w:r>
              <w:rPr>
                <w:b/>
                <w:bCs/>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Година </w:t>
            </w:r>
            <w:r>
              <w:rPr>
                <w:b/>
                <w:bCs/>
                <w:noProof/>
                <w:sz w:val="16"/>
                <w:szCs w:val="16"/>
              </w:rPr>
              <w:t>N+3</w:t>
            </w:r>
          </w:p>
        </w:tc>
        <w:tc>
          <w:tcPr>
            <w:tcW w:w="345" w:type="pct"/>
            <w:gridSpan w:val="3"/>
            <w:shd w:val="clear" w:color="auto" w:fill="auto"/>
            <w:vAlign w:val="center"/>
          </w:tcPr>
          <w:p>
            <w:pPr>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bCs/>
                <w:noProof/>
              </w:rPr>
              <w:t>Длъжности в щатното разписание (длъжностни лица и срочно наети служители)</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22"/>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bCs/>
                <w:noProof/>
                <w:sz w:val="16"/>
                <w:szCs w:val="16"/>
              </w:rPr>
              <w:t>гг</w:t>
            </w:r>
            <w:r>
              <w:rPr>
                <w:b/>
                <w:i/>
                <w:noProof/>
                <w:sz w:val="16"/>
              </w:rPr>
              <w:t xml:space="preserve"> </w:t>
            </w:r>
            <w:r>
              <w:rPr>
                <w:rStyle w:val="FootnoteReference"/>
                <w:b/>
                <w:i/>
                <w:noProof/>
                <w:sz w:val="16"/>
              </w:rPr>
              <w:footnoteReference w:id="2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bCs/>
                <w:noProof/>
                <w:sz w:val="16"/>
                <w:szCs w:val="16"/>
              </w:rPr>
              <w:t>XX</w:t>
            </w:r>
            <w:r>
              <w:rPr>
                <w:noProof/>
                <w:sz w:val="16"/>
                <w:szCs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bCs/>
          <w:noProof/>
          <w:sz w:val="18"/>
          <w:szCs w:val="18"/>
        </w:rPr>
        <w:t>XX</w:t>
      </w:r>
      <w:r>
        <w:rPr>
          <w:noProof/>
          <w:sz w:val="18"/>
          <w:szCs w:val="18"/>
        </w:rPr>
        <w:t xml:space="preserve"> е съответната област на политиката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t>X</w:t>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Отнася се за използването на бюджетния ред с резервни средства (глава 40).</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Да се обясни какво е необходимо, като се посочат съответните функции, бюджетни редове и суми.</w:t>
      </w:r>
    </w:p>
    <w:p>
      <w:pPr>
        <w:pStyle w:val="ManualHeading3"/>
        <w:rPr>
          <w:bCs/>
          <w:noProof/>
          <w:szCs w:val="24"/>
        </w:rPr>
      </w:pPr>
      <w:r>
        <w:t>3.2.5.</w:t>
      </w:r>
      <w:r>
        <w:tab/>
      </w:r>
      <w:r>
        <w:rPr>
          <w:noProof/>
        </w:rPr>
        <w:t xml:space="preserve">Финансов принос от трети страни </w:t>
      </w:r>
    </w:p>
    <w:p>
      <w:pPr>
        <w:pStyle w:val="ListDash1"/>
        <w:rPr>
          <w:noProof/>
        </w:rPr>
      </w:pPr>
      <w:r>
        <w:rPr>
          <w:noProof/>
        </w:rPr>
        <w:t xml:space="preserve">X Предложението/инициативата не предвижда съфинансиране от трети страни </w:t>
      </w:r>
    </w:p>
    <w:p>
      <w:pPr>
        <w:pStyle w:val="ListDash1"/>
        <w:rPr>
          <w:noProof/>
        </w:rPr>
      </w:pPr>
      <w:r>
        <w:rPr>
          <w:noProof/>
        </w:rPr>
        <w:sym w:font="Wingdings" w:char="F0A8"/>
      </w:r>
      <w:r>
        <w:rPr>
          <w:noProof/>
        </w:rPr>
        <w:t xml:space="preserve"> 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EUR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p>
  </w:footnote>
  <w:footnote w:id="2">
    <w:p>
      <w:pPr>
        <w:pStyle w:val="FootnoteText"/>
        <w:ind w:left="0" w:firstLine="0"/>
      </w:pPr>
      <w:r>
        <w:rPr>
          <w:rStyle w:val="FootnoteReference"/>
        </w:rPr>
        <w:footnoteRef/>
      </w:r>
      <w:r>
        <w:tab/>
        <w:t>https://www.consilium.europa.eu/bg/documents-publications/treaties-agreements/agreement/?id=2007046&amp;DocLanguage=en</w:t>
      </w:r>
    </w:p>
  </w:footnote>
  <w:footnote w:id="3">
    <w:p>
      <w:pPr>
        <w:pStyle w:val="FootnoteText"/>
      </w:pPr>
      <w:r>
        <w:rPr>
          <w:rStyle w:val="FootnoteReference"/>
        </w:rPr>
        <w:footnoteRef/>
      </w:r>
      <w:r>
        <w:tab/>
        <w:t>ОВ L 172, 30.6.2007 г.</w:t>
      </w:r>
    </w:p>
  </w:footnote>
  <w:footnote w:id="4">
    <w:p>
      <w:pPr>
        <w:pStyle w:val="FootnoteText"/>
        <w:ind w:left="0" w:firstLine="0"/>
      </w:pPr>
      <w:r>
        <w:rPr>
          <w:rStyle w:val="FootnoteReference"/>
        </w:rPr>
        <w:footnoteRef/>
      </w:r>
      <w:r>
        <w:tab/>
        <w:t>ОВ L 305, 21.11.2015 г., стр. 1.</w:t>
      </w:r>
    </w:p>
  </w:footnote>
  <w:footnote w:id="5">
    <w:p>
      <w:pPr>
        <w:pStyle w:val="FootnoteText"/>
        <w:ind w:left="0" w:firstLine="0"/>
      </w:pPr>
      <w:r>
        <w:rPr>
          <w:rStyle w:val="FootnoteReference"/>
        </w:rPr>
        <w:footnoteRef/>
      </w:r>
      <w:r>
        <w:tab/>
        <w:t>https://www.consilium.europa.eu/bg/documents-publications/treaties-agreements/agreement/?id=2015055&amp;DocLanguage=en</w:t>
      </w:r>
    </w:p>
  </w:footnote>
  <w:footnote w:id="6">
    <w:p>
      <w:pPr>
        <w:pStyle w:val="FootnoteText"/>
        <w:ind w:left="0" w:firstLine="0"/>
      </w:pPr>
      <w:r>
        <w:rPr>
          <w:rStyle w:val="FootnoteReference"/>
        </w:rPr>
        <w:footnoteRef/>
      </w:r>
      <w:r>
        <w:tab/>
        <w:t>ОВ L 354, 28.12.2013 г., стр. 22.</w:t>
      </w:r>
    </w:p>
  </w:footnote>
  <w:footnote w:id="7">
    <w:p>
      <w:pPr>
        <w:pStyle w:val="FootnoteText"/>
        <w:ind w:left="0" w:firstLine="0"/>
      </w:pPr>
      <w:r>
        <w:rPr>
          <w:rStyle w:val="FootnoteReference"/>
        </w:rPr>
        <w:footnoteRef/>
      </w:r>
      <w:r>
        <w:tab/>
        <w:t>Заключения на Съвета от 19 март 2012 г. във връзка със Съобщението на Комисията относно външното измерение на общата политика в областта на рибарството.</w:t>
      </w:r>
    </w:p>
  </w:footnote>
  <w:footnote w:id="8">
    <w:p>
      <w:pPr>
        <w:pStyle w:val="FootnoteText"/>
      </w:pPr>
      <w:r>
        <w:rPr>
          <w:rStyle w:val="FootnoteReference"/>
        </w:rPr>
        <w:footnoteRef/>
      </w:r>
      <w:r>
        <w:tab/>
        <w:t>В съответствие с Междуинституционалното споразумение относно сътрудничеството по бюджетни въпроси (2013/C 373/01).</w:t>
      </w:r>
    </w:p>
  </w:footnote>
  <w:footnote w:id="9">
    <w:p>
      <w:pPr>
        <w:pStyle w:val="FootnoteText"/>
        <w:rPr>
          <w:szCs w:val="24"/>
        </w:rPr>
      </w:pPr>
      <w:r>
        <w:rPr>
          <w:rStyle w:val="FootnoteReference"/>
        </w:rPr>
        <w:footnoteRef/>
      </w:r>
      <w:r>
        <w:tab/>
        <w:t>УД: управление по дейности; БД: бюджетиране по дейности.</w:t>
      </w:r>
    </w:p>
  </w:footnote>
  <w:footnote w:id="10">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1">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sz w:val="18"/>
          </w:rPr>
          <w:t>http://www.cc.cec/budg/man/budgmanag/budgmanag_bg.html</w:t>
        </w:r>
      </w:hyperlink>
    </w:p>
  </w:footnote>
  <w:footnote w:id="12">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3">
    <w:p>
      <w:pPr>
        <w:pStyle w:val="FootnoteText"/>
        <w:rPr>
          <w:szCs w:val="24"/>
        </w:rPr>
      </w:pPr>
      <w:r>
        <w:rPr>
          <w:rStyle w:val="FootnoteReference"/>
        </w:rPr>
        <w:footnoteRef/>
      </w:r>
      <w:r>
        <w:tab/>
        <w:t xml:space="preserve">ЕАСТ: Европейска асоциация за свободна търговия. </w:t>
      </w:r>
    </w:p>
  </w:footnote>
  <w:footnote w:id="14">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15">
    <w:p>
      <w:pPr>
        <w:pStyle w:val="FootnoteText"/>
        <w:rPr>
          <w:sz w:val="18"/>
          <w:szCs w:val="18"/>
        </w:rPr>
      </w:pPr>
      <w:r>
        <w:rPr>
          <w:rStyle w:val="FootnoteReference"/>
        </w:rPr>
        <w:footnoteRef/>
      </w:r>
      <w:r>
        <w:tab/>
        <w:t>Съгласно официалната бюджетна номенклатура.</w:t>
      </w:r>
    </w:p>
  </w:footnote>
  <w:footnote w:id="1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7">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18">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9">
    <w:p>
      <w:pPr>
        <w:pStyle w:val="FootnoteText"/>
        <w:rPr>
          <w:szCs w:val="24"/>
        </w:rPr>
      </w:pPr>
      <w:r>
        <w:rPr>
          <w:rStyle w:val="FootnoteReference"/>
        </w:rPr>
        <w:footnoteRef/>
      </w:r>
      <w:r>
        <w:tab/>
        <w:t xml:space="preserve">Съгласно описанието в точка 1.4.2. „Конкретни цели...“ </w:t>
      </w:r>
    </w:p>
  </w:footnote>
  <w:footnote w:id="20">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2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4">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 w:numId="32">
    <w:abstractNumId w:val="21"/>
  </w:num>
  <w:num w:numId="33">
    <w:abstractNumId w:val="11"/>
  </w:num>
  <w:num w:numId="34">
    <w:abstractNumId w:val="24"/>
  </w:num>
  <w:num w:numId="35">
    <w:abstractNumId w:val="6"/>
  </w:num>
  <w:num w:numId="36">
    <w:abstractNumId w:val="12"/>
  </w:num>
  <w:num w:numId="37">
    <w:abstractNumId w:val="4"/>
  </w:num>
  <w:num w:numId="38">
    <w:abstractNumId w:val="23"/>
  </w:num>
  <w:num w:numId="39">
    <w:abstractNumId w:val="3"/>
  </w:num>
  <w:num w:numId="40">
    <w:abstractNumId w:val="13"/>
  </w:num>
  <w:num w:numId="41">
    <w:abstractNumId w:val="19"/>
  </w:num>
  <w:num w:numId="42">
    <w:abstractNumId w:val="20"/>
  </w:num>
  <w:num w:numId="43">
    <w:abstractNumId w:val="5"/>
  </w:num>
  <w:num w:numId="44">
    <w:abstractNumId w:val="17"/>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23:22: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09E4DF7-F2AB-4B61-A27C-F4E4D46BAA0D"/>
    <w:docVar w:name="LW_COVERPAGE_TYPE" w:val="1"/>
    <w:docVar w:name="LW_CROSSREFERENCE" w:val="&lt;UNUSED&gt;"/>
    <w:docVar w:name="LW_DocType" w:val="COM"/>
    <w:docVar w:name="LW_EMISSION" w:val="16.2.2021"/>
    <w:docVar w:name="LW_EMISSION_ISODATE" w:val="2021-02-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8"/>
    <w:docVar w:name="LW_REF.II.NEW.CP_YEAR" w:val="2021"/>
    <w:docVar w:name="LW_REF.INST.NEW" w:val="COM"/>
    <w:docVar w:name="LW_REF.INST.NEW_ADOPTED" w:val="final"/>
    <w:docVar w:name="LW_REF.INST.NEW_TEXT" w:val="(2021)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6?\u1090? \u1077?\u1076?\u1085?\u1072? \u1089?\u1090?\u1088?\u1072?\u1085?\u1072?, \u1080? \u1087?\u1088?\u1072?\u1074?\u1080?\u1090?\u1077?\u1083?\u1089?\u1090?\u1074?\u1086?\u1090?\u1086? \u1085?\u1072? \u1043?\u1088?\u1077?\u1085?\u1083?\u1072?\u1085?\u1076?\u1080?\u1103? \u1080? \u1087?\u1088?\u1072?\u1074?\u1080?\u1090?\u1077?\u1083?\u1089?\u1090?\u1074?\u1086?\u1090?\u1086? \u1085?\u1072? \u1044?\u1072?\u1085?\u1080?\u1103?, \u1086?\u1090? \u1076?\u1088?\u1091?\u1075?\u1072? \u1089?\u1090?\u1088?\u1072?\u1085?\u1072?, \u1080? \u1085?\u1072? \u1087?\u1088?\u1086?\u1090?\u1086?\u1082?\u1086?\u1083?\u1072? \u1079?\u1072? \u1085?\u1077?\u1075?\u1086?\u1074?\u1086?\u1090?\u1086? \u1080?\u1079?\u1087?\u1098?\u1083?\u1085?\u1077?\u1085?\u108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
    <w:name w:val="F"/>
    <w:basedOn w:val="Normal"/>
    <w:pPr>
      <w:jc w:val="center"/>
    </w:pPr>
    <w:rPr>
      <w:b/>
      <w:noProo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
    <w:name w:val="F"/>
    <w:basedOn w:val="Normal"/>
    <w:pPr>
      <w:jc w:val="center"/>
    </w:pPr>
    <w:rPr>
      <w:b/>
      <w:noProo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09011">
      <w:bodyDiv w:val="1"/>
      <w:marLeft w:val="0"/>
      <w:marRight w:val="0"/>
      <w:marTop w:val="0"/>
      <w:marBottom w:val="0"/>
      <w:divBdr>
        <w:top w:val="none" w:sz="0" w:space="0" w:color="auto"/>
        <w:left w:val="none" w:sz="0" w:space="0" w:color="auto"/>
        <w:bottom w:val="none" w:sz="0" w:space="0" w:color="auto"/>
        <w:right w:val="none" w:sz="0" w:space="0" w:color="auto"/>
      </w:divBdr>
    </w:div>
    <w:div w:id="474219641">
      <w:bodyDiv w:val="1"/>
      <w:marLeft w:val="0"/>
      <w:marRight w:val="0"/>
      <w:marTop w:val="0"/>
      <w:marBottom w:val="0"/>
      <w:divBdr>
        <w:top w:val="none" w:sz="0" w:space="0" w:color="auto"/>
        <w:left w:val="none" w:sz="0" w:space="0" w:color="auto"/>
        <w:bottom w:val="none" w:sz="0" w:space="0" w:color="auto"/>
        <w:right w:val="none" w:sz="0" w:space="0" w:color="auto"/>
      </w:divBdr>
    </w:div>
    <w:div w:id="491723521">
      <w:bodyDiv w:val="1"/>
      <w:marLeft w:val="0"/>
      <w:marRight w:val="0"/>
      <w:marTop w:val="0"/>
      <w:marBottom w:val="0"/>
      <w:divBdr>
        <w:top w:val="none" w:sz="0" w:space="0" w:color="auto"/>
        <w:left w:val="none" w:sz="0" w:space="0" w:color="auto"/>
        <w:bottom w:val="none" w:sz="0" w:space="0" w:color="auto"/>
        <w:right w:val="none" w:sz="0" w:space="0" w:color="auto"/>
      </w:divBdr>
    </w:div>
    <w:div w:id="564026976">
      <w:bodyDiv w:val="1"/>
      <w:marLeft w:val="0"/>
      <w:marRight w:val="0"/>
      <w:marTop w:val="0"/>
      <w:marBottom w:val="0"/>
      <w:divBdr>
        <w:top w:val="none" w:sz="0" w:space="0" w:color="auto"/>
        <w:left w:val="none" w:sz="0" w:space="0" w:color="auto"/>
        <w:bottom w:val="none" w:sz="0" w:space="0" w:color="auto"/>
        <w:right w:val="none" w:sz="0" w:space="0" w:color="auto"/>
      </w:divBdr>
    </w:div>
    <w:div w:id="890924331">
      <w:bodyDiv w:val="1"/>
      <w:marLeft w:val="0"/>
      <w:marRight w:val="0"/>
      <w:marTop w:val="0"/>
      <w:marBottom w:val="0"/>
      <w:divBdr>
        <w:top w:val="none" w:sz="0" w:space="0" w:color="auto"/>
        <w:left w:val="none" w:sz="0" w:space="0" w:color="auto"/>
        <w:bottom w:val="none" w:sz="0" w:space="0" w:color="auto"/>
        <w:right w:val="none" w:sz="0" w:space="0" w:color="auto"/>
      </w:divBdr>
    </w:div>
    <w:div w:id="905839543">
      <w:bodyDiv w:val="1"/>
      <w:marLeft w:val="0"/>
      <w:marRight w:val="0"/>
      <w:marTop w:val="0"/>
      <w:marBottom w:val="0"/>
      <w:divBdr>
        <w:top w:val="none" w:sz="0" w:space="0" w:color="auto"/>
        <w:left w:val="none" w:sz="0" w:space="0" w:color="auto"/>
        <w:bottom w:val="none" w:sz="0" w:space="0" w:color="auto"/>
        <w:right w:val="none" w:sz="0" w:space="0" w:color="auto"/>
      </w:divBdr>
    </w:div>
    <w:div w:id="936444722">
      <w:bodyDiv w:val="1"/>
      <w:marLeft w:val="0"/>
      <w:marRight w:val="0"/>
      <w:marTop w:val="0"/>
      <w:marBottom w:val="0"/>
      <w:divBdr>
        <w:top w:val="none" w:sz="0" w:space="0" w:color="auto"/>
        <w:left w:val="none" w:sz="0" w:space="0" w:color="auto"/>
        <w:bottom w:val="none" w:sz="0" w:space="0" w:color="auto"/>
        <w:right w:val="none" w:sz="0" w:space="0" w:color="auto"/>
      </w:divBdr>
    </w:div>
    <w:div w:id="974137013">
      <w:bodyDiv w:val="1"/>
      <w:marLeft w:val="0"/>
      <w:marRight w:val="0"/>
      <w:marTop w:val="0"/>
      <w:marBottom w:val="0"/>
      <w:divBdr>
        <w:top w:val="none" w:sz="0" w:space="0" w:color="auto"/>
        <w:left w:val="none" w:sz="0" w:space="0" w:color="auto"/>
        <w:bottom w:val="none" w:sz="0" w:space="0" w:color="auto"/>
        <w:right w:val="none" w:sz="0" w:space="0" w:color="auto"/>
      </w:divBdr>
    </w:div>
    <w:div w:id="1088381365">
      <w:bodyDiv w:val="1"/>
      <w:marLeft w:val="0"/>
      <w:marRight w:val="0"/>
      <w:marTop w:val="0"/>
      <w:marBottom w:val="0"/>
      <w:divBdr>
        <w:top w:val="none" w:sz="0" w:space="0" w:color="auto"/>
        <w:left w:val="none" w:sz="0" w:space="0" w:color="auto"/>
        <w:bottom w:val="none" w:sz="0" w:space="0" w:color="auto"/>
        <w:right w:val="none" w:sz="0" w:space="0" w:color="auto"/>
      </w:divBdr>
    </w:div>
    <w:div w:id="1291788627">
      <w:bodyDiv w:val="1"/>
      <w:marLeft w:val="0"/>
      <w:marRight w:val="0"/>
      <w:marTop w:val="0"/>
      <w:marBottom w:val="0"/>
      <w:divBdr>
        <w:top w:val="none" w:sz="0" w:space="0" w:color="auto"/>
        <w:left w:val="none" w:sz="0" w:space="0" w:color="auto"/>
        <w:bottom w:val="none" w:sz="0" w:space="0" w:color="auto"/>
        <w:right w:val="none" w:sz="0" w:space="0" w:color="auto"/>
      </w:divBdr>
    </w:div>
    <w:div w:id="1328708203">
      <w:bodyDiv w:val="1"/>
      <w:marLeft w:val="0"/>
      <w:marRight w:val="0"/>
      <w:marTop w:val="0"/>
      <w:marBottom w:val="0"/>
      <w:divBdr>
        <w:top w:val="none" w:sz="0" w:space="0" w:color="auto"/>
        <w:left w:val="none" w:sz="0" w:space="0" w:color="auto"/>
        <w:bottom w:val="none" w:sz="0" w:space="0" w:color="auto"/>
        <w:right w:val="none" w:sz="0" w:space="0" w:color="auto"/>
      </w:divBdr>
    </w:div>
    <w:div w:id="1397358813">
      <w:bodyDiv w:val="1"/>
      <w:marLeft w:val="0"/>
      <w:marRight w:val="0"/>
      <w:marTop w:val="0"/>
      <w:marBottom w:val="0"/>
      <w:divBdr>
        <w:top w:val="none" w:sz="0" w:space="0" w:color="auto"/>
        <w:left w:val="none" w:sz="0" w:space="0" w:color="auto"/>
        <w:bottom w:val="none" w:sz="0" w:space="0" w:color="auto"/>
        <w:right w:val="none" w:sz="0" w:space="0" w:color="auto"/>
      </w:divBdr>
    </w:div>
    <w:div w:id="1444306754">
      <w:bodyDiv w:val="1"/>
      <w:marLeft w:val="0"/>
      <w:marRight w:val="0"/>
      <w:marTop w:val="0"/>
      <w:marBottom w:val="0"/>
      <w:divBdr>
        <w:top w:val="none" w:sz="0" w:space="0" w:color="auto"/>
        <w:left w:val="none" w:sz="0" w:space="0" w:color="auto"/>
        <w:bottom w:val="none" w:sz="0" w:space="0" w:color="auto"/>
        <w:right w:val="none" w:sz="0" w:space="0" w:color="auto"/>
      </w:divBdr>
    </w:div>
    <w:div w:id="1562473688">
      <w:bodyDiv w:val="1"/>
      <w:marLeft w:val="0"/>
      <w:marRight w:val="0"/>
      <w:marTop w:val="0"/>
      <w:marBottom w:val="0"/>
      <w:divBdr>
        <w:top w:val="none" w:sz="0" w:space="0" w:color="auto"/>
        <w:left w:val="none" w:sz="0" w:space="0" w:color="auto"/>
        <w:bottom w:val="none" w:sz="0" w:space="0" w:color="auto"/>
        <w:right w:val="none" w:sz="0" w:space="0" w:color="auto"/>
      </w:divBdr>
    </w:div>
    <w:div w:id="1582637881">
      <w:bodyDiv w:val="1"/>
      <w:marLeft w:val="0"/>
      <w:marRight w:val="0"/>
      <w:marTop w:val="0"/>
      <w:marBottom w:val="0"/>
      <w:divBdr>
        <w:top w:val="none" w:sz="0" w:space="0" w:color="auto"/>
        <w:left w:val="none" w:sz="0" w:space="0" w:color="auto"/>
        <w:bottom w:val="none" w:sz="0" w:space="0" w:color="auto"/>
        <w:right w:val="none" w:sz="0" w:space="0" w:color="auto"/>
      </w:divBdr>
    </w:div>
    <w:div w:id="1633558560">
      <w:bodyDiv w:val="1"/>
      <w:marLeft w:val="0"/>
      <w:marRight w:val="0"/>
      <w:marTop w:val="0"/>
      <w:marBottom w:val="0"/>
      <w:divBdr>
        <w:top w:val="none" w:sz="0" w:space="0" w:color="auto"/>
        <w:left w:val="none" w:sz="0" w:space="0" w:color="auto"/>
        <w:bottom w:val="none" w:sz="0" w:space="0" w:color="auto"/>
        <w:right w:val="none" w:sz="0" w:space="0" w:color="auto"/>
      </w:divBdr>
    </w:div>
    <w:div w:id="1686976927">
      <w:bodyDiv w:val="1"/>
      <w:marLeft w:val="0"/>
      <w:marRight w:val="0"/>
      <w:marTop w:val="0"/>
      <w:marBottom w:val="0"/>
      <w:divBdr>
        <w:top w:val="none" w:sz="0" w:space="0" w:color="auto"/>
        <w:left w:val="none" w:sz="0" w:space="0" w:color="auto"/>
        <w:bottom w:val="none" w:sz="0" w:space="0" w:color="auto"/>
        <w:right w:val="none" w:sz="0" w:space="0" w:color="auto"/>
      </w:divBdr>
    </w:div>
    <w:div w:id="1707943864">
      <w:bodyDiv w:val="1"/>
      <w:marLeft w:val="0"/>
      <w:marRight w:val="0"/>
      <w:marTop w:val="0"/>
      <w:marBottom w:val="0"/>
      <w:divBdr>
        <w:top w:val="none" w:sz="0" w:space="0" w:color="auto"/>
        <w:left w:val="none" w:sz="0" w:space="0" w:color="auto"/>
        <w:bottom w:val="none" w:sz="0" w:space="0" w:color="auto"/>
        <w:right w:val="none" w:sz="0" w:space="0" w:color="auto"/>
      </w:divBdr>
    </w:div>
    <w:div w:id="1780029623">
      <w:bodyDiv w:val="1"/>
      <w:marLeft w:val="0"/>
      <w:marRight w:val="0"/>
      <w:marTop w:val="0"/>
      <w:marBottom w:val="0"/>
      <w:divBdr>
        <w:top w:val="none" w:sz="0" w:space="0" w:color="auto"/>
        <w:left w:val="none" w:sz="0" w:space="0" w:color="auto"/>
        <w:bottom w:val="none" w:sz="0" w:space="0" w:color="auto"/>
        <w:right w:val="none" w:sz="0" w:space="0" w:color="auto"/>
      </w:divBdr>
    </w:div>
    <w:div w:id="1912352590">
      <w:bodyDiv w:val="1"/>
      <w:marLeft w:val="0"/>
      <w:marRight w:val="0"/>
      <w:marTop w:val="0"/>
      <w:marBottom w:val="0"/>
      <w:divBdr>
        <w:top w:val="none" w:sz="0" w:space="0" w:color="auto"/>
        <w:left w:val="none" w:sz="0" w:space="0" w:color="auto"/>
        <w:bottom w:val="none" w:sz="0" w:space="0" w:color="auto"/>
        <w:right w:val="none" w:sz="0" w:space="0" w:color="auto"/>
      </w:divBdr>
    </w:div>
    <w:div w:id="19236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25</Pages>
  <Words>4883</Words>
  <Characters>29056</Characters>
  <Application>Microsoft Office Word</Application>
  <DocSecurity>0</DocSecurity>
  <Lines>1529</Lines>
  <Paragraphs>606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2021-03-03T10:40:00Z</dcterms:created>
  <dcterms:modified xsi:type="dcterms:W3CDTF">2021-03-03T22:22:00Z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