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543" w:rsidRDefault="007C073D">
      <w:pPr>
        <w:pStyle w:val="Pagedecouverture"/>
        <w:rPr>
          <w:noProof/>
          <w:lang w:val="en-IE"/>
        </w:rPr>
      </w:pPr>
      <w:bookmarkStart w:id="0" w:name="LW_BM_COVERPAGE"/>
      <w:bookmarkStart w:id="1" w:name="_Toc476820820"/>
      <w:r>
        <w:rPr>
          <w:noProof/>
          <w:lang w:val="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6FE0383-ED60-4434-9074-1B44F74A9E20" style="width:450.25pt;height:483.7pt">
            <v:imagedata r:id="rId8" o:title=""/>
          </v:shape>
        </w:pict>
      </w:r>
    </w:p>
    <w:bookmarkEnd w:id="0"/>
    <w:p w:rsidR="00DA7543" w:rsidRDefault="00DA7543">
      <w:pPr>
        <w:rPr>
          <w:rFonts w:ascii="Times New Roman" w:hAnsi="Times New Roman" w:cs="Times New Roman"/>
          <w:noProof/>
          <w:lang w:val="en-IE"/>
        </w:rPr>
        <w:sectPr w:rsidR="00DA7543">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sdt>
      <w:sdtPr>
        <w:rPr>
          <w:rFonts w:ascii="Times New Roman" w:eastAsiaTheme="minorHAnsi" w:hAnsi="Times New Roman" w:cs="Times New Roman"/>
          <w:noProof/>
          <w:color w:val="auto"/>
          <w:sz w:val="22"/>
          <w:szCs w:val="22"/>
          <w:lang w:val="en-IE"/>
        </w:rPr>
        <w:id w:val="-95943181"/>
        <w:docPartObj>
          <w:docPartGallery w:val="Table of Contents"/>
          <w:docPartUnique/>
        </w:docPartObj>
      </w:sdtPr>
      <w:sdtEndPr>
        <w:rPr>
          <w:b/>
          <w:bCs/>
          <w:sz w:val="24"/>
          <w:szCs w:val="24"/>
        </w:rPr>
      </w:sdtEndPr>
      <w:sdtContent>
        <w:p w:rsidR="00DA7543" w:rsidRDefault="007C073D">
          <w:pPr>
            <w:pStyle w:val="TOCHeading"/>
            <w:spacing w:after="240"/>
            <w:jc w:val="center"/>
            <w:rPr>
              <w:rFonts w:ascii="Times New Roman" w:eastAsiaTheme="minorHAnsi" w:hAnsi="Times New Roman" w:cs="Times New Roman"/>
              <w:noProof/>
              <w:color w:val="auto"/>
              <w:sz w:val="24"/>
              <w:szCs w:val="22"/>
              <w:lang w:val="en-IE"/>
            </w:rPr>
          </w:pPr>
          <w:r>
            <w:rPr>
              <w:rFonts w:ascii="Times New Roman" w:eastAsiaTheme="minorHAnsi" w:hAnsi="Times New Roman" w:cs="Times New Roman"/>
              <w:noProof/>
              <w:color w:val="auto"/>
              <w:sz w:val="24"/>
              <w:szCs w:val="22"/>
              <w:lang w:val="en-IE"/>
            </w:rPr>
            <w:t>Table of Contents</w:t>
          </w:r>
        </w:p>
        <w:p w:rsidR="00DA7543" w:rsidRDefault="007C073D">
          <w:pPr>
            <w:pStyle w:val="TOC1"/>
            <w:tabs>
              <w:tab w:val="left" w:pos="440"/>
              <w:tab w:val="right" w:leader="dot" w:pos="9062"/>
            </w:tabs>
            <w:rPr>
              <w:rFonts w:eastAsiaTheme="minorEastAsia"/>
              <w:noProof/>
              <w:lang w:val="en-IE" w:eastAsia="en-IE"/>
            </w:rPr>
          </w:pPr>
          <w:r>
            <w:rPr>
              <w:rFonts w:ascii="Times New Roman" w:hAnsi="Times New Roman" w:cs="Times New Roman"/>
              <w:noProof/>
              <w:sz w:val="24"/>
              <w:szCs w:val="24"/>
              <w:lang w:val="en-IE"/>
            </w:rPr>
            <w:fldChar w:fldCharType="begin"/>
          </w:r>
          <w:r>
            <w:rPr>
              <w:rFonts w:ascii="Times New Roman" w:hAnsi="Times New Roman" w:cs="Times New Roman"/>
              <w:noProof/>
              <w:sz w:val="24"/>
              <w:szCs w:val="24"/>
              <w:lang w:val="en-IE"/>
            </w:rPr>
            <w:instrText xml:space="preserve"> TOC \o "1-3" \h \z \u </w:instrText>
          </w:r>
          <w:r>
            <w:rPr>
              <w:rFonts w:ascii="Times New Roman" w:hAnsi="Times New Roman" w:cs="Times New Roman"/>
              <w:noProof/>
              <w:sz w:val="24"/>
              <w:szCs w:val="24"/>
              <w:lang w:val="en-IE"/>
            </w:rPr>
            <w:fldChar w:fldCharType="separate"/>
          </w:r>
          <w:hyperlink w:anchor="_Toc65241934" w:history="1">
            <w:r>
              <w:rPr>
                <w:rStyle w:val="Hyperlink"/>
                <w:rFonts w:ascii="Times New Roman" w:hAnsi="Times New Roman"/>
                <w:noProof/>
                <w:lang w:val="en-IE"/>
                <w14:scene3d>
                  <w14:camera w14:prst="orthographicFront"/>
                  <w14:lightRig w14:rig="threePt" w14:dir="t">
                    <w14:rot w14:lat="0" w14:lon="0" w14:rev="0"/>
                  </w14:lightRig>
                </w14:scene3d>
              </w:rPr>
              <w:t>1</w:t>
            </w:r>
            <w:r>
              <w:rPr>
                <w:rFonts w:eastAsiaTheme="minorEastAsia"/>
                <w:noProof/>
                <w:lang w:val="en-IE" w:eastAsia="en-IE"/>
              </w:rPr>
              <w:tab/>
            </w:r>
            <w:r>
              <w:rPr>
                <w:rStyle w:val="Hyperlink"/>
                <w:rFonts w:ascii="Times New Roman" w:hAnsi="Times New Roman"/>
                <w:noProof/>
                <w:lang w:val="en-IE"/>
              </w:rPr>
              <w:t>Introduction</w:t>
            </w:r>
            <w:r>
              <w:rPr>
                <w:noProof/>
                <w:webHidden/>
              </w:rPr>
              <w:tab/>
            </w:r>
            <w:r>
              <w:rPr>
                <w:noProof/>
                <w:webHidden/>
              </w:rPr>
              <w:fldChar w:fldCharType="begin"/>
            </w:r>
            <w:r>
              <w:rPr>
                <w:noProof/>
                <w:webHidden/>
              </w:rPr>
              <w:instrText xml:space="preserve"> PAGEREF _Toc65241934 \h </w:instrText>
            </w:r>
            <w:r>
              <w:rPr>
                <w:noProof/>
                <w:webHidden/>
              </w:rPr>
            </w:r>
            <w:r>
              <w:rPr>
                <w:noProof/>
                <w:webHidden/>
              </w:rPr>
              <w:fldChar w:fldCharType="separate"/>
            </w:r>
            <w:r>
              <w:rPr>
                <w:noProof/>
                <w:webHidden/>
              </w:rPr>
              <w:t>2</w:t>
            </w:r>
            <w:r>
              <w:rPr>
                <w:noProof/>
                <w:webHidden/>
              </w:rPr>
              <w:fldChar w:fldCharType="end"/>
            </w:r>
          </w:hyperlink>
        </w:p>
        <w:p w:rsidR="00DA7543" w:rsidRDefault="007C073D">
          <w:pPr>
            <w:pStyle w:val="TOC1"/>
            <w:tabs>
              <w:tab w:val="left" w:pos="440"/>
              <w:tab w:val="right" w:leader="dot" w:pos="9062"/>
            </w:tabs>
            <w:rPr>
              <w:rFonts w:eastAsiaTheme="minorEastAsia"/>
              <w:noProof/>
              <w:lang w:val="en-IE" w:eastAsia="en-IE"/>
            </w:rPr>
          </w:pPr>
          <w:hyperlink w:anchor="_Toc65241935" w:history="1">
            <w:r>
              <w:rPr>
                <w:rStyle w:val="Hyperlink"/>
                <w:rFonts w:ascii="Times New Roman" w:hAnsi="Times New Roman"/>
                <w:noProof/>
                <w:lang w:val="en-IE"/>
                <w14:scene3d>
                  <w14:camera w14:prst="orthographicFront"/>
                  <w14:lightRig w14:rig="threePt" w14:dir="t">
                    <w14:rot w14:lat="0" w14:lon="0" w14:rev="0"/>
                  </w14:lightRig>
                </w14:scene3d>
              </w:rPr>
              <w:t>2</w:t>
            </w:r>
            <w:r>
              <w:rPr>
                <w:rFonts w:eastAsiaTheme="minorEastAsia"/>
                <w:noProof/>
                <w:lang w:val="en-IE" w:eastAsia="en-IE"/>
              </w:rPr>
              <w:tab/>
            </w:r>
            <w:r>
              <w:rPr>
                <w:rStyle w:val="Hyperlink"/>
                <w:rFonts w:ascii="Times New Roman" w:hAnsi="Times New Roman"/>
                <w:noProof/>
                <w:lang w:val="en-IE"/>
              </w:rPr>
              <w:t>Methodology for the assessment of National Implementation Reports</w:t>
            </w:r>
            <w:r>
              <w:rPr>
                <w:noProof/>
                <w:webHidden/>
              </w:rPr>
              <w:tab/>
            </w:r>
            <w:r>
              <w:rPr>
                <w:noProof/>
                <w:webHidden/>
              </w:rPr>
              <w:fldChar w:fldCharType="begin"/>
            </w:r>
            <w:r>
              <w:rPr>
                <w:noProof/>
                <w:webHidden/>
              </w:rPr>
              <w:instrText xml:space="preserve"> PAGEREF _Toc65241935 \h </w:instrText>
            </w:r>
            <w:r>
              <w:rPr>
                <w:noProof/>
                <w:webHidden/>
              </w:rPr>
            </w:r>
            <w:r>
              <w:rPr>
                <w:noProof/>
                <w:webHidden/>
              </w:rPr>
              <w:fldChar w:fldCharType="separate"/>
            </w:r>
            <w:r>
              <w:rPr>
                <w:noProof/>
                <w:webHidden/>
              </w:rPr>
              <w:t>4</w:t>
            </w:r>
            <w:r>
              <w:rPr>
                <w:noProof/>
                <w:webHidden/>
              </w:rPr>
              <w:fldChar w:fldCharType="end"/>
            </w:r>
          </w:hyperlink>
        </w:p>
        <w:p w:rsidR="00DA7543" w:rsidRDefault="007C073D">
          <w:pPr>
            <w:pStyle w:val="TOC2"/>
            <w:tabs>
              <w:tab w:val="left" w:pos="880"/>
              <w:tab w:val="right" w:leader="dot" w:pos="9062"/>
            </w:tabs>
            <w:rPr>
              <w:rFonts w:eastAsiaTheme="minorEastAsia"/>
              <w:noProof/>
              <w:lang w:val="en-IE" w:eastAsia="en-IE"/>
            </w:rPr>
          </w:pPr>
          <w:hyperlink w:anchor="_Toc65241936" w:history="1">
            <w:r>
              <w:rPr>
                <w:rStyle w:val="Hyperlink"/>
                <w:rFonts w:ascii="Times New Roman" w:hAnsi="Times New Roman" w:cs="Times New Roman"/>
                <w:noProof/>
                <w:lang w:val="en-IE"/>
              </w:rPr>
              <w:t>2.1</w:t>
            </w:r>
            <w:r>
              <w:rPr>
                <w:rFonts w:eastAsiaTheme="minorEastAsia"/>
                <w:noProof/>
                <w:lang w:val="en-IE" w:eastAsia="en-IE"/>
              </w:rPr>
              <w:tab/>
            </w:r>
            <w:r>
              <w:rPr>
                <w:rStyle w:val="Hyperlink"/>
                <w:rFonts w:ascii="Times New Roman" w:hAnsi="Times New Roman" w:cs="Times New Roman"/>
                <w:noProof/>
                <w:lang w:val="en-IE"/>
              </w:rPr>
              <w:t>Member state level assessment methodology</w:t>
            </w:r>
            <w:r>
              <w:rPr>
                <w:noProof/>
                <w:webHidden/>
              </w:rPr>
              <w:tab/>
            </w:r>
            <w:r>
              <w:rPr>
                <w:noProof/>
                <w:webHidden/>
              </w:rPr>
              <w:fldChar w:fldCharType="begin"/>
            </w:r>
            <w:r>
              <w:rPr>
                <w:noProof/>
                <w:webHidden/>
              </w:rPr>
              <w:instrText xml:space="preserve"> PAGEREF _Toc65241936 \h </w:instrText>
            </w:r>
            <w:r>
              <w:rPr>
                <w:noProof/>
                <w:webHidden/>
              </w:rPr>
            </w:r>
            <w:r>
              <w:rPr>
                <w:noProof/>
                <w:webHidden/>
              </w:rPr>
              <w:fldChar w:fldCharType="separate"/>
            </w:r>
            <w:r>
              <w:rPr>
                <w:noProof/>
                <w:webHidden/>
              </w:rPr>
              <w:t>4</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37" w:history="1">
            <w:r>
              <w:rPr>
                <w:rStyle w:val="Hyperlink"/>
                <w:rFonts w:ascii="Times New Roman" w:hAnsi="Times New Roman" w:cs="Times New Roman"/>
                <w:noProof/>
                <w:lang w:val="en-IE"/>
                <w14:scene3d>
                  <w14:camera w14:prst="orthographicFront"/>
                  <w14:lightRig w14:rig="threePt" w14:dir="t">
                    <w14:rot w14:lat="0" w14:lon="0" w14:rev="0"/>
                  </w14:lightRig>
                </w14:scene3d>
              </w:rPr>
              <w:t>2.1.1</w:t>
            </w:r>
            <w:r>
              <w:rPr>
                <w:rFonts w:eastAsiaTheme="minorEastAsia"/>
                <w:noProof/>
                <w:lang w:val="en-IE" w:eastAsia="en-IE"/>
              </w:rPr>
              <w:tab/>
            </w:r>
            <w:r>
              <w:rPr>
                <w:rStyle w:val="Hyperlink"/>
                <w:rFonts w:ascii="Times New Roman" w:hAnsi="Times New Roman" w:cs="Times New Roman"/>
                <w:noProof/>
                <w:lang w:val="en-IE"/>
              </w:rPr>
              <w:t>AFV-estimates / AFI-targets assessment</w:t>
            </w:r>
            <w:r>
              <w:rPr>
                <w:noProof/>
                <w:webHidden/>
              </w:rPr>
              <w:tab/>
            </w:r>
            <w:r>
              <w:rPr>
                <w:noProof/>
                <w:webHidden/>
              </w:rPr>
              <w:fldChar w:fldCharType="begin"/>
            </w:r>
            <w:r>
              <w:rPr>
                <w:noProof/>
                <w:webHidden/>
              </w:rPr>
              <w:instrText xml:space="preserve"> PAGE</w:instrText>
            </w:r>
            <w:r>
              <w:rPr>
                <w:noProof/>
                <w:webHidden/>
              </w:rPr>
              <w:instrText xml:space="preserve">REF _Toc65241937 \h </w:instrText>
            </w:r>
            <w:r>
              <w:rPr>
                <w:noProof/>
                <w:webHidden/>
              </w:rPr>
            </w:r>
            <w:r>
              <w:rPr>
                <w:noProof/>
                <w:webHidden/>
              </w:rPr>
              <w:fldChar w:fldCharType="separate"/>
            </w:r>
            <w:r>
              <w:rPr>
                <w:noProof/>
                <w:webHidden/>
              </w:rPr>
              <w:t>4</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38" w:history="1">
            <w:r>
              <w:rPr>
                <w:rStyle w:val="Hyperlink"/>
                <w:rFonts w:ascii="Times New Roman" w:hAnsi="Times New Roman" w:cs="Times New Roman"/>
                <w:noProof/>
                <w:lang w:val="en-IE" w:eastAsia="en-IE"/>
                <w14:scene3d>
                  <w14:camera w14:prst="orthographicFront"/>
                  <w14:lightRig w14:rig="threePt" w14:dir="t">
                    <w14:rot w14:lat="0" w14:lon="0" w14:rev="0"/>
                  </w14:lightRig>
                </w14:scene3d>
              </w:rPr>
              <w:t>2.1.2</w:t>
            </w:r>
            <w:r>
              <w:rPr>
                <w:rFonts w:eastAsiaTheme="minorEastAsia"/>
                <w:noProof/>
                <w:lang w:val="en-IE" w:eastAsia="en-IE"/>
              </w:rPr>
              <w:tab/>
            </w:r>
            <w:r>
              <w:rPr>
                <w:rStyle w:val="Hyperlink"/>
                <w:rFonts w:ascii="Times New Roman" w:hAnsi="Times New Roman" w:cs="Times New Roman"/>
                <w:noProof/>
                <w:lang w:val="en-IE" w:eastAsia="en-IE"/>
              </w:rPr>
              <w:t>Assessment of AFV-estimates / AFI-targets changes</w:t>
            </w:r>
            <w:r>
              <w:rPr>
                <w:noProof/>
                <w:webHidden/>
              </w:rPr>
              <w:tab/>
            </w:r>
            <w:r>
              <w:rPr>
                <w:noProof/>
                <w:webHidden/>
              </w:rPr>
              <w:fldChar w:fldCharType="begin"/>
            </w:r>
            <w:r>
              <w:rPr>
                <w:noProof/>
                <w:webHidden/>
              </w:rPr>
              <w:instrText xml:space="preserve"> PAGEREF _Toc65241938 \h </w:instrText>
            </w:r>
            <w:r>
              <w:rPr>
                <w:noProof/>
                <w:webHidden/>
              </w:rPr>
            </w:r>
            <w:r>
              <w:rPr>
                <w:noProof/>
                <w:webHidden/>
              </w:rPr>
              <w:fldChar w:fldCharType="separate"/>
            </w:r>
            <w:r>
              <w:rPr>
                <w:noProof/>
                <w:webHidden/>
              </w:rPr>
              <w:t>5</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39" w:history="1">
            <w:r>
              <w:rPr>
                <w:rStyle w:val="Hyperlink"/>
                <w:rFonts w:ascii="Times New Roman" w:hAnsi="Times New Roman" w:cs="Times New Roman"/>
                <w:noProof/>
                <w:lang w:val="en-IE" w:eastAsia="en-IE"/>
                <w14:scene3d>
                  <w14:camera w14:prst="orthographicFront"/>
                  <w14:lightRig w14:rig="threePt" w14:dir="t">
                    <w14:rot w14:lat="0" w14:lon="0" w14:rev="0"/>
                  </w14:lightRig>
                </w14:scene3d>
              </w:rPr>
              <w:t>2.1.3</w:t>
            </w:r>
            <w:r>
              <w:rPr>
                <w:rFonts w:eastAsiaTheme="minorEastAsia"/>
                <w:noProof/>
                <w:lang w:val="en-IE" w:eastAsia="en-IE"/>
              </w:rPr>
              <w:tab/>
            </w:r>
            <w:r>
              <w:rPr>
                <w:rStyle w:val="Hyperlink"/>
                <w:rFonts w:ascii="Times New Roman" w:hAnsi="Times New Roman" w:cs="Times New Roman"/>
                <w:noProof/>
                <w:lang w:val="en-IE" w:eastAsia="en-IE"/>
              </w:rPr>
              <w:t>Progress assessment method for AFV-estimates / AFI-targets deployment</w:t>
            </w:r>
            <w:r>
              <w:rPr>
                <w:noProof/>
                <w:webHidden/>
              </w:rPr>
              <w:tab/>
            </w:r>
            <w:r>
              <w:rPr>
                <w:noProof/>
                <w:webHidden/>
              </w:rPr>
              <w:fldChar w:fldCharType="begin"/>
            </w:r>
            <w:r>
              <w:rPr>
                <w:noProof/>
                <w:webHidden/>
              </w:rPr>
              <w:instrText xml:space="preserve"> PAGEREF _Toc65241939 \h </w:instrText>
            </w:r>
            <w:r>
              <w:rPr>
                <w:noProof/>
                <w:webHidden/>
              </w:rPr>
            </w:r>
            <w:r>
              <w:rPr>
                <w:noProof/>
                <w:webHidden/>
              </w:rPr>
              <w:fldChar w:fldCharType="separate"/>
            </w:r>
            <w:r>
              <w:rPr>
                <w:noProof/>
                <w:webHidden/>
              </w:rPr>
              <w:t>6</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40" w:history="1">
            <w:r>
              <w:rPr>
                <w:rStyle w:val="Hyperlink"/>
                <w:rFonts w:ascii="Times New Roman" w:hAnsi="Times New Roman" w:cs="Times New Roman"/>
                <w:noProof/>
                <w:lang w:val="en-IE"/>
                <w14:scene3d>
                  <w14:camera w14:prst="orthographicFront"/>
                  <w14:lightRig w14:rig="threePt" w14:dir="t">
                    <w14:rot w14:lat="0" w14:lon="0" w14:rev="0"/>
                  </w14:lightRig>
                </w14:scene3d>
              </w:rPr>
              <w:t>2.1.4</w:t>
            </w:r>
            <w:r>
              <w:rPr>
                <w:rFonts w:eastAsiaTheme="minorEastAsia"/>
                <w:noProof/>
                <w:lang w:val="en-IE" w:eastAsia="en-IE"/>
              </w:rPr>
              <w:tab/>
            </w:r>
            <w:r>
              <w:rPr>
                <w:rStyle w:val="Hyperlink"/>
                <w:rFonts w:ascii="Times New Roman" w:hAnsi="Times New Roman" w:cs="Times New Roman"/>
                <w:noProof/>
                <w:lang w:val="en-IE"/>
              </w:rPr>
              <w:t xml:space="preserve">Level of </w:t>
            </w:r>
            <w:r>
              <w:rPr>
                <w:rStyle w:val="Hyperlink"/>
                <w:rFonts w:ascii="Times New Roman" w:hAnsi="Times New Roman" w:cs="Times New Roman"/>
                <w:noProof/>
                <w:lang w:val="en-IE" w:eastAsia="en-IE"/>
              </w:rPr>
              <w:t xml:space="preserve">AFV-estimates / AFI-targets </w:t>
            </w:r>
            <w:r>
              <w:rPr>
                <w:rStyle w:val="Hyperlink"/>
                <w:rFonts w:ascii="Times New Roman" w:hAnsi="Times New Roman" w:cs="Times New Roman"/>
                <w:noProof/>
                <w:lang w:val="en-IE"/>
              </w:rPr>
              <w:t>attainment</w:t>
            </w:r>
            <w:r>
              <w:rPr>
                <w:noProof/>
                <w:webHidden/>
              </w:rPr>
              <w:tab/>
            </w:r>
            <w:r>
              <w:rPr>
                <w:noProof/>
                <w:webHidden/>
              </w:rPr>
              <w:fldChar w:fldCharType="begin"/>
            </w:r>
            <w:r>
              <w:rPr>
                <w:noProof/>
                <w:webHidden/>
              </w:rPr>
              <w:instrText xml:space="preserve"> PAGEREF _Toc65241940 \h </w:instrText>
            </w:r>
            <w:r>
              <w:rPr>
                <w:noProof/>
                <w:webHidden/>
              </w:rPr>
            </w:r>
            <w:r>
              <w:rPr>
                <w:noProof/>
                <w:webHidden/>
              </w:rPr>
              <w:fldChar w:fldCharType="separate"/>
            </w:r>
            <w:r>
              <w:rPr>
                <w:noProof/>
                <w:webHidden/>
              </w:rPr>
              <w:t>15</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41" w:history="1">
            <w:r>
              <w:rPr>
                <w:rStyle w:val="Hyperlink"/>
                <w:rFonts w:ascii="Times New Roman" w:hAnsi="Times New Roman" w:cs="Times New Roman"/>
                <w:noProof/>
                <w:lang w:val="en-IE"/>
                <w14:scene3d>
                  <w14:camera w14:prst="orthographicFront"/>
                  <w14:lightRig w14:rig="threePt" w14:dir="t">
                    <w14:rot w14:lat="0" w14:lon="0" w14:rev="0"/>
                  </w14:lightRig>
                </w14:scene3d>
              </w:rPr>
              <w:t>2.1.5</w:t>
            </w:r>
            <w:r>
              <w:rPr>
                <w:rFonts w:eastAsiaTheme="minorEastAsia"/>
                <w:noProof/>
                <w:lang w:val="en-IE" w:eastAsia="en-IE"/>
              </w:rPr>
              <w:tab/>
            </w:r>
            <w:r>
              <w:rPr>
                <w:rStyle w:val="Hyperlink"/>
                <w:rFonts w:ascii="Times New Roman" w:hAnsi="Times New Roman" w:cs="Times New Roman"/>
                <w:noProof/>
                <w:lang w:val="en-IE"/>
              </w:rPr>
              <w:t>Adequacy between alternative</w:t>
            </w:r>
            <w:r>
              <w:rPr>
                <w:rStyle w:val="Hyperlink"/>
                <w:rFonts w:ascii="Times New Roman" w:hAnsi="Times New Roman" w:cs="Times New Roman"/>
                <w:noProof/>
                <w:lang w:val="en-IE"/>
              </w:rPr>
              <w:t xml:space="preserve"> fuels vehicles and infrastructure</w:t>
            </w:r>
            <w:r>
              <w:rPr>
                <w:noProof/>
                <w:webHidden/>
              </w:rPr>
              <w:tab/>
            </w:r>
            <w:r>
              <w:rPr>
                <w:noProof/>
                <w:webHidden/>
              </w:rPr>
              <w:fldChar w:fldCharType="begin"/>
            </w:r>
            <w:r>
              <w:rPr>
                <w:noProof/>
                <w:webHidden/>
              </w:rPr>
              <w:instrText xml:space="preserve"> PAGEREF _Toc65241941 \h </w:instrText>
            </w:r>
            <w:r>
              <w:rPr>
                <w:noProof/>
                <w:webHidden/>
              </w:rPr>
            </w:r>
            <w:r>
              <w:rPr>
                <w:noProof/>
                <w:webHidden/>
              </w:rPr>
              <w:fldChar w:fldCharType="separate"/>
            </w:r>
            <w:r>
              <w:rPr>
                <w:noProof/>
                <w:webHidden/>
              </w:rPr>
              <w:t>15</w:t>
            </w:r>
            <w:r>
              <w:rPr>
                <w:noProof/>
                <w:webHidden/>
              </w:rPr>
              <w:fldChar w:fldCharType="end"/>
            </w:r>
          </w:hyperlink>
        </w:p>
        <w:p w:rsidR="00DA7543" w:rsidRDefault="007C073D">
          <w:pPr>
            <w:pStyle w:val="TOC2"/>
            <w:tabs>
              <w:tab w:val="left" w:pos="880"/>
              <w:tab w:val="right" w:leader="dot" w:pos="9062"/>
            </w:tabs>
            <w:rPr>
              <w:rFonts w:eastAsiaTheme="minorEastAsia"/>
              <w:noProof/>
              <w:lang w:val="en-IE" w:eastAsia="en-IE"/>
            </w:rPr>
          </w:pPr>
          <w:hyperlink w:anchor="_Toc65241942" w:history="1">
            <w:r>
              <w:rPr>
                <w:rStyle w:val="Hyperlink"/>
                <w:rFonts w:ascii="Times New Roman" w:hAnsi="Times New Roman" w:cs="Times New Roman"/>
                <w:noProof/>
                <w:lang w:val="en-IE"/>
              </w:rPr>
              <w:t>2.2</w:t>
            </w:r>
            <w:r>
              <w:rPr>
                <w:rFonts w:eastAsiaTheme="minorEastAsia"/>
                <w:noProof/>
                <w:lang w:val="en-IE" w:eastAsia="en-IE"/>
              </w:rPr>
              <w:tab/>
            </w:r>
            <w:r>
              <w:rPr>
                <w:rStyle w:val="Hyperlink"/>
                <w:rFonts w:ascii="Times New Roman" w:hAnsi="Times New Roman" w:cs="Times New Roman"/>
                <w:noProof/>
                <w:lang w:val="en-IE"/>
              </w:rPr>
              <w:t>Measure assessment method</w:t>
            </w:r>
            <w:r>
              <w:rPr>
                <w:noProof/>
                <w:webHidden/>
              </w:rPr>
              <w:tab/>
            </w:r>
            <w:r>
              <w:rPr>
                <w:noProof/>
                <w:webHidden/>
              </w:rPr>
              <w:fldChar w:fldCharType="begin"/>
            </w:r>
            <w:r>
              <w:rPr>
                <w:noProof/>
                <w:webHidden/>
              </w:rPr>
              <w:instrText xml:space="preserve"> PAGEREF _Toc65241942 \h </w:instrText>
            </w:r>
            <w:r>
              <w:rPr>
                <w:noProof/>
                <w:webHidden/>
              </w:rPr>
            </w:r>
            <w:r>
              <w:rPr>
                <w:noProof/>
                <w:webHidden/>
              </w:rPr>
              <w:fldChar w:fldCharType="separate"/>
            </w:r>
            <w:r>
              <w:rPr>
                <w:noProof/>
                <w:webHidden/>
              </w:rPr>
              <w:t>17</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43" w:history="1">
            <w:r>
              <w:rPr>
                <w:rStyle w:val="Hyperlink"/>
                <w:rFonts w:ascii="Times New Roman" w:hAnsi="Times New Roman" w:cs="Times New Roman"/>
                <w:noProof/>
                <w:lang w:val="en-IE"/>
                <w14:scene3d>
                  <w14:camera w14:prst="orthographicFront"/>
                  <w14:lightRig w14:rig="threePt" w14:dir="t">
                    <w14:rot w14:lat="0" w14:lon="0" w14:rev="0"/>
                  </w14:lightRig>
                </w14:scene3d>
              </w:rPr>
              <w:t>2.2.1</w:t>
            </w:r>
            <w:r>
              <w:rPr>
                <w:rFonts w:eastAsiaTheme="minorEastAsia"/>
                <w:noProof/>
                <w:lang w:val="en-IE" w:eastAsia="en-IE"/>
              </w:rPr>
              <w:tab/>
            </w:r>
            <w:r>
              <w:rPr>
                <w:rStyle w:val="Hyperlink"/>
                <w:rFonts w:ascii="Times New Roman" w:hAnsi="Times New Roman" w:cs="Times New Roman"/>
                <w:noProof/>
                <w:lang w:val="en-IE"/>
              </w:rPr>
              <w:t>Overview of measure assessment activities</w:t>
            </w:r>
            <w:r>
              <w:rPr>
                <w:noProof/>
                <w:webHidden/>
              </w:rPr>
              <w:tab/>
            </w:r>
            <w:r>
              <w:rPr>
                <w:noProof/>
                <w:webHidden/>
              </w:rPr>
              <w:fldChar w:fldCharType="begin"/>
            </w:r>
            <w:r>
              <w:rPr>
                <w:noProof/>
                <w:webHidden/>
              </w:rPr>
              <w:instrText xml:space="preserve"> PAGEREF _Toc65241943 \h </w:instrText>
            </w:r>
            <w:r>
              <w:rPr>
                <w:noProof/>
                <w:webHidden/>
              </w:rPr>
            </w:r>
            <w:r>
              <w:rPr>
                <w:noProof/>
                <w:webHidden/>
              </w:rPr>
              <w:fldChar w:fldCharType="separate"/>
            </w:r>
            <w:r>
              <w:rPr>
                <w:noProof/>
                <w:webHidden/>
              </w:rPr>
              <w:t>17</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44" w:history="1">
            <w:r>
              <w:rPr>
                <w:rStyle w:val="Hyperlink"/>
                <w:rFonts w:ascii="Times New Roman" w:hAnsi="Times New Roman" w:cs="Times New Roman"/>
                <w:noProof/>
                <w:lang w:val="en-IE"/>
                <w14:scene3d>
                  <w14:camera w14:prst="orthographicFront"/>
                  <w14:lightRig w14:rig="threePt" w14:dir="t">
                    <w14:rot w14:lat="0" w14:lon="0" w14:rev="0"/>
                  </w14:lightRig>
                </w14:scene3d>
              </w:rPr>
              <w:t>2.2.2</w:t>
            </w:r>
            <w:r>
              <w:rPr>
                <w:rFonts w:eastAsiaTheme="minorEastAsia"/>
                <w:noProof/>
                <w:lang w:val="en-IE" w:eastAsia="en-IE"/>
              </w:rPr>
              <w:tab/>
            </w:r>
            <w:r>
              <w:rPr>
                <w:rStyle w:val="Hyperlink"/>
                <w:rFonts w:ascii="Times New Roman" w:hAnsi="Times New Roman" w:cs="Times New Roman"/>
                <w:noProof/>
                <w:lang w:val="en-IE"/>
              </w:rPr>
              <w:t>Legal measures</w:t>
            </w:r>
            <w:r>
              <w:rPr>
                <w:noProof/>
                <w:webHidden/>
              </w:rPr>
              <w:tab/>
            </w:r>
            <w:r>
              <w:rPr>
                <w:noProof/>
                <w:webHidden/>
              </w:rPr>
              <w:fldChar w:fldCharType="begin"/>
            </w:r>
            <w:r>
              <w:rPr>
                <w:noProof/>
                <w:webHidden/>
              </w:rPr>
              <w:instrText xml:space="preserve"> PAGEREF _Toc65241944 \h </w:instrText>
            </w:r>
            <w:r>
              <w:rPr>
                <w:noProof/>
                <w:webHidden/>
              </w:rPr>
            </w:r>
            <w:r>
              <w:rPr>
                <w:noProof/>
                <w:webHidden/>
              </w:rPr>
              <w:fldChar w:fldCharType="separate"/>
            </w:r>
            <w:r>
              <w:rPr>
                <w:noProof/>
                <w:webHidden/>
              </w:rPr>
              <w:t>18</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45" w:history="1">
            <w:r>
              <w:rPr>
                <w:rStyle w:val="Hyperlink"/>
                <w:rFonts w:ascii="Times New Roman" w:hAnsi="Times New Roman" w:cs="Times New Roman"/>
                <w:noProof/>
                <w:lang w:val="en-IE"/>
                <w14:scene3d>
                  <w14:camera w14:prst="orthographicFront"/>
                  <w14:lightRig w14:rig="threePt" w14:dir="t">
                    <w14:rot w14:lat="0" w14:lon="0" w14:rev="0"/>
                  </w14:lightRig>
                </w14:scene3d>
              </w:rPr>
              <w:t>2.2.3</w:t>
            </w:r>
            <w:r>
              <w:rPr>
                <w:rFonts w:eastAsiaTheme="minorEastAsia"/>
                <w:noProof/>
                <w:lang w:val="en-IE" w:eastAsia="en-IE"/>
              </w:rPr>
              <w:tab/>
            </w:r>
            <w:r>
              <w:rPr>
                <w:rStyle w:val="Hyperlink"/>
                <w:rFonts w:ascii="Times New Roman" w:hAnsi="Times New Roman" w:cs="Times New Roman"/>
                <w:noProof/>
                <w:lang w:val="en-IE"/>
              </w:rPr>
              <w:t>Policy measures</w:t>
            </w:r>
            <w:r>
              <w:rPr>
                <w:noProof/>
                <w:webHidden/>
              </w:rPr>
              <w:tab/>
            </w:r>
            <w:r>
              <w:rPr>
                <w:noProof/>
                <w:webHidden/>
              </w:rPr>
              <w:fldChar w:fldCharType="begin"/>
            </w:r>
            <w:r>
              <w:rPr>
                <w:noProof/>
                <w:webHidden/>
              </w:rPr>
              <w:instrText xml:space="preserve"> PAGEREF _Toc65241945 \h </w:instrText>
            </w:r>
            <w:r>
              <w:rPr>
                <w:noProof/>
                <w:webHidden/>
              </w:rPr>
            </w:r>
            <w:r>
              <w:rPr>
                <w:noProof/>
                <w:webHidden/>
              </w:rPr>
              <w:fldChar w:fldCharType="separate"/>
            </w:r>
            <w:r>
              <w:rPr>
                <w:noProof/>
                <w:webHidden/>
              </w:rPr>
              <w:t>19</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46" w:history="1">
            <w:r>
              <w:rPr>
                <w:rStyle w:val="Hyperlink"/>
                <w:rFonts w:ascii="Times New Roman" w:hAnsi="Times New Roman" w:cs="Times New Roman"/>
                <w:noProof/>
                <w:lang w:val="en-IE"/>
                <w14:scene3d>
                  <w14:camera w14:prst="orthographicFront"/>
                  <w14:lightRig w14:rig="threePt" w14:dir="t">
                    <w14:rot w14:lat="0" w14:lon="0" w14:rev="0"/>
                  </w14:lightRig>
                </w14:scene3d>
              </w:rPr>
              <w:t>2.2.4</w:t>
            </w:r>
            <w:r>
              <w:rPr>
                <w:rFonts w:eastAsiaTheme="minorEastAsia"/>
                <w:noProof/>
                <w:lang w:val="en-IE" w:eastAsia="en-IE"/>
              </w:rPr>
              <w:tab/>
            </w:r>
            <w:r>
              <w:rPr>
                <w:rStyle w:val="Hyperlink"/>
                <w:rFonts w:ascii="Times New Roman" w:hAnsi="Times New Roman" w:cs="Times New Roman"/>
                <w:noProof/>
                <w:lang w:val="en-IE"/>
              </w:rPr>
              <w:t>Deployment and manufacturing support measures</w:t>
            </w:r>
            <w:r>
              <w:rPr>
                <w:noProof/>
                <w:webHidden/>
              </w:rPr>
              <w:tab/>
            </w:r>
            <w:r>
              <w:rPr>
                <w:noProof/>
                <w:webHidden/>
              </w:rPr>
              <w:fldChar w:fldCharType="begin"/>
            </w:r>
            <w:r>
              <w:rPr>
                <w:noProof/>
                <w:webHidden/>
              </w:rPr>
              <w:instrText xml:space="preserve"> PAGEREF _Toc65241946 \h </w:instrText>
            </w:r>
            <w:r>
              <w:rPr>
                <w:noProof/>
                <w:webHidden/>
              </w:rPr>
            </w:r>
            <w:r>
              <w:rPr>
                <w:noProof/>
                <w:webHidden/>
              </w:rPr>
              <w:fldChar w:fldCharType="separate"/>
            </w:r>
            <w:r>
              <w:rPr>
                <w:noProof/>
                <w:webHidden/>
              </w:rPr>
              <w:t>20</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47" w:history="1">
            <w:r>
              <w:rPr>
                <w:rStyle w:val="Hyperlink"/>
                <w:rFonts w:ascii="Times New Roman" w:hAnsi="Times New Roman" w:cs="Times New Roman"/>
                <w:noProof/>
                <w:lang w:val="en-IE"/>
                <w14:scene3d>
                  <w14:camera w14:prst="orthographicFront"/>
                  <w14:lightRig w14:rig="threePt" w14:dir="t">
                    <w14:rot w14:lat="0" w14:lon="0" w14:rev="0"/>
                  </w14:lightRig>
                </w14:scene3d>
              </w:rPr>
              <w:t>2.2.5</w:t>
            </w:r>
            <w:r>
              <w:rPr>
                <w:rFonts w:eastAsiaTheme="minorEastAsia"/>
                <w:noProof/>
                <w:lang w:val="en-IE" w:eastAsia="en-IE"/>
              </w:rPr>
              <w:tab/>
            </w:r>
            <w:r>
              <w:rPr>
                <w:rStyle w:val="Hyperlink"/>
                <w:rFonts w:ascii="Times New Roman" w:hAnsi="Times New Roman" w:cs="Times New Roman"/>
                <w:noProof/>
                <w:lang w:val="en-IE"/>
              </w:rPr>
              <w:t>Research, technological development and demonstration (RTD&amp;D) activities</w:t>
            </w:r>
            <w:r>
              <w:rPr>
                <w:noProof/>
                <w:webHidden/>
              </w:rPr>
              <w:tab/>
            </w:r>
            <w:r>
              <w:rPr>
                <w:noProof/>
                <w:webHidden/>
              </w:rPr>
              <w:fldChar w:fldCharType="begin"/>
            </w:r>
            <w:r>
              <w:rPr>
                <w:noProof/>
                <w:webHidden/>
              </w:rPr>
              <w:instrText xml:space="preserve"> PAGEREF _Toc65241947 \h </w:instrText>
            </w:r>
            <w:r>
              <w:rPr>
                <w:noProof/>
                <w:webHidden/>
              </w:rPr>
            </w:r>
            <w:r>
              <w:rPr>
                <w:noProof/>
                <w:webHidden/>
              </w:rPr>
              <w:fldChar w:fldCharType="separate"/>
            </w:r>
            <w:r>
              <w:rPr>
                <w:noProof/>
                <w:webHidden/>
              </w:rPr>
              <w:t>20</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48" w:history="1">
            <w:r>
              <w:rPr>
                <w:rStyle w:val="Hyperlink"/>
                <w:rFonts w:ascii="Times New Roman" w:hAnsi="Times New Roman" w:cs="Times New Roman"/>
                <w:noProof/>
                <w:lang w:val="en-IE"/>
                <w14:scene3d>
                  <w14:camera w14:prst="orthographicFront"/>
                  <w14:lightRig w14:rig="threePt" w14:dir="t">
                    <w14:rot w14:lat="0" w14:lon="0" w14:rev="0"/>
                  </w14:lightRig>
                </w14:scene3d>
              </w:rPr>
              <w:t>2.2.6</w:t>
            </w:r>
            <w:r>
              <w:rPr>
                <w:rFonts w:eastAsiaTheme="minorEastAsia"/>
                <w:noProof/>
                <w:lang w:val="en-IE" w:eastAsia="en-IE"/>
              </w:rPr>
              <w:tab/>
            </w:r>
            <w:r>
              <w:rPr>
                <w:rStyle w:val="Hyperlink"/>
                <w:rFonts w:ascii="Times New Roman" w:hAnsi="Times New Roman" w:cs="Times New Roman"/>
                <w:noProof/>
                <w:lang w:val="en-IE"/>
              </w:rPr>
              <w:t xml:space="preserve">Assessment methodology at </w:t>
            </w:r>
            <w:r>
              <w:rPr>
                <w:rStyle w:val="Hyperlink"/>
                <w:rFonts w:ascii="Times New Roman" w:hAnsi="Times New Roman" w:cs="Times New Roman"/>
                <w:noProof/>
                <w:lang w:val="en-IE"/>
              </w:rPr>
              <w:t>individual measure level</w:t>
            </w:r>
            <w:r>
              <w:rPr>
                <w:noProof/>
                <w:webHidden/>
              </w:rPr>
              <w:tab/>
            </w:r>
            <w:r>
              <w:rPr>
                <w:noProof/>
                <w:webHidden/>
              </w:rPr>
              <w:fldChar w:fldCharType="begin"/>
            </w:r>
            <w:r>
              <w:rPr>
                <w:noProof/>
                <w:webHidden/>
              </w:rPr>
              <w:instrText xml:space="preserve"> PAGEREF _Toc65241948 \h </w:instrText>
            </w:r>
            <w:r>
              <w:rPr>
                <w:noProof/>
                <w:webHidden/>
              </w:rPr>
            </w:r>
            <w:r>
              <w:rPr>
                <w:noProof/>
                <w:webHidden/>
              </w:rPr>
              <w:fldChar w:fldCharType="separate"/>
            </w:r>
            <w:r>
              <w:rPr>
                <w:noProof/>
                <w:webHidden/>
              </w:rPr>
              <w:t>21</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49" w:history="1">
            <w:r>
              <w:rPr>
                <w:rStyle w:val="Hyperlink"/>
                <w:rFonts w:ascii="Times New Roman" w:hAnsi="Times New Roman" w:cs="Times New Roman"/>
                <w:noProof/>
                <w:lang w:val="en-IE"/>
                <w14:scene3d>
                  <w14:camera w14:prst="orthographicFront"/>
                  <w14:lightRig w14:rig="threePt" w14:dir="t">
                    <w14:rot w14:lat="0" w14:lon="0" w14:rev="0"/>
                  </w14:lightRig>
                </w14:scene3d>
              </w:rPr>
              <w:t>2.2.7</w:t>
            </w:r>
            <w:r>
              <w:rPr>
                <w:rFonts w:eastAsiaTheme="minorEastAsia"/>
                <w:noProof/>
                <w:lang w:val="en-IE" w:eastAsia="en-IE"/>
              </w:rPr>
              <w:tab/>
            </w:r>
            <w:r>
              <w:rPr>
                <w:rStyle w:val="Hyperlink"/>
                <w:rFonts w:ascii="Times New Roman" w:hAnsi="Times New Roman" w:cs="Times New Roman"/>
                <w:noProof/>
                <w:lang w:val="en-IE"/>
              </w:rPr>
              <w:t>Assessment methodology at alternative fuel / transport mode pairs level</w:t>
            </w:r>
            <w:r>
              <w:rPr>
                <w:noProof/>
                <w:webHidden/>
              </w:rPr>
              <w:tab/>
            </w:r>
            <w:r>
              <w:rPr>
                <w:noProof/>
                <w:webHidden/>
              </w:rPr>
              <w:fldChar w:fldCharType="begin"/>
            </w:r>
            <w:r>
              <w:rPr>
                <w:noProof/>
                <w:webHidden/>
              </w:rPr>
              <w:instrText xml:space="preserve"> PAGEREF _Toc65241949 \h </w:instrText>
            </w:r>
            <w:r>
              <w:rPr>
                <w:noProof/>
                <w:webHidden/>
              </w:rPr>
            </w:r>
            <w:r>
              <w:rPr>
                <w:noProof/>
                <w:webHidden/>
              </w:rPr>
              <w:fldChar w:fldCharType="separate"/>
            </w:r>
            <w:r>
              <w:rPr>
                <w:noProof/>
                <w:webHidden/>
              </w:rPr>
              <w:t>24</w:t>
            </w:r>
            <w:r>
              <w:rPr>
                <w:noProof/>
                <w:webHidden/>
              </w:rPr>
              <w:fldChar w:fldCharType="end"/>
            </w:r>
          </w:hyperlink>
        </w:p>
        <w:p w:rsidR="00DA7543" w:rsidRDefault="007C073D">
          <w:pPr>
            <w:pStyle w:val="TOC1"/>
            <w:tabs>
              <w:tab w:val="left" w:pos="440"/>
              <w:tab w:val="right" w:leader="dot" w:pos="9062"/>
            </w:tabs>
            <w:rPr>
              <w:rFonts w:eastAsiaTheme="minorEastAsia"/>
              <w:noProof/>
              <w:lang w:val="en-IE" w:eastAsia="en-IE"/>
            </w:rPr>
          </w:pPr>
          <w:hyperlink w:anchor="_Toc65241950" w:history="1">
            <w:r>
              <w:rPr>
                <w:rStyle w:val="Hyperlink"/>
                <w:rFonts w:ascii="Times New Roman" w:hAnsi="Times New Roman"/>
                <w:noProof/>
                <w:lang w:val="en-IE"/>
                <w14:scene3d>
                  <w14:camera w14:prst="orthographicFront"/>
                  <w14:lightRig w14:rig="threePt" w14:dir="t">
                    <w14:rot w14:lat="0" w14:lon="0" w14:rev="0"/>
                  </w14:lightRig>
                </w14:scene3d>
              </w:rPr>
              <w:t>3</w:t>
            </w:r>
            <w:r>
              <w:rPr>
                <w:rFonts w:eastAsiaTheme="minorEastAsia"/>
                <w:noProof/>
                <w:lang w:val="en-IE" w:eastAsia="en-IE"/>
              </w:rPr>
              <w:tab/>
            </w:r>
            <w:r>
              <w:rPr>
                <w:rStyle w:val="Hyperlink"/>
                <w:rFonts w:ascii="Times New Roman" w:hAnsi="Times New Roman"/>
                <w:noProof/>
                <w:lang w:val="en-IE"/>
              </w:rPr>
              <w:t>Overview of the main results of the assessment of all NIRs</w:t>
            </w:r>
            <w:r>
              <w:rPr>
                <w:noProof/>
                <w:webHidden/>
              </w:rPr>
              <w:tab/>
            </w:r>
            <w:r>
              <w:rPr>
                <w:noProof/>
                <w:webHidden/>
              </w:rPr>
              <w:fldChar w:fldCharType="begin"/>
            </w:r>
            <w:r>
              <w:rPr>
                <w:noProof/>
                <w:webHidden/>
              </w:rPr>
              <w:instrText xml:space="preserve"> PAGEREF _Toc65241950 \h </w:instrText>
            </w:r>
            <w:r>
              <w:rPr>
                <w:noProof/>
                <w:webHidden/>
              </w:rPr>
            </w:r>
            <w:r>
              <w:rPr>
                <w:noProof/>
                <w:webHidden/>
              </w:rPr>
              <w:fldChar w:fldCharType="separate"/>
            </w:r>
            <w:r>
              <w:rPr>
                <w:noProof/>
                <w:webHidden/>
              </w:rPr>
              <w:t>26</w:t>
            </w:r>
            <w:r>
              <w:rPr>
                <w:noProof/>
                <w:webHidden/>
              </w:rPr>
              <w:fldChar w:fldCharType="end"/>
            </w:r>
          </w:hyperlink>
        </w:p>
        <w:p w:rsidR="00DA7543" w:rsidRDefault="007C073D">
          <w:pPr>
            <w:pStyle w:val="TOC2"/>
            <w:tabs>
              <w:tab w:val="left" w:pos="880"/>
              <w:tab w:val="right" w:leader="dot" w:pos="9062"/>
            </w:tabs>
            <w:rPr>
              <w:rFonts w:eastAsiaTheme="minorEastAsia"/>
              <w:noProof/>
              <w:lang w:val="en-IE" w:eastAsia="en-IE"/>
            </w:rPr>
          </w:pPr>
          <w:hyperlink w:anchor="_Toc65241951" w:history="1">
            <w:r>
              <w:rPr>
                <w:rStyle w:val="Hyperlink"/>
                <w:rFonts w:ascii="Times New Roman" w:hAnsi="Times New Roman" w:cs="Times New Roman"/>
                <w:noProof/>
                <w:lang w:val="en-IE"/>
              </w:rPr>
              <w:t>3.1</w:t>
            </w:r>
            <w:r>
              <w:rPr>
                <w:rFonts w:eastAsiaTheme="minorEastAsia"/>
                <w:noProof/>
                <w:lang w:val="en-IE" w:eastAsia="en-IE"/>
              </w:rPr>
              <w:tab/>
            </w:r>
            <w:r>
              <w:rPr>
                <w:rStyle w:val="Hyperlink"/>
                <w:rFonts w:ascii="Times New Roman" w:hAnsi="Times New Roman" w:cs="Times New Roman"/>
                <w:noProof/>
                <w:lang w:val="en-IE"/>
              </w:rPr>
              <w:t>Road transport</w:t>
            </w:r>
            <w:r>
              <w:rPr>
                <w:noProof/>
                <w:webHidden/>
              </w:rPr>
              <w:tab/>
            </w:r>
            <w:r>
              <w:rPr>
                <w:noProof/>
                <w:webHidden/>
              </w:rPr>
              <w:fldChar w:fldCharType="begin"/>
            </w:r>
            <w:r>
              <w:rPr>
                <w:noProof/>
                <w:webHidden/>
              </w:rPr>
              <w:instrText xml:space="preserve"> PAGEREF _Toc65241951 \h </w:instrText>
            </w:r>
            <w:r>
              <w:rPr>
                <w:noProof/>
                <w:webHidden/>
              </w:rPr>
            </w:r>
            <w:r>
              <w:rPr>
                <w:noProof/>
                <w:webHidden/>
              </w:rPr>
              <w:fldChar w:fldCharType="separate"/>
            </w:r>
            <w:r>
              <w:rPr>
                <w:noProof/>
                <w:webHidden/>
              </w:rPr>
              <w:t>27</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52" w:history="1">
            <w:r>
              <w:rPr>
                <w:rStyle w:val="Hyperlink"/>
                <w:rFonts w:ascii="Times New Roman" w:hAnsi="Times New Roman" w:cs="Times New Roman"/>
                <w:noProof/>
                <w:lang w:val="en-IE"/>
                <w14:scene3d>
                  <w14:camera w14:prst="orthographicFront"/>
                  <w14:lightRig w14:rig="threePt" w14:dir="t">
                    <w14:rot w14:lat="0" w14:lon="0" w14:rev="0"/>
                  </w14:lightRig>
                </w14:scene3d>
              </w:rPr>
              <w:t>3.1.1</w:t>
            </w:r>
            <w:r>
              <w:rPr>
                <w:rFonts w:eastAsiaTheme="minorEastAsia"/>
                <w:noProof/>
                <w:lang w:val="en-IE" w:eastAsia="en-IE"/>
              </w:rPr>
              <w:tab/>
            </w:r>
            <w:r>
              <w:rPr>
                <w:rStyle w:val="Hyperlink"/>
                <w:rFonts w:ascii="Times New Roman" w:hAnsi="Times New Roman" w:cs="Times New Roman"/>
                <w:noProof/>
                <w:lang w:val="en-IE"/>
              </w:rPr>
              <w:t>Electricity (alternative fuels vehicles and infrastructure)</w:t>
            </w:r>
            <w:r>
              <w:rPr>
                <w:noProof/>
                <w:webHidden/>
              </w:rPr>
              <w:tab/>
            </w:r>
            <w:r>
              <w:rPr>
                <w:noProof/>
                <w:webHidden/>
              </w:rPr>
              <w:fldChar w:fldCharType="begin"/>
            </w:r>
            <w:r>
              <w:rPr>
                <w:noProof/>
                <w:webHidden/>
              </w:rPr>
              <w:instrText xml:space="preserve"> PAGEREF _Toc65241952 \h </w:instrText>
            </w:r>
            <w:r>
              <w:rPr>
                <w:noProof/>
                <w:webHidden/>
              </w:rPr>
            </w:r>
            <w:r>
              <w:rPr>
                <w:noProof/>
                <w:webHidden/>
              </w:rPr>
              <w:fldChar w:fldCharType="separate"/>
            </w:r>
            <w:r>
              <w:rPr>
                <w:noProof/>
                <w:webHidden/>
              </w:rPr>
              <w:t>27</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53" w:history="1">
            <w:r>
              <w:rPr>
                <w:rStyle w:val="Hyperlink"/>
                <w:rFonts w:ascii="Times New Roman" w:hAnsi="Times New Roman" w:cs="Times New Roman"/>
                <w:noProof/>
                <w:lang w:val="en-IE"/>
                <w14:scene3d>
                  <w14:camera w14:prst="orthographicFront"/>
                  <w14:lightRig w14:rig="threePt" w14:dir="t">
                    <w14:rot w14:lat="0" w14:lon="0" w14:rev="0"/>
                  </w14:lightRig>
                </w14:scene3d>
              </w:rPr>
              <w:t>3.1.2</w:t>
            </w:r>
            <w:r>
              <w:rPr>
                <w:rFonts w:eastAsiaTheme="minorEastAsia"/>
                <w:noProof/>
                <w:lang w:val="en-IE" w:eastAsia="en-IE"/>
              </w:rPr>
              <w:tab/>
            </w:r>
            <w:r>
              <w:rPr>
                <w:rStyle w:val="Hyperlink"/>
                <w:rFonts w:ascii="Times New Roman" w:hAnsi="Times New Roman" w:cs="Times New Roman"/>
                <w:noProof/>
                <w:lang w:val="en-IE"/>
              </w:rPr>
              <w:t>CNG (alternative fuels vehicles and infrastructure)</w:t>
            </w:r>
            <w:r>
              <w:rPr>
                <w:noProof/>
                <w:webHidden/>
              </w:rPr>
              <w:tab/>
            </w:r>
            <w:r>
              <w:rPr>
                <w:noProof/>
                <w:webHidden/>
              </w:rPr>
              <w:fldChar w:fldCharType="begin"/>
            </w:r>
            <w:r>
              <w:rPr>
                <w:noProof/>
                <w:webHidden/>
              </w:rPr>
              <w:instrText xml:space="preserve"> PAGEREF _Toc65241953 \h </w:instrText>
            </w:r>
            <w:r>
              <w:rPr>
                <w:noProof/>
                <w:webHidden/>
              </w:rPr>
            </w:r>
            <w:r>
              <w:rPr>
                <w:noProof/>
                <w:webHidden/>
              </w:rPr>
              <w:fldChar w:fldCharType="separate"/>
            </w:r>
            <w:r>
              <w:rPr>
                <w:noProof/>
                <w:webHidden/>
              </w:rPr>
              <w:t>29</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54" w:history="1">
            <w:r>
              <w:rPr>
                <w:rStyle w:val="Hyperlink"/>
                <w:rFonts w:ascii="Times New Roman" w:hAnsi="Times New Roman" w:cs="Times New Roman"/>
                <w:noProof/>
                <w:lang w:val="en-IE"/>
                <w14:scene3d>
                  <w14:camera w14:prst="orthographicFront"/>
                  <w14:lightRig w14:rig="threePt" w14:dir="t">
                    <w14:rot w14:lat="0" w14:lon="0" w14:rev="0"/>
                  </w14:lightRig>
                </w14:scene3d>
              </w:rPr>
              <w:t>3.1.3</w:t>
            </w:r>
            <w:r>
              <w:rPr>
                <w:rFonts w:eastAsiaTheme="minorEastAsia"/>
                <w:noProof/>
                <w:lang w:val="en-IE" w:eastAsia="en-IE"/>
              </w:rPr>
              <w:tab/>
            </w:r>
            <w:r>
              <w:rPr>
                <w:rStyle w:val="Hyperlink"/>
                <w:rFonts w:ascii="Times New Roman" w:hAnsi="Times New Roman" w:cs="Times New Roman"/>
                <w:noProof/>
                <w:lang w:val="en-IE"/>
              </w:rPr>
              <w:t>Measures (Electricity and CNG)</w:t>
            </w:r>
            <w:r>
              <w:rPr>
                <w:noProof/>
                <w:webHidden/>
              </w:rPr>
              <w:tab/>
            </w:r>
            <w:r>
              <w:rPr>
                <w:noProof/>
                <w:webHidden/>
              </w:rPr>
              <w:fldChar w:fldCharType="begin"/>
            </w:r>
            <w:r>
              <w:rPr>
                <w:noProof/>
                <w:webHidden/>
              </w:rPr>
              <w:instrText xml:space="preserve"> PAGEREF _Toc65241954 \h </w:instrText>
            </w:r>
            <w:r>
              <w:rPr>
                <w:noProof/>
                <w:webHidden/>
              </w:rPr>
            </w:r>
            <w:r>
              <w:rPr>
                <w:noProof/>
                <w:webHidden/>
              </w:rPr>
              <w:fldChar w:fldCharType="separate"/>
            </w:r>
            <w:r>
              <w:rPr>
                <w:noProof/>
                <w:webHidden/>
              </w:rPr>
              <w:t>31</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55" w:history="1">
            <w:r>
              <w:rPr>
                <w:rStyle w:val="Hyperlink"/>
                <w:rFonts w:ascii="Times New Roman" w:hAnsi="Times New Roman" w:cs="Times New Roman"/>
                <w:noProof/>
                <w:lang w:val="en-IE"/>
                <w14:scene3d>
                  <w14:camera w14:prst="orthographicFront"/>
                  <w14:lightRig w14:rig="threePt" w14:dir="t">
                    <w14:rot w14:lat="0" w14:lon="0" w14:rev="0"/>
                  </w14:lightRig>
                </w14:scene3d>
              </w:rPr>
              <w:t>3.1.4</w:t>
            </w:r>
            <w:r>
              <w:rPr>
                <w:rFonts w:eastAsiaTheme="minorEastAsia"/>
                <w:noProof/>
                <w:lang w:val="en-IE" w:eastAsia="en-IE"/>
              </w:rPr>
              <w:tab/>
            </w:r>
            <w:r>
              <w:rPr>
                <w:rStyle w:val="Hyperlink"/>
                <w:rFonts w:ascii="Times New Roman" w:hAnsi="Times New Roman" w:cs="Times New Roman"/>
                <w:noProof/>
                <w:lang w:val="en-IE"/>
              </w:rPr>
              <w:t xml:space="preserve">LNG (alternative fuels vehicles </w:t>
            </w:r>
            <w:r>
              <w:rPr>
                <w:rStyle w:val="Hyperlink"/>
                <w:rFonts w:ascii="Times New Roman" w:hAnsi="Times New Roman" w:cs="Times New Roman"/>
                <w:noProof/>
                <w:lang w:val="en-IE"/>
              </w:rPr>
              <w:t>and infrastructure)</w:t>
            </w:r>
            <w:r>
              <w:rPr>
                <w:noProof/>
                <w:webHidden/>
              </w:rPr>
              <w:tab/>
            </w:r>
            <w:r>
              <w:rPr>
                <w:noProof/>
                <w:webHidden/>
              </w:rPr>
              <w:fldChar w:fldCharType="begin"/>
            </w:r>
            <w:r>
              <w:rPr>
                <w:noProof/>
                <w:webHidden/>
              </w:rPr>
              <w:instrText xml:space="preserve"> PAGEREF _Toc65241955 \h </w:instrText>
            </w:r>
            <w:r>
              <w:rPr>
                <w:noProof/>
                <w:webHidden/>
              </w:rPr>
            </w:r>
            <w:r>
              <w:rPr>
                <w:noProof/>
                <w:webHidden/>
              </w:rPr>
              <w:fldChar w:fldCharType="separate"/>
            </w:r>
            <w:r>
              <w:rPr>
                <w:noProof/>
                <w:webHidden/>
              </w:rPr>
              <w:t>32</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56" w:history="1">
            <w:r>
              <w:rPr>
                <w:rStyle w:val="Hyperlink"/>
                <w:rFonts w:ascii="Times New Roman" w:hAnsi="Times New Roman" w:cs="Times New Roman"/>
                <w:noProof/>
                <w:lang w:val="en-IE"/>
                <w14:scene3d>
                  <w14:camera w14:prst="orthographicFront"/>
                  <w14:lightRig w14:rig="threePt" w14:dir="t">
                    <w14:rot w14:lat="0" w14:lon="0" w14:rev="0"/>
                  </w14:lightRig>
                </w14:scene3d>
              </w:rPr>
              <w:t>3.1.5</w:t>
            </w:r>
            <w:r>
              <w:rPr>
                <w:rFonts w:eastAsiaTheme="minorEastAsia"/>
                <w:noProof/>
                <w:lang w:val="en-IE" w:eastAsia="en-IE"/>
              </w:rPr>
              <w:tab/>
            </w:r>
            <w:r>
              <w:rPr>
                <w:rStyle w:val="Hyperlink"/>
                <w:rFonts w:ascii="Times New Roman" w:hAnsi="Times New Roman" w:cs="Times New Roman"/>
                <w:noProof/>
                <w:lang w:val="en-IE"/>
              </w:rPr>
              <w:t>Hydrogen (alternative fuels vehicles and infrastructure)</w:t>
            </w:r>
            <w:r>
              <w:rPr>
                <w:noProof/>
                <w:webHidden/>
              </w:rPr>
              <w:tab/>
            </w:r>
            <w:r>
              <w:rPr>
                <w:noProof/>
                <w:webHidden/>
              </w:rPr>
              <w:fldChar w:fldCharType="begin"/>
            </w:r>
            <w:r>
              <w:rPr>
                <w:noProof/>
                <w:webHidden/>
              </w:rPr>
              <w:instrText xml:space="preserve"> PAGEREF _Toc65241956 \h </w:instrText>
            </w:r>
            <w:r>
              <w:rPr>
                <w:noProof/>
                <w:webHidden/>
              </w:rPr>
            </w:r>
            <w:r>
              <w:rPr>
                <w:noProof/>
                <w:webHidden/>
              </w:rPr>
              <w:fldChar w:fldCharType="separate"/>
            </w:r>
            <w:r>
              <w:rPr>
                <w:noProof/>
                <w:webHidden/>
              </w:rPr>
              <w:t>33</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57" w:history="1">
            <w:r>
              <w:rPr>
                <w:rStyle w:val="Hyperlink"/>
                <w:rFonts w:ascii="Times New Roman" w:hAnsi="Times New Roman" w:cs="Times New Roman"/>
                <w:noProof/>
                <w:lang w:val="en-IE"/>
                <w14:scene3d>
                  <w14:camera w14:prst="orthographicFront"/>
                  <w14:lightRig w14:rig="threePt" w14:dir="t">
                    <w14:rot w14:lat="0" w14:lon="0" w14:rev="0"/>
                  </w14:lightRig>
                </w14:scene3d>
              </w:rPr>
              <w:t>3.1.6</w:t>
            </w:r>
            <w:r>
              <w:rPr>
                <w:rFonts w:eastAsiaTheme="minorEastAsia"/>
                <w:noProof/>
                <w:lang w:val="en-IE" w:eastAsia="en-IE"/>
              </w:rPr>
              <w:tab/>
            </w:r>
            <w:r>
              <w:rPr>
                <w:rStyle w:val="Hyperlink"/>
                <w:rFonts w:ascii="Times New Roman" w:hAnsi="Times New Roman" w:cs="Times New Roman"/>
                <w:noProof/>
                <w:lang w:val="en-IE"/>
              </w:rPr>
              <w:t>Measures (LNG and Hydrogen)</w:t>
            </w:r>
            <w:r>
              <w:rPr>
                <w:noProof/>
                <w:webHidden/>
              </w:rPr>
              <w:tab/>
            </w:r>
            <w:r>
              <w:rPr>
                <w:noProof/>
                <w:webHidden/>
              </w:rPr>
              <w:fldChar w:fldCharType="begin"/>
            </w:r>
            <w:r>
              <w:rPr>
                <w:noProof/>
                <w:webHidden/>
              </w:rPr>
              <w:instrText xml:space="preserve"> PAGEREF _Toc65241957 \h </w:instrText>
            </w:r>
            <w:r>
              <w:rPr>
                <w:noProof/>
                <w:webHidden/>
              </w:rPr>
            </w:r>
            <w:r>
              <w:rPr>
                <w:noProof/>
                <w:webHidden/>
              </w:rPr>
              <w:fldChar w:fldCharType="separate"/>
            </w:r>
            <w:r>
              <w:rPr>
                <w:noProof/>
                <w:webHidden/>
              </w:rPr>
              <w:t>34</w:t>
            </w:r>
            <w:r>
              <w:rPr>
                <w:noProof/>
                <w:webHidden/>
              </w:rPr>
              <w:fldChar w:fldCharType="end"/>
            </w:r>
          </w:hyperlink>
        </w:p>
        <w:p w:rsidR="00DA7543" w:rsidRDefault="007C073D">
          <w:pPr>
            <w:pStyle w:val="TOC2"/>
            <w:tabs>
              <w:tab w:val="left" w:pos="880"/>
              <w:tab w:val="right" w:leader="dot" w:pos="9062"/>
            </w:tabs>
            <w:rPr>
              <w:rFonts w:eastAsiaTheme="minorEastAsia"/>
              <w:noProof/>
              <w:lang w:val="en-IE" w:eastAsia="en-IE"/>
            </w:rPr>
          </w:pPr>
          <w:hyperlink w:anchor="_Toc65241958" w:history="1">
            <w:r>
              <w:rPr>
                <w:rStyle w:val="Hyperlink"/>
                <w:rFonts w:ascii="Times New Roman" w:hAnsi="Times New Roman" w:cs="Times New Roman"/>
                <w:noProof/>
                <w:lang w:val="en-IE"/>
              </w:rPr>
              <w:t>3.2</w:t>
            </w:r>
            <w:r>
              <w:rPr>
                <w:rFonts w:eastAsiaTheme="minorEastAsia"/>
                <w:noProof/>
                <w:lang w:val="en-IE" w:eastAsia="en-IE"/>
              </w:rPr>
              <w:tab/>
            </w:r>
            <w:r>
              <w:rPr>
                <w:rStyle w:val="Hyperlink"/>
                <w:rFonts w:ascii="Times New Roman" w:hAnsi="Times New Roman" w:cs="Times New Roman"/>
                <w:noProof/>
                <w:lang w:val="en-IE"/>
              </w:rPr>
              <w:t>Waterborne transport</w:t>
            </w:r>
            <w:r>
              <w:rPr>
                <w:noProof/>
                <w:webHidden/>
              </w:rPr>
              <w:tab/>
            </w:r>
            <w:r>
              <w:rPr>
                <w:noProof/>
                <w:webHidden/>
              </w:rPr>
              <w:fldChar w:fldCharType="begin"/>
            </w:r>
            <w:r>
              <w:rPr>
                <w:noProof/>
                <w:webHidden/>
              </w:rPr>
              <w:instrText xml:space="preserve"> PAGEREF _Toc65241958 \h </w:instrText>
            </w:r>
            <w:r>
              <w:rPr>
                <w:noProof/>
                <w:webHidden/>
              </w:rPr>
            </w:r>
            <w:r>
              <w:rPr>
                <w:noProof/>
                <w:webHidden/>
              </w:rPr>
              <w:fldChar w:fldCharType="separate"/>
            </w:r>
            <w:r>
              <w:rPr>
                <w:noProof/>
                <w:webHidden/>
              </w:rPr>
              <w:t>35</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59" w:history="1">
            <w:r>
              <w:rPr>
                <w:rStyle w:val="Hyperlink"/>
                <w:rFonts w:ascii="Times New Roman" w:hAnsi="Times New Roman" w:cs="Times New Roman"/>
                <w:noProof/>
                <w:lang w:val="en-IE"/>
                <w14:scene3d>
                  <w14:camera w14:prst="orthographicFront"/>
                  <w14:lightRig w14:rig="threePt" w14:dir="t">
                    <w14:rot w14:lat="0" w14:lon="0" w14:rev="0"/>
                  </w14:lightRig>
                </w14:scene3d>
              </w:rPr>
              <w:t>3.2.1</w:t>
            </w:r>
            <w:r>
              <w:rPr>
                <w:rFonts w:eastAsiaTheme="minorEastAsia"/>
                <w:noProof/>
                <w:lang w:val="en-IE" w:eastAsia="en-IE"/>
              </w:rPr>
              <w:tab/>
            </w:r>
            <w:r>
              <w:rPr>
                <w:rStyle w:val="Hyperlink"/>
                <w:rFonts w:ascii="Times New Roman" w:hAnsi="Times New Roman" w:cs="Times New Roman"/>
                <w:noProof/>
                <w:lang w:val="en-IE"/>
              </w:rPr>
              <w:t>Inland waterborne transport</w:t>
            </w:r>
            <w:r>
              <w:rPr>
                <w:noProof/>
                <w:webHidden/>
              </w:rPr>
              <w:tab/>
            </w:r>
            <w:r>
              <w:rPr>
                <w:noProof/>
                <w:webHidden/>
              </w:rPr>
              <w:fldChar w:fldCharType="begin"/>
            </w:r>
            <w:r>
              <w:rPr>
                <w:noProof/>
                <w:webHidden/>
              </w:rPr>
              <w:instrText xml:space="preserve"> PAGEREF _Toc65241959 \h </w:instrText>
            </w:r>
            <w:r>
              <w:rPr>
                <w:noProof/>
                <w:webHidden/>
              </w:rPr>
            </w:r>
            <w:r>
              <w:rPr>
                <w:noProof/>
                <w:webHidden/>
              </w:rPr>
              <w:fldChar w:fldCharType="separate"/>
            </w:r>
            <w:r>
              <w:rPr>
                <w:noProof/>
                <w:webHidden/>
              </w:rPr>
              <w:t>35</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60" w:history="1">
            <w:r>
              <w:rPr>
                <w:rStyle w:val="Hyperlink"/>
                <w:rFonts w:ascii="Times New Roman" w:hAnsi="Times New Roman" w:cs="Times New Roman"/>
                <w:noProof/>
                <w:lang w:val="en-IE"/>
                <w14:scene3d>
                  <w14:camera w14:prst="orthographicFront"/>
                  <w14:lightRig w14:rig="threePt" w14:dir="t">
                    <w14:rot w14:lat="0" w14:lon="0" w14:rev="0"/>
                  </w14:lightRig>
                </w14:scene3d>
              </w:rPr>
              <w:t>3.2.2</w:t>
            </w:r>
            <w:r>
              <w:rPr>
                <w:rFonts w:eastAsiaTheme="minorEastAsia"/>
                <w:noProof/>
                <w:lang w:val="en-IE" w:eastAsia="en-IE"/>
              </w:rPr>
              <w:tab/>
            </w:r>
            <w:r>
              <w:rPr>
                <w:rStyle w:val="Hyperlink"/>
                <w:rFonts w:ascii="Times New Roman" w:hAnsi="Times New Roman" w:cs="Times New Roman"/>
                <w:noProof/>
                <w:lang w:val="en-IE"/>
              </w:rPr>
              <w:t>Maritime waterborne transport</w:t>
            </w:r>
            <w:r>
              <w:rPr>
                <w:noProof/>
                <w:webHidden/>
              </w:rPr>
              <w:tab/>
            </w:r>
            <w:r>
              <w:rPr>
                <w:noProof/>
                <w:webHidden/>
              </w:rPr>
              <w:fldChar w:fldCharType="begin"/>
            </w:r>
            <w:r>
              <w:rPr>
                <w:noProof/>
                <w:webHidden/>
              </w:rPr>
              <w:instrText xml:space="preserve"> PAGEREF _Toc65241960 \h </w:instrText>
            </w:r>
            <w:r>
              <w:rPr>
                <w:noProof/>
                <w:webHidden/>
              </w:rPr>
            </w:r>
            <w:r>
              <w:rPr>
                <w:noProof/>
                <w:webHidden/>
              </w:rPr>
              <w:fldChar w:fldCharType="separate"/>
            </w:r>
            <w:r>
              <w:rPr>
                <w:noProof/>
                <w:webHidden/>
              </w:rPr>
              <w:t>37</w:t>
            </w:r>
            <w:r>
              <w:rPr>
                <w:noProof/>
                <w:webHidden/>
              </w:rPr>
              <w:fldChar w:fldCharType="end"/>
            </w:r>
          </w:hyperlink>
        </w:p>
        <w:p w:rsidR="00DA7543" w:rsidRDefault="007C073D">
          <w:pPr>
            <w:pStyle w:val="TOC1"/>
            <w:tabs>
              <w:tab w:val="left" w:pos="440"/>
              <w:tab w:val="right" w:leader="dot" w:pos="9062"/>
            </w:tabs>
            <w:rPr>
              <w:rFonts w:eastAsiaTheme="minorEastAsia"/>
              <w:noProof/>
              <w:lang w:val="en-IE" w:eastAsia="en-IE"/>
            </w:rPr>
          </w:pPr>
          <w:hyperlink w:anchor="_Toc65241961" w:history="1">
            <w:r>
              <w:rPr>
                <w:rStyle w:val="Hyperlink"/>
                <w:rFonts w:ascii="Times New Roman" w:hAnsi="Times New Roman"/>
                <w:noProof/>
                <w:lang w:val="en-IE"/>
                <w14:scene3d>
                  <w14:camera w14:prst="orthographicFront"/>
                  <w14:lightRig w14:rig="threePt" w14:dir="t">
                    <w14:rot w14:lat="0" w14:lon="0" w14:rev="0"/>
                  </w14:lightRig>
                </w14:scene3d>
              </w:rPr>
              <w:t>4</w:t>
            </w:r>
            <w:r>
              <w:rPr>
                <w:rFonts w:eastAsiaTheme="minorEastAsia"/>
                <w:noProof/>
                <w:lang w:val="en-IE" w:eastAsia="en-IE"/>
              </w:rPr>
              <w:tab/>
            </w:r>
            <w:r>
              <w:rPr>
                <w:rStyle w:val="Hyperlink"/>
                <w:rFonts w:ascii="Times New Roman" w:hAnsi="Times New Roman"/>
                <w:noProof/>
                <w:lang w:val="en-IE"/>
              </w:rPr>
              <w:t xml:space="preserve">Overall contribution of NIRs to EU </w:t>
            </w:r>
            <w:r>
              <w:rPr>
                <w:rStyle w:val="Hyperlink"/>
                <w:rFonts w:ascii="Times New Roman" w:hAnsi="Times New Roman"/>
                <w:noProof/>
                <w:lang w:val="en-IE"/>
              </w:rPr>
              <w:t>policy targets</w:t>
            </w:r>
            <w:r>
              <w:rPr>
                <w:noProof/>
                <w:webHidden/>
              </w:rPr>
              <w:tab/>
            </w:r>
            <w:r>
              <w:rPr>
                <w:noProof/>
                <w:webHidden/>
              </w:rPr>
              <w:fldChar w:fldCharType="begin"/>
            </w:r>
            <w:r>
              <w:rPr>
                <w:noProof/>
                <w:webHidden/>
              </w:rPr>
              <w:instrText xml:space="preserve"> PAGEREF _Toc65241961 \h </w:instrText>
            </w:r>
            <w:r>
              <w:rPr>
                <w:noProof/>
                <w:webHidden/>
              </w:rPr>
            </w:r>
            <w:r>
              <w:rPr>
                <w:noProof/>
                <w:webHidden/>
              </w:rPr>
              <w:fldChar w:fldCharType="separate"/>
            </w:r>
            <w:r>
              <w:rPr>
                <w:noProof/>
                <w:webHidden/>
              </w:rPr>
              <w:t>40</w:t>
            </w:r>
            <w:r>
              <w:rPr>
                <w:noProof/>
                <w:webHidden/>
              </w:rPr>
              <w:fldChar w:fldCharType="end"/>
            </w:r>
          </w:hyperlink>
        </w:p>
        <w:p w:rsidR="00DA7543" w:rsidRDefault="007C073D">
          <w:pPr>
            <w:pStyle w:val="TOC2"/>
            <w:tabs>
              <w:tab w:val="left" w:pos="880"/>
              <w:tab w:val="right" w:leader="dot" w:pos="9062"/>
            </w:tabs>
            <w:rPr>
              <w:rFonts w:eastAsiaTheme="minorEastAsia"/>
              <w:noProof/>
              <w:lang w:val="en-IE" w:eastAsia="en-IE"/>
            </w:rPr>
          </w:pPr>
          <w:hyperlink w:anchor="_Toc65241962" w:history="1">
            <w:r>
              <w:rPr>
                <w:rStyle w:val="Hyperlink"/>
                <w:rFonts w:ascii="Times New Roman" w:hAnsi="Times New Roman" w:cs="Times New Roman"/>
                <w:noProof/>
                <w:lang w:val="en-IE"/>
              </w:rPr>
              <w:t>4.1</w:t>
            </w:r>
            <w:r>
              <w:rPr>
                <w:rFonts w:eastAsiaTheme="minorEastAsia"/>
                <w:noProof/>
                <w:lang w:val="en-IE" w:eastAsia="en-IE"/>
              </w:rPr>
              <w:tab/>
            </w:r>
            <w:r>
              <w:rPr>
                <w:rStyle w:val="Hyperlink"/>
                <w:rFonts w:ascii="Times New Roman" w:hAnsi="Times New Roman" w:cs="Times New Roman"/>
                <w:noProof/>
                <w:lang w:val="en-IE"/>
              </w:rPr>
              <w:t>Deployment of alternative fuels infrastructure and transport systems</w:t>
            </w:r>
            <w:r>
              <w:rPr>
                <w:noProof/>
                <w:webHidden/>
              </w:rPr>
              <w:tab/>
            </w:r>
            <w:r>
              <w:rPr>
                <w:noProof/>
                <w:webHidden/>
              </w:rPr>
              <w:fldChar w:fldCharType="begin"/>
            </w:r>
            <w:r>
              <w:rPr>
                <w:noProof/>
                <w:webHidden/>
              </w:rPr>
              <w:instrText xml:space="preserve"> PAGEREF _Toc65241962 \h </w:instrText>
            </w:r>
            <w:r>
              <w:rPr>
                <w:noProof/>
                <w:webHidden/>
              </w:rPr>
            </w:r>
            <w:r>
              <w:rPr>
                <w:noProof/>
                <w:webHidden/>
              </w:rPr>
              <w:fldChar w:fldCharType="separate"/>
            </w:r>
            <w:r>
              <w:rPr>
                <w:noProof/>
                <w:webHidden/>
              </w:rPr>
              <w:t>40</w:t>
            </w:r>
            <w:r>
              <w:rPr>
                <w:noProof/>
                <w:webHidden/>
              </w:rPr>
              <w:fldChar w:fldCharType="end"/>
            </w:r>
          </w:hyperlink>
        </w:p>
        <w:p w:rsidR="00DA7543" w:rsidRDefault="007C073D">
          <w:pPr>
            <w:pStyle w:val="TOC3"/>
            <w:tabs>
              <w:tab w:val="left" w:pos="1320"/>
              <w:tab w:val="right" w:leader="dot" w:pos="9062"/>
            </w:tabs>
            <w:rPr>
              <w:rFonts w:eastAsiaTheme="minorEastAsia"/>
              <w:noProof/>
              <w:lang w:val="en-IE" w:eastAsia="en-IE"/>
            </w:rPr>
          </w:pPr>
          <w:hyperlink w:anchor="_Toc65241963" w:history="1">
            <w:r>
              <w:rPr>
                <w:rStyle w:val="Hyperlink"/>
                <w:rFonts w:ascii="Times New Roman" w:hAnsi="Times New Roman" w:cs="Times New Roman"/>
                <w:noProof/>
                <w:lang w:val="en-IE"/>
                <w14:scene3d>
                  <w14:camera w14:prst="orthographicFront"/>
                  <w14:lightRig w14:rig="threePt" w14:dir="t">
                    <w14:rot w14:lat="0" w14:lon="0" w14:rev="0"/>
                  </w14:lightRig>
                </w14:scene3d>
              </w:rPr>
              <w:t>4.1.1</w:t>
            </w:r>
            <w:r>
              <w:rPr>
                <w:rFonts w:eastAsiaTheme="minorEastAsia"/>
                <w:noProof/>
                <w:lang w:val="en-IE" w:eastAsia="en-IE"/>
              </w:rPr>
              <w:tab/>
            </w:r>
            <w:r>
              <w:rPr>
                <w:rStyle w:val="Hyperlink"/>
                <w:rFonts w:ascii="Times New Roman" w:hAnsi="Times New Roman" w:cs="Times New Roman"/>
                <w:noProof/>
                <w:lang w:val="en-IE"/>
              </w:rPr>
              <w:t>Road transport</w:t>
            </w:r>
            <w:r>
              <w:rPr>
                <w:noProof/>
                <w:webHidden/>
              </w:rPr>
              <w:tab/>
            </w:r>
            <w:r>
              <w:rPr>
                <w:noProof/>
                <w:webHidden/>
              </w:rPr>
              <w:fldChar w:fldCharType="begin"/>
            </w:r>
            <w:r>
              <w:rPr>
                <w:noProof/>
                <w:webHidden/>
              </w:rPr>
              <w:instrText xml:space="preserve"> PAGEREF _Toc65241963 \h </w:instrText>
            </w:r>
            <w:r>
              <w:rPr>
                <w:noProof/>
                <w:webHidden/>
              </w:rPr>
            </w:r>
            <w:r>
              <w:rPr>
                <w:noProof/>
                <w:webHidden/>
              </w:rPr>
              <w:fldChar w:fldCharType="separate"/>
            </w:r>
            <w:r>
              <w:rPr>
                <w:noProof/>
                <w:webHidden/>
              </w:rPr>
              <w:t>41</w:t>
            </w:r>
            <w:r>
              <w:rPr>
                <w:noProof/>
                <w:webHidden/>
              </w:rPr>
              <w:fldChar w:fldCharType="end"/>
            </w:r>
          </w:hyperlink>
        </w:p>
        <w:p w:rsidR="00DA7543" w:rsidRDefault="007C073D">
          <w:pPr>
            <w:rPr>
              <w:rFonts w:ascii="Times New Roman" w:hAnsi="Times New Roman" w:cs="Times New Roman"/>
              <w:noProof/>
              <w:sz w:val="24"/>
              <w:szCs w:val="24"/>
              <w:lang w:val="en-IE"/>
            </w:rPr>
          </w:pPr>
          <w:r>
            <w:rPr>
              <w:rFonts w:ascii="Times New Roman" w:hAnsi="Times New Roman" w:cs="Times New Roman"/>
              <w:b/>
              <w:bCs/>
              <w:noProof/>
              <w:sz w:val="24"/>
              <w:szCs w:val="24"/>
              <w:lang w:val="en-IE"/>
            </w:rPr>
            <w:fldChar w:fldCharType="end"/>
          </w:r>
        </w:p>
      </w:sdtContent>
    </w:sdt>
    <w:p w:rsidR="00DA7543" w:rsidRDefault="007C073D">
      <w:pPr>
        <w:jc w:val="both"/>
        <w:rPr>
          <w:rFonts w:ascii="Times New Roman" w:hAnsi="Times New Roman" w:cs="Times New Roman"/>
          <w:noProof/>
          <w:sz w:val="24"/>
          <w:lang w:val="en-IE"/>
        </w:rPr>
      </w:pPr>
      <w:r>
        <w:rPr>
          <w:rFonts w:ascii="Times New Roman" w:hAnsi="Times New Roman" w:cs="Times New Roman"/>
          <w:noProof/>
          <w:lang w:val="en-IE"/>
        </w:rPr>
        <w:br w:type="page"/>
      </w:r>
    </w:p>
    <w:p w:rsidR="00DA7543" w:rsidRDefault="007C073D">
      <w:pPr>
        <w:pStyle w:val="Heading1"/>
        <w:rPr>
          <w:rFonts w:ascii="Times New Roman" w:hAnsi="Times New Roman"/>
          <w:noProof/>
          <w:sz w:val="24"/>
          <w:lang w:val="en-IE"/>
        </w:rPr>
      </w:pPr>
      <w:bookmarkStart w:id="2" w:name="_Toc55301679"/>
      <w:bookmarkStart w:id="3" w:name="_Toc65241934"/>
      <w:bookmarkStart w:id="4" w:name="_Toc496259404"/>
      <w:r>
        <w:rPr>
          <w:rFonts w:ascii="Times New Roman" w:hAnsi="Times New Roman"/>
          <w:noProof/>
          <w:sz w:val="24"/>
          <w:lang w:val="en-IE"/>
        </w:rPr>
        <w:lastRenderedPageBreak/>
        <w:t>Introduction</w:t>
      </w:r>
      <w:bookmarkEnd w:id="2"/>
      <w:bookmarkEnd w:id="3"/>
    </w:p>
    <w:p w:rsidR="00DA7543" w:rsidRDefault="007C073D">
      <w:pPr>
        <w:spacing w:after="0"/>
        <w:jc w:val="both"/>
        <w:rPr>
          <w:rFonts w:ascii="Times New Roman" w:hAnsi="Times New Roman" w:cs="Times New Roman"/>
          <w:noProof/>
          <w:sz w:val="24"/>
          <w:lang w:val="en-IE"/>
        </w:rPr>
      </w:pPr>
      <w:r>
        <w:rPr>
          <w:rFonts w:ascii="Times New Roman" w:hAnsi="Times New Roman" w:cs="Times New Roman"/>
          <w:noProof/>
          <w:sz w:val="24"/>
          <w:lang w:val="en-IE"/>
        </w:rPr>
        <w:t>To minimise transport dependence on oil and to reduce the environmental impact of transport, Directive 2014/94/EU of the European Parliament and of the Council on the deployment of alternative fuels infrastructure (hereinafter the "Directive”), of 22 Octob</w:t>
      </w:r>
      <w:r>
        <w:rPr>
          <w:rFonts w:ascii="Times New Roman" w:hAnsi="Times New Roman" w:cs="Times New Roman"/>
          <w:noProof/>
          <w:sz w:val="24"/>
          <w:lang w:val="en-IE"/>
        </w:rPr>
        <w:t xml:space="preserve">er 2014, provides a common approach for the development of alternative fuel infrastructure as well as common technical specifications. </w:t>
      </w:r>
    </w:p>
    <w:p w:rsidR="00DA7543" w:rsidRDefault="007C073D">
      <w:pPr>
        <w:spacing w:after="0"/>
        <w:jc w:val="both"/>
        <w:rPr>
          <w:rFonts w:ascii="Times New Roman" w:hAnsi="Times New Roman" w:cs="Times New Roman"/>
          <w:noProof/>
          <w:sz w:val="24"/>
          <w:lang w:val="en-IE"/>
        </w:rPr>
      </w:pPr>
      <w:r>
        <w:rPr>
          <w:rFonts w:ascii="Times New Roman" w:hAnsi="Times New Roman" w:cs="Times New Roman"/>
          <w:noProof/>
          <w:sz w:val="24"/>
          <w:lang w:val="en-IE"/>
        </w:rPr>
        <w:t>The Directive requires Member States to set up long-term National Policy Frameworks (NPFs) for the development of the al</w:t>
      </w:r>
      <w:r>
        <w:rPr>
          <w:rFonts w:ascii="Times New Roman" w:hAnsi="Times New Roman" w:cs="Times New Roman"/>
          <w:noProof/>
          <w:sz w:val="24"/>
          <w:lang w:val="en-IE"/>
        </w:rPr>
        <w:t>ternative fuels market and the planning of the deployment of relevant alternative fuels infrastructure. The Directive also sets requirements for rollout of alternative fuels infrastructure along the core network of the Trans-European Transport Network (TEN</w:t>
      </w:r>
      <w:r>
        <w:rPr>
          <w:rFonts w:ascii="Times New Roman" w:hAnsi="Times New Roman" w:cs="Times New Roman"/>
          <w:noProof/>
          <w:sz w:val="24"/>
          <w:lang w:val="en-IE"/>
        </w:rPr>
        <w:t>-T) and its urban areas - with different milestones for 2020, 2025 and 2030 for different alternative fuels. Finally, the Directive prescribes common technical specifications for recharging and refuelling points and for consumer information.</w:t>
      </w:r>
    </w:p>
    <w:p w:rsidR="00DA7543" w:rsidRDefault="007C073D">
      <w:pPr>
        <w:spacing w:after="0"/>
        <w:jc w:val="both"/>
        <w:rPr>
          <w:rFonts w:ascii="Times New Roman" w:hAnsi="Times New Roman" w:cs="Times New Roman"/>
          <w:noProof/>
          <w:sz w:val="24"/>
          <w:lang w:val="en-IE"/>
        </w:rPr>
      </w:pPr>
      <w:r>
        <w:rPr>
          <w:rFonts w:ascii="Times New Roman" w:hAnsi="Times New Roman" w:cs="Times New Roman"/>
          <w:noProof/>
          <w:sz w:val="24"/>
          <w:lang w:val="en-IE"/>
        </w:rPr>
        <w:t xml:space="preserve">In accordance </w:t>
      </w:r>
      <w:r>
        <w:rPr>
          <w:rFonts w:ascii="Times New Roman" w:hAnsi="Times New Roman" w:cs="Times New Roman"/>
          <w:noProof/>
          <w:sz w:val="24"/>
          <w:lang w:val="en-IE"/>
        </w:rPr>
        <w:t xml:space="preserve">with the requirements of the Directive, Member States shall: </w:t>
      </w:r>
    </w:p>
    <w:p w:rsidR="00DA7543" w:rsidRDefault="007C073D">
      <w:pPr>
        <w:pStyle w:val="ListParagraph"/>
        <w:numPr>
          <w:ilvl w:val="0"/>
          <w:numId w:val="19"/>
        </w:numPr>
        <w:tabs>
          <w:tab w:val="num" w:pos="284"/>
        </w:tabs>
        <w:spacing w:after="0"/>
        <w:ind w:left="567" w:hanging="283"/>
        <w:jc w:val="both"/>
        <w:rPr>
          <w:rFonts w:ascii="Times New Roman" w:hAnsi="Times New Roman" w:cs="Times New Roman"/>
          <w:noProof/>
          <w:sz w:val="24"/>
          <w:lang w:val="en-IE"/>
        </w:rPr>
      </w:pPr>
      <w:r>
        <w:rPr>
          <w:rFonts w:ascii="Times New Roman" w:hAnsi="Times New Roman" w:cs="Times New Roman"/>
          <w:noProof/>
          <w:sz w:val="24"/>
          <w:lang w:val="en-IE"/>
        </w:rPr>
        <w:t>by 31 December 2020, establish an adequate number of publicly accessible recharging points to ensure that electric vehicles (hereinafter “EV”) can circulate at least in urban/suburban agglomerat</w:t>
      </w:r>
      <w:r>
        <w:rPr>
          <w:rFonts w:ascii="Times New Roman" w:hAnsi="Times New Roman" w:cs="Times New Roman"/>
          <w:noProof/>
          <w:sz w:val="24"/>
          <w:lang w:val="en-IE"/>
        </w:rPr>
        <w:t>ions and other densely populated areas;</w:t>
      </w:r>
    </w:p>
    <w:p w:rsidR="00DA7543" w:rsidRDefault="007C073D">
      <w:pPr>
        <w:pStyle w:val="ListParagraph"/>
        <w:numPr>
          <w:ilvl w:val="0"/>
          <w:numId w:val="19"/>
        </w:numPr>
        <w:tabs>
          <w:tab w:val="num" w:pos="284"/>
        </w:tabs>
        <w:spacing w:after="0"/>
        <w:ind w:left="567" w:hanging="283"/>
        <w:jc w:val="both"/>
        <w:rPr>
          <w:rFonts w:ascii="Times New Roman" w:hAnsi="Times New Roman" w:cs="Times New Roman"/>
          <w:noProof/>
          <w:sz w:val="24"/>
          <w:lang w:val="en-IE"/>
        </w:rPr>
      </w:pPr>
      <w:r>
        <w:rPr>
          <w:rFonts w:ascii="Times New Roman" w:hAnsi="Times New Roman" w:cs="Times New Roman"/>
          <w:noProof/>
          <w:sz w:val="24"/>
          <w:lang w:val="en-IE"/>
        </w:rPr>
        <w:t>by 31 December 2025, establish additional EV recharging points at least on the TEN-T Core Network, urban/suburban agglomerations and other densely populated areas;</w:t>
      </w:r>
    </w:p>
    <w:p w:rsidR="00DA7543" w:rsidRDefault="007C073D">
      <w:pPr>
        <w:pStyle w:val="ListParagraph"/>
        <w:numPr>
          <w:ilvl w:val="0"/>
          <w:numId w:val="19"/>
        </w:numPr>
        <w:tabs>
          <w:tab w:val="num" w:pos="284"/>
        </w:tabs>
        <w:spacing w:after="0"/>
        <w:ind w:left="567" w:hanging="283"/>
        <w:jc w:val="both"/>
        <w:rPr>
          <w:rFonts w:ascii="Times New Roman" w:hAnsi="Times New Roman" w:cs="Times New Roman"/>
          <w:noProof/>
          <w:sz w:val="24"/>
          <w:lang w:val="en-IE"/>
        </w:rPr>
      </w:pPr>
      <w:r>
        <w:rPr>
          <w:rFonts w:ascii="Times New Roman" w:hAnsi="Times New Roman" w:cs="Times New Roman"/>
          <w:noProof/>
          <w:sz w:val="24"/>
          <w:lang w:val="en-IE"/>
        </w:rPr>
        <w:t>assess shore power supplies for inland waterway vess</w:t>
      </w:r>
      <w:r>
        <w:rPr>
          <w:rFonts w:ascii="Times New Roman" w:hAnsi="Times New Roman" w:cs="Times New Roman"/>
          <w:noProof/>
          <w:sz w:val="24"/>
          <w:lang w:val="en-IE"/>
        </w:rPr>
        <w:t>els and seagoing vessels in sea and inland ports;</w:t>
      </w:r>
    </w:p>
    <w:p w:rsidR="00DA7543" w:rsidRDefault="007C073D">
      <w:pPr>
        <w:pStyle w:val="ListParagraph"/>
        <w:numPr>
          <w:ilvl w:val="0"/>
          <w:numId w:val="19"/>
        </w:numPr>
        <w:tabs>
          <w:tab w:val="num" w:pos="284"/>
        </w:tabs>
        <w:spacing w:after="0"/>
        <w:ind w:left="567" w:hanging="283"/>
        <w:jc w:val="both"/>
        <w:rPr>
          <w:rFonts w:ascii="Times New Roman" w:hAnsi="Times New Roman" w:cs="Times New Roman"/>
          <w:noProof/>
          <w:sz w:val="24"/>
          <w:lang w:val="en-IE"/>
        </w:rPr>
      </w:pPr>
      <w:r>
        <w:rPr>
          <w:rFonts w:ascii="Times New Roman" w:hAnsi="Times New Roman" w:cs="Times New Roman"/>
          <w:noProof/>
          <w:sz w:val="24"/>
          <w:lang w:val="en-IE"/>
        </w:rPr>
        <w:t>by 31 December 2020, establish an adequate number of publicly accessible refuelling points to ensure that CNG vehicles can circulate in urban/suburban agglomerations and other densely populated areas and, w</w:t>
      </w:r>
      <w:r>
        <w:rPr>
          <w:rFonts w:ascii="Times New Roman" w:hAnsi="Times New Roman" w:cs="Times New Roman"/>
          <w:noProof/>
          <w:sz w:val="24"/>
          <w:lang w:val="en-IE"/>
        </w:rPr>
        <w:t>here appropriate, on networks designated by Member States;</w:t>
      </w:r>
    </w:p>
    <w:p w:rsidR="00DA7543" w:rsidRDefault="007C073D">
      <w:pPr>
        <w:pStyle w:val="ListParagraph"/>
        <w:numPr>
          <w:ilvl w:val="0"/>
          <w:numId w:val="19"/>
        </w:numPr>
        <w:tabs>
          <w:tab w:val="num" w:pos="284"/>
        </w:tabs>
        <w:spacing w:after="0"/>
        <w:ind w:left="567" w:hanging="283"/>
        <w:jc w:val="both"/>
        <w:rPr>
          <w:rFonts w:ascii="Times New Roman" w:hAnsi="Times New Roman" w:cs="Times New Roman"/>
          <w:noProof/>
          <w:sz w:val="24"/>
          <w:lang w:val="en-IE"/>
        </w:rPr>
      </w:pPr>
      <w:r>
        <w:rPr>
          <w:rFonts w:ascii="Times New Roman" w:hAnsi="Times New Roman" w:cs="Times New Roman"/>
          <w:noProof/>
          <w:sz w:val="24"/>
          <w:lang w:val="en-IE"/>
        </w:rPr>
        <w:t>by 31 December 2025, establish an adequate number of publicly accessible CNG fuelling points at least in the existing TEN-T Core Network in order to ensure that CNG vehicles can circulate throughou</w:t>
      </w:r>
      <w:r>
        <w:rPr>
          <w:rFonts w:ascii="Times New Roman" w:hAnsi="Times New Roman" w:cs="Times New Roman"/>
          <w:noProof/>
          <w:sz w:val="24"/>
          <w:lang w:val="en-IE"/>
        </w:rPr>
        <w:t>t the European Union (hereinafter "EU”);</w:t>
      </w:r>
    </w:p>
    <w:p w:rsidR="00DA7543" w:rsidRDefault="007C073D">
      <w:pPr>
        <w:pStyle w:val="ListParagraph"/>
        <w:numPr>
          <w:ilvl w:val="0"/>
          <w:numId w:val="19"/>
        </w:numPr>
        <w:tabs>
          <w:tab w:val="num" w:pos="284"/>
        </w:tabs>
        <w:spacing w:after="0"/>
        <w:ind w:left="567" w:hanging="283"/>
        <w:jc w:val="both"/>
        <w:rPr>
          <w:rFonts w:ascii="Times New Roman" w:hAnsi="Times New Roman" w:cs="Times New Roman"/>
          <w:noProof/>
          <w:sz w:val="24"/>
          <w:lang w:val="en-IE"/>
        </w:rPr>
      </w:pPr>
      <w:r>
        <w:rPr>
          <w:rFonts w:ascii="Times New Roman" w:hAnsi="Times New Roman" w:cs="Times New Roman"/>
          <w:noProof/>
          <w:sz w:val="24"/>
          <w:lang w:val="en-IE"/>
        </w:rPr>
        <w:t>by 31 December 2025, establish an adequate number of LNG refuelling points in ports to ensure the circulation of LNG inland waterway vessels or seagoing vessels throughout the TEN-T Core Network;</w:t>
      </w:r>
    </w:p>
    <w:p w:rsidR="00DA7543" w:rsidRDefault="007C073D">
      <w:pPr>
        <w:pStyle w:val="ListParagraph"/>
        <w:numPr>
          <w:ilvl w:val="0"/>
          <w:numId w:val="19"/>
        </w:numPr>
        <w:tabs>
          <w:tab w:val="num" w:pos="284"/>
        </w:tabs>
        <w:spacing w:after="0"/>
        <w:ind w:left="567" w:hanging="283"/>
        <w:jc w:val="both"/>
        <w:rPr>
          <w:rFonts w:ascii="Times New Roman" w:hAnsi="Times New Roman" w:cs="Times New Roman"/>
          <w:noProof/>
          <w:sz w:val="24"/>
          <w:lang w:val="en-IE"/>
        </w:rPr>
      </w:pPr>
      <w:r>
        <w:rPr>
          <w:rFonts w:ascii="Times New Roman" w:hAnsi="Times New Roman" w:cs="Times New Roman"/>
          <w:noProof/>
          <w:sz w:val="24"/>
          <w:lang w:val="en-IE"/>
        </w:rPr>
        <w:t>By 31 December 2025</w:t>
      </w:r>
      <w:r>
        <w:rPr>
          <w:rFonts w:ascii="Times New Roman" w:hAnsi="Times New Roman" w:cs="Times New Roman"/>
          <w:noProof/>
          <w:sz w:val="24"/>
          <w:lang w:val="en-IE"/>
        </w:rPr>
        <w:t>, establish an adequate number of publicly accessible LNG refuelling points in the existing TEN-T Core Network at least to ensure that LNG-powered heavy-duty vehicles can circulate throughout the EU on demand unless costs are disproportionate in relation t</w:t>
      </w:r>
      <w:r>
        <w:rPr>
          <w:rFonts w:ascii="Times New Roman" w:hAnsi="Times New Roman" w:cs="Times New Roman"/>
          <w:noProof/>
          <w:sz w:val="24"/>
          <w:lang w:val="en-IE"/>
        </w:rPr>
        <w:t xml:space="preserve">o the benefits, including environmental benefits. </w:t>
      </w:r>
    </w:p>
    <w:p w:rsidR="00DA7543" w:rsidRDefault="00DA7543">
      <w:pPr>
        <w:spacing w:after="0"/>
        <w:jc w:val="both"/>
        <w:rPr>
          <w:rFonts w:ascii="Times New Roman" w:hAnsi="Times New Roman" w:cs="Times New Roman"/>
          <w:noProof/>
          <w:sz w:val="28"/>
          <w:szCs w:val="24"/>
          <w:lang w:val="en-IE"/>
        </w:rPr>
      </w:pPr>
    </w:p>
    <w:p w:rsidR="00DA7543" w:rsidRDefault="007C073D">
      <w:pPr>
        <w:spacing w:after="120"/>
        <w:jc w:val="both"/>
        <w:rPr>
          <w:rFonts w:ascii="Times New Roman" w:hAnsi="Times New Roman" w:cs="Times New Roman"/>
          <w:noProof/>
          <w:sz w:val="24"/>
          <w:lang w:val="en-IE"/>
        </w:rPr>
      </w:pPr>
      <w:r>
        <w:rPr>
          <w:rFonts w:ascii="Times New Roman" w:hAnsi="Times New Roman" w:cs="Times New Roman"/>
          <w:noProof/>
          <w:sz w:val="24"/>
          <w:lang w:val="en-IE"/>
        </w:rPr>
        <w:t xml:space="preserve">Under Article 10 of the Directive, Member States have to submit a report on the implementation of their national policy framework to the Commission by 18 November 2019, and every three years thereafter. </w:t>
      </w:r>
      <w:r>
        <w:rPr>
          <w:rFonts w:ascii="Times New Roman" w:hAnsi="Times New Roman" w:cs="Times New Roman"/>
          <w:noProof/>
          <w:sz w:val="24"/>
          <w:lang w:val="en-IE"/>
        </w:rPr>
        <w:t>The national implementation report (hereinafter “NIR”) has to cover the information listed in Annex I of the Directive and, where appropriate, to include a relevant justification regarding the level of attainment of the national targets and objectives refe</w:t>
      </w:r>
      <w:r>
        <w:rPr>
          <w:rFonts w:ascii="Times New Roman" w:hAnsi="Times New Roman" w:cs="Times New Roman"/>
          <w:noProof/>
          <w:sz w:val="24"/>
          <w:lang w:val="en-IE"/>
        </w:rPr>
        <w:t>rred to in Article (3)(1).</w:t>
      </w:r>
    </w:p>
    <w:p w:rsidR="00DA7543" w:rsidRDefault="007C073D">
      <w:pPr>
        <w:spacing w:after="0"/>
        <w:jc w:val="both"/>
        <w:rPr>
          <w:rFonts w:ascii="Times New Roman" w:hAnsi="Times New Roman" w:cs="Times New Roman"/>
          <w:noProof/>
          <w:sz w:val="24"/>
          <w:lang w:val="en-IE"/>
        </w:rPr>
      </w:pPr>
      <w:r>
        <w:rPr>
          <w:rFonts w:ascii="Times New Roman" w:hAnsi="Times New Roman" w:cs="Times New Roman"/>
          <w:noProof/>
          <w:sz w:val="24"/>
          <w:lang w:val="en-IE"/>
        </w:rPr>
        <w:lastRenderedPageBreak/>
        <w:t>Point 3 of Article 10 of the Directive prescribes also that “</w:t>
      </w:r>
      <w:r>
        <w:rPr>
          <w:rFonts w:ascii="Times New Roman" w:hAnsi="Times New Roman" w:cs="Times New Roman"/>
          <w:i/>
          <w:noProof/>
          <w:sz w:val="24"/>
          <w:lang w:val="en-IE"/>
        </w:rPr>
        <w:t>The Commission shall submit a report on the application of this Directive to the European Parliament and to the Council every three years with effect from 18 November 2</w:t>
      </w:r>
      <w:r>
        <w:rPr>
          <w:rFonts w:ascii="Times New Roman" w:hAnsi="Times New Roman" w:cs="Times New Roman"/>
          <w:i/>
          <w:noProof/>
          <w:sz w:val="24"/>
          <w:lang w:val="en-IE"/>
        </w:rPr>
        <w:t>020</w:t>
      </w:r>
      <w:r>
        <w:rPr>
          <w:rFonts w:ascii="Times New Roman" w:hAnsi="Times New Roman" w:cs="Times New Roman"/>
          <w:noProof/>
          <w:sz w:val="24"/>
          <w:lang w:val="en-IE"/>
        </w:rPr>
        <w:t>”.</w:t>
      </w:r>
    </w:p>
    <w:p w:rsidR="00DA7543" w:rsidRDefault="007C073D">
      <w:pPr>
        <w:spacing w:after="0"/>
        <w:jc w:val="both"/>
        <w:rPr>
          <w:rFonts w:ascii="Times New Roman" w:hAnsi="Times New Roman" w:cs="Times New Roman"/>
          <w:noProof/>
          <w:sz w:val="24"/>
          <w:lang w:val="en-IE"/>
        </w:rPr>
      </w:pPr>
      <w:r>
        <w:rPr>
          <w:rFonts w:ascii="Times New Roman" w:hAnsi="Times New Roman" w:cs="Times New Roman"/>
          <w:noProof/>
          <w:sz w:val="24"/>
          <w:lang w:val="en-IE"/>
        </w:rPr>
        <w:t xml:space="preserve">The present Commission Staff Working Document (hereinafter “SWD”) responds to the above request of the Directive. It covers 25 Member States instead of 28, because Italy, Portugal and UK did not deliver their NIRs within the latest possible deadline </w:t>
      </w:r>
      <w:r>
        <w:rPr>
          <w:rFonts w:ascii="Times New Roman" w:hAnsi="Times New Roman" w:cs="Times New Roman"/>
          <w:noProof/>
          <w:sz w:val="24"/>
          <w:lang w:val="en-IE"/>
        </w:rPr>
        <w:t>agreed between the Commission and the Member States to have their NIRs included in this SWD</w:t>
      </w:r>
      <w:r>
        <w:rPr>
          <w:rStyle w:val="FootnoteReference"/>
          <w:rFonts w:ascii="Times New Roman" w:hAnsi="Times New Roman" w:cs="Times New Roman"/>
          <w:noProof/>
          <w:sz w:val="24"/>
          <w:lang w:val="en-IE"/>
        </w:rPr>
        <w:footnoteReference w:id="1"/>
      </w:r>
      <w:r>
        <w:rPr>
          <w:rFonts w:ascii="Times New Roman" w:hAnsi="Times New Roman" w:cs="Times New Roman"/>
          <w:noProof/>
          <w:sz w:val="24"/>
          <w:lang w:val="en-IE"/>
        </w:rPr>
        <w:t>.</w:t>
      </w:r>
    </w:p>
    <w:p w:rsidR="00DA7543" w:rsidRDefault="00DA7543">
      <w:pPr>
        <w:spacing w:after="0"/>
        <w:jc w:val="both"/>
        <w:rPr>
          <w:rFonts w:ascii="Times New Roman" w:hAnsi="Times New Roman" w:cs="Times New Roman"/>
          <w:noProof/>
          <w:sz w:val="24"/>
          <w:lang w:val="en-IE"/>
        </w:rPr>
      </w:pPr>
    </w:p>
    <w:p w:rsidR="00DA7543" w:rsidRDefault="007C073D">
      <w:pPr>
        <w:spacing w:after="0"/>
        <w:jc w:val="both"/>
        <w:rPr>
          <w:rFonts w:ascii="Times New Roman" w:hAnsi="Times New Roman" w:cs="Times New Roman"/>
          <w:noProof/>
          <w:sz w:val="24"/>
          <w:lang w:val="en-IE"/>
        </w:rPr>
      </w:pPr>
      <w:r>
        <w:rPr>
          <w:rFonts w:ascii="Times New Roman" w:hAnsi="Times New Roman" w:cs="Times New Roman"/>
          <w:noProof/>
          <w:sz w:val="24"/>
          <w:lang w:val="en-IE"/>
        </w:rPr>
        <w:t>The SWD is structured as follows: after the introduction, Chapter 2 describes the methodology adopted for the assessment of the NIRs and presents the new paramet</w:t>
      </w:r>
      <w:r>
        <w:rPr>
          <w:rFonts w:ascii="Times New Roman" w:hAnsi="Times New Roman" w:cs="Times New Roman"/>
          <w:noProof/>
          <w:sz w:val="24"/>
          <w:lang w:val="en-IE"/>
        </w:rPr>
        <w:t>ers and calculations carried out in this SWD, which were not present in the Commission SWD on the National Policy Frameworks.</w:t>
      </w:r>
    </w:p>
    <w:p w:rsidR="00DA7543" w:rsidRDefault="007C073D">
      <w:pPr>
        <w:spacing w:after="0"/>
        <w:jc w:val="both"/>
        <w:rPr>
          <w:rFonts w:ascii="Times New Roman" w:hAnsi="Times New Roman" w:cs="Times New Roman"/>
          <w:noProof/>
          <w:sz w:val="24"/>
          <w:lang w:val="en-IE"/>
        </w:rPr>
      </w:pPr>
      <w:r>
        <w:rPr>
          <w:rFonts w:ascii="Times New Roman" w:hAnsi="Times New Roman" w:cs="Times New Roman"/>
          <w:noProof/>
          <w:sz w:val="24"/>
          <w:lang w:val="en-IE"/>
        </w:rPr>
        <w:t xml:space="preserve">Chapter 3 provides for all the MSs a tabularised synthesis of the most relevant assessment results, both concerning the numerical </w:t>
      </w:r>
      <w:r>
        <w:rPr>
          <w:rFonts w:ascii="Times New Roman" w:hAnsi="Times New Roman" w:cs="Times New Roman"/>
          <w:noProof/>
          <w:sz w:val="24"/>
          <w:lang w:val="en-IE"/>
        </w:rPr>
        <w:t>values provided in the NIRs in relation to alternative fuels vehicles and related infrastructure, and concerning the outcome of the analysis and assessment of the measures.</w:t>
      </w:r>
    </w:p>
    <w:p w:rsidR="00DA7543" w:rsidRDefault="007C073D">
      <w:pPr>
        <w:spacing w:after="0" w:line="276" w:lineRule="auto"/>
        <w:jc w:val="both"/>
        <w:rPr>
          <w:rFonts w:ascii="Times New Roman" w:hAnsi="Times New Roman" w:cs="Times New Roman"/>
          <w:noProof/>
          <w:sz w:val="24"/>
          <w:lang w:val="en-IE"/>
        </w:rPr>
      </w:pPr>
      <w:r>
        <w:rPr>
          <w:rFonts w:ascii="Times New Roman" w:hAnsi="Times New Roman" w:cs="Times New Roman"/>
          <w:noProof/>
          <w:sz w:val="24"/>
          <w:lang w:val="en-IE"/>
        </w:rPr>
        <w:t>Chapter 4 is divided in two sections. The first section provides some consideration</w:t>
      </w:r>
      <w:r>
        <w:rPr>
          <w:rFonts w:ascii="Times New Roman" w:hAnsi="Times New Roman" w:cs="Times New Roman"/>
          <w:noProof/>
          <w:sz w:val="24"/>
          <w:lang w:val="en-IE"/>
        </w:rPr>
        <w:t>s and additional information on the results shown in Chapter 3, but from an EU-wide perspective. Where possible, the results from the individual NIRs and MSs are combined to provide EU averages that, although with some limitations related to the availabili</w:t>
      </w:r>
      <w:r>
        <w:rPr>
          <w:rFonts w:ascii="Times New Roman" w:hAnsi="Times New Roman" w:cs="Times New Roman"/>
          <w:noProof/>
          <w:sz w:val="24"/>
          <w:lang w:val="en-IE"/>
        </w:rPr>
        <w:t xml:space="preserve">ty of data and the number of Member States assessed, give an indication of the EU-wide state of play in 2018 and of the outlook until 2030. </w:t>
      </w:r>
    </w:p>
    <w:p w:rsidR="00DA7543" w:rsidRDefault="007C073D">
      <w:pPr>
        <w:spacing w:after="0"/>
        <w:jc w:val="both"/>
        <w:rPr>
          <w:rFonts w:ascii="Times New Roman" w:hAnsi="Times New Roman" w:cs="Times New Roman"/>
          <w:noProof/>
          <w:sz w:val="24"/>
          <w:lang w:val="en-IE"/>
        </w:rPr>
      </w:pPr>
      <w:r>
        <w:rPr>
          <w:rFonts w:ascii="Times New Roman" w:hAnsi="Times New Roman" w:cs="Times New Roman"/>
          <w:noProof/>
          <w:sz w:val="24"/>
          <w:lang w:val="en-IE"/>
        </w:rPr>
        <w:t>The second section of Chapter 4 presents an update of the simplified analysis regarding the economic and social imp</w:t>
      </w:r>
      <w:r>
        <w:rPr>
          <w:rFonts w:ascii="Times New Roman" w:hAnsi="Times New Roman" w:cs="Times New Roman"/>
          <w:noProof/>
          <w:sz w:val="24"/>
          <w:lang w:val="en-IE"/>
        </w:rPr>
        <w:t>act of the Directive, based on the NIRs</w:t>
      </w:r>
      <w:r>
        <w:rPr>
          <w:rStyle w:val="FootnoteReference"/>
          <w:rFonts w:ascii="Times New Roman" w:hAnsi="Times New Roman" w:cs="Times New Roman"/>
          <w:noProof/>
          <w:sz w:val="24"/>
          <w:lang w:val="en-IE"/>
        </w:rPr>
        <w:footnoteReference w:id="2"/>
      </w:r>
      <w:r>
        <w:rPr>
          <w:rFonts w:ascii="Times New Roman" w:hAnsi="Times New Roman" w:cs="Times New Roman"/>
          <w:noProof/>
          <w:sz w:val="24"/>
          <w:lang w:val="en-IE"/>
        </w:rPr>
        <w:t>.</w:t>
      </w:r>
    </w:p>
    <w:p w:rsidR="00DA7543" w:rsidRDefault="007C073D">
      <w:pPr>
        <w:spacing w:after="0"/>
        <w:jc w:val="both"/>
        <w:rPr>
          <w:rFonts w:ascii="Times New Roman" w:hAnsi="Times New Roman" w:cs="Times New Roman"/>
          <w:noProof/>
          <w:sz w:val="24"/>
          <w:lang w:val="en-IE"/>
        </w:rPr>
      </w:pPr>
      <w:r>
        <w:rPr>
          <w:rFonts w:ascii="Times New Roman" w:hAnsi="Times New Roman" w:cs="Times New Roman"/>
          <w:noProof/>
          <w:sz w:val="24"/>
          <w:lang w:val="en-IE"/>
        </w:rPr>
        <w:t xml:space="preserve">Chapter 5 contains the detailed assessment reports of the 25 Member States that have delivered their NIRs within the latest deadline granted by the Commission. These 25 assessment reports are preceded by a section </w:t>
      </w:r>
      <w:r>
        <w:rPr>
          <w:rFonts w:ascii="Times New Roman" w:hAnsi="Times New Roman" w:cs="Times New Roman"/>
          <w:noProof/>
          <w:sz w:val="24"/>
          <w:lang w:val="en-IE"/>
        </w:rPr>
        <w:t xml:space="preserve">that explains the structure and content of each part of the assessment. </w:t>
      </w:r>
    </w:p>
    <w:p w:rsidR="00DA7543" w:rsidRDefault="00DA7543">
      <w:pPr>
        <w:spacing w:after="0"/>
        <w:jc w:val="both"/>
        <w:rPr>
          <w:rFonts w:ascii="Times New Roman" w:hAnsi="Times New Roman" w:cs="Times New Roman"/>
          <w:noProof/>
          <w:sz w:val="24"/>
          <w:lang w:val="en-IE"/>
        </w:rPr>
      </w:pP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When considering the individual assessment reports and the EU-wide analysis it is important to keep in mind that the information provided in the NIRs and assessed by the Commission c</w:t>
      </w:r>
      <w:r>
        <w:rPr>
          <w:rFonts w:ascii="Times New Roman" w:hAnsi="Times New Roman" w:cs="Times New Roman"/>
          <w:noProof/>
          <w:sz w:val="24"/>
          <w:lang w:val="en-IE"/>
        </w:rPr>
        <w:t>onstitutes a snapshot of the situation in 2018. Almost two years have passed since then and in several cases the position and strategies of the MSs concerning alternative fuels might have changed quite considerably. Nevertheless, this SWD provides an impre</w:t>
      </w:r>
      <w:r>
        <w:rPr>
          <w:rFonts w:ascii="Times New Roman" w:hAnsi="Times New Roman" w:cs="Times New Roman"/>
          <w:noProof/>
          <w:sz w:val="24"/>
          <w:lang w:val="en-IE"/>
        </w:rPr>
        <w:t>ssive amount of data, information and analysis on the level of implementation of the Directive three years after the submission of the NPFs by the MSs.</w:t>
      </w:r>
    </w:p>
    <w:p w:rsidR="00DA7543" w:rsidRDefault="007C073D">
      <w:pPr>
        <w:rPr>
          <w:rFonts w:ascii="Times New Roman" w:hAnsi="Times New Roman" w:cs="Times New Roman"/>
          <w:noProof/>
          <w:sz w:val="24"/>
          <w:lang w:val="en-IE"/>
        </w:rPr>
      </w:pPr>
      <w:r>
        <w:rPr>
          <w:rFonts w:ascii="Times New Roman" w:hAnsi="Times New Roman" w:cs="Times New Roman"/>
          <w:noProof/>
          <w:sz w:val="24"/>
          <w:lang w:val="en-IE"/>
        </w:rPr>
        <w:br w:type="page"/>
      </w:r>
    </w:p>
    <w:p w:rsidR="00DA7543" w:rsidRDefault="007C073D">
      <w:pPr>
        <w:pStyle w:val="Heading1"/>
        <w:rPr>
          <w:rFonts w:ascii="Times New Roman" w:hAnsi="Times New Roman"/>
          <w:noProof/>
          <w:sz w:val="24"/>
          <w:lang w:val="en-IE"/>
        </w:rPr>
      </w:pPr>
      <w:bookmarkStart w:id="5" w:name="_Toc55301680"/>
      <w:bookmarkStart w:id="6" w:name="_Ref51448558"/>
      <w:bookmarkStart w:id="7" w:name="_Ref51448562"/>
      <w:bookmarkStart w:id="8" w:name="_Toc55301681"/>
      <w:bookmarkStart w:id="9" w:name="_Toc65241935"/>
      <w:bookmarkEnd w:id="5"/>
      <w:r>
        <w:rPr>
          <w:rFonts w:ascii="Times New Roman" w:hAnsi="Times New Roman"/>
          <w:noProof/>
          <w:sz w:val="24"/>
          <w:lang w:val="en-IE"/>
        </w:rPr>
        <w:lastRenderedPageBreak/>
        <w:t>Methodology for the assessment of N</w:t>
      </w:r>
      <w:bookmarkEnd w:id="4"/>
      <w:r>
        <w:rPr>
          <w:rFonts w:ascii="Times New Roman" w:hAnsi="Times New Roman"/>
          <w:noProof/>
          <w:sz w:val="24"/>
          <w:lang w:val="en-IE"/>
        </w:rPr>
        <w:t>ational Implementation Reports</w:t>
      </w:r>
      <w:bookmarkEnd w:id="6"/>
      <w:bookmarkEnd w:id="7"/>
      <w:bookmarkEnd w:id="8"/>
      <w:bookmarkEnd w:id="9"/>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analysis of the national </w:t>
      </w:r>
      <w:r>
        <w:rPr>
          <w:rFonts w:ascii="Times New Roman" w:hAnsi="Times New Roman" w:cs="Times New Roman"/>
          <w:noProof/>
          <w:sz w:val="24"/>
          <w:lang w:val="en-IE"/>
        </w:rPr>
        <w:t>implementation reports (NIR) has been carried out in two stages: first, an assessment at member state level according to the methodology described in the following sections. After that, an analysis at EU level has been performed on the basis of the 25 NIRs</w:t>
      </w:r>
      <w:r>
        <w:rPr>
          <w:rFonts w:ascii="Times New Roman" w:hAnsi="Times New Roman" w:cs="Times New Roman"/>
          <w:noProof/>
          <w:sz w:val="24"/>
          <w:lang w:val="en-IE"/>
        </w:rPr>
        <w:t xml:space="preserve"> received (out of 28), which also includes some considerations on the economic and social impact of the implementation of the Directive.</w:t>
      </w:r>
    </w:p>
    <w:p w:rsidR="00DA7543" w:rsidRDefault="007C073D">
      <w:pPr>
        <w:pStyle w:val="Heading2"/>
        <w:rPr>
          <w:rFonts w:ascii="Times New Roman" w:hAnsi="Times New Roman" w:cs="Times New Roman"/>
          <w:noProof/>
          <w:sz w:val="24"/>
          <w:lang w:val="en-IE"/>
        </w:rPr>
      </w:pPr>
      <w:bookmarkStart w:id="10" w:name="_Ref54340216"/>
      <w:bookmarkStart w:id="11" w:name="_Ref54340230"/>
      <w:bookmarkStart w:id="12" w:name="_Ref54340240"/>
      <w:bookmarkStart w:id="13" w:name="_Toc55301682"/>
      <w:bookmarkStart w:id="14" w:name="_Toc65241936"/>
      <w:r>
        <w:rPr>
          <w:rFonts w:ascii="Times New Roman" w:hAnsi="Times New Roman" w:cs="Times New Roman"/>
          <w:noProof/>
          <w:sz w:val="24"/>
          <w:lang w:val="en-IE"/>
        </w:rPr>
        <w:t>Member state level assessment methodology</w:t>
      </w:r>
      <w:bookmarkEnd w:id="10"/>
      <w:bookmarkEnd w:id="11"/>
      <w:bookmarkEnd w:id="12"/>
      <w:bookmarkEnd w:id="13"/>
      <w:bookmarkEnd w:id="14"/>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The assessment of the Implementation Reports at Member State level is perform</w:t>
      </w:r>
      <w:r>
        <w:rPr>
          <w:rFonts w:ascii="Times New Roman" w:hAnsi="Times New Roman" w:cs="Times New Roman"/>
          <w:noProof/>
          <w:sz w:val="24"/>
          <w:lang w:val="en-IE"/>
        </w:rPr>
        <w:t>ed along two main directions: on the one hand, it evaluates the AFV estimates and AFI targets, on the other hand, the support measures. Concerning the former, the assessment analyses the MSs situation in 2018 towards reaching the AFV-estimates / AFI-target</w:t>
      </w:r>
      <w:r>
        <w:rPr>
          <w:rFonts w:ascii="Times New Roman" w:hAnsi="Times New Roman" w:cs="Times New Roman"/>
          <w:noProof/>
          <w:sz w:val="24"/>
          <w:lang w:val="en-IE"/>
        </w:rPr>
        <w:t xml:space="preserve">s and characterises the modifications reported in the NIR versus the NPF. As for the latter, by applying the assessment methodology, it examines whether the existing or planned support actions or measures from the NIR are coherent with the AFV-estimates / </w:t>
      </w:r>
      <w:r>
        <w:rPr>
          <w:rFonts w:ascii="Times New Roman" w:hAnsi="Times New Roman" w:cs="Times New Roman"/>
          <w:noProof/>
          <w:sz w:val="24"/>
          <w:lang w:val="en-IE"/>
        </w:rPr>
        <w:t>AFI-targets set in the NIR, and provides an evaluation of the possible impact of such measures to achieve the objectives</w:t>
      </w:r>
      <w:r>
        <w:rPr>
          <w:rStyle w:val="FootnoteReference"/>
          <w:rFonts w:ascii="Times New Roman" w:hAnsi="Times New Roman" w:cs="Times New Roman"/>
          <w:noProof/>
          <w:sz w:val="24"/>
          <w:lang w:val="en-IE"/>
        </w:rPr>
        <w:footnoteReference w:id="3"/>
      </w:r>
      <w:r>
        <w:rPr>
          <w:rFonts w:ascii="Times New Roman" w:hAnsi="Times New Roman" w:cs="Times New Roman"/>
          <w:noProof/>
          <w:sz w:val="24"/>
          <w:lang w:val="en-IE"/>
        </w:rPr>
        <w:t xml:space="preserve">. </w:t>
      </w:r>
    </w:p>
    <w:p w:rsidR="00DA7543" w:rsidRDefault="007C073D">
      <w:pPr>
        <w:pStyle w:val="Heading3"/>
        <w:rPr>
          <w:rFonts w:ascii="Times New Roman" w:hAnsi="Times New Roman" w:cs="Times New Roman"/>
          <w:noProof/>
          <w:sz w:val="24"/>
          <w:lang w:val="en-IE"/>
        </w:rPr>
      </w:pPr>
      <w:bookmarkStart w:id="15" w:name="_Toc55301683"/>
      <w:bookmarkStart w:id="16" w:name="_Toc65241937"/>
      <w:r>
        <w:rPr>
          <w:rFonts w:ascii="Times New Roman" w:hAnsi="Times New Roman" w:cs="Times New Roman"/>
          <w:noProof/>
          <w:sz w:val="24"/>
          <w:lang w:val="en-IE"/>
        </w:rPr>
        <w:t>AFV-estimates / AFI-targets assessment</w:t>
      </w:r>
      <w:bookmarkEnd w:id="15"/>
      <w:bookmarkEnd w:id="16"/>
      <w:r>
        <w:rPr>
          <w:rFonts w:ascii="Times New Roman" w:hAnsi="Times New Roman" w:cs="Times New Roman"/>
          <w:noProof/>
          <w:sz w:val="24"/>
          <w:lang w:val="en-IE"/>
        </w:rPr>
        <w:t xml:space="preserve"> </w:t>
      </w:r>
    </w:p>
    <w:p w:rsidR="00DA7543" w:rsidRDefault="007C073D">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flowchart in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_Ref51410810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Pr>
          <w:rFonts w:ascii="Times New Roman" w:hAnsi="Times New Roman" w:cs="Times New Roman"/>
          <w:noProof/>
          <w:color w:val="000000" w:themeColor="text1"/>
          <w:sz w:val="24"/>
          <w:lang w:val="en-IE"/>
        </w:rPr>
        <w:t>Figure 2.1.1</w:t>
      </w:r>
      <w:r>
        <w:rPr>
          <w:rFonts w:ascii="Times New Roman" w:hAnsi="Times New Roman" w:cs="Times New Roman"/>
          <w:noProof/>
          <w:color w:val="000000" w:themeColor="text1"/>
          <w:sz w:val="24"/>
          <w:lang w:val="en-IE"/>
        </w:rPr>
        <w:noBreakHyphen/>
        <w:t>1</w:t>
      </w:r>
      <w:r>
        <w:rPr>
          <w:rFonts w:ascii="Times New Roman" w:hAnsi="Times New Roman" w:cs="Times New Roman"/>
          <w:noProof/>
          <w:color w:val="000000" w:themeColor="text1"/>
          <w:sz w:val="24"/>
          <w:lang w:val="en-IE"/>
        </w:rPr>
        <w:fldChar w:fldCharType="end"/>
      </w:r>
      <w:r>
        <w:rPr>
          <w:rFonts w:ascii="Times New Roman" w:hAnsi="Times New Roman" w:cs="Times New Roman"/>
          <w:noProof/>
          <w:color w:val="000000" w:themeColor="text1"/>
          <w:sz w:val="24"/>
          <w:lang w:val="en-IE"/>
        </w:rPr>
        <w:t xml:space="preserve"> gives an overview of the AFV estimates and AFI targets assessment by presenting the main activities (rectangles) that are performed and their different inputs and outputs (parallelograms). The following sections present in detail the methodology employed </w:t>
      </w:r>
      <w:r>
        <w:rPr>
          <w:rFonts w:ascii="Times New Roman" w:hAnsi="Times New Roman" w:cs="Times New Roman"/>
          <w:noProof/>
          <w:color w:val="000000" w:themeColor="text1"/>
          <w:sz w:val="24"/>
          <w:lang w:val="en-IE"/>
        </w:rPr>
        <w:t>to perform the listed activities:</w:t>
      </w:r>
    </w:p>
    <w:p w:rsidR="00DA7543" w:rsidRDefault="007C073D">
      <w:pPr>
        <w:pStyle w:val="ListParagraph"/>
        <w:numPr>
          <w:ilvl w:val="0"/>
          <w:numId w:val="6"/>
        </w:numPr>
        <w:spacing w:after="120" w:line="240" w:lineRule="auto"/>
        <w:ind w:left="1434" w:hanging="357"/>
        <w:contextualSpacing w:val="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level of change assessment - see subsection 2.1.2</w:t>
      </w:r>
    </w:p>
    <w:p w:rsidR="00DA7543" w:rsidRDefault="007C073D">
      <w:pPr>
        <w:pStyle w:val="NoSpacing"/>
        <w:numPr>
          <w:ilvl w:val="0"/>
          <w:numId w:val="6"/>
        </w:numPr>
        <w:spacing w:after="120"/>
        <w:ind w:left="1434" w:hanging="357"/>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progress assessment (including annual growth rate determination in the case of electricity/road and CNG/road pairs) - see subsection 0</w:t>
      </w:r>
    </w:p>
    <w:p w:rsidR="00DA7543" w:rsidRDefault="007C073D">
      <w:pPr>
        <w:pStyle w:val="ListParagraph"/>
        <w:numPr>
          <w:ilvl w:val="0"/>
          <w:numId w:val="6"/>
        </w:numPr>
        <w:spacing w:after="120" w:line="240" w:lineRule="auto"/>
        <w:ind w:left="1434" w:hanging="357"/>
        <w:contextualSpacing w:val="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determination of the AFV-estimates / </w:t>
      </w:r>
      <w:r>
        <w:rPr>
          <w:rFonts w:ascii="Times New Roman" w:hAnsi="Times New Roman" w:cs="Times New Roman"/>
          <w:noProof/>
          <w:color w:val="000000" w:themeColor="text1"/>
          <w:sz w:val="24"/>
          <w:lang w:val="en-IE"/>
        </w:rPr>
        <w:t>AFI-targets attainment - see subsection 2.1.4</w:t>
      </w:r>
    </w:p>
    <w:p w:rsidR="00DA7543" w:rsidRDefault="007C073D">
      <w:pPr>
        <w:pStyle w:val="ListParagraph"/>
        <w:numPr>
          <w:ilvl w:val="0"/>
          <w:numId w:val="6"/>
        </w:numPr>
        <w:spacing w:after="120" w:line="240" w:lineRule="auto"/>
        <w:ind w:left="1434" w:hanging="357"/>
        <w:contextualSpacing w:val="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analysis of the adequacy between alternative fuels vehicles and infrastructure - see subsection 2.1.5</w:t>
      </w:r>
    </w:p>
    <w:p w:rsidR="00DA7543" w:rsidRDefault="007C073D">
      <w:pPr>
        <w:pStyle w:val="Caption"/>
        <w:rPr>
          <w:rFonts w:ascii="Times New Roman" w:hAnsi="Times New Roman" w:cs="Times New Roman"/>
          <w:b w:val="0"/>
          <w:noProof/>
          <w:color w:val="000000" w:themeColor="text1"/>
          <w:sz w:val="20"/>
          <w:szCs w:val="18"/>
          <w:lang w:val="en-IE"/>
        </w:rPr>
      </w:pPr>
      <w:r>
        <w:rPr>
          <w:rFonts w:ascii="Times New Roman" w:hAnsi="Times New Roman" w:cs="Times New Roman"/>
          <w:b w:val="0"/>
          <w:noProof/>
          <w:color w:val="000000" w:themeColor="text1"/>
          <w:sz w:val="20"/>
          <w:szCs w:val="18"/>
          <w:lang w:eastAsia="en-GB"/>
        </w:rPr>
        <w:lastRenderedPageBreak/>
        <w:drawing>
          <wp:inline distT="0" distB="0" distL="0" distR="0">
            <wp:extent cx="5874992" cy="32328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1.1.1.jpg"/>
                    <pic:cNvPicPr/>
                  </pic:nvPicPr>
                  <pic:blipFill>
                    <a:blip r:embed="rId15">
                      <a:extLst>
                        <a:ext uri="{28A0092B-C50C-407E-A947-70E740481C1C}">
                          <a14:useLocalDpi xmlns:a14="http://schemas.microsoft.com/office/drawing/2010/main" val="0"/>
                        </a:ext>
                      </a:extLst>
                    </a:blip>
                    <a:stretch>
                      <a:fillRect/>
                    </a:stretch>
                  </pic:blipFill>
                  <pic:spPr>
                    <a:xfrm>
                      <a:off x="0" y="0"/>
                      <a:ext cx="5874992" cy="3232800"/>
                    </a:xfrm>
                    <a:prstGeom prst="rect">
                      <a:avLst/>
                    </a:prstGeom>
                  </pic:spPr>
                </pic:pic>
              </a:graphicData>
            </a:graphic>
          </wp:inline>
        </w:drawing>
      </w:r>
    </w:p>
    <w:p w:rsidR="00DA7543" w:rsidRDefault="007C073D">
      <w:pPr>
        <w:pStyle w:val="Caption"/>
        <w:rPr>
          <w:rFonts w:ascii="Times New Roman" w:hAnsi="Times New Roman" w:cs="Times New Roman"/>
          <w:b w:val="0"/>
          <w:noProof/>
          <w:color w:val="000000" w:themeColor="text1"/>
          <w:sz w:val="20"/>
          <w:szCs w:val="18"/>
          <w:lang w:val="en-IE"/>
        </w:rPr>
      </w:pPr>
      <w:bookmarkStart w:id="17" w:name="_Ref51410810"/>
      <w:r>
        <w:rPr>
          <w:rFonts w:ascii="Times New Roman" w:hAnsi="Times New Roman" w:cs="Times New Roman"/>
          <w:b w:val="0"/>
          <w:noProof/>
          <w:color w:val="000000" w:themeColor="text1"/>
          <w:sz w:val="20"/>
          <w:szCs w:val="18"/>
          <w:lang w:val="en-IE"/>
        </w:rPr>
        <w:t xml:space="preserve">Figure </w:t>
      </w:r>
      <w:r>
        <w:rPr>
          <w:rFonts w:ascii="Times New Roman" w:hAnsi="Times New Roman" w:cs="Times New Roman"/>
          <w:b w:val="0"/>
          <w:noProof/>
          <w:color w:val="000000" w:themeColor="text1"/>
          <w:sz w:val="20"/>
          <w:szCs w:val="18"/>
          <w:lang w:val="en-IE"/>
        </w:rPr>
        <w:fldChar w:fldCharType="begin"/>
      </w:r>
      <w:r>
        <w:rPr>
          <w:rFonts w:ascii="Times New Roman" w:hAnsi="Times New Roman" w:cs="Times New Roman"/>
          <w:b w:val="0"/>
          <w:noProof/>
          <w:color w:val="000000" w:themeColor="text1"/>
          <w:sz w:val="20"/>
          <w:szCs w:val="18"/>
          <w:lang w:val="en-IE"/>
        </w:rPr>
        <w:instrText xml:space="preserve"> STYLEREF 3 \s </w:instrText>
      </w:r>
      <w:r>
        <w:rPr>
          <w:rFonts w:ascii="Times New Roman" w:hAnsi="Times New Roman" w:cs="Times New Roman"/>
          <w:b w:val="0"/>
          <w:noProof/>
          <w:color w:val="000000" w:themeColor="text1"/>
          <w:sz w:val="20"/>
          <w:szCs w:val="18"/>
          <w:lang w:val="en-IE"/>
        </w:rPr>
        <w:fldChar w:fldCharType="separate"/>
      </w:r>
      <w:r>
        <w:rPr>
          <w:rFonts w:ascii="Times New Roman" w:hAnsi="Times New Roman" w:cs="Times New Roman"/>
          <w:b w:val="0"/>
          <w:noProof/>
          <w:color w:val="000000" w:themeColor="text1"/>
          <w:sz w:val="20"/>
          <w:szCs w:val="18"/>
          <w:lang w:val="en-IE"/>
        </w:rPr>
        <w:t>2.1.1</w:t>
      </w:r>
      <w:r>
        <w:rPr>
          <w:rFonts w:ascii="Times New Roman" w:hAnsi="Times New Roman" w:cs="Times New Roman"/>
          <w:b w:val="0"/>
          <w:noProof/>
          <w:color w:val="000000" w:themeColor="text1"/>
          <w:sz w:val="20"/>
          <w:szCs w:val="18"/>
          <w:lang w:val="en-IE"/>
        </w:rPr>
        <w:fldChar w:fldCharType="end"/>
      </w:r>
      <w:r>
        <w:rPr>
          <w:rFonts w:ascii="Times New Roman" w:hAnsi="Times New Roman" w:cs="Times New Roman"/>
          <w:b w:val="0"/>
          <w:noProof/>
          <w:color w:val="000000" w:themeColor="text1"/>
          <w:sz w:val="20"/>
          <w:szCs w:val="18"/>
          <w:lang w:val="en-IE"/>
        </w:rPr>
        <w:noBreakHyphen/>
      </w:r>
      <w:r>
        <w:rPr>
          <w:rFonts w:ascii="Times New Roman" w:hAnsi="Times New Roman" w:cs="Times New Roman"/>
          <w:b w:val="0"/>
          <w:noProof/>
          <w:color w:val="000000" w:themeColor="text1"/>
          <w:sz w:val="20"/>
          <w:szCs w:val="18"/>
          <w:lang w:val="en-IE"/>
        </w:rPr>
        <w:fldChar w:fldCharType="begin"/>
      </w:r>
      <w:r>
        <w:rPr>
          <w:rFonts w:ascii="Times New Roman" w:hAnsi="Times New Roman" w:cs="Times New Roman"/>
          <w:b w:val="0"/>
          <w:noProof/>
          <w:color w:val="000000" w:themeColor="text1"/>
          <w:sz w:val="20"/>
          <w:szCs w:val="18"/>
          <w:lang w:val="en-IE"/>
        </w:rPr>
        <w:instrText xml:space="preserve"> SEQ Figure \* ARABIC \s 3 </w:instrText>
      </w:r>
      <w:r>
        <w:rPr>
          <w:rFonts w:ascii="Times New Roman" w:hAnsi="Times New Roman" w:cs="Times New Roman"/>
          <w:b w:val="0"/>
          <w:noProof/>
          <w:color w:val="000000" w:themeColor="text1"/>
          <w:sz w:val="20"/>
          <w:szCs w:val="18"/>
          <w:lang w:val="en-IE"/>
        </w:rPr>
        <w:fldChar w:fldCharType="separate"/>
      </w:r>
      <w:r>
        <w:rPr>
          <w:rFonts w:ascii="Times New Roman" w:hAnsi="Times New Roman" w:cs="Times New Roman"/>
          <w:b w:val="0"/>
          <w:noProof/>
          <w:color w:val="000000" w:themeColor="text1"/>
          <w:sz w:val="20"/>
          <w:szCs w:val="18"/>
          <w:lang w:val="en-IE"/>
        </w:rPr>
        <w:t>1</w:t>
      </w:r>
      <w:r>
        <w:rPr>
          <w:rFonts w:ascii="Times New Roman" w:hAnsi="Times New Roman" w:cs="Times New Roman"/>
          <w:b w:val="0"/>
          <w:noProof/>
          <w:color w:val="000000" w:themeColor="text1"/>
          <w:sz w:val="20"/>
          <w:szCs w:val="18"/>
          <w:lang w:val="en-IE"/>
        </w:rPr>
        <w:fldChar w:fldCharType="end"/>
      </w:r>
      <w:bookmarkEnd w:id="17"/>
      <w:r>
        <w:rPr>
          <w:rFonts w:ascii="Times New Roman" w:hAnsi="Times New Roman" w:cs="Times New Roman"/>
          <w:noProof/>
          <w:sz w:val="24"/>
          <w:lang w:val="en-IE"/>
        </w:rPr>
        <w:t xml:space="preserve"> </w:t>
      </w:r>
      <w:r>
        <w:rPr>
          <w:rFonts w:ascii="Times New Roman" w:hAnsi="Times New Roman" w:cs="Times New Roman"/>
          <w:b w:val="0"/>
          <w:noProof/>
          <w:color w:val="000000" w:themeColor="text1"/>
          <w:sz w:val="20"/>
          <w:szCs w:val="18"/>
          <w:lang w:val="en-IE"/>
        </w:rPr>
        <w:t xml:space="preserve">Overview of the AFV estimates and AFI </w:t>
      </w:r>
      <w:r>
        <w:rPr>
          <w:rFonts w:ascii="Times New Roman" w:hAnsi="Times New Roman" w:cs="Times New Roman"/>
          <w:b w:val="0"/>
          <w:noProof/>
          <w:color w:val="000000" w:themeColor="text1"/>
          <w:sz w:val="20"/>
          <w:szCs w:val="18"/>
          <w:lang w:val="en-IE"/>
        </w:rPr>
        <w:t>targets assessment</w:t>
      </w:r>
    </w:p>
    <w:p w:rsidR="00DA7543" w:rsidRDefault="00DA7543">
      <w:pPr>
        <w:jc w:val="both"/>
        <w:rPr>
          <w:rFonts w:ascii="Times New Roman" w:hAnsi="Times New Roman" w:cs="Times New Roman"/>
          <w:noProof/>
          <w:sz w:val="24"/>
          <w:lang w:val="en-IE"/>
        </w:rPr>
      </w:pPr>
    </w:p>
    <w:p w:rsidR="00DA7543" w:rsidRDefault="007C073D">
      <w:pPr>
        <w:pStyle w:val="Heading3"/>
        <w:rPr>
          <w:rFonts w:ascii="Times New Roman" w:hAnsi="Times New Roman" w:cs="Times New Roman"/>
          <w:noProof/>
          <w:sz w:val="24"/>
          <w:lang w:val="en-IE" w:eastAsia="en-IE"/>
        </w:rPr>
      </w:pPr>
      <w:bookmarkStart w:id="18" w:name="_Ref42452270"/>
      <w:bookmarkStart w:id="19" w:name="_Toc55301684"/>
      <w:bookmarkStart w:id="20" w:name="_Toc65241938"/>
      <w:r>
        <w:rPr>
          <w:rFonts w:ascii="Times New Roman" w:hAnsi="Times New Roman" w:cs="Times New Roman"/>
          <w:noProof/>
          <w:sz w:val="24"/>
          <w:lang w:val="en-IE" w:eastAsia="en-IE"/>
        </w:rPr>
        <w:t>Assessment of AFV-estimates / AFI-targets changes</w:t>
      </w:r>
      <w:bookmarkEnd w:id="18"/>
      <w:bookmarkEnd w:id="19"/>
      <w:bookmarkEnd w:id="20"/>
    </w:p>
    <w:p w:rsidR="00DA7543" w:rsidRDefault="007C073D">
      <w:pPr>
        <w:spacing w:after="120" w:line="240" w:lineRule="auto"/>
        <w:jc w:val="both"/>
        <w:rPr>
          <w:rFonts w:ascii="Times New Roman" w:eastAsiaTheme="minorEastAsia" w:hAnsi="Times New Roman" w:cs="Times New Roman"/>
          <w:noProof/>
          <w:color w:val="000000"/>
          <w:kern w:val="24"/>
          <w:sz w:val="24"/>
          <w:lang w:val="en-IE" w:eastAsia="ro-RO"/>
        </w:rPr>
      </w:pPr>
      <w:r>
        <w:rPr>
          <w:rFonts w:ascii="Times New Roman" w:eastAsiaTheme="minorEastAsia" w:hAnsi="Times New Roman" w:cs="Times New Roman"/>
          <w:noProof/>
          <w:color w:val="000000"/>
          <w:kern w:val="24"/>
          <w:sz w:val="24"/>
          <w:lang w:val="en-IE" w:eastAsia="ro-RO"/>
        </w:rPr>
        <w:t>The changes presented in the NIR in comparison with the NPF concerning AFV-estimates / AFI-targets are computed for a given year according to this formula:</w:t>
      </w:r>
    </w:p>
    <w:p w:rsidR="00DA7543" w:rsidRDefault="007C073D">
      <w:pPr>
        <w:spacing w:after="120" w:line="240" w:lineRule="auto"/>
        <w:jc w:val="center"/>
        <w:rPr>
          <w:rFonts w:ascii="Times New Roman" w:eastAsiaTheme="minorEastAsia" w:hAnsi="Times New Roman" w:cs="Times New Roman"/>
          <w:i/>
          <w:iCs/>
          <w:noProof/>
          <w:color w:val="000000"/>
          <w:kern w:val="24"/>
          <w:sz w:val="24"/>
          <w:lang w:val="en-IE" w:eastAsia="ro-RO"/>
        </w:rPr>
      </w:pPr>
      <m:oMathPara>
        <m:oMath>
          <m:r>
            <w:rPr>
              <w:rFonts w:ascii="Cambria Math" w:eastAsiaTheme="minorEastAsia" w:hAnsi="Cambria Math" w:cs="Times New Roman"/>
              <w:noProof/>
              <w:color w:val="000000"/>
              <w:kern w:val="24"/>
              <w:sz w:val="24"/>
              <w:lang w:val="en-IE" w:eastAsia="ro-RO"/>
            </w:rPr>
            <m:t>c</m:t>
          </m:r>
          <m:r>
            <w:rPr>
              <w:rFonts w:ascii="Cambria Math" w:eastAsiaTheme="minorEastAsia" w:hAnsi="Cambria Math" w:cs="Times New Roman"/>
              <w:noProof/>
              <w:color w:val="000000"/>
              <w:kern w:val="24"/>
              <w:sz w:val="24"/>
              <w:lang w:val="en-IE" w:eastAsia="ro-RO"/>
            </w:rPr>
            <m:t>h</m:t>
          </m:r>
          <m:r>
            <w:rPr>
              <w:rFonts w:ascii="Cambria Math" w:eastAsiaTheme="minorEastAsia" w:hAnsi="Cambria Math" w:cs="Times New Roman"/>
              <w:noProof/>
              <w:color w:val="000000"/>
              <w:kern w:val="24"/>
              <w:sz w:val="24"/>
              <w:lang w:val="en-IE" w:eastAsia="ro-RO"/>
            </w:rPr>
            <m:t>ange</m:t>
          </m:r>
          <m:d>
            <m:dPr>
              <m:begChr m:val="["/>
              <m:endChr m:val="]"/>
              <m:ctrlPr>
                <w:rPr>
                  <w:rFonts w:ascii="Cambria Math" w:eastAsiaTheme="minorEastAsia" w:hAnsi="Cambria Math" w:cs="Times New Roman"/>
                  <w:i/>
                  <w:noProof/>
                  <w:color w:val="000000"/>
                  <w:kern w:val="24"/>
                  <w:sz w:val="24"/>
                  <w:lang w:val="en-IE" w:eastAsia="ro-RO"/>
                </w:rPr>
              </m:ctrlPr>
            </m:dPr>
            <m:e>
              <m:r>
                <w:rPr>
                  <w:rFonts w:ascii="Cambria Math" w:eastAsiaTheme="minorEastAsia" w:hAnsi="Cambria Math" w:cs="Times New Roman"/>
                  <w:noProof/>
                  <w:color w:val="000000"/>
                  <w:kern w:val="24"/>
                  <w:sz w:val="24"/>
                  <w:lang w:val="en-IE" w:eastAsia="ro-RO"/>
                </w:rPr>
                <m:t>%</m:t>
              </m:r>
            </m:e>
          </m:d>
          <m:r>
            <w:rPr>
              <w:rFonts w:ascii="Cambria Math" w:eastAsiaTheme="minorEastAsia" w:hAnsi="Cambria Math" w:cs="Times New Roman"/>
              <w:noProof/>
              <w:color w:val="000000"/>
              <w:kern w:val="24"/>
              <w:sz w:val="24"/>
              <w:lang w:val="en-IE" w:eastAsia="ro-RO"/>
            </w:rPr>
            <m:t xml:space="preserve">= </m:t>
          </m:r>
          <m:f>
            <m:fPr>
              <m:ctrlPr>
                <w:rPr>
                  <w:rFonts w:ascii="Cambria Math" w:eastAsiaTheme="minorEastAsia" w:hAnsi="Cambria Math" w:cs="Times New Roman"/>
                  <w:i/>
                  <w:iCs/>
                  <w:noProof/>
                  <w:color w:val="000000"/>
                  <w:kern w:val="24"/>
                  <w:sz w:val="24"/>
                  <w:lang w:val="en-IE" w:eastAsia="ro-RO"/>
                </w:rPr>
              </m:ctrlPr>
            </m:fPr>
            <m:num>
              <m:r>
                <m:rPr>
                  <m:nor/>
                </m:rPr>
                <w:rPr>
                  <w:rFonts w:ascii="Times New Roman" w:eastAsiaTheme="minorEastAsia" w:hAnsi="Times New Roman" w:cs="Times New Roman"/>
                  <w:i/>
                  <w:noProof/>
                  <w:color w:val="000000"/>
                  <w:kern w:val="24"/>
                  <w:sz w:val="24"/>
                  <w:lang w:val="en-IE" w:eastAsia="ro-RO"/>
                </w:rPr>
                <m:t>NIR value – NPF </m:t>
              </m:r>
              <m:r>
                <m:rPr>
                  <m:nor/>
                </m:rPr>
                <w:rPr>
                  <w:rFonts w:ascii="Times New Roman" w:eastAsiaTheme="minorEastAsia" w:hAnsi="Times New Roman" w:cs="Times New Roman"/>
                  <w:i/>
                  <w:noProof/>
                  <w:color w:val="000000"/>
                  <w:kern w:val="24"/>
                  <w:sz w:val="24"/>
                  <w:lang w:val="en-IE" w:eastAsia="ro-RO"/>
                </w:rPr>
                <m:t>value</m:t>
              </m:r>
            </m:num>
            <m:den>
              <m:r>
                <m:rPr>
                  <m:nor/>
                </m:rPr>
                <w:rPr>
                  <w:rFonts w:ascii="Times New Roman" w:eastAsiaTheme="minorEastAsia" w:hAnsi="Times New Roman" w:cs="Times New Roman"/>
                  <w:i/>
                  <w:noProof/>
                  <w:color w:val="000000"/>
                  <w:kern w:val="24"/>
                  <w:sz w:val="24"/>
                  <w:lang w:val="en-IE" w:eastAsia="ro-RO"/>
                </w:rPr>
                <m:t>NPF value</m:t>
              </m:r>
            </m:den>
          </m:f>
          <m:r>
            <w:rPr>
              <w:rFonts w:ascii="Cambria Math" w:eastAsiaTheme="minorEastAsia" w:hAnsi="Cambria Math" w:cs="Times New Roman"/>
              <w:noProof/>
              <w:color w:val="000000"/>
              <w:kern w:val="24"/>
              <w:sz w:val="24"/>
              <w:lang w:val="en-IE" w:eastAsia="ro-RO"/>
            </w:rPr>
            <m:t>*</m:t>
          </m:r>
          <m:r>
            <w:rPr>
              <w:rFonts w:ascii="Cambria Math" w:eastAsiaTheme="minorEastAsia" w:hAnsi="Cambria Math" w:cs="Times New Roman"/>
              <w:noProof/>
              <w:color w:val="000000"/>
              <w:kern w:val="24"/>
              <w:sz w:val="24"/>
              <w:lang w:val="en-IE" w:eastAsia="ro-RO"/>
            </w:rPr>
            <m:t>100</m:t>
          </m:r>
        </m:oMath>
      </m:oMathPara>
    </w:p>
    <w:p w:rsidR="00DA7543" w:rsidRDefault="007C073D">
      <w:pPr>
        <w:spacing w:after="120" w:line="240" w:lineRule="auto"/>
        <w:jc w:val="both"/>
        <w:rPr>
          <w:rFonts w:ascii="Times New Roman" w:eastAsia="Times New Roman" w:hAnsi="Times New Roman" w:cs="Times New Roman"/>
          <w:noProof/>
          <w:sz w:val="24"/>
          <w:lang w:val="en-IE" w:eastAsia="ro-RO"/>
        </w:rPr>
      </w:pPr>
      <w:r>
        <w:rPr>
          <w:rFonts w:ascii="Times New Roman" w:eastAsia="Times New Roman" w:hAnsi="Times New Roman" w:cs="Times New Roman"/>
          <w:noProof/>
          <w:sz w:val="24"/>
          <w:lang w:val="en-IE" w:eastAsia="ro-RO"/>
        </w:rPr>
        <w:t>They are characterized as follows:</w:t>
      </w:r>
    </w:p>
    <w:p w:rsidR="00DA7543" w:rsidRDefault="007C073D">
      <w:pPr>
        <w:numPr>
          <w:ilvl w:val="0"/>
          <w:numId w:val="5"/>
        </w:numPr>
        <w:spacing w:after="120" w:line="240" w:lineRule="auto"/>
        <w:jc w:val="both"/>
        <w:rPr>
          <w:rFonts w:ascii="Times New Roman" w:eastAsia="Times New Roman" w:hAnsi="Times New Roman" w:cs="Times New Roman"/>
          <w:noProof/>
          <w:sz w:val="24"/>
          <w:lang w:val="en-IE" w:eastAsia="ro-RO"/>
        </w:rPr>
      </w:pPr>
      <w:r>
        <w:rPr>
          <w:rFonts w:ascii="Times New Roman" w:eastAsiaTheme="minorEastAsia" w:hAnsi="Times New Roman" w:cs="Times New Roman"/>
          <w:noProof/>
          <w:color w:val="00B050"/>
          <w:kern w:val="24"/>
          <w:sz w:val="24"/>
          <w:lang w:val="en-IE" w:eastAsia="ro-RO"/>
        </w:rPr>
        <w:t>Increased ambition (change &gt; 15%)</w:t>
      </w:r>
    </w:p>
    <w:p w:rsidR="00DA7543" w:rsidRDefault="007C073D">
      <w:pPr>
        <w:pStyle w:val="Caption"/>
        <w:numPr>
          <w:ilvl w:val="0"/>
          <w:numId w:val="5"/>
        </w:numPr>
        <w:spacing w:before="0" w:line="240" w:lineRule="auto"/>
        <w:rPr>
          <w:rFonts w:ascii="Times New Roman" w:eastAsia="Times New Roman" w:hAnsi="Times New Roman" w:cs="Times New Roman"/>
          <w:b w:val="0"/>
          <w:noProof/>
          <w:sz w:val="24"/>
          <w:lang w:val="en-IE" w:eastAsia="ro-RO"/>
        </w:rPr>
      </w:pPr>
      <w:r>
        <w:rPr>
          <w:rFonts w:ascii="Times New Roman" w:eastAsiaTheme="minorEastAsia" w:hAnsi="Times New Roman" w:cs="Times New Roman"/>
          <w:b w:val="0"/>
          <w:noProof/>
          <w:color w:val="0070C0"/>
          <w:kern w:val="24"/>
          <w:sz w:val="24"/>
          <w:lang w:val="en-IE" w:eastAsia="ro-RO"/>
        </w:rPr>
        <w:t>Similar ambition (-15% &lt;= change &lt; = 15%)</w:t>
      </w:r>
    </w:p>
    <w:p w:rsidR="00DA7543" w:rsidRDefault="007C073D">
      <w:pPr>
        <w:numPr>
          <w:ilvl w:val="0"/>
          <w:numId w:val="5"/>
        </w:numPr>
        <w:spacing w:after="120" w:line="240" w:lineRule="auto"/>
        <w:jc w:val="both"/>
        <w:rPr>
          <w:rFonts w:ascii="Times New Roman" w:eastAsia="Times New Roman" w:hAnsi="Times New Roman" w:cs="Times New Roman"/>
          <w:noProof/>
          <w:sz w:val="24"/>
          <w:lang w:val="en-IE" w:eastAsia="ro-RO"/>
        </w:rPr>
      </w:pPr>
      <w:r>
        <w:rPr>
          <w:rFonts w:ascii="Times New Roman" w:eastAsiaTheme="minorEastAsia" w:hAnsi="Times New Roman" w:cs="Times New Roman"/>
          <w:noProof/>
          <w:color w:val="ED7D31"/>
          <w:kern w:val="24"/>
          <w:sz w:val="24"/>
          <w:lang w:val="en-IE" w:eastAsia="ro-RO"/>
        </w:rPr>
        <w:t>Decreased ambition (change &lt; -15%)</w:t>
      </w:r>
    </w:p>
    <w:p w:rsidR="00DA7543" w:rsidRDefault="007C073D">
      <w:pPr>
        <w:spacing w:after="120" w:line="240" w:lineRule="auto"/>
        <w:jc w:val="both"/>
        <w:rPr>
          <w:rFonts w:ascii="Times New Roman" w:eastAsiaTheme="minorEastAsia" w:hAnsi="Times New Roman" w:cs="Times New Roman"/>
          <w:noProof/>
          <w:color w:val="000000" w:themeColor="text1"/>
          <w:kern w:val="24"/>
          <w:sz w:val="24"/>
          <w:lang w:val="en-IE" w:eastAsia="ro-RO"/>
        </w:rPr>
      </w:pPr>
      <w:r>
        <w:rPr>
          <w:rFonts w:ascii="Times New Roman" w:eastAsiaTheme="minorEastAsia" w:hAnsi="Times New Roman" w:cs="Times New Roman"/>
          <w:noProof/>
          <w:color w:val="000000" w:themeColor="text1"/>
          <w:kern w:val="24"/>
          <w:sz w:val="24"/>
          <w:lang w:val="en-IE" w:eastAsia="ro-RO"/>
        </w:rPr>
        <w:t xml:space="preserve">In the assessment of each MS’ NIR, these changes are computed for all the pairs alternative fuel/transport mode for which data are available and are displayed under tabular format using the colour coding described above. </w:t>
      </w:r>
      <w:r>
        <w:rPr>
          <w:rFonts w:ascii="Times New Roman" w:eastAsiaTheme="minorEastAsia" w:hAnsi="Times New Roman" w:cs="Times New Roman"/>
          <w:noProof/>
          <w:color w:val="000000" w:themeColor="text1"/>
          <w:kern w:val="24"/>
          <w:sz w:val="24"/>
          <w:lang w:val="en-IE" w:eastAsia="ro-RO"/>
        </w:rPr>
        <w:fldChar w:fldCharType="begin"/>
      </w:r>
      <w:r>
        <w:rPr>
          <w:rFonts w:ascii="Times New Roman" w:eastAsiaTheme="minorEastAsia" w:hAnsi="Times New Roman" w:cs="Times New Roman"/>
          <w:noProof/>
          <w:color w:val="000000" w:themeColor="text1"/>
          <w:kern w:val="24"/>
          <w:sz w:val="24"/>
          <w:lang w:val="en-IE" w:eastAsia="ro-RO"/>
        </w:rPr>
        <w:instrText xml:space="preserve"> REF _Ref51411587 \h  \* MERGEFORMA</w:instrText>
      </w:r>
      <w:r>
        <w:rPr>
          <w:rFonts w:ascii="Times New Roman" w:eastAsiaTheme="minorEastAsia" w:hAnsi="Times New Roman" w:cs="Times New Roman"/>
          <w:noProof/>
          <w:color w:val="000000" w:themeColor="text1"/>
          <w:kern w:val="24"/>
          <w:sz w:val="24"/>
          <w:lang w:val="en-IE" w:eastAsia="ro-RO"/>
        </w:rPr>
        <w:instrText xml:space="preserve">T </w:instrText>
      </w:r>
      <w:r>
        <w:rPr>
          <w:rFonts w:ascii="Times New Roman" w:eastAsiaTheme="minorEastAsia" w:hAnsi="Times New Roman" w:cs="Times New Roman"/>
          <w:noProof/>
          <w:color w:val="000000" w:themeColor="text1"/>
          <w:kern w:val="24"/>
          <w:sz w:val="24"/>
          <w:lang w:val="en-IE" w:eastAsia="ro-RO"/>
        </w:rPr>
      </w:r>
      <w:r>
        <w:rPr>
          <w:rFonts w:ascii="Times New Roman" w:eastAsiaTheme="minorEastAsia" w:hAnsi="Times New Roman" w:cs="Times New Roman"/>
          <w:noProof/>
          <w:color w:val="000000" w:themeColor="text1"/>
          <w:kern w:val="24"/>
          <w:sz w:val="24"/>
          <w:lang w:val="en-IE" w:eastAsia="ro-RO"/>
        </w:rPr>
        <w:fldChar w:fldCharType="separate"/>
      </w:r>
      <w:r>
        <w:rPr>
          <w:rFonts w:ascii="Times New Roman" w:eastAsiaTheme="minorEastAsia" w:hAnsi="Times New Roman" w:cs="Times New Roman"/>
          <w:noProof/>
          <w:color w:val="000000" w:themeColor="text1"/>
          <w:kern w:val="24"/>
          <w:sz w:val="24"/>
          <w:lang w:val="en-IE" w:eastAsia="ro-RO"/>
        </w:rPr>
        <w:t>Table 2.1.2</w:t>
      </w:r>
      <w:r>
        <w:rPr>
          <w:rFonts w:ascii="Times New Roman" w:eastAsiaTheme="minorEastAsia" w:hAnsi="Times New Roman" w:cs="Times New Roman"/>
          <w:noProof/>
          <w:color w:val="000000" w:themeColor="text1"/>
          <w:kern w:val="24"/>
          <w:sz w:val="24"/>
          <w:lang w:val="en-IE" w:eastAsia="ro-RO"/>
        </w:rPr>
        <w:noBreakHyphen/>
        <w:t>1</w:t>
      </w:r>
      <w:r>
        <w:rPr>
          <w:rFonts w:ascii="Times New Roman" w:eastAsiaTheme="minorEastAsia" w:hAnsi="Times New Roman" w:cs="Times New Roman"/>
          <w:noProof/>
          <w:color w:val="000000" w:themeColor="text1"/>
          <w:kern w:val="24"/>
          <w:sz w:val="24"/>
          <w:lang w:val="en-IE" w:eastAsia="ro-RO"/>
        </w:rPr>
        <w:fldChar w:fldCharType="end"/>
      </w:r>
      <w:r>
        <w:rPr>
          <w:rFonts w:ascii="Times New Roman" w:eastAsiaTheme="minorEastAsia" w:hAnsi="Times New Roman" w:cs="Times New Roman"/>
          <w:noProof/>
          <w:color w:val="000000" w:themeColor="text1"/>
          <w:kern w:val="24"/>
          <w:sz w:val="24"/>
          <w:lang w:val="en-IE" w:eastAsia="ro-RO"/>
        </w:rPr>
        <w:t xml:space="preserve"> presents an example from one MS’ NIR.</w:t>
      </w:r>
    </w:p>
    <w:p w:rsidR="00DA7543" w:rsidRDefault="00DA7543">
      <w:pPr>
        <w:spacing w:after="120" w:line="240" w:lineRule="auto"/>
        <w:jc w:val="both"/>
        <w:rPr>
          <w:rFonts w:ascii="Times New Roman" w:eastAsiaTheme="minorEastAsia" w:hAnsi="Times New Roman" w:cs="Times New Roman"/>
          <w:noProof/>
          <w:color w:val="000000" w:themeColor="text1"/>
          <w:kern w:val="24"/>
          <w:sz w:val="24"/>
          <w:lang w:val="en-IE" w:eastAsia="ro-RO"/>
        </w:rPr>
      </w:pPr>
    </w:p>
    <w:p w:rsidR="00DA7543" w:rsidRDefault="00DA7543">
      <w:pPr>
        <w:spacing w:after="120" w:line="240" w:lineRule="auto"/>
        <w:jc w:val="both"/>
        <w:rPr>
          <w:rFonts w:ascii="Times New Roman" w:eastAsiaTheme="minorEastAsia" w:hAnsi="Times New Roman" w:cs="Times New Roman"/>
          <w:noProof/>
          <w:color w:val="000000" w:themeColor="text1"/>
          <w:kern w:val="24"/>
          <w:sz w:val="24"/>
          <w:lang w:val="en-IE" w:eastAsia="ro-RO"/>
        </w:rPr>
      </w:pPr>
    </w:p>
    <w:p w:rsidR="00DA7543" w:rsidRDefault="00DA7543">
      <w:pPr>
        <w:spacing w:after="120" w:line="240" w:lineRule="auto"/>
        <w:jc w:val="both"/>
        <w:rPr>
          <w:rFonts w:ascii="Times New Roman" w:eastAsiaTheme="minorEastAsia" w:hAnsi="Times New Roman" w:cs="Times New Roman"/>
          <w:noProof/>
          <w:color w:val="000000" w:themeColor="text1"/>
          <w:kern w:val="24"/>
          <w:sz w:val="24"/>
          <w:lang w:val="en-IE" w:eastAsia="ro-RO"/>
        </w:rPr>
      </w:pPr>
    </w:p>
    <w:p w:rsidR="00DA7543" w:rsidRDefault="00DA7543">
      <w:pPr>
        <w:spacing w:after="120" w:line="240" w:lineRule="auto"/>
        <w:jc w:val="both"/>
        <w:rPr>
          <w:rFonts w:ascii="Times New Roman" w:eastAsiaTheme="minorEastAsia" w:hAnsi="Times New Roman" w:cs="Times New Roman"/>
          <w:noProof/>
          <w:color w:val="000000" w:themeColor="text1"/>
          <w:kern w:val="24"/>
          <w:sz w:val="24"/>
          <w:lang w:val="en-IE" w:eastAsia="ro-RO"/>
        </w:rPr>
      </w:pPr>
    </w:p>
    <w:p w:rsidR="00DA7543" w:rsidRDefault="00DA7543">
      <w:pPr>
        <w:spacing w:after="120" w:line="240" w:lineRule="auto"/>
        <w:jc w:val="both"/>
        <w:rPr>
          <w:rFonts w:ascii="Times New Roman" w:eastAsiaTheme="minorEastAsia" w:hAnsi="Times New Roman" w:cs="Times New Roman"/>
          <w:noProof/>
          <w:color w:val="000000" w:themeColor="text1"/>
          <w:kern w:val="24"/>
          <w:sz w:val="24"/>
          <w:lang w:val="en-IE" w:eastAsia="ro-RO"/>
        </w:rPr>
      </w:pPr>
    </w:p>
    <w:p w:rsidR="00DA7543" w:rsidRDefault="00DA7543">
      <w:pPr>
        <w:spacing w:after="120" w:line="240" w:lineRule="auto"/>
        <w:jc w:val="both"/>
        <w:rPr>
          <w:rFonts w:ascii="Times New Roman" w:eastAsiaTheme="minorEastAsia" w:hAnsi="Times New Roman" w:cs="Times New Roman"/>
          <w:noProof/>
          <w:color w:val="000000" w:themeColor="text1"/>
          <w:kern w:val="24"/>
          <w:sz w:val="24"/>
          <w:lang w:val="en-IE" w:eastAsia="ro-RO"/>
        </w:rPr>
      </w:pPr>
    </w:p>
    <w:p w:rsidR="00DA7543" w:rsidRDefault="00DA7543">
      <w:pPr>
        <w:spacing w:after="120" w:line="240" w:lineRule="auto"/>
        <w:jc w:val="both"/>
        <w:rPr>
          <w:rFonts w:ascii="Times New Roman" w:eastAsiaTheme="minorEastAsia" w:hAnsi="Times New Roman" w:cs="Times New Roman"/>
          <w:noProof/>
          <w:color w:val="000000" w:themeColor="text1"/>
          <w:kern w:val="24"/>
          <w:sz w:val="24"/>
          <w:lang w:val="en-IE" w:eastAsia="ro-RO"/>
        </w:rPr>
      </w:pPr>
    </w:p>
    <w:p w:rsidR="00DA7543" w:rsidRDefault="00DA7543">
      <w:pPr>
        <w:spacing w:after="120" w:line="240" w:lineRule="auto"/>
        <w:jc w:val="both"/>
        <w:rPr>
          <w:rFonts w:ascii="Times New Roman" w:eastAsiaTheme="minorEastAsia" w:hAnsi="Times New Roman" w:cs="Times New Roman"/>
          <w:noProof/>
          <w:color w:val="000000" w:themeColor="text1"/>
          <w:kern w:val="24"/>
          <w:sz w:val="24"/>
          <w:lang w:val="en-IE" w:eastAsia="ro-RO"/>
        </w:rPr>
      </w:pPr>
    </w:p>
    <w:p w:rsidR="00DA7543" w:rsidRDefault="00DA7543">
      <w:pPr>
        <w:spacing w:after="120" w:line="240" w:lineRule="auto"/>
        <w:jc w:val="both"/>
        <w:rPr>
          <w:rFonts w:ascii="Times New Roman" w:eastAsiaTheme="minorEastAsia" w:hAnsi="Times New Roman" w:cs="Times New Roman"/>
          <w:noProof/>
          <w:color w:val="000000" w:themeColor="text1"/>
          <w:kern w:val="24"/>
          <w:sz w:val="24"/>
          <w:lang w:val="en-IE" w:eastAsia="ro-RO"/>
        </w:rPr>
      </w:pPr>
    </w:p>
    <w:p w:rsidR="00DA7543" w:rsidRDefault="007C073D">
      <w:pPr>
        <w:pStyle w:val="Caption"/>
        <w:jc w:val="both"/>
        <w:rPr>
          <w:rFonts w:ascii="Times New Roman" w:hAnsi="Times New Roman" w:cs="Times New Roman"/>
          <w:b w:val="0"/>
          <w:noProof/>
          <w:sz w:val="20"/>
          <w:szCs w:val="18"/>
          <w:lang w:val="en-IE"/>
        </w:rPr>
      </w:pPr>
      <w:bookmarkStart w:id="21" w:name="_Ref51411587"/>
      <w:bookmarkStart w:id="22" w:name="_Ref42510957"/>
      <w:r>
        <w:rPr>
          <w:rFonts w:ascii="Times New Roman" w:hAnsi="Times New Roman" w:cs="Times New Roman"/>
          <w:b w:val="0"/>
          <w:noProof/>
          <w:sz w:val="20"/>
          <w:szCs w:val="18"/>
          <w:lang w:val="en-IE"/>
        </w:rPr>
        <w:lastRenderedPageBreak/>
        <w:t xml:space="preserve">Table </w:t>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STYLEREF 3 \s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2.1.2</w:t>
      </w:r>
      <w:r>
        <w:rPr>
          <w:rFonts w:ascii="Times New Roman" w:hAnsi="Times New Roman" w:cs="Times New Roman"/>
          <w:b w:val="0"/>
          <w:noProof/>
          <w:sz w:val="20"/>
          <w:szCs w:val="18"/>
          <w:lang w:val="en-IE"/>
        </w:rPr>
        <w:fldChar w:fldCharType="end"/>
      </w:r>
      <w:r>
        <w:rPr>
          <w:rFonts w:ascii="Times New Roman" w:hAnsi="Times New Roman" w:cs="Times New Roman"/>
          <w:b w:val="0"/>
          <w:noProof/>
          <w:sz w:val="20"/>
          <w:szCs w:val="18"/>
          <w:lang w:val="en-IE"/>
        </w:rPr>
        <w:noBreakHyphen/>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SEQ Table \* ARABIC \s 3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1</w:t>
      </w:r>
      <w:r>
        <w:rPr>
          <w:rFonts w:ascii="Times New Roman" w:hAnsi="Times New Roman" w:cs="Times New Roman"/>
          <w:b w:val="0"/>
          <w:noProof/>
          <w:sz w:val="20"/>
          <w:szCs w:val="18"/>
          <w:lang w:val="en-IE"/>
        </w:rPr>
        <w:fldChar w:fldCharType="end"/>
      </w:r>
      <w:bookmarkEnd w:id="21"/>
      <w:r>
        <w:rPr>
          <w:rFonts w:ascii="Times New Roman" w:hAnsi="Times New Roman" w:cs="Times New Roman"/>
          <w:b w:val="0"/>
          <w:noProof/>
          <w:sz w:val="20"/>
          <w:szCs w:val="18"/>
          <w:lang w:val="en-IE"/>
        </w:rPr>
        <w:t xml:space="preserve"> National AFV-estimates and AFI-targets established in one NIR at the horizon 2020, 2025 and 2030 and their comparison with the NPF situation </w:t>
      </w:r>
      <w:bookmarkEnd w:id="22"/>
    </w:p>
    <w:tbl>
      <w:tblPr>
        <w:tblStyle w:val="TableGrid"/>
        <w:tblW w:w="9553" w:type="dxa"/>
        <w:tblLook w:val="04A0" w:firstRow="1" w:lastRow="0" w:firstColumn="1" w:lastColumn="0" w:noHBand="0" w:noVBand="1"/>
      </w:tblPr>
      <w:tblGrid>
        <w:gridCol w:w="752"/>
        <w:gridCol w:w="752"/>
        <w:gridCol w:w="1041"/>
        <w:gridCol w:w="742"/>
        <w:gridCol w:w="949"/>
        <w:gridCol w:w="824"/>
        <w:gridCol w:w="949"/>
        <w:gridCol w:w="823"/>
        <w:gridCol w:w="949"/>
        <w:gridCol w:w="823"/>
        <w:gridCol w:w="949"/>
      </w:tblGrid>
      <w:tr w:rsidR="00DA7543">
        <w:tc>
          <w:tcPr>
            <w:tcW w:w="1504" w:type="dxa"/>
            <w:gridSpan w:val="2"/>
            <w:vMerge w:val="restart"/>
            <w:tcBorders>
              <w:bottom w:val="single" w:sz="8" w:space="0" w:color="auto"/>
              <w:right w:val="single" w:sz="8" w:space="0" w:color="auto"/>
            </w:tcBorders>
            <w:vAlign w:val="center"/>
          </w:tcPr>
          <w:p w:rsidR="00DA7543" w:rsidRDefault="007C073D">
            <w:pPr>
              <w:rPr>
                <w:rFonts w:asciiTheme="minorHAnsi" w:hAnsiTheme="minorHAnsi" w:cstheme="minorHAnsi"/>
                <w:b/>
                <w:noProof/>
                <w:sz w:val="16"/>
                <w:szCs w:val="16"/>
                <w:lang w:val="en-IE"/>
              </w:rPr>
            </w:pPr>
            <w:r>
              <w:rPr>
                <w:rFonts w:asciiTheme="minorHAnsi" w:hAnsiTheme="minorHAnsi" w:cstheme="minorHAnsi"/>
                <w:b/>
                <w:noProof/>
                <w:sz w:val="16"/>
                <w:szCs w:val="16"/>
                <w:lang w:val="en-IE"/>
              </w:rPr>
              <w:t>Alternative fuel /</w:t>
            </w:r>
            <w:r>
              <w:rPr>
                <w:rFonts w:asciiTheme="minorHAnsi" w:hAnsiTheme="minorHAnsi" w:cstheme="minorHAnsi"/>
                <w:b/>
                <w:noProof/>
                <w:sz w:val="16"/>
                <w:szCs w:val="16"/>
                <w:lang w:val="en-IE"/>
              </w:rPr>
              <w:br/>
              <w:t>transport mode</w:t>
            </w:r>
          </w:p>
        </w:tc>
        <w:tc>
          <w:tcPr>
            <w:tcW w:w="1041" w:type="dxa"/>
            <w:vMerge w:val="restart"/>
            <w:tcBorders>
              <w:top w:val="single" w:sz="4" w:space="0" w:color="auto"/>
              <w:left w:val="single" w:sz="8" w:space="0" w:color="auto"/>
              <w:bottom w:val="single" w:sz="8" w:space="0" w:color="auto"/>
              <w:right w:val="single" w:sz="8" w:space="0" w:color="auto"/>
            </w:tcBorders>
          </w:tcPr>
          <w:p w:rsidR="00DA7543" w:rsidRDefault="00DA7543">
            <w:pPr>
              <w:rPr>
                <w:rFonts w:asciiTheme="minorHAnsi" w:hAnsiTheme="minorHAnsi" w:cstheme="minorHAnsi"/>
                <w:noProof/>
                <w:sz w:val="16"/>
                <w:szCs w:val="16"/>
                <w:lang w:val="en-IE"/>
              </w:rPr>
            </w:pPr>
          </w:p>
        </w:tc>
        <w:tc>
          <w:tcPr>
            <w:tcW w:w="1691" w:type="dxa"/>
            <w:gridSpan w:val="2"/>
            <w:tcBorders>
              <w:left w:val="single" w:sz="8" w:space="0" w:color="auto"/>
              <w:bottom w:val="single" w:sz="4" w:space="0" w:color="auto"/>
              <w:right w:val="single" w:sz="8" w:space="0" w:color="auto"/>
            </w:tcBorders>
            <w:vAlign w:val="center"/>
          </w:tcPr>
          <w:p w:rsidR="00DA7543" w:rsidRDefault="007C073D">
            <w:pPr>
              <w:jc w:val="center"/>
              <w:rPr>
                <w:rFonts w:asciiTheme="minorHAnsi" w:hAnsiTheme="minorHAnsi" w:cstheme="minorHAnsi"/>
                <w:b/>
                <w:noProof/>
                <w:sz w:val="16"/>
                <w:szCs w:val="16"/>
                <w:lang w:val="en-IE"/>
              </w:rPr>
            </w:pPr>
            <w:r>
              <w:rPr>
                <w:rFonts w:asciiTheme="minorHAnsi" w:hAnsiTheme="minorHAnsi" w:cstheme="minorHAnsi"/>
                <w:b/>
                <w:noProof/>
                <w:sz w:val="16"/>
                <w:szCs w:val="16"/>
                <w:lang w:val="en-IE"/>
              </w:rPr>
              <w:t>2018</w:t>
            </w:r>
          </w:p>
        </w:tc>
        <w:tc>
          <w:tcPr>
            <w:tcW w:w="1773" w:type="dxa"/>
            <w:gridSpan w:val="2"/>
            <w:tcBorders>
              <w:left w:val="single" w:sz="8" w:space="0" w:color="auto"/>
              <w:bottom w:val="single" w:sz="4" w:space="0" w:color="auto"/>
              <w:right w:val="single" w:sz="8" w:space="0" w:color="auto"/>
            </w:tcBorders>
            <w:vAlign w:val="center"/>
          </w:tcPr>
          <w:p w:rsidR="00DA7543" w:rsidRDefault="007C073D">
            <w:pPr>
              <w:jc w:val="center"/>
              <w:rPr>
                <w:rFonts w:asciiTheme="minorHAnsi" w:hAnsiTheme="minorHAnsi" w:cstheme="minorHAnsi"/>
                <w:b/>
                <w:noProof/>
                <w:sz w:val="16"/>
                <w:szCs w:val="16"/>
                <w:lang w:val="en-IE"/>
              </w:rPr>
            </w:pPr>
            <w:r>
              <w:rPr>
                <w:rFonts w:asciiTheme="minorHAnsi" w:hAnsiTheme="minorHAnsi" w:cstheme="minorHAnsi"/>
                <w:b/>
                <w:noProof/>
                <w:sz w:val="16"/>
                <w:szCs w:val="16"/>
                <w:lang w:val="en-IE"/>
              </w:rPr>
              <w:t>2020</w:t>
            </w:r>
          </w:p>
        </w:tc>
        <w:tc>
          <w:tcPr>
            <w:tcW w:w="1772" w:type="dxa"/>
            <w:gridSpan w:val="2"/>
            <w:tcBorders>
              <w:left w:val="single" w:sz="8" w:space="0" w:color="auto"/>
              <w:bottom w:val="single" w:sz="4" w:space="0" w:color="auto"/>
              <w:right w:val="single" w:sz="8" w:space="0" w:color="auto"/>
            </w:tcBorders>
            <w:vAlign w:val="center"/>
          </w:tcPr>
          <w:p w:rsidR="00DA7543" w:rsidRDefault="007C073D">
            <w:pPr>
              <w:jc w:val="center"/>
              <w:rPr>
                <w:rFonts w:asciiTheme="minorHAnsi" w:hAnsiTheme="minorHAnsi" w:cstheme="minorHAnsi"/>
                <w:b/>
                <w:noProof/>
                <w:sz w:val="16"/>
                <w:szCs w:val="16"/>
                <w:lang w:val="en-IE"/>
              </w:rPr>
            </w:pPr>
            <w:r>
              <w:rPr>
                <w:rFonts w:asciiTheme="minorHAnsi" w:hAnsiTheme="minorHAnsi" w:cstheme="minorHAnsi"/>
                <w:b/>
                <w:noProof/>
                <w:sz w:val="16"/>
                <w:szCs w:val="16"/>
                <w:lang w:val="en-IE"/>
              </w:rPr>
              <w:t>2025</w:t>
            </w:r>
          </w:p>
        </w:tc>
        <w:tc>
          <w:tcPr>
            <w:tcW w:w="1772" w:type="dxa"/>
            <w:gridSpan w:val="2"/>
            <w:tcBorders>
              <w:left w:val="single" w:sz="8" w:space="0" w:color="auto"/>
              <w:bottom w:val="single" w:sz="4" w:space="0" w:color="auto"/>
              <w:right w:val="single" w:sz="8" w:space="0" w:color="auto"/>
            </w:tcBorders>
            <w:vAlign w:val="center"/>
          </w:tcPr>
          <w:p w:rsidR="00DA7543" w:rsidRDefault="007C073D">
            <w:pPr>
              <w:jc w:val="center"/>
              <w:rPr>
                <w:rFonts w:asciiTheme="minorHAnsi" w:hAnsiTheme="minorHAnsi" w:cstheme="minorHAnsi"/>
                <w:b/>
                <w:noProof/>
                <w:sz w:val="16"/>
                <w:szCs w:val="16"/>
                <w:lang w:val="en-IE"/>
              </w:rPr>
            </w:pPr>
            <w:r>
              <w:rPr>
                <w:rFonts w:asciiTheme="minorHAnsi" w:hAnsiTheme="minorHAnsi" w:cstheme="minorHAnsi"/>
                <w:b/>
                <w:noProof/>
                <w:sz w:val="16"/>
                <w:szCs w:val="16"/>
                <w:lang w:val="en-IE"/>
              </w:rPr>
              <w:t>2030</w:t>
            </w:r>
          </w:p>
        </w:tc>
      </w:tr>
      <w:tr w:rsidR="00DA7543">
        <w:tc>
          <w:tcPr>
            <w:tcW w:w="1504" w:type="dxa"/>
            <w:gridSpan w:val="2"/>
            <w:vMerge/>
            <w:tcBorders>
              <w:top w:val="single" w:sz="12" w:space="0" w:color="auto"/>
              <w:bottom w:val="single" w:sz="8" w:space="0" w:color="auto"/>
              <w:right w:val="single" w:sz="8" w:space="0" w:color="auto"/>
            </w:tcBorders>
          </w:tcPr>
          <w:p w:rsidR="00DA7543" w:rsidRDefault="00DA7543">
            <w:pPr>
              <w:rPr>
                <w:rFonts w:asciiTheme="minorHAnsi" w:hAnsiTheme="minorHAnsi" w:cstheme="minorHAnsi"/>
                <w:noProof/>
                <w:sz w:val="16"/>
                <w:szCs w:val="16"/>
                <w:lang w:val="en-IE"/>
              </w:rPr>
            </w:pPr>
          </w:p>
        </w:tc>
        <w:tc>
          <w:tcPr>
            <w:tcW w:w="1041" w:type="dxa"/>
            <w:vMerge/>
            <w:tcBorders>
              <w:top w:val="single" w:sz="12" w:space="0" w:color="auto"/>
              <w:left w:val="single" w:sz="8" w:space="0" w:color="auto"/>
              <w:bottom w:val="single" w:sz="8" w:space="0" w:color="auto"/>
              <w:right w:val="single" w:sz="8" w:space="0" w:color="auto"/>
            </w:tcBorders>
          </w:tcPr>
          <w:p w:rsidR="00DA7543" w:rsidRDefault="00DA7543">
            <w:pPr>
              <w:rPr>
                <w:rFonts w:asciiTheme="minorHAnsi" w:hAnsiTheme="minorHAnsi" w:cstheme="minorHAnsi"/>
                <w:noProof/>
                <w:sz w:val="16"/>
                <w:szCs w:val="16"/>
                <w:lang w:val="en-IE"/>
              </w:rPr>
            </w:pPr>
          </w:p>
        </w:tc>
        <w:tc>
          <w:tcPr>
            <w:tcW w:w="742" w:type="dxa"/>
            <w:tcBorders>
              <w:left w:val="single" w:sz="8" w:space="0" w:color="auto"/>
              <w:bottom w:val="single" w:sz="8" w:space="0" w:color="auto"/>
            </w:tcBorders>
            <w:vAlign w:val="center"/>
          </w:tcPr>
          <w:p w:rsidR="00DA7543" w:rsidRDefault="007C073D">
            <w:pPr>
              <w:jc w:val="center"/>
              <w:rPr>
                <w:rFonts w:asciiTheme="minorHAnsi" w:hAnsiTheme="minorHAnsi" w:cstheme="minorHAnsi"/>
                <w:b/>
                <w:noProof/>
                <w:sz w:val="16"/>
                <w:szCs w:val="16"/>
                <w:lang w:val="en-IE"/>
              </w:rPr>
            </w:pPr>
            <w:r>
              <w:rPr>
                <w:rFonts w:asciiTheme="minorHAnsi" w:hAnsiTheme="minorHAnsi" w:cstheme="minorHAnsi"/>
                <w:b/>
                <w:noProof/>
                <w:sz w:val="16"/>
                <w:szCs w:val="16"/>
                <w:lang w:val="en-IE"/>
              </w:rPr>
              <w:t>AFV</w:t>
            </w:r>
          </w:p>
        </w:tc>
        <w:tc>
          <w:tcPr>
            <w:tcW w:w="949" w:type="dxa"/>
            <w:tcBorders>
              <w:bottom w:val="single" w:sz="8" w:space="0" w:color="auto"/>
              <w:right w:val="single" w:sz="8" w:space="0" w:color="auto"/>
            </w:tcBorders>
            <w:vAlign w:val="center"/>
          </w:tcPr>
          <w:p w:rsidR="00DA7543" w:rsidRDefault="007C073D">
            <w:pPr>
              <w:jc w:val="center"/>
              <w:rPr>
                <w:rFonts w:asciiTheme="minorHAnsi" w:hAnsiTheme="minorHAnsi" w:cstheme="minorHAnsi"/>
                <w:b/>
                <w:noProof/>
                <w:sz w:val="16"/>
                <w:szCs w:val="16"/>
                <w:lang w:val="en-IE"/>
              </w:rPr>
            </w:pPr>
            <w:r>
              <w:rPr>
                <w:rFonts w:asciiTheme="minorHAnsi" w:hAnsiTheme="minorHAnsi" w:cstheme="minorHAnsi"/>
                <w:b/>
                <w:noProof/>
                <w:sz w:val="16"/>
                <w:szCs w:val="16"/>
                <w:lang w:val="en-IE"/>
              </w:rPr>
              <w:t>AFI public</w:t>
            </w:r>
          </w:p>
        </w:tc>
        <w:tc>
          <w:tcPr>
            <w:tcW w:w="824" w:type="dxa"/>
            <w:tcBorders>
              <w:left w:val="single" w:sz="8" w:space="0" w:color="auto"/>
              <w:bottom w:val="single" w:sz="8" w:space="0" w:color="auto"/>
            </w:tcBorders>
            <w:vAlign w:val="center"/>
          </w:tcPr>
          <w:p w:rsidR="00DA7543" w:rsidRDefault="007C073D">
            <w:pPr>
              <w:jc w:val="center"/>
              <w:rPr>
                <w:rFonts w:asciiTheme="minorHAnsi" w:hAnsiTheme="minorHAnsi" w:cstheme="minorHAnsi"/>
                <w:b/>
                <w:noProof/>
                <w:sz w:val="16"/>
                <w:szCs w:val="16"/>
                <w:lang w:val="en-IE"/>
              </w:rPr>
            </w:pPr>
            <w:r>
              <w:rPr>
                <w:rFonts w:asciiTheme="minorHAnsi" w:hAnsiTheme="minorHAnsi" w:cstheme="minorHAnsi"/>
                <w:b/>
                <w:noProof/>
                <w:sz w:val="16"/>
                <w:szCs w:val="16"/>
                <w:lang w:val="en-IE"/>
              </w:rPr>
              <w:t>AFV</w:t>
            </w:r>
          </w:p>
        </w:tc>
        <w:tc>
          <w:tcPr>
            <w:tcW w:w="949" w:type="dxa"/>
            <w:tcBorders>
              <w:bottom w:val="single" w:sz="8" w:space="0" w:color="auto"/>
              <w:right w:val="single" w:sz="8" w:space="0" w:color="auto"/>
            </w:tcBorders>
            <w:vAlign w:val="center"/>
          </w:tcPr>
          <w:p w:rsidR="00DA7543" w:rsidRDefault="007C073D">
            <w:pPr>
              <w:jc w:val="center"/>
              <w:rPr>
                <w:rFonts w:asciiTheme="minorHAnsi" w:hAnsiTheme="minorHAnsi" w:cstheme="minorHAnsi"/>
                <w:b/>
                <w:noProof/>
                <w:sz w:val="16"/>
                <w:szCs w:val="16"/>
                <w:lang w:val="en-IE"/>
              </w:rPr>
            </w:pPr>
            <w:r>
              <w:rPr>
                <w:rFonts w:asciiTheme="minorHAnsi" w:hAnsiTheme="minorHAnsi" w:cstheme="minorHAnsi"/>
                <w:b/>
                <w:noProof/>
                <w:sz w:val="16"/>
                <w:szCs w:val="16"/>
                <w:lang w:val="en-IE"/>
              </w:rPr>
              <w:t>AFI public</w:t>
            </w:r>
          </w:p>
        </w:tc>
        <w:tc>
          <w:tcPr>
            <w:tcW w:w="823" w:type="dxa"/>
            <w:tcBorders>
              <w:left w:val="single" w:sz="8" w:space="0" w:color="auto"/>
              <w:bottom w:val="single" w:sz="8" w:space="0" w:color="auto"/>
            </w:tcBorders>
            <w:vAlign w:val="center"/>
          </w:tcPr>
          <w:p w:rsidR="00DA7543" w:rsidRDefault="007C073D">
            <w:pPr>
              <w:jc w:val="center"/>
              <w:rPr>
                <w:rFonts w:asciiTheme="minorHAnsi" w:hAnsiTheme="minorHAnsi" w:cstheme="minorHAnsi"/>
                <w:b/>
                <w:noProof/>
                <w:sz w:val="16"/>
                <w:szCs w:val="16"/>
                <w:lang w:val="en-IE"/>
              </w:rPr>
            </w:pPr>
            <w:r>
              <w:rPr>
                <w:rFonts w:asciiTheme="minorHAnsi" w:hAnsiTheme="minorHAnsi" w:cstheme="minorHAnsi"/>
                <w:b/>
                <w:noProof/>
                <w:sz w:val="16"/>
                <w:szCs w:val="16"/>
                <w:lang w:val="en-IE"/>
              </w:rPr>
              <w:t>AFV</w:t>
            </w:r>
          </w:p>
        </w:tc>
        <w:tc>
          <w:tcPr>
            <w:tcW w:w="949" w:type="dxa"/>
            <w:tcBorders>
              <w:bottom w:val="single" w:sz="8" w:space="0" w:color="auto"/>
              <w:right w:val="single" w:sz="8" w:space="0" w:color="auto"/>
            </w:tcBorders>
            <w:vAlign w:val="center"/>
          </w:tcPr>
          <w:p w:rsidR="00DA7543" w:rsidRDefault="007C073D">
            <w:pPr>
              <w:jc w:val="center"/>
              <w:rPr>
                <w:rFonts w:asciiTheme="minorHAnsi" w:hAnsiTheme="minorHAnsi" w:cstheme="minorHAnsi"/>
                <w:b/>
                <w:noProof/>
                <w:sz w:val="16"/>
                <w:szCs w:val="16"/>
                <w:lang w:val="en-IE"/>
              </w:rPr>
            </w:pPr>
            <w:r>
              <w:rPr>
                <w:rFonts w:asciiTheme="minorHAnsi" w:hAnsiTheme="minorHAnsi" w:cstheme="minorHAnsi"/>
                <w:b/>
                <w:noProof/>
                <w:sz w:val="16"/>
                <w:szCs w:val="16"/>
                <w:lang w:val="en-IE"/>
              </w:rPr>
              <w:t>AFI public</w:t>
            </w:r>
          </w:p>
        </w:tc>
        <w:tc>
          <w:tcPr>
            <w:tcW w:w="823" w:type="dxa"/>
            <w:tcBorders>
              <w:left w:val="single" w:sz="8" w:space="0" w:color="auto"/>
              <w:bottom w:val="single" w:sz="8" w:space="0" w:color="auto"/>
            </w:tcBorders>
            <w:vAlign w:val="center"/>
          </w:tcPr>
          <w:p w:rsidR="00DA7543" w:rsidRDefault="007C073D">
            <w:pPr>
              <w:jc w:val="center"/>
              <w:rPr>
                <w:rFonts w:asciiTheme="minorHAnsi" w:hAnsiTheme="minorHAnsi" w:cstheme="minorHAnsi"/>
                <w:b/>
                <w:noProof/>
                <w:sz w:val="16"/>
                <w:szCs w:val="16"/>
                <w:lang w:val="en-IE"/>
              </w:rPr>
            </w:pPr>
            <w:r>
              <w:rPr>
                <w:rFonts w:asciiTheme="minorHAnsi" w:hAnsiTheme="minorHAnsi" w:cstheme="minorHAnsi"/>
                <w:b/>
                <w:noProof/>
                <w:sz w:val="16"/>
                <w:szCs w:val="16"/>
                <w:lang w:val="en-IE"/>
              </w:rPr>
              <w:t>AFV</w:t>
            </w:r>
          </w:p>
        </w:tc>
        <w:tc>
          <w:tcPr>
            <w:tcW w:w="949" w:type="dxa"/>
            <w:tcBorders>
              <w:bottom w:val="single" w:sz="8" w:space="0" w:color="auto"/>
              <w:right w:val="single" w:sz="8" w:space="0" w:color="auto"/>
            </w:tcBorders>
            <w:vAlign w:val="center"/>
          </w:tcPr>
          <w:p w:rsidR="00DA7543" w:rsidRDefault="007C073D">
            <w:pPr>
              <w:jc w:val="center"/>
              <w:rPr>
                <w:rFonts w:asciiTheme="minorHAnsi" w:hAnsiTheme="minorHAnsi" w:cstheme="minorHAnsi"/>
                <w:b/>
                <w:noProof/>
                <w:sz w:val="16"/>
                <w:szCs w:val="16"/>
                <w:lang w:val="en-IE"/>
              </w:rPr>
            </w:pPr>
            <w:r>
              <w:rPr>
                <w:rFonts w:asciiTheme="minorHAnsi" w:hAnsiTheme="minorHAnsi" w:cstheme="minorHAnsi"/>
                <w:b/>
                <w:noProof/>
                <w:sz w:val="16"/>
                <w:szCs w:val="16"/>
                <w:lang w:val="en-IE"/>
              </w:rPr>
              <w:t xml:space="preserve">AFI </w:t>
            </w:r>
            <w:r>
              <w:rPr>
                <w:rFonts w:asciiTheme="minorHAnsi" w:hAnsiTheme="minorHAnsi" w:cstheme="minorHAnsi"/>
                <w:b/>
                <w:noProof/>
                <w:sz w:val="16"/>
                <w:szCs w:val="16"/>
                <w:lang w:val="en-IE"/>
              </w:rPr>
              <w:t>public</w:t>
            </w:r>
          </w:p>
        </w:tc>
      </w:tr>
      <w:tr w:rsidR="00DA7543">
        <w:tc>
          <w:tcPr>
            <w:tcW w:w="1504" w:type="dxa"/>
            <w:gridSpan w:val="2"/>
            <w:vMerge w:val="restart"/>
            <w:tcBorders>
              <w:top w:val="single" w:sz="8" w:space="0" w:color="auto"/>
              <w:bottom w:val="single" w:sz="8" w:space="0" w:color="auto"/>
              <w:right w:val="single" w:sz="8" w:space="0" w:color="auto"/>
            </w:tcBorders>
            <w:vAlign w:val="center"/>
          </w:tcPr>
          <w:p w:rsidR="00DA7543" w:rsidRDefault="007C073D">
            <w:pPr>
              <w:rPr>
                <w:rFonts w:asciiTheme="minorHAnsi" w:hAnsiTheme="minorHAnsi" w:cstheme="minorHAnsi"/>
                <w:b/>
                <w:noProof/>
                <w:sz w:val="16"/>
                <w:szCs w:val="16"/>
                <w:lang w:val="en-IE"/>
              </w:rPr>
            </w:pPr>
            <w:r>
              <w:rPr>
                <w:rFonts w:asciiTheme="minorHAnsi" w:hAnsiTheme="minorHAnsi" w:cstheme="minorHAnsi"/>
                <w:b/>
                <w:noProof/>
                <w:sz w:val="16"/>
                <w:szCs w:val="16"/>
                <w:lang w:val="en-IE"/>
              </w:rPr>
              <w:t>Electricity / road</w:t>
            </w:r>
          </w:p>
        </w:tc>
        <w:tc>
          <w:tcPr>
            <w:tcW w:w="1041" w:type="dxa"/>
            <w:tcBorders>
              <w:top w:val="single" w:sz="8" w:space="0" w:color="auto"/>
              <w:left w:val="single" w:sz="8" w:space="0" w:color="auto"/>
              <w:bottom w:val="single" w:sz="4"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NIR</w:t>
            </w:r>
          </w:p>
        </w:tc>
        <w:tc>
          <w:tcPr>
            <w:tcW w:w="742" w:type="dxa"/>
            <w:tcBorders>
              <w:top w:val="single" w:sz="8" w:space="0" w:color="auto"/>
              <w:lef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68,728</w:t>
            </w:r>
          </w:p>
        </w:tc>
        <w:tc>
          <w:tcPr>
            <w:tcW w:w="949" w:type="dxa"/>
            <w:tcBorders>
              <w:top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6,700</w:t>
            </w:r>
          </w:p>
        </w:tc>
        <w:tc>
          <w:tcPr>
            <w:tcW w:w="824" w:type="dxa"/>
            <w:tcBorders>
              <w:top w:val="single" w:sz="8" w:space="0" w:color="auto"/>
              <w:lef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142,211</w:t>
            </w:r>
          </w:p>
        </w:tc>
        <w:tc>
          <w:tcPr>
            <w:tcW w:w="949" w:type="dxa"/>
            <w:tcBorders>
              <w:top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9,000</w:t>
            </w:r>
          </w:p>
        </w:tc>
        <w:tc>
          <w:tcPr>
            <w:tcW w:w="823" w:type="dxa"/>
            <w:tcBorders>
              <w:top w:val="single" w:sz="8" w:space="0" w:color="auto"/>
              <w:lef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370,617</w:t>
            </w:r>
          </w:p>
        </w:tc>
        <w:tc>
          <w:tcPr>
            <w:tcW w:w="949" w:type="dxa"/>
            <w:tcBorders>
              <w:top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823" w:type="dxa"/>
            <w:tcBorders>
              <w:top w:val="single" w:sz="8" w:space="0" w:color="auto"/>
              <w:lef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644,148</w:t>
            </w:r>
          </w:p>
        </w:tc>
        <w:tc>
          <w:tcPr>
            <w:tcW w:w="949" w:type="dxa"/>
            <w:tcBorders>
              <w:top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r>
      <w:tr w:rsidR="00DA7543">
        <w:tc>
          <w:tcPr>
            <w:tcW w:w="1504" w:type="dxa"/>
            <w:gridSpan w:val="2"/>
            <w:vMerge/>
            <w:tcBorders>
              <w:bottom w:val="single" w:sz="8" w:space="0" w:color="auto"/>
              <w:right w:val="single" w:sz="8" w:space="0" w:color="auto"/>
            </w:tcBorders>
            <w:vAlign w:val="center"/>
          </w:tcPr>
          <w:p w:rsidR="00DA7543" w:rsidRDefault="00DA7543">
            <w:pPr>
              <w:rPr>
                <w:rFonts w:asciiTheme="minorHAnsi" w:hAnsiTheme="minorHAnsi" w:cstheme="minorHAnsi"/>
                <w:noProof/>
                <w:sz w:val="16"/>
                <w:szCs w:val="16"/>
                <w:lang w:val="en-IE"/>
              </w:rPr>
            </w:pPr>
          </w:p>
        </w:tc>
        <w:tc>
          <w:tcPr>
            <w:tcW w:w="1041" w:type="dxa"/>
            <w:tcBorders>
              <w:top w:val="single" w:sz="4" w:space="0" w:color="auto"/>
              <w:left w:val="single" w:sz="8" w:space="0" w:color="auto"/>
              <w:bottom w:val="single" w:sz="4"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Change NIR vs NPF [%]</w:t>
            </w:r>
          </w:p>
        </w:tc>
        <w:tc>
          <w:tcPr>
            <w:tcW w:w="742" w:type="dxa"/>
            <w:tcBorders>
              <w:left w:val="single" w:sz="8" w:space="0" w:color="auto"/>
              <w:bottom w:val="single" w:sz="4"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4" w:space="0" w:color="auto"/>
              <w:right w:val="single" w:sz="8"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824" w:type="dxa"/>
            <w:tcBorders>
              <w:left w:val="single" w:sz="8" w:space="0" w:color="auto"/>
              <w:bottom w:val="single" w:sz="4"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-10.95%</w:t>
            </w:r>
          </w:p>
        </w:tc>
        <w:tc>
          <w:tcPr>
            <w:tcW w:w="949" w:type="dxa"/>
            <w:tcBorders>
              <w:bottom w:val="single" w:sz="4" w:space="0" w:color="auto"/>
              <w:right w:val="single" w:sz="8"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0.00%</w:t>
            </w:r>
          </w:p>
        </w:tc>
        <w:tc>
          <w:tcPr>
            <w:tcW w:w="823" w:type="dxa"/>
            <w:tcBorders>
              <w:left w:val="single" w:sz="8" w:space="0" w:color="auto"/>
              <w:bottom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4" w:space="0" w:color="auto"/>
              <w:right w:val="single" w:sz="8" w:space="0" w:color="auto"/>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left w:val="single" w:sz="8" w:space="0" w:color="auto"/>
              <w:bottom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4" w:space="0" w:color="auto"/>
              <w:right w:val="single" w:sz="8" w:space="0" w:color="auto"/>
            </w:tcBorders>
            <w:vAlign w:val="center"/>
          </w:tcPr>
          <w:p w:rsidR="00DA7543" w:rsidRDefault="00DA7543">
            <w:pPr>
              <w:jc w:val="center"/>
              <w:rPr>
                <w:rFonts w:asciiTheme="minorHAnsi" w:hAnsiTheme="minorHAnsi" w:cstheme="minorHAnsi"/>
                <w:noProof/>
                <w:sz w:val="16"/>
                <w:szCs w:val="16"/>
                <w:lang w:val="en-IE"/>
              </w:rPr>
            </w:pPr>
          </w:p>
        </w:tc>
      </w:tr>
      <w:tr w:rsidR="00DA7543">
        <w:tc>
          <w:tcPr>
            <w:tcW w:w="1504" w:type="dxa"/>
            <w:gridSpan w:val="2"/>
            <w:vMerge/>
            <w:tcBorders>
              <w:bottom w:val="single" w:sz="8" w:space="0" w:color="auto"/>
              <w:right w:val="single" w:sz="8" w:space="0" w:color="auto"/>
            </w:tcBorders>
          </w:tcPr>
          <w:p w:rsidR="00DA7543" w:rsidRDefault="00DA7543">
            <w:pPr>
              <w:rPr>
                <w:rFonts w:asciiTheme="minorHAnsi" w:hAnsiTheme="minorHAnsi" w:cstheme="minorHAnsi"/>
                <w:noProof/>
                <w:sz w:val="16"/>
                <w:szCs w:val="16"/>
                <w:lang w:val="en-IE"/>
              </w:rPr>
            </w:pPr>
          </w:p>
        </w:tc>
        <w:tc>
          <w:tcPr>
            <w:tcW w:w="1041" w:type="dxa"/>
            <w:tcBorders>
              <w:top w:val="single" w:sz="4" w:space="0" w:color="auto"/>
              <w:left w:val="single" w:sz="8" w:space="0" w:color="auto"/>
              <w:bottom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Attainment [%]</w:t>
            </w:r>
          </w:p>
        </w:tc>
        <w:tc>
          <w:tcPr>
            <w:tcW w:w="742" w:type="dxa"/>
            <w:tcBorders>
              <w:left w:val="single" w:sz="8" w:space="0" w:color="auto"/>
              <w:bottom w:val="single" w:sz="8"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8" w:space="0" w:color="auto"/>
              <w:right w:val="single" w:sz="8"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824" w:type="dxa"/>
            <w:tcBorders>
              <w:left w:val="single" w:sz="8" w:space="0" w:color="auto"/>
              <w:bottom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48.33%</w:t>
            </w:r>
          </w:p>
        </w:tc>
        <w:tc>
          <w:tcPr>
            <w:tcW w:w="949" w:type="dxa"/>
            <w:tcBorders>
              <w:bottom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74.44%</w:t>
            </w:r>
          </w:p>
        </w:tc>
        <w:tc>
          <w:tcPr>
            <w:tcW w:w="823" w:type="dxa"/>
            <w:tcBorders>
              <w:left w:val="single" w:sz="8" w:space="0" w:color="auto"/>
              <w:bottom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18.54%</w:t>
            </w:r>
          </w:p>
        </w:tc>
        <w:tc>
          <w:tcPr>
            <w:tcW w:w="949" w:type="dxa"/>
            <w:tcBorders>
              <w:bottom w:val="single" w:sz="8" w:space="0" w:color="auto"/>
              <w:right w:val="single" w:sz="8" w:space="0" w:color="auto"/>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left w:val="single" w:sz="8" w:space="0" w:color="auto"/>
              <w:bottom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10.67%</w:t>
            </w:r>
          </w:p>
        </w:tc>
        <w:tc>
          <w:tcPr>
            <w:tcW w:w="949" w:type="dxa"/>
            <w:tcBorders>
              <w:bottom w:val="single" w:sz="8" w:space="0" w:color="auto"/>
              <w:right w:val="single" w:sz="8" w:space="0" w:color="auto"/>
            </w:tcBorders>
            <w:vAlign w:val="center"/>
          </w:tcPr>
          <w:p w:rsidR="00DA7543" w:rsidRDefault="00DA7543">
            <w:pPr>
              <w:jc w:val="center"/>
              <w:rPr>
                <w:rFonts w:asciiTheme="minorHAnsi" w:hAnsiTheme="minorHAnsi" w:cstheme="minorHAnsi"/>
                <w:noProof/>
                <w:sz w:val="16"/>
                <w:szCs w:val="16"/>
                <w:lang w:val="en-IE"/>
              </w:rPr>
            </w:pPr>
          </w:p>
        </w:tc>
      </w:tr>
      <w:tr w:rsidR="00DA7543">
        <w:tc>
          <w:tcPr>
            <w:tcW w:w="1504" w:type="dxa"/>
            <w:gridSpan w:val="2"/>
            <w:vMerge w:val="restart"/>
            <w:tcBorders>
              <w:top w:val="single" w:sz="8" w:space="0" w:color="auto"/>
              <w:bottom w:val="single" w:sz="8" w:space="0" w:color="auto"/>
              <w:right w:val="single" w:sz="8" w:space="0" w:color="auto"/>
            </w:tcBorders>
            <w:vAlign w:val="center"/>
          </w:tcPr>
          <w:p w:rsidR="00DA7543" w:rsidRDefault="007C073D">
            <w:pPr>
              <w:rPr>
                <w:rFonts w:asciiTheme="minorHAnsi" w:hAnsiTheme="minorHAnsi" w:cstheme="minorHAnsi"/>
                <w:b/>
                <w:noProof/>
                <w:sz w:val="16"/>
                <w:szCs w:val="16"/>
                <w:lang w:val="en-IE"/>
              </w:rPr>
            </w:pPr>
            <w:r>
              <w:rPr>
                <w:rFonts w:asciiTheme="minorHAnsi" w:hAnsiTheme="minorHAnsi" w:cstheme="minorHAnsi"/>
                <w:b/>
                <w:noProof/>
                <w:sz w:val="16"/>
                <w:szCs w:val="16"/>
                <w:lang w:val="en-IE"/>
              </w:rPr>
              <w:t>CNG / road</w:t>
            </w:r>
          </w:p>
        </w:tc>
        <w:tc>
          <w:tcPr>
            <w:tcW w:w="1041" w:type="dxa"/>
            <w:tcBorders>
              <w:top w:val="single" w:sz="8" w:space="0" w:color="auto"/>
              <w:left w:val="single" w:sz="8" w:space="0" w:color="auto"/>
              <w:bottom w:val="single" w:sz="4"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NIR</w:t>
            </w:r>
          </w:p>
        </w:tc>
        <w:tc>
          <w:tcPr>
            <w:tcW w:w="742" w:type="dxa"/>
            <w:tcBorders>
              <w:top w:val="single" w:sz="8" w:space="0" w:color="auto"/>
              <w:lef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42,463</w:t>
            </w:r>
          </w:p>
        </w:tc>
        <w:tc>
          <w:tcPr>
            <w:tcW w:w="949" w:type="dxa"/>
            <w:tcBorders>
              <w:top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185</w:t>
            </w:r>
          </w:p>
        </w:tc>
        <w:tc>
          <w:tcPr>
            <w:tcW w:w="824" w:type="dxa"/>
            <w:tcBorders>
              <w:top w:val="single" w:sz="8" w:space="0" w:color="auto"/>
              <w:lef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42,351</w:t>
            </w:r>
          </w:p>
        </w:tc>
        <w:tc>
          <w:tcPr>
            <w:tcW w:w="949" w:type="dxa"/>
            <w:tcBorders>
              <w:top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230</w:t>
            </w:r>
          </w:p>
        </w:tc>
        <w:tc>
          <w:tcPr>
            <w:tcW w:w="823" w:type="dxa"/>
            <w:tcBorders>
              <w:top w:val="single" w:sz="8" w:space="0" w:color="auto"/>
              <w:lef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54,268</w:t>
            </w:r>
          </w:p>
        </w:tc>
        <w:tc>
          <w:tcPr>
            <w:tcW w:w="949" w:type="dxa"/>
            <w:tcBorders>
              <w:top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 230</w:t>
            </w:r>
          </w:p>
        </w:tc>
        <w:tc>
          <w:tcPr>
            <w:tcW w:w="823" w:type="dxa"/>
            <w:tcBorders>
              <w:top w:val="single" w:sz="8" w:space="0" w:color="auto"/>
              <w:lef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76,898</w:t>
            </w:r>
          </w:p>
        </w:tc>
        <w:tc>
          <w:tcPr>
            <w:tcW w:w="949" w:type="dxa"/>
            <w:tcBorders>
              <w:top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r>
      <w:tr w:rsidR="00DA7543">
        <w:tc>
          <w:tcPr>
            <w:tcW w:w="1504" w:type="dxa"/>
            <w:gridSpan w:val="2"/>
            <w:vMerge/>
            <w:tcBorders>
              <w:bottom w:val="single" w:sz="8" w:space="0" w:color="auto"/>
              <w:right w:val="single" w:sz="8" w:space="0" w:color="auto"/>
            </w:tcBorders>
          </w:tcPr>
          <w:p w:rsidR="00DA7543" w:rsidRDefault="00DA7543">
            <w:pPr>
              <w:rPr>
                <w:rFonts w:asciiTheme="minorHAnsi" w:hAnsiTheme="minorHAnsi" w:cstheme="minorHAnsi"/>
                <w:noProof/>
                <w:sz w:val="16"/>
                <w:szCs w:val="16"/>
                <w:lang w:val="en-IE"/>
              </w:rPr>
            </w:pPr>
          </w:p>
        </w:tc>
        <w:tc>
          <w:tcPr>
            <w:tcW w:w="1041" w:type="dxa"/>
            <w:tcBorders>
              <w:top w:val="single" w:sz="4" w:space="0" w:color="auto"/>
              <w:left w:val="single" w:sz="8" w:space="0" w:color="auto"/>
              <w:bottom w:val="single" w:sz="4"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Change NIR vs NPF [%]</w:t>
            </w:r>
          </w:p>
        </w:tc>
        <w:tc>
          <w:tcPr>
            <w:tcW w:w="742" w:type="dxa"/>
            <w:tcBorders>
              <w:left w:val="single" w:sz="8" w:space="0" w:color="auto"/>
              <w:bottom w:val="single" w:sz="4"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4" w:space="0" w:color="auto"/>
              <w:right w:val="single" w:sz="8"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824" w:type="dxa"/>
            <w:tcBorders>
              <w:left w:val="single" w:sz="8" w:space="0" w:color="auto"/>
              <w:bottom w:val="single" w:sz="4"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-10.16%</w:t>
            </w:r>
          </w:p>
        </w:tc>
        <w:tc>
          <w:tcPr>
            <w:tcW w:w="949" w:type="dxa"/>
            <w:tcBorders>
              <w:bottom w:val="single" w:sz="4" w:space="0" w:color="auto"/>
              <w:right w:val="single" w:sz="8"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0.00%</w:t>
            </w:r>
          </w:p>
        </w:tc>
        <w:tc>
          <w:tcPr>
            <w:tcW w:w="823" w:type="dxa"/>
            <w:tcBorders>
              <w:left w:val="single" w:sz="8" w:space="0" w:color="auto"/>
              <w:bottom w:val="single" w:sz="4" w:space="0" w:color="auto"/>
            </w:tcBorders>
            <w:shd w:val="clear" w:color="auto" w:fill="70AD47" w:themeFill="accent6"/>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15.12%</w:t>
            </w:r>
          </w:p>
        </w:tc>
        <w:tc>
          <w:tcPr>
            <w:tcW w:w="949" w:type="dxa"/>
            <w:tcBorders>
              <w:bottom w:val="single" w:sz="4" w:space="0" w:color="auto"/>
              <w:right w:val="single" w:sz="8"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0.00%</w:t>
            </w:r>
          </w:p>
        </w:tc>
        <w:tc>
          <w:tcPr>
            <w:tcW w:w="823" w:type="dxa"/>
            <w:tcBorders>
              <w:left w:val="single" w:sz="8" w:space="0" w:color="auto"/>
              <w:bottom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4" w:space="0" w:color="auto"/>
              <w:right w:val="single" w:sz="8" w:space="0" w:color="auto"/>
            </w:tcBorders>
            <w:vAlign w:val="center"/>
          </w:tcPr>
          <w:p w:rsidR="00DA7543" w:rsidRDefault="00DA7543">
            <w:pPr>
              <w:jc w:val="center"/>
              <w:rPr>
                <w:rFonts w:asciiTheme="minorHAnsi" w:hAnsiTheme="minorHAnsi" w:cstheme="minorHAnsi"/>
                <w:noProof/>
                <w:sz w:val="16"/>
                <w:szCs w:val="16"/>
                <w:lang w:val="en-IE"/>
              </w:rPr>
            </w:pPr>
          </w:p>
        </w:tc>
      </w:tr>
      <w:tr w:rsidR="00DA7543">
        <w:tc>
          <w:tcPr>
            <w:tcW w:w="1504" w:type="dxa"/>
            <w:gridSpan w:val="2"/>
            <w:vMerge/>
            <w:tcBorders>
              <w:bottom w:val="single" w:sz="8" w:space="0" w:color="auto"/>
              <w:right w:val="single" w:sz="8" w:space="0" w:color="auto"/>
            </w:tcBorders>
          </w:tcPr>
          <w:p w:rsidR="00DA7543" w:rsidRDefault="00DA7543">
            <w:pPr>
              <w:rPr>
                <w:rFonts w:asciiTheme="minorHAnsi" w:hAnsiTheme="minorHAnsi" w:cstheme="minorHAnsi"/>
                <w:noProof/>
                <w:sz w:val="16"/>
                <w:szCs w:val="16"/>
                <w:lang w:val="en-IE"/>
              </w:rPr>
            </w:pPr>
          </w:p>
        </w:tc>
        <w:tc>
          <w:tcPr>
            <w:tcW w:w="1041" w:type="dxa"/>
            <w:tcBorders>
              <w:top w:val="single" w:sz="4" w:space="0" w:color="auto"/>
              <w:left w:val="single" w:sz="8" w:space="0" w:color="auto"/>
              <w:bottom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Attainment [%]</w:t>
            </w:r>
          </w:p>
        </w:tc>
        <w:tc>
          <w:tcPr>
            <w:tcW w:w="742" w:type="dxa"/>
            <w:tcBorders>
              <w:left w:val="single" w:sz="8" w:space="0" w:color="auto"/>
              <w:bottom w:val="single" w:sz="8"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8" w:space="0" w:color="auto"/>
              <w:right w:val="single" w:sz="8"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824" w:type="dxa"/>
            <w:tcBorders>
              <w:left w:val="single" w:sz="8" w:space="0" w:color="auto"/>
              <w:bottom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100.26%</w:t>
            </w:r>
          </w:p>
        </w:tc>
        <w:tc>
          <w:tcPr>
            <w:tcW w:w="949" w:type="dxa"/>
            <w:tcBorders>
              <w:bottom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80.43%</w:t>
            </w:r>
          </w:p>
        </w:tc>
        <w:tc>
          <w:tcPr>
            <w:tcW w:w="823" w:type="dxa"/>
            <w:tcBorders>
              <w:left w:val="single" w:sz="8" w:space="0" w:color="auto"/>
              <w:bottom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78.25%</w:t>
            </w:r>
          </w:p>
        </w:tc>
        <w:tc>
          <w:tcPr>
            <w:tcW w:w="949" w:type="dxa"/>
            <w:tcBorders>
              <w:bottom w:val="single" w:sz="8" w:space="0" w:color="auto"/>
              <w:right w:val="single" w:sz="8" w:space="0" w:color="auto"/>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left w:val="single" w:sz="8" w:space="0" w:color="auto"/>
              <w:bottom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55.22%</w:t>
            </w:r>
          </w:p>
        </w:tc>
        <w:tc>
          <w:tcPr>
            <w:tcW w:w="949" w:type="dxa"/>
            <w:tcBorders>
              <w:bottom w:val="single" w:sz="8" w:space="0" w:color="auto"/>
              <w:right w:val="single" w:sz="8" w:space="0" w:color="auto"/>
            </w:tcBorders>
            <w:vAlign w:val="center"/>
          </w:tcPr>
          <w:p w:rsidR="00DA7543" w:rsidRDefault="00DA7543">
            <w:pPr>
              <w:jc w:val="center"/>
              <w:rPr>
                <w:rFonts w:asciiTheme="minorHAnsi" w:hAnsiTheme="minorHAnsi" w:cstheme="minorHAnsi"/>
                <w:noProof/>
                <w:sz w:val="16"/>
                <w:szCs w:val="16"/>
                <w:lang w:val="en-IE"/>
              </w:rPr>
            </w:pPr>
          </w:p>
        </w:tc>
      </w:tr>
      <w:tr w:rsidR="00DA7543">
        <w:tc>
          <w:tcPr>
            <w:tcW w:w="1504" w:type="dxa"/>
            <w:gridSpan w:val="2"/>
            <w:vMerge w:val="restart"/>
            <w:tcBorders>
              <w:top w:val="single" w:sz="8" w:space="0" w:color="auto"/>
              <w:bottom w:val="single" w:sz="8" w:space="0" w:color="auto"/>
              <w:right w:val="single" w:sz="8" w:space="0" w:color="auto"/>
            </w:tcBorders>
            <w:vAlign w:val="center"/>
          </w:tcPr>
          <w:p w:rsidR="00DA7543" w:rsidRDefault="007C073D">
            <w:pPr>
              <w:rPr>
                <w:rFonts w:asciiTheme="minorHAnsi" w:hAnsiTheme="minorHAnsi" w:cstheme="minorHAnsi"/>
                <w:b/>
                <w:noProof/>
                <w:sz w:val="16"/>
                <w:szCs w:val="16"/>
                <w:lang w:val="en-IE"/>
              </w:rPr>
            </w:pPr>
            <w:r>
              <w:rPr>
                <w:rFonts w:asciiTheme="minorHAnsi" w:hAnsiTheme="minorHAnsi" w:cstheme="minorHAnsi"/>
                <w:b/>
                <w:noProof/>
                <w:sz w:val="16"/>
                <w:szCs w:val="16"/>
                <w:lang w:val="en-IE"/>
              </w:rPr>
              <w:t>LNG / road</w:t>
            </w:r>
          </w:p>
        </w:tc>
        <w:tc>
          <w:tcPr>
            <w:tcW w:w="1041" w:type="dxa"/>
            <w:tcBorders>
              <w:top w:val="single" w:sz="8" w:space="0" w:color="auto"/>
              <w:left w:val="single" w:sz="8" w:space="0" w:color="auto"/>
              <w:bottom w:val="single" w:sz="4"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NIR</w:t>
            </w:r>
          </w:p>
        </w:tc>
        <w:tc>
          <w:tcPr>
            <w:tcW w:w="742" w:type="dxa"/>
            <w:tcBorders>
              <w:top w:val="single" w:sz="8" w:space="0" w:color="auto"/>
              <w:lef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949" w:type="dxa"/>
            <w:tcBorders>
              <w:top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6</w:t>
            </w:r>
          </w:p>
        </w:tc>
        <w:tc>
          <w:tcPr>
            <w:tcW w:w="824" w:type="dxa"/>
            <w:tcBorders>
              <w:top w:val="single" w:sz="8" w:space="0" w:color="auto"/>
              <w:lef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949" w:type="dxa"/>
            <w:tcBorders>
              <w:top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22</w:t>
            </w:r>
          </w:p>
        </w:tc>
        <w:tc>
          <w:tcPr>
            <w:tcW w:w="823" w:type="dxa"/>
            <w:tcBorders>
              <w:top w:val="single" w:sz="8" w:space="0" w:color="auto"/>
              <w:lef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949" w:type="dxa"/>
            <w:tcBorders>
              <w:top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 22</w:t>
            </w:r>
          </w:p>
        </w:tc>
        <w:tc>
          <w:tcPr>
            <w:tcW w:w="823" w:type="dxa"/>
            <w:tcBorders>
              <w:top w:val="single" w:sz="8" w:space="0" w:color="auto"/>
              <w:lef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949" w:type="dxa"/>
            <w:tcBorders>
              <w:top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r>
      <w:tr w:rsidR="00DA7543">
        <w:trPr>
          <w:trHeight w:val="40"/>
        </w:trPr>
        <w:tc>
          <w:tcPr>
            <w:tcW w:w="1504" w:type="dxa"/>
            <w:gridSpan w:val="2"/>
            <w:vMerge/>
            <w:tcBorders>
              <w:bottom w:val="single" w:sz="8" w:space="0" w:color="auto"/>
              <w:right w:val="single" w:sz="8" w:space="0" w:color="auto"/>
            </w:tcBorders>
          </w:tcPr>
          <w:p w:rsidR="00DA7543" w:rsidRDefault="00DA7543">
            <w:pPr>
              <w:rPr>
                <w:rFonts w:asciiTheme="minorHAnsi" w:hAnsiTheme="minorHAnsi" w:cstheme="minorHAnsi"/>
                <w:noProof/>
                <w:sz w:val="16"/>
                <w:szCs w:val="16"/>
                <w:lang w:val="en-IE"/>
              </w:rPr>
            </w:pPr>
          </w:p>
        </w:tc>
        <w:tc>
          <w:tcPr>
            <w:tcW w:w="1041" w:type="dxa"/>
            <w:tcBorders>
              <w:top w:val="single" w:sz="4" w:space="0" w:color="auto"/>
              <w:left w:val="single" w:sz="8" w:space="0" w:color="auto"/>
              <w:bottom w:val="single" w:sz="4"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Change NIR vs NPF [%]</w:t>
            </w:r>
          </w:p>
        </w:tc>
        <w:tc>
          <w:tcPr>
            <w:tcW w:w="742" w:type="dxa"/>
            <w:tcBorders>
              <w:left w:val="single" w:sz="8" w:space="0" w:color="auto"/>
              <w:bottom w:val="single" w:sz="4"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4" w:space="0" w:color="auto"/>
              <w:right w:val="single" w:sz="8"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824" w:type="dxa"/>
            <w:tcBorders>
              <w:left w:val="single" w:sz="8" w:space="0" w:color="auto"/>
              <w:bottom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4" w:space="0" w:color="auto"/>
              <w:right w:val="single" w:sz="8"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0.00%</w:t>
            </w:r>
          </w:p>
        </w:tc>
        <w:tc>
          <w:tcPr>
            <w:tcW w:w="823" w:type="dxa"/>
            <w:tcBorders>
              <w:left w:val="single" w:sz="8" w:space="0" w:color="auto"/>
              <w:bottom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4" w:space="0" w:color="auto"/>
              <w:right w:val="single" w:sz="8"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0.00%</w:t>
            </w:r>
          </w:p>
        </w:tc>
        <w:tc>
          <w:tcPr>
            <w:tcW w:w="823" w:type="dxa"/>
            <w:tcBorders>
              <w:left w:val="single" w:sz="8" w:space="0" w:color="auto"/>
              <w:bottom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4" w:space="0" w:color="auto"/>
              <w:right w:val="single" w:sz="8" w:space="0" w:color="auto"/>
            </w:tcBorders>
            <w:vAlign w:val="center"/>
          </w:tcPr>
          <w:p w:rsidR="00DA7543" w:rsidRDefault="00DA7543">
            <w:pPr>
              <w:jc w:val="center"/>
              <w:rPr>
                <w:rFonts w:asciiTheme="minorHAnsi" w:hAnsiTheme="minorHAnsi" w:cstheme="minorHAnsi"/>
                <w:noProof/>
                <w:sz w:val="16"/>
                <w:szCs w:val="16"/>
                <w:lang w:val="en-IE"/>
              </w:rPr>
            </w:pPr>
          </w:p>
        </w:tc>
      </w:tr>
      <w:tr w:rsidR="00DA7543">
        <w:trPr>
          <w:trHeight w:val="40"/>
        </w:trPr>
        <w:tc>
          <w:tcPr>
            <w:tcW w:w="1504" w:type="dxa"/>
            <w:gridSpan w:val="2"/>
            <w:vMerge/>
            <w:tcBorders>
              <w:bottom w:val="single" w:sz="8" w:space="0" w:color="auto"/>
              <w:right w:val="single" w:sz="8" w:space="0" w:color="auto"/>
            </w:tcBorders>
          </w:tcPr>
          <w:p w:rsidR="00DA7543" w:rsidRDefault="00DA7543">
            <w:pPr>
              <w:rPr>
                <w:rFonts w:asciiTheme="minorHAnsi" w:hAnsiTheme="minorHAnsi" w:cstheme="minorHAnsi"/>
                <w:noProof/>
                <w:sz w:val="16"/>
                <w:szCs w:val="16"/>
                <w:lang w:val="en-IE"/>
              </w:rPr>
            </w:pPr>
          </w:p>
        </w:tc>
        <w:tc>
          <w:tcPr>
            <w:tcW w:w="1041" w:type="dxa"/>
            <w:tcBorders>
              <w:top w:val="single" w:sz="4" w:space="0" w:color="auto"/>
              <w:left w:val="single" w:sz="8" w:space="0" w:color="auto"/>
              <w:bottom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Attainment [%]</w:t>
            </w:r>
          </w:p>
        </w:tc>
        <w:tc>
          <w:tcPr>
            <w:tcW w:w="742" w:type="dxa"/>
            <w:tcBorders>
              <w:left w:val="single" w:sz="8" w:space="0" w:color="auto"/>
              <w:bottom w:val="single" w:sz="6"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8" w:space="0" w:color="auto"/>
              <w:right w:val="single" w:sz="8"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824" w:type="dxa"/>
            <w:tcBorders>
              <w:left w:val="single" w:sz="8" w:space="0" w:color="auto"/>
              <w:bottom w:val="single" w:sz="8"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8" w:space="0" w:color="auto"/>
              <w:right w:val="single" w:sz="8"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27.27%</w:t>
            </w:r>
          </w:p>
        </w:tc>
        <w:tc>
          <w:tcPr>
            <w:tcW w:w="823" w:type="dxa"/>
            <w:tcBorders>
              <w:left w:val="single" w:sz="8" w:space="0" w:color="auto"/>
              <w:bottom w:val="single" w:sz="8"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8" w:space="0" w:color="auto"/>
              <w:right w:val="single" w:sz="8" w:space="0" w:color="auto"/>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left w:val="single" w:sz="8" w:space="0" w:color="auto"/>
              <w:bottom w:val="single" w:sz="8"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bottom w:val="single" w:sz="8" w:space="0" w:color="auto"/>
              <w:right w:val="single" w:sz="8" w:space="0" w:color="auto"/>
            </w:tcBorders>
            <w:vAlign w:val="center"/>
          </w:tcPr>
          <w:p w:rsidR="00DA7543" w:rsidRDefault="00DA7543">
            <w:pPr>
              <w:jc w:val="center"/>
              <w:rPr>
                <w:rFonts w:asciiTheme="minorHAnsi" w:hAnsiTheme="minorHAnsi" w:cstheme="minorHAnsi"/>
                <w:noProof/>
                <w:sz w:val="16"/>
                <w:szCs w:val="16"/>
                <w:lang w:val="en-IE"/>
              </w:rPr>
            </w:pPr>
          </w:p>
        </w:tc>
      </w:tr>
      <w:tr w:rsidR="00DA7543">
        <w:trPr>
          <w:trHeight w:val="40"/>
        </w:trPr>
        <w:tc>
          <w:tcPr>
            <w:tcW w:w="1504" w:type="dxa"/>
            <w:gridSpan w:val="2"/>
            <w:vMerge w:val="restart"/>
            <w:tcBorders>
              <w:top w:val="single" w:sz="8" w:space="0" w:color="auto"/>
              <w:left w:val="single" w:sz="4" w:space="0" w:color="auto"/>
              <w:bottom w:val="single" w:sz="8" w:space="0" w:color="auto"/>
              <w:right w:val="single" w:sz="6" w:space="0" w:color="auto"/>
            </w:tcBorders>
            <w:vAlign w:val="center"/>
          </w:tcPr>
          <w:p w:rsidR="00DA7543" w:rsidRDefault="007C073D">
            <w:pPr>
              <w:rPr>
                <w:rFonts w:asciiTheme="minorHAnsi" w:hAnsiTheme="minorHAnsi" w:cstheme="minorHAnsi"/>
                <w:b/>
                <w:noProof/>
                <w:sz w:val="16"/>
                <w:szCs w:val="16"/>
                <w:lang w:val="en-IE"/>
              </w:rPr>
            </w:pPr>
            <w:r>
              <w:rPr>
                <w:rFonts w:asciiTheme="minorHAnsi" w:hAnsiTheme="minorHAnsi" w:cstheme="minorHAnsi"/>
                <w:b/>
                <w:noProof/>
                <w:sz w:val="16"/>
                <w:szCs w:val="16"/>
                <w:lang w:val="en-IE"/>
              </w:rPr>
              <w:t>LNG / water</w:t>
            </w:r>
            <w:r>
              <w:rPr>
                <w:rFonts w:asciiTheme="minorHAnsi" w:hAnsiTheme="minorHAnsi" w:cstheme="minorHAnsi"/>
                <w:b/>
                <w:noProof/>
                <w:sz w:val="16"/>
                <w:szCs w:val="16"/>
                <w:lang w:val="en-IE"/>
              </w:rPr>
              <w:br/>
              <w:t>(maritime)</w:t>
            </w:r>
          </w:p>
        </w:tc>
        <w:tc>
          <w:tcPr>
            <w:tcW w:w="1041" w:type="dxa"/>
            <w:tcBorders>
              <w:top w:val="single" w:sz="8" w:space="0" w:color="auto"/>
              <w:left w:val="single" w:sz="6"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NIR</w:t>
            </w:r>
          </w:p>
        </w:tc>
        <w:tc>
          <w:tcPr>
            <w:tcW w:w="742" w:type="dxa"/>
            <w:tcBorders>
              <w:top w:val="single" w:sz="6" w:space="0" w:color="auto"/>
              <w:left w:val="single" w:sz="6" w:space="0" w:color="auto"/>
              <w:bottom w:val="single" w:sz="4" w:space="0" w:color="auto"/>
              <w:right w:val="single" w:sz="4"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949" w:type="dxa"/>
            <w:tcBorders>
              <w:top w:val="single" w:sz="8" w:space="0" w:color="auto"/>
              <w:left w:val="single" w:sz="4"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11</w:t>
            </w:r>
          </w:p>
        </w:tc>
        <w:tc>
          <w:tcPr>
            <w:tcW w:w="824" w:type="dxa"/>
            <w:tcBorders>
              <w:top w:val="single" w:sz="8" w:space="0" w:color="auto"/>
              <w:left w:val="single" w:sz="6" w:space="0" w:color="auto"/>
              <w:bottom w:val="single" w:sz="4" w:space="0" w:color="auto"/>
              <w:right w:val="single" w:sz="4"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949" w:type="dxa"/>
            <w:tcBorders>
              <w:top w:val="single" w:sz="8" w:space="0" w:color="auto"/>
              <w:left w:val="single" w:sz="4"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823" w:type="dxa"/>
            <w:tcBorders>
              <w:top w:val="single" w:sz="8" w:space="0" w:color="auto"/>
              <w:left w:val="single" w:sz="6" w:space="0" w:color="auto"/>
              <w:bottom w:val="single" w:sz="4" w:space="0" w:color="auto"/>
              <w:right w:val="single" w:sz="4"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949" w:type="dxa"/>
            <w:tcBorders>
              <w:top w:val="single" w:sz="8" w:space="0" w:color="auto"/>
              <w:left w:val="single" w:sz="4"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17</w:t>
            </w:r>
          </w:p>
        </w:tc>
        <w:tc>
          <w:tcPr>
            <w:tcW w:w="823" w:type="dxa"/>
            <w:tcBorders>
              <w:top w:val="single" w:sz="8" w:space="0" w:color="auto"/>
              <w:left w:val="single" w:sz="6" w:space="0" w:color="auto"/>
              <w:bottom w:val="single" w:sz="4" w:space="0" w:color="auto"/>
              <w:right w:val="single" w:sz="4"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949" w:type="dxa"/>
            <w:tcBorders>
              <w:top w:val="single" w:sz="8" w:space="0" w:color="auto"/>
              <w:left w:val="single" w:sz="4"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17</w:t>
            </w:r>
          </w:p>
        </w:tc>
      </w:tr>
      <w:tr w:rsidR="00DA7543">
        <w:trPr>
          <w:trHeight w:val="40"/>
        </w:trPr>
        <w:tc>
          <w:tcPr>
            <w:tcW w:w="1504" w:type="dxa"/>
            <w:gridSpan w:val="2"/>
            <w:vMerge/>
            <w:tcBorders>
              <w:top w:val="single" w:sz="8" w:space="0" w:color="auto"/>
              <w:left w:val="single" w:sz="4" w:space="0" w:color="auto"/>
              <w:bottom w:val="single" w:sz="8" w:space="0" w:color="auto"/>
              <w:right w:val="single" w:sz="6" w:space="0" w:color="auto"/>
            </w:tcBorders>
          </w:tcPr>
          <w:p w:rsidR="00DA7543" w:rsidRDefault="00DA7543">
            <w:pPr>
              <w:rPr>
                <w:rFonts w:asciiTheme="minorHAnsi" w:hAnsiTheme="minorHAnsi" w:cstheme="minorHAnsi"/>
                <w:noProof/>
                <w:sz w:val="16"/>
                <w:szCs w:val="16"/>
                <w:lang w:val="en-IE"/>
              </w:rPr>
            </w:pPr>
          </w:p>
        </w:tc>
        <w:tc>
          <w:tcPr>
            <w:tcW w:w="1041" w:type="dxa"/>
            <w:tcBorders>
              <w:top w:val="single" w:sz="4" w:space="0" w:color="auto"/>
              <w:left w:val="single" w:sz="6"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Change NIR vs NPF [%]</w:t>
            </w:r>
          </w:p>
        </w:tc>
        <w:tc>
          <w:tcPr>
            <w:tcW w:w="742" w:type="dxa"/>
            <w:tcBorders>
              <w:top w:val="single" w:sz="4" w:space="0" w:color="auto"/>
              <w:left w:val="single" w:sz="6" w:space="0" w:color="auto"/>
              <w:bottom w:val="single" w:sz="4" w:space="0" w:color="auto"/>
              <w:right w:val="single" w:sz="4"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4" w:space="0" w:color="auto"/>
              <w:right w:val="single" w:sz="6"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824" w:type="dxa"/>
            <w:tcBorders>
              <w:top w:val="single" w:sz="4" w:space="0" w:color="auto"/>
              <w:left w:val="single" w:sz="6" w:space="0" w:color="auto"/>
              <w:bottom w:val="single" w:sz="4"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4" w:space="0" w:color="auto"/>
              <w:right w:val="single" w:sz="6" w:space="0" w:color="auto"/>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single" w:sz="4" w:space="0" w:color="auto"/>
              <w:left w:val="single" w:sz="6" w:space="0" w:color="auto"/>
              <w:bottom w:val="single" w:sz="4"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4" w:space="0" w:color="auto"/>
              <w:right w:val="single" w:sz="6"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0.00%</w:t>
            </w:r>
          </w:p>
        </w:tc>
        <w:tc>
          <w:tcPr>
            <w:tcW w:w="823" w:type="dxa"/>
            <w:tcBorders>
              <w:top w:val="single" w:sz="4" w:space="0" w:color="auto"/>
              <w:left w:val="single" w:sz="6" w:space="0" w:color="auto"/>
              <w:bottom w:val="single" w:sz="4"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4" w:space="0" w:color="auto"/>
              <w:right w:val="single" w:sz="6"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0.00%</w:t>
            </w:r>
          </w:p>
        </w:tc>
      </w:tr>
      <w:tr w:rsidR="00DA7543">
        <w:trPr>
          <w:trHeight w:val="40"/>
        </w:trPr>
        <w:tc>
          <w:tcPr>
            <w:tcW w:w="1504" w:type="dxa"/>
            <w:gridSpan w:val="2"/>
            <w:vMerge/>
            <w:tcBorders>
              <w:top w:val="single" w:sz="8" w:space="0" w:color="auto"/>
              <w:left w:val="single" w:sz="4" w:space="0" w:color="auto"/>
              <w:bottom w:val="single" w:sz="8" w:space="0" w:color="auto"/>
              <w:right w:val="single" w:sz="6" w:space="0" w:color="auto"/>
            </w:tcBorders>
          </w:tcPr>
          <w:p w:rsidR="00DA7543" w:rsidRDefault="00DA7543">
            <w:pPr>
              <w:rPr>
                <w:rFonts w:asciiTheme="minorHAnsi" w:hAnsiTheme="minorHAnsi" w:cstheme="minorHAnsi"/>
                <w:noProof/>
                <w:sz w:val="16"/>
                <w:szCs w:val="16"/>
                <w:lang w:val="en-IE"/>
              </w:rPr>
            </w:pPr>
          </w:p>
        </w:tc>
        <w:tc>
          <w:tcPr>
            <w:tcW w:w="1041" w:type="dxa"/>
            <w:tcBorders>
              <w:top w:val="single" w:sz="4" w:space="0" w:color="auto"/>
              <w:left w:val="single" w:sz="6" w:space="0" w:color="auto"/>
              <w:bottom w:val="single" w:sz="8"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Attainment [%]</w:t>
            </w:r>
          </w:p>
        </w:tc>
        <w:tc>
          <w:tcPr>
            <w:tcW w:w="742" w:type="dxa"/>
            <w:tcBorders>
              <w:top w:val="single" w:sz="4" w:space="0" w:color="auto"/>
              <w:left w:val="single" w:sz="6" w:space="0" w:color="auto"/>
              <w:bottom w:val="single" w:sz="6" w:space="0" w:color="auto"/>
              <w:right w:val="single" w:sz="4"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8" w:space="0" w:color="auto"/>
              <w:right w:val="single" w:sz="6"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824" w:type="dxa"/>
            <w:tcBorders>
              <w:top w:val="single" w:sz="4" w:space="0" w:color="auto"/>
              <w:left w:val="single" w:sz="6" w:space="0" w:color="auto"/>
              <w:bottom w:val="single" w:sz="8"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8" w:space="0" w:color="auto"/>
              <w:right w:val="single" w:sz="6" w:space="0" w:color="auto"/>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single" w:sz="4" w:space="0" w:color="auto"/>
              <w:left w:val="single" w:sz="6" w:space="0" w:color="auto"/>
              <w:bottom w:val="single" w:sz="8"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8"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64.71%</w:t>
            </w:r>
          </w:p>
        </w:tc>
        <w:tc>
          <w:tcPr>
            <w:tcW w:w="823" w:type="dxa"/>
            <w:tcBorders>
              <w:top w:val="single" w:sz="4" w:space="0" w:color="auto"/>
              <w:left w:val="single" w:sz="6" w:space="0" w:color="auto"/>
              <w:bottom w:val="single" w:sz="8"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8"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64.71%</w:t>
            </w:r>
          </w:p>
        </w:tc>
      </w:tr>
      <w:tr w:rsidR="00DA7543">
        <w:trPr>
          <w:trHeight w:val="40"/>
        </w:trPr>
        <w:tc>
          <w:tcPr>
            <w:tcW w:w="1504" w:type="dxa"/>
            <w:gridSpan w:val="2"/>
            <w:vMerge w:val="restart"/>
            <w:tcBorders>
              <w:top w:val="single" w:sz="8" w:space="0" w:color="auto"/>
              <w:left w:val="single" w:sz="4" w:space="0" w:color="auto"/>
              <w:bottom w:val="single" w:sz="8" w:space="0" w:color="auto"/>
              <w:right w:val="single" w:sz="6" w:space="0" w:color="auto"/>
            </w:tcBorders>
            <w:vAlign w:val="center"/>
          </w:tcPr>
          <w:p w:rsidR="00DA7543" w:rsidRDefault="007C073D">
            <w:pPr>
              <w:rPr>
                <w:rFonts w:asciiTheme="minorHAnsi" w:hAnsiTheme="minorHAnsi" w:cstheme="minorHAnsi"/>
                <w:b/>
                <w:noProof/>
                <w:sz w:val="16"/>
                <w:szCs w:val="16"/>
                <w:lang w:val="en-IE"/>
              </w:rPr>
            </w:pPr>
            <w:r>
              <w:rPr>
                <w:rFonts w:asciiTheme="minorHAnsi" w:hAnsiTheme="minorHAnsi" w:cstheme="minorHAnsi"/>
                <w:b/>
                <w:noProof/>
                <w:sz w:val="16"/>
                <w:szCs w:val="16"/>
                <w:lang w:val="en-IE"/>
              </w:rPr>
              <w:t>LNG / water</w:t>
            </w:r>
            <w:r>
              <w:rPr>
                <w:rFonts w:asciiTheme="minorHAnsi" w:hAnsiTheme="minorHAnsi" w:cstheme="minorHAnsi"/>
                <w:b/>
                <w:noProof/>
                <w:sz w:val="16"/>
                <w:szCs w:val="16"/>
                <w:lang w:val="en-IE"/>
              </w:rPr>
              <w:br/>
              <w:t>(inland)</w:t>
            </w:r>
          </w:p>
        </w:tc>
        <w:tc>
          <w:tcPr>
            <w:tcW w:w="1041" w:type="dxa"/>
            <w:tcBorders>
              <w:top w:val="single" w:sz="8" w:space="0" w:color="auto"/>
              <w:left w:val="single" w:sz="6"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NIR</w:t>
            </w:r>
          </w:p>
        </w:tc>
        <w:tc>
          <w:tcPr>
            <w:tcW w:w="742" w:type="dxa"/>
            <w:tcBorders>
              <w:top w:val="single" w:sz="6" w:space="0" w:color="auto"/>
              <w:left w:val="single" w:sz="6" w:space="0" w:color="auto"/>
              <w:bottom w:val="single" w:sz="4" w:space="0" w:color="auto"/>
              <w:right w:val="single" w:sz="4"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949" w:type="dxa"/>
            <w:tcBorders>
              <w:top w:val="single" w:sz="8" w:space="0" w:color="auto"/>
              <w:left w:val="single" w:sz="4"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w:t>
            </w:r>
          </w:p>
        </w:tc>
        <w:tc>
          <w:tcPr>
            <w:tcW w:w="824" w:type="dxa"/>
            <w:tcBorders>
              <w:top w:val="single" w:sz="8" w:space="0" w:color="auto"/>
              <w:left w:val="single" w:sz="6" w:space="0" w:color="auto"/>
              <w:bottom w:val="single" w:sz="4" w:space="0" w:color="auto"/>
              <w:right w:val="single" w:sz="4"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949" w:type="dxa"/>
            <w:tcBorders>
              <w:top w:val="single" w:sz="8" w:space="0" w:color="auto"/>
              <w:left w:val="single" w:sz="4"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823" w:type="dxa"/>
            <w:tcBorders>
              <w:top w:val="single" w:sz="8" w:space="0" w:color="auto"/>
              <w:left w:val="single" w:sz="6" w:space="0" w:color="auto"/>
              <w:bottom w:val="single" w:sz="4" w:space="0" w:color="auto"/>
              <w:right w:val="single" w:sz="4"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949" w:type="dxa"/>
            <w:tcBorders>
              <w:top w:val="single" w:sz="8" w:space="0" w:color="auto"/>
              <w:left w:val="single" w:sz="4"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w:t>
            </w:r>
          </w:p>
        </w:tc>
        <w:tc>
          <w:tcPr>
            <w:tcW w:w="823" w:type="dxa"/>
            <w:tcBorders>
              <w:top w:val="single" w:sz="8" w:space="0" w:color="auto"/>
              <w:left w:val="single" w:sz="6" w:space="0" w:color="auto"/>
              <w:bottom w:val="single" w:sz="4" w:space="0" w:color="auto"/>
              <w:right w:val="single" w:sz="4"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949" w:type="dxa"/>
            <w:tcBorders>
              <w:top w:val="single" w:sz="8" w:space="0" w:color="auto"/>
              <w:left w:val="single" w:sz="4"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w:t>
            </w:r>
          </w:p>
        </w:tc>
      </w:tr>
      <w:tr w:rsidR="00DA7543">
        <w:trPr>
          <w:trHeight w:val="40"/>
        </w:trPr>
        <w:tc>
          <w:tcPr>
            <w:tcW w:w="1504" w:type="dxa"/>
            <w:gridSpan w:val="2"/>
            <w:vMerge/>
            <w:tcBorders>
              <w:left w:val="single" w:sz="4" w:space="0" w:color="auto"/>
              <w:bottom w:val="single" w:sz="8" w:space="0" w:color="auto"/>
              <w:right w:val="single" w:sz="6" w:space="0" w:color="auto"/>
            </w:tcBorders>
          </w:tcPr>
          <w:p w:rsidR="00DA7543" w:rsidRDefault="00DA7543">
            <w:pPr>
              <w:rPr>
                <w:rFonts w:asciiTheme="minorHAnsi" w:hAnsiTheme="minorHAnsi" w:cstheme="minorHAnsi"/>
                <w:b/>
                <w:noProof/>
                <w:sz w:val="16"/>
                <w:szCs w:val="16"/>
                <w:lang w:val="en-IE"/>
              </w:rPr>
            </w:pPr>
          </w:p>
        </w:tc>
        <w:tc>
          <w:tcPr>
            <w:tcW w:w="1041" w:type="dxa"/>
            <w:tcBorders>
              <w:top w:val="single" w:sz="4" w:space="0" w:color="auto"/>
              <w:left w:val="single" w:sz="6"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Change NIR vs NPF [%]</w:t>
            </w:r>
          </w:p>
        </w:tc>
        <w:tc>
          <w:tcPr>
            <w:tcW w:w="742" w:type="dxa"/>
            <w:tcBorders>
              <w:top w:val="single" w:sz="4" w:space="0" w:color="auto"/>
              <w:left w:val="single" w:sz="6" w:space="0" w:color="auto"/>
              <w:bottom w:val="single" w:sz="4" w:space="0" w:color="auto"/>
              <w:right w:val="single" w:sz="4"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4" w:space="0" w:color="auto"/>
              <w:right w:val="single" w:sz="6"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824" w:type="dxa"/>
            <w:tcBorders>
              <w:top w:val="single" w:sz="4" w:space="0" w:color="auto"/>
              <w:left w:val="single" w:sz="6" w:space="0" w:color="auto"/>
              <w:bottom w:val="single" w:sz="4"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4" w:space="0" w:color="auto"/>
              <w:right w:val="single" w:sz="6" w:space="0" w:color="auto"/>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single" w:sz="4" w:space="0" w:color="auto"/>
              <w:left w:val="single" w:sz="6" w:space="0" w:color="auto"/>
              <w:bottom w:val="single" w:sz="4"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4" w:space="0" w:color="auto"/>
              <w:right w:val="single" w:sz="6" w:space="0" w:color="auto"/>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single" w:sz="4" w:space="0" w:color="auto"/>
              <w:left w:val="single" w:sz="6" w:space="0" w:color="auto"/>
              <w:bottom w:val="single" w:sz="4"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4" w:space="0" w:color="auto"/>
              <w:right w:val="single" w:sz="6" w:space="0" w:color="auto"/>
            </w:tcBorders>
            <w:vAlign w:val="center"/>
          </w:tcPr>
          <w:p w:rsidR="00DA7543" w:rsidRDefault="00DA7543">
            <w:pPr>
              <w:jc w:val="center"/>
              <w:rPr>
                <w:rFonts w:asciiTheme="minorHAnsi" w:hAnsiTheme="minorHAnsi" w:cstheme="minorHAnsi"/>
                <w:noProof/>
                <w:sz w:val="16"/>
                <w:szCs w:val="16"/>
                <w:lang w:val="en-IE"/>
              </w:rPr>
            </w:pPr>
          </w:p>
        </w:tc>
      </w:tr>
      <w:tr w:rsidR="00DA7543">
        <w:trPr>
          <w:trHeight w:val="40"/>
        </w:trPr>
        <w:tc>
          <w:tcPr>
            <w:tcW w:w="1504" w:type="dxa"/>
            <w:gridSpan w:val="2"/>
            <w:vMerge/>
            <w:tcBorders>
              <w:left w:val="single" w:sz="4" w:space="0" w:color="auto"/>
              <w:bottom w:val="single" w:sz="8" w:space="0" w:color="auto"/>
              <w:right w:val="single" w:sz="6" w:space="0" w:color="auto"/>
            </w:tcBorders>
          </w:tcPr>
          <w:p w:rsidR="00DA7543" w:rsidRDefault="00DA7543">
            <w:pPr>
              <w:rPr>
                <w:rFonts w:asciiTheme="minorHAnsi" w:hAnsiTheme="minorHAnsi" w:cstheme="minorHAnsi"/>
                <w:b/>
                <w:noProof/>
                <w:sz w:val="16"/>
                <w:szCs w:val="16"/>
                <w:lang w:val="en-IE"/>
              </w:rPr>
            </w:pPr>
          </w:p>
        </w:tc>
        <w:tc>
          <w:tcPr>
            <w:tcW w:w="1041" w:type="dxa"/>
            <w:tcBorders>
              <w:top w:val="single" w:sz="4" w:space="0" w:color="auto"/>
              <w:left w:val="single" w:sz="6" w:space="0" w:color="auto"/>
              <w:bottom w:val="single" w:sz="6"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Attainment [%]</w:t>
            </w:r>
          </w:p>
        </w:tc>
        <w:tc>
          <w:tcPr>
            <w:tcW w:w="742" w:type="dxa"/>
            <w:tcBorders>
              <w:top w:val="single" w:sz="4" w:space="0" w:color="auto"/>
              <w:left w:val="single" w:sz="6" w:space="0" w:color="auto"/>
              <w:bottom w:val="single" w:sz="6" w:space="0" w:color="auto"/>
              <w:right w:val="single" w:sz="4"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6" w:space="0" w:color="auto"/>
              <w:right w:val="single" w:sz="6"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824" w:type="dxa"/>
            <w:tcBorders>
              <w:top w:val="single" w:sz="4" w:space="0" w:color="auto"/>
              <w:left w:val="single" w:sz="6" w:space="0" w:color="auto"/>
              <w:bottom w:val="single" w:sz="6"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6" w:space="0" w:color="auto"/>
              <w:right w:val="single" w:sz="6" w:space="0" w:color="auto"/>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single" w:sz="4" w:space="0" w:color="auto"/>
              <w:left w:val="single" w:sz="6" w:space="0" w:color="auto"/>
              <w:bottom w:val="single" w:sz="6"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6" w:space="0" w:color="auto"/>
              <w:right w:val="single" w:sz="6" w:space="0" w:color="auto"/>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single" w:sz="4" w:space="0" w:color="auto"/>
              <w:left w:val="single" w:sz="6" w:space="0" w:color="auto"/>
              <w:bottom w:val="single" w:sz="6"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6" w:space="0" w:color="auto"/>
              <w:right w:val="single" w:sz="6" w:space="0" w:color="auto"/>
            </w:tcBorders>
            <w:vAlign w:val="center"/>
          </w:tcPr>
          <w:p w:rsidR="00DA7543" w:rsidRDefault="00DA7543">
            <w:pPr>
              <w:jc w:val="center"/>
              <w:rPr>
                <w:rFonts w:asciiTheme="minorHAnsi" w:hAnsiTheme="minorHAnsi" w:cstheme="minorHAnsi"/>
                <w:noProof/>
                <w:sz w:val="16"/>
                <w:szCs w:val="16"/>
                <w:lang w:val="en-IE"/>
              </w:rPr>
            </w:pPr>
          </w:p>
        </w:tc>
      </w:tr>
      <w:tr w:rsidR="00DA7543">
        <w:tc>
          <w:tcPr>
            <w:tcW w:w="1504" w:type="dxa"/>
            <w:gridSpan w:val="2"/>
            <w:vMerge w:val="restart"/>
            <w:tcBorders>
              <w:top w:val="single" w:sz="8" w:space="0" w:color="auto"/>
              <w:left w:val="single" w:sz="4" w:space="0" w:color="auto"/>
              <w:bottom w:val="single" w:sz="8" w:space="0" w:color="auto"/>
              <w:right w:val="single" w:sz="6" w:space="0" w:color="auto"/>
            </w:tcBorders>
            <w:vAlign w:val="center"/>
          </w:tcPr>
          <w:p w:rsidR="00DA7543" w:rsidRDefault="007C073D">
            <w:pPr>
              <w:rPr>
                <w:rFonts w:asciiTheme="minorHAnsi" w:hAnsiTheme="minorHAnsi" w:cstheme="minorHAnsi"/>
                <w:b/>
                <w:noProof/>
                <w:sz w:val="16"/>
                <w:szCs w:val="16"/>
                <w:lang w:val="en-IE"/>
              </w:rPr>
            </w:pPr>
            <w:r>
              <w:rPr>
                <w:rFonts w:asciiTheme="minorHAnsi" w:hAnsiTheme="minorHAnsi" w:cstheme="minorHAnsi"/>
                <w:b/>
                <w:noProof/>
                <w:sz w:val="16"/>
                <w:szCs w:val="16"/>
                <w:lang w:val="en-IE"/>
              </w:rPr>
              <w:t>H2 / road</w:t>
            </w:r>
          </w:p>
        </w:tc>
        <w:tc>
          <w:tcPr>
            <w:tcW w:w="1041" w:type="dxa"/>
            <w:tcBorders>
              <w:top w:val="single" w:sz="6" w:space="0" w:color="auto"/>
              <w:left w:val="single" w:sz="6"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NIR</w:t>
            </w:r>
          </w:p>
        </w:tc>
        <w:tc>
          <w:tcPr>
            <w:tcW w:w="742" w:type="dxa"/>
            <w:tcBorders>
              <w:top w:val="single" w:sz="6" w:space="0" w:color="auto"/>
              <w:left w:val="single" w:sz="6" w:space="0" w:color="auto"/>
              <w:bottom w:val="single" w:sz="4" w:space="0" w:color="auto"/>
              <w:right w:val="single" w:sz="4"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42</w:t>
            </w:r>
          </w:p>
        </w:tc>
        <w:tc>
          <w:tcPr>
            <w:tcW w:w="949" w:type="dxa"/>
            <w:tcBorders>
              <w:top w:val="single" w:sz="6" w:space="0" w:color="auto"/>
              <w:left w:val="single" w:sz="4"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6</w:t>
            </w:r>
          </w:p>
        </w:tc>
        <w:tc>
          <w:tcPr>
            <w:tcW w:w="824" w:type="dxa"/>
            <w:tcBorders>
              <w:top w:val="single" w:sz="6" w:space="0" w:color="auto"/>
              <w:left w:val="single" w:sz="6" w:space="0" w:color="auto"/>
              <w:bottom w:val="single" w:sz="4" w:space="0" w:color="auto"/>
              <w:right w:val="single" w:sz="4"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 36</w:t>
            </w:r>
          </w:p>
        </w:tc>
        <w:tc>
          <w:tcPr>
            <w:tcW w:w="949" w:type="dxa"/>
            <w:tcBorders>
              <w:top w:val="single" w:sz="6" w:space="0" w:color="auto"/>
              <w:left w:val="single" w:sz="4"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13</w:t>
            </w:r>
          </w:p>
        </w:tc>
        <w:tc>
          <w:tcPr>
            <w:tcW w:w="823" w:type="dxa"/>
            <w:tcBorders>
              <w:top w:val="single" w:sz="6" w:space="0" w:color="auto"/>
              <w:left w:val="single" w:sz="6" w:space="0" w:color="auto"/>
              <w:bottom w:val="single" w:sz="4" w:space="0" w:color="auto"/>
              <w:right w:val="single" w:sz="4"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 36</w:t>
            </w:r>
          </w:p>
        </w:tc>
        <w:tc>
          <w:tcPr>
            <w:tcW w:w="949" w:type="dxa"/>
            <w:tcBorders>
              <w:top w:val="single" w:sz="6" w:space="0" w:color="auto"/>
              <w:left w:val="single" w:sz="4"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 13</w:t>
            </w:r>
          </w:p>
        </w:tc>
        <w:tc>
          <w:tcPr>
            <w:tcW w:w="823" w:type="dxa"/>
            <w:tcBorders>
              <w:top w:val="single" w:sz="6" w:space="0" w:color="auto"/>
              <w:left w:val="single" w:sz="6" w:space="0" w:color="auto"/>
              <w:bottom w:val="single" w:sz="4" w:space="0" w:color="auto"/>
              <w:right w:val="single" w:sz="4"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 36</w:t>
            </w:r>
          </w:p>
        </w:tc>
        <w:tc>
          <w:tcPr>
            <w:tcW w:w="949" w:type="dxa"/>
            <w:tcBorders>
              <w:top w:val="single" w:sz="6" w:space="0" w:color="auto"/>
              <w:left w:val="single" w:sz="4"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r>
      <w:tr w:rsidR="00DA7543">
        <w:tc>
          <w:tcPr>
            <w:tcW w:w="1504" w:type="dxa"/>
            <w:gridSpan w:val="2"/>
            <w:vMerge/>
            <w:tcBorders>
              <w:left w:val="single" w:sz="4" w:space="0" w:color="auto"/>
              <w:bottom w:val="single" w:sz="8" w:space="0" w:color="auto"/>
              <w:right w:val="single" w:sz="6" w:space="0" w:color="auto"/>
            </w:tcBorders>
          </w:tcPr>
          <w:p w:rsidR="00DA7543" w:rsidRDefault="00DA7543">
            <w:pPr>
              <w:rPr>
                <w:rFonts w:asciiTheme="minorHAnsi" w:hAnsiTheme="minorHAnsi" w:cstheme="minorHAnsi"/>
                <w:noProof/>
                <w:sz w:val="16"/>
                <w:szCs w:val="16"/>
                <w:lang w:val="en-IE"/>
              </w:rPr>
            </w:pPr>
          </w:p>
        </w:tc>
        <w:tc>
          <w:tcPr>
            <w:tcW w:w="1041" w:type="dxa"/>
            <w:tcBorders>
              <w:top w:val="single" w:sz="4" w:space="0" w:color="auto"/>
              <w:left w:val="single" w:sz="6" w:space="0" w:color="auto"/>
              <w:bottom w:val="single" w:sz="4"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 xml:space="preserve">Change </w:t>
            </w:r>
            <w:r>
              <w:rPr>
                <w:rFonts w:asciiTheme="minorHAnsi" w:hAnsiTheme="minorHAnsi" w:cstheme="minorHAnsi"/>
                <w:noProof/>
                <w:sz w:val="16"/>
                <w:szCs w:val="16"/>
                <w:lang w:val="en-IE"/>
              </w:rPr>
              <w:t>NIR vs NPF [%]</w:t>
            </w:r>
          </w:p>
        </w:tc>
        <w:tc>
          <w:tcPr>
            <w:tcW w:w="742" w:type="dxa"/>
            <w:tcBorders>
              <w:top w:val="single" w:sz="4" w:space="0" w:color="auto"/>
              <w:left w:val="single" w:sz="6" w:space="0" w:color="auto"/>
              <w:bottom w:val="single" w:sz="4" w:space="0" w:color="auto"/>
              <w:right w:val="single" w:sz="4"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4" w:space="0" w:color="auto"/>
              <w:right w:val="single" w:sz="6"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824" w:type="dxa"/>
            <w:tcBorders>
              <w:top w:val="single" w:sz="4" w:space="0" w:color="auto"/>
              <w:left w:val="single" w:sz="6" w:space="0" w:color="auto"/>
              <w:bottom w:val="single" w:sz="4" w:space="0" w:color="auto"/>
              <w:right w:val="single" w:sz="4"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0.00%</w:t>
            </w:r>
          </w:p>
        </w:tc>
        <w:tc>
          <w:tcPr>
            <w:tcW w:w="949" w:type="dxa"/>
            <w:tcBorders>
              <w:top w:val="single" w:sz="4" w:space="0" w:color="auto"/>
              <w:left w:val="single" w:sz="4" w:space="0" w:color="auto"/>
              <w:bottom w:val="single" w:sz="4" w:space="0" w:color="auto"/>
              <w:right w:val="single" w:sz="6"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0.00%</w:t>
            </w:r>
          </w:p>
        </w:tc>
        <w:tc>
          <w:tcPr>
            <w:tcW w:w="823" w:type="dxa"/>
            <w:tcBorders>
              <w:top w:val="single" w:sz="4" w:space="0" w:color="auto"/>
              <w:left w:val="single" w:sz="6" w:space="0" w:color="auto"/>
              <w:bottom w:val="single" w:sz="4" w:space="0" w:color="auto"/>
              <w:right w:val="single" w:sz="4"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0.00%</w:t>
            </w:r>
          </w:p>
        </w:tc>
        <w:tc>
          <w:tcPr>
            <w:tcW w:w="949" w:type="dxa"/>
            <w:tcBorders>
              <w:top w:val="single" w:sz="4" w:space="0" w:color="auto"/>
              <w:left w:val="single" w:sz="4" w:space="0" w:color="auto"/>
              <w:bottom w:val="single" w:sz="4" w:space="0" w:color="auto"/>
              <w:right w:val="single" w:sz="6" w:space="0" w:color="auto"/>
            </w:tcBorders>
            <w:shd w:val="clear" w:color="auto" w:fill="4472C4" w:themeFill="accent5"/>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0.00%</w:t>
            </w:r>
          </w:p>
        </w:tc>
        <w:tc>
          <w:tcPr>
            <w:tcW w:w="823" w:type="dxa"/>
            <w:tcBorders>
              <w:top w:val="single" w:sz="4" w:space="0" w:color="auto"/>
              <w:left w:val="single" w:sz="6" w:space="0" w:color="auto"/>
              <w:bottom w:val="single" w:sz="4"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4" w:space="0" w:color="auto"/>
              <w:right w:val="single" w:sz="6" w:space="0" w:color="auto"/>
            </w:tcBorders>
            <w:vAlign w:val="center"/>
          </w:tcPr>
          <w:p w:rsidR="00DA7543" w:rsidRDefault="00DA7543">
            <w:pPr>
              <w:jc w:val="center"/>
              <w:rPr>
                <w:rFonts w:asciiTheme="minorHAnsi" w:hAnsiTheme="minorHAnsi" w:cstheme="minorHAnsi"/>
                <w:noProof/>
                <w:sz w:val="16"/>
                <w:szCs w:val="16"/>
                <w:lang w:val="en-IE"/>
              </w:rPr>
            </w:pPr>
          </w:p>
        </w:tc>
      </w:tr>
      <w:tr w:rsidR="00DA7543">
        <w:tc>
          <w:tcPr>
            <w:tcW w:w="1504" w:type="dxa"/>
            <w:gridSpan w:val="2"/>
            <w:vMerge/>
            <w:tcBorders>
              <w:left w:val="single" w:sz="4" w:space="0" w:color="auto"/>
              <w:bottom w:val="single" w:sz="8" w:space="0" w:color="auto"/>
              <w:right w:val="single" w:sz="6" w:space="0" w:color="auto"/>
            </w:tcBorders>
          </w:tcPr>
          <w:p w:rsidR="00DA7543" w:rsidRDefault="00DA7543">
            <w:pPr>
              <w:rPr>
                <w:rFonts w:asciiTheme="minorHAnsi" w:hAnsiTheme="minorHAnsi" w:cstheme="minorHAnsi"/>
                <w:noProof/>
                <w:sz w:val="16"/>
                <w:szCs w:val="16"/>
                <w:lang w:val="en-IE"/>
              </w:rPr>
            </w:pPr>
          </w:p>
        </w:tc>
        <w:tc>
          <w:tcPr>
            <w:tcW w:w="1041" w:type="dxa"/>
            <w:tcBorders>
              <w:top w:val="single" w:sz="4" w:space="0" w:color="auto"/>
              <w:left w:val="single" w:sz="6" w:space="0" w:color="auto"/>
              <w:bottom w:val="single" w:sz="8"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Attainment [%]</w:t>
            </w:r>
          </w:p>
        </w:tc>
        <w:tc>
          <w:tcPr>
            <w:tcW w:w="742" w:type="dxa"/>
            <w:tcBorders>
              <w:top w:val="single" w:sz="4" w:space="0" w:color="auto"/>
              <w:left w:val="single" w:sz="6" w:space="0" w:color="auto"/>
              <w:bottom w:val="single" w:sz="8" w:space="0" w:color="auto"/>
              <w:right w:val="single" w:sz="4"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8" w:space="0" w:color="auto"/>
              <w:right w:val="single" w:sz="6" w:space="0" w:color="auto"/>
            </w:tcBorders>
            <w:shd w:val="clear" w:color="auto" w:fill="BFBFBF" w:themeFill="background1" w:themeFillShade="BF"/>
            <w:vAlign w:val="center"/>
          </w:tcPr>
          <w:p w:rsidR="00DA7543" w:rsidRDefault="00DA7543">
            <w:pPr>
              <w:jc w:val="center"/>
              <w:rPr>
                <w:rFonts w:asciiTheme="minorHAnsi" w:hAnsiTheme="minorHAnsi" w:cstheme="minorHAnsi"/>
                <w:noProof/>
                <w:sz w:val="16"/>
                <w:szCs w:val="16"/>
                <w:lang w:val="en-IE"/>
              </w:rPr>
            </w:pPr>
          </w:p>
        </w:tc>
        <w:tc>
          <w:tcPr>
            <w:tcW w:w="824" w:type="dxa"/>
            <w:tcBorders>
              <w:top w:val="single" w:sz="4" w:space="0" w:color="auto"/>
              <w:left w:val="single" w:sz="6" w:space="0" w:color="auto"/>
              <w:bottom w:val="single" w:sz="8"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8" w:space="0" w:color="auto"/>
              <w:right w:val="single" w:sz="6" w:space="0" w:color="auto"/>
            </w:tcBorders>
            <w:vAlign w:val="center"/>
          </w:tcPr>
          <w:p w:rsidR="00DA7543" w:rsidRDefault="007C073D">
            <w:pPr>
              <w:jc w:val="center"/>
              <w:rPr>
                <w:rFonts w:asciiTheme="minorHAnsi" w:hAnsiTheme="minorHAnsi" w:cstheme="minorHAnsi"/>
                <w:noProof/>
                <w:sz w:val="16"/>
                <w:szCs w:val="16"/>
                <w:lang w:val="en-IE"/>
              </w:rPr>
            </w:pPr>
            <w:r>
              <w:rPr>
                <w:rFonts w:asciiTheme="minorHAnsi" w:hAnsiTheme="minorHAnsi" w:cstheme="minorHAnsi"/>
                <w:noProof/>
                <w:sz w:val="16"/>
                <w:szCs w:val="16"/>
                <w:lang w:val="en-IE"/>
              </w:rPr>
              <w:t>46.15%</w:t>
            </w:r>
          </w:p>
        </w:tc>
        <w:tc>
          <w:tcPr>
            <w:tcW w:w="823" w:type="dxa"/>
            <w:tcBorders>
              <w:top w:val="single" w:sz="4" w:space="0" w:color="auto"/>
              <w:left w:val="single" w:sz="6" w:space="0" w:color="auto"/>
              <w:bottom w:val="single" w:sz="8"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8" w:space="0" w:color="auto"/>
              <w:right w:val="single" w:sz="6" w:space="0" w:color="auto"/>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single" w:sz="4" w:space="0" w:color="auto"/>
              <w:left w:val="single" w:sz="6" w:space="0" w:color="auto"/>
              <w:bottom w:val="single" w:sz="8" w:space="0" w:color="auto"/>
              <w:right w:val="single" w:sz="4" w:space="0" w:color="auto"/>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4" w:space="0" w:color="auto"/>
              <w:left w:val="single" w:sz="4" w:space="0" w:color="auto"/>
              <w:bottom w:val="single" w:sz="8" w:space="0" w:color="auto"/>
              <w:right w:val="single" w:sz="6" w:space="0" w:color="auto"/>
            </w:tcBorders>
            <w:vAlign w:val="center"/>
          </w:tcPr>
          <w:p w:rsidR="00DA7543" w:rsidRDefault="00DA7543">
            <w:pPr>
              <w:jc w:val="center"/>
              <w:rPr>
                <w:rFonts w:asciiTheme="minorHAnsi" w:hAnsiTheme="minorHAnsi" w:cstheme="minorHAnsi"/>
                <w:noProof/>
                <w:sz w:val="16"/>
                <w:szCs w:val="16"/>
                <w:lang w:val="en-IE"/>
              </w:rPr>
            </w:pPr>
          </w:p>
        </w:tc>
      </w:tr>
      <w:tr w:rsidR="00DA7543">
        <w:tc>
          <w:tcPr>
            <w:tcW w:w="1504" w:type="dxa"/>
            <w:gridSpan w:val="2"/>
            <w:tcBorders>
              <w:top w:val="single" w:sz="8" w:space="0" w:color="auto"/>
              <w:left w:val="nil"/>
              <w:bottom w:val="nil"/>
              <w:right w:val="nil"/>
            </w:tcBorders>
          </w:tcPr>
          <w:p w:rsidR="00DA7543" w:rsidRDefault="00DA7543">
            <w:pPr>
              <w:rPr>
                <w:rFonts w:asciiTheme="minorHAnsi" w:hAnsiTheme="minorHAnsi" w:cstheme="minorHAnsi"/>
                <w:noProof/>
                <w:sz w:val="16"/>
                <w:szCs w:val="16"/>
                <w:lang w:val="en-IE"/>
              </w:rPr>
            </w:pPr>
          </w:p>
        </w:tc>
        <w:tc>
          <w:tcPr>
            <w:tcW w:w="1041" w:type="dxa"/>
            <w:tcBorders>
              <w:top w:val="single" w:sz="8" w:space="0" w:color="auto"/>
              <w:left w:val="nil"/>
              <w:bottom w:val="nil"/>
              <w:right w:val="nil"/>
            </w:tcBorders>
            <w:vAlign w:val="center"/>
          </w:tcPr>
          <w:p w:rsidR="00DA7543" w:rsidRDefault="00DA7543">
            <w:pPr>
              <w:rPr>
                <w:rFonts w:asciiTheme="minorHAnsi" w:hAnsiTheme="minorHAnsi" w:cstheme="minorHAnsi"/>
                <w:noProof/>
                <w:sz w:val="16"/>
                <w:szCs w:val="16"/>
                <w:lang w:val="en-IE"/>
              </w:rPr>
            </w:pPr>
          </w:p>
        </w:tc>
        <w:tc>
          <w:tcPr>
            <w:tcW w:w="742" w:type="dxa"/>
            <w:tcBorders>
              <w:top w:val="single" w:sz="8" w:space="0" w:color="auto"/>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8" w:space="0" w:color="auto"/>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824" w:type="dxa"/>
            <w:tcBorders>
              <w:top w:val="single" w:sz="8" w:space="0" w:color="auto"/>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8" w:space="0" w:color="auto"/>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single" w:sz="8" w:space="0" w:color="auto"/>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8" w:space="0" w:color="auto"/>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single" w:sz="8" w:space="0" w:color="auto"/>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single" w:sz="8" w:space="0" w:color="auto"/>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r>
      <w:tr w:rsidR="00DA7543">
        <w:tc>
          <w:tcPr>
            <w:tcW w:w="752" w:type="dxa"/>
            <w:tcBorders>
              <w:top w:val="nil"/>
              <w:left w:val="nil"/>
              <w:bottom w:val="nil"/>
              <w:right w:val="single" w:sz="8" w:space="0" w:color="auto"/>
            </w:tcBorders>
          </w:tcPr>
          <w:p w:rsidR="00DA7543" w:rsidRDefault="00DA7543">
            <w:pPr>
              <w:rPr>
                <w:rFonts w:cstheme="minorHAnsi"/>
                <w:noProof/>
                <w:sz w:val="16"/>
                <w:szCs w:val="16"/>
                <w:lang w:val="en-IE"/>
              </w:rPr>
            </w:pPr>
          </w:p>
        </w:tc>
        <w:tc>
          <w:tcPr>
            <w:tcW w:w="75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A7543" w:rsidRDefault="00DA7543">
            <w:pPr>
              <w:rPr>
                <w:rFonts w:asciiTheme="minorHAnsi" w:hAnsiTheme="minorHAnsi" w:cstheme="minorHAnsi"/>
                <w:noProof/>
                <w:sz w:val="16"/>
                <w:szCs w:val="16"/>
                <w:lang w:val="en-IE"/>
              </w:rPr>
            </w:pPr>
          </w:p>
        </w:tc>
        <w:tc>
          <w:tcPr>
            <w:tcW w:w="2732" w:type="dxa"/>
            <w:gridSpan w:val="3"/>
            <w:tcBorders>
              <w:top w:val="nil"/>
              <w:left w:val="single" w:sz="8" w:space="0" w:color="auto"/>
              <w:bottom w:val="nil"/>
              <w:right w:val="nil"/>
            </w:tcBorders>
            <w:shd w:val="clear" w:color="auto" w:fill="auto"/>
            <w:vAlign w:val="center"/>
          </w:tcPr>
          <w:p w:rsidR="00DA7543" w:rsidRDefault="007C073D">
            <w:pPr>
              <w:rPr>
                <w:rFonts w:asciiTheme="minorHAnsi" w:hAnsiTheme="minorHAnsi" w:cstheme="minorHAnsi"/>
                <w:noProof/>
                <w:sz w:val="16"/>
                <w:szCs w:val="16"/>
                <w:lang w:val="en-IE"/>
              </w:rPr>
            </w:pPr>
            <w:r>
              <w:rPr>
                <w:rFonts w:asciiTheme="minorHAnsi" w:hAnsiTheme="minorHAnsi" w:cstheme="minorHAnsi"/>
                <w:noProof/>
                <w:sz w:val="16"/>
                <w:szCs w:val="16"/>
                <w:lang w:val="en-IE"/>
              </w:rPr>
              <w:t>Not applicable</w:t>
            </w:r>
          </w:p>
        </w:tc>
        <w:tc>
          <w:tcPr>
            <w:tcW w:w="824"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r>
      <w:tr w:rsidR="00DA7543">
        <w:tc>
          <w:tcPr>
            <w:tcW w:w="752" w:type="dxa"/>
            <w:tcBorders>
              <w:top w:val="nil"/>
              <w:left w:val="nil"/>
              <w:bottom w:val="nil"/>
              <w:right w:val="single" w:sz="8" w:space="0" w:color="auto"/>
            </w:tcBorders>
          </w:tcPr>
          <w:p w:rsidR="00DA7543" w:rsidRDefault="007C073D">
            <w:pPr>
              <w:rPr>
                <w:rFonts w:cstheme="minorHAnsi"/>
                <w:b/>
                <w:noProof/>
                <w:sz w:val="16"/>
                <w:szCs w:val="16"/>
                <w:lang w:val="en-IE"/>
              </w:rPr>
            </w:pPr>
            <w:r>
              <w:rPr>
                <w:rFonts w:asciiTheme="minorHAnsi" w:hAnsiTheme="minorHAnsi" w:cstheme="minorHAnsi"/>
                <w:b/>
                <w:noProof/>
                <w:sz w:val="16"/>
                <w:szCs w:val="16"/>
                <w:lang w:val="en-IE"/>
              </w:rPr>
              <w:t>Legend:</w:t>
            </w:r>
          </w:p>
        </w:tc>
        <w:tc>
          <w:tcPr>
            <w:tcW w:w="752" w:type="dxa"/>
            <w:tcBorders>
              <w:top w:val="single" w:sz="8" w:space="0" w:color="auto"/>
              <w:left w:val="single" w:sz="8" w:space="0" w:color="auto"/>
              <w:bottom w:val="single" w:sz="8" w:space="0" w:color="auto"/>
              <w:right w:val="single" w:sz="8" w:space="0" w:color="auto"/>
            </w:tcBorders>
          </w:tcPr>
          <w:p w:rsidR="00DA7543" w:rsidRDefault="00DA7543">
            <w:pPr>
              <w:rPr>
                <w:rFonts w:asciiTheme="minorHAnsi" w:hAnsiTheme="minorHAnsi" w:cstheme="minorHAnsi"/>
                <w:b/>
                <w:noProof/>
                <w:sz w:val="16"/>
                <w:szCs w:val="16"/>
                <w:lang w:val="en-IE"/>
              </w:rPr>
            </w:pPr>
          </w:p>
        </w:tc>
        <w:tc>
          <w:tcPr>
            <w:tcW w:w="3556" w:type="dxa"/>
            <w:gridSpan w:val="4"/>
            <w:tcBorders>
              <w:top w:val="nil"/>
              <w:left w:val="single" w:sz="8" w:space="0" w:color="auto"/>
              <w:bottom w:val="nil"/>
              <w:right w:val="nil"/>
            </w:tcBorders>
            <w:vAlign w:val="center"/>
          </w:tcPr>
          <w:p w:rsidR="00DA7543" w:rsidRDefault="007C073D">
            <w:pPr>
              <w:rPr>
                <w:rFonts w:asciiTheme="minorHAnsi" w:hAnsiTheme="minorHAnsi" w:cstheme="minorHAnsi"/>
                <w:noProof/>
                <w:sz w:val="16"/>
                <w:szCs w:val="16"/>
                <w:lang w:val="en-IE"/>
              </w:rPr>
            </w:pPr>
            <w:r>
              <w:rPr>
                <w:rFonts w:asciiTheme="minorHAnsi" w:hAnsiTheme="minorHAnsi" w:cstheme="minorHAnsi"/>
                <w:noProof/>
                <w:sz w:val="16"/>
                <w:szCs w:val="16"/>
                <w:lang w:val="en-IE"/>
              </w:rPr>
              <w:t>The value could not be computed</w:t>
            </w:r>
          </w:p>
        </w:tc>
        <w:tc>
          <w:tcPr>
            <w:tcW w:w="949"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r>
      <w:tr w:rsidR="00DA7543">
        <w:tc>
          <w:tcPr>
            <w:tcW w:w="752" w:type="dxa"/>
            <w:tcBorders>
              <w:top w:val="nil"/>
              <w:left w:val="nil"/>
              <w:bottom w:val="nil"/>
              <w:right w:val="single" w:sz="8" w:space="0" w:color="auto"/>
            </w:tcBorders>
          </w:tcPr>
          <w:p w:rsidR="00DA7543" w:rsidRDefault="00DA7543">
            <w:pPr>
              <w:rPr>
                <w:rFonts w:cstheme="minorHAnsi"/>
                <w:noProof/>
                <w:sz w:val="16"/>
                <w:szCs w:val="16"/>
                <w:lang w:val="en-IE"/>
              </w:rPr>
            </w:pPr>
          </w:p>
        </w:tc>
        <w:tc>
          <w:tcPr>
            <w:tcW w:w="752" w:type="dxa"/>
            <w:tcBorders>
              <w:top w:val="single" w:sz="8" w:space="0" w:color="auto"/>
              <w:left w:val="single" w:sz="8" w:space="0" w:color="auto"/>
              <w:bottom w:val="single" w:sz="8" w:space="0" w:color="auto"/>
              <w:right w:val="single" w:sz="8" w:space="0" w:color="auto"/>
            </w:tcBorders>
          </w:tcPr>
          <w:p w:rsidR="00DA7543" w:rsidRDefault="007C073D">
            <w:pPr>
              <w:rPr>
                <w:rFonts w:asciiTheme="minorHAnsi" w:hAnsiTheme="minorHAnsi" w:cstheme="minorHAnsi"/>
                <w:noProof/>
                <w:sz w:val="16"/>
                <w:szCs w:val="16"/>
                <w:lang w:val="en-IE"/>
              </w:rPr>
            </w:pPr>
            <w:r>
              <w:rPr>
                <w:rFonts w:asciiTheme="minorHAnsi" w:hAnsiTheme="minorHAnsi" w:cstheme="minorHAnsi"/>
                <w:noProof/>
                <w:sz w:val="16"/>
                <w:szCs w:val="16"/>
                <w:lang w:val="en-IE"/>
              </w:rPr>
              <w:t>NA</w:t>
            </w:r>
          </w:p>
        </w:tc>
        <w:tc>
          <w:tcPr>
            <w:tcW w:w="5328" w:type="dxa"/>
            <w:gridSpan w:val="6"/>
            <w:tcBorders>
              <w:top w:val="nil"/>
              <w:left w:val="single" w:sz="8" w:space="0" w:color="auto"/>
              <w:bottom w:val="nil"/>
              <w:right w:val="nil"/>
            </w:tcBorders>
            <w:vAlign w:val="center"/>
          </w:tcPr>
          <w:p w:rsidR="00DA7543" w:rsidRDefault="007C073D">
            <w:pPr>
              <w:rPr>
                <w:rFonts w:asciiTheme="minorHAnsi" w:hAnsiTheme="minorHAnsi" w:cstheme="minorHAnsi"/>
                <w:noProof/>
                <w:sz w:val="16"/>
                <w:szCs w:val="16"/>
                <w:lang w:val="en-IE"/>
              </w:rPr>
            </w:pPr>
            <w:r>
              <w:rPr>
                <w:rFonts w:asciiTheme="minorHAnsi" w:hAnsiTheme="minorHAnsi" w:cstheme="minorHAnsi"/>
                <w:noProof/>
                <w:sz w:val="16"/>
                <w:szCs w:val="16"/>
                <w:lang w:val="en-IE"/>
              </w:rPr>
              <w:t>No value/information provided/available in the NIR</w:t>
            </w:r>
          </w:p>
        </w:tc>
        <w:tc>
          <w:tcPr>
            <w:tcW w:w="949"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823"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c>
          <w:tcPr>
            <w:tcW w:w="949" w:type="dxa"/>
            <w:tcBorders>
              <w:top w:val="nil"/>
              <w:left w:val="nil"/>
              <w:bottom w:val="nil"/>
              <w:right w:val="nil"/>
            </w:tcBorders>
            <w:vAlign w:val="center"/>
          </w:tcPr>
          <w:p w:rsidR="00DA7543" w:rsidRDefault="00DA7543">
            <w:pPr>
              <w:jc w:val="center"/>
              <w:rPr>
                <w:rFonts w:asciiTheme="minorHAnsi" w:hAnsiTheme="minorHAnsi" w:cstheme="minorHAnsi"/>
                <w:noProof/>
                <w:sz w:val="16"/>
                <w:szCs w:val="16"/>
                <w:lang w:val="en-IE"/>
              </w:rPr>
            </w:pPr>
          </w:p>
        </w:tc>
      </w:tr>
    </w:tbl>
    <w:p w:rsidR="00DA7543" w:rsidRDefault="00DA7543">
      <w:pPr>
        <w:tabs>
          <w:tab w:val="left" w:pos="360"/>
        </w:tabs>
        <w:jc w:val="both"/>
        <w:rPr>
          <w:rFonts w:ascii="Times New Roman" w:hAnsi="Times New Roman" w:cs="Times New Roman"/>
          <w:noProof/>
          <w:sz w:val="24"/>
          <w:lang w:val="en-IE"/>
        </w:rPr>
      </w:pPr>
    </w:p>
    <w:p w:rsidR="00DA7543" w:rsidRDefault="007C073D">
      <w:pPr>
        <w:tabs>
          <w:tab w:val="left" w:pos="360"/>
        </w:tabs>
        <w:jc w:val="both"/>
        <w:rPr>
          <w:rFonts w:ascii="Times New Roman" w:hAnsi="Times New Roman" w:cs="Times New Roman"/>
          <w:noProof/>
          <w:color w:val="FF0000"/>
          <w:sz w:val="24"/>
          <w:lang w:val="en-IE"/>
        </w:rPr>
      </w:pPr>
      <w:r>
        <w:rPr>
          <w:rFonts w:ascii="Times New Roman" w:hAnsi="Times New Roman" w:cs="Times New Roman"/>
          <w:noProof/>
          <w:sz w:val="24"/>
          <w:lang w:val="en-IE"/>
        </w:rPr>
        <w:t xml:space="preserve">It should be noted that the values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_Ref51411587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2.1.2</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are those in the NIR, however the corresponding values in the NPF can be easily calculated from the NIR values and the percentage changes versus NPF:</w:t>
      </w:r>
    </w:p>
    <w:p w:rsidR="00DA7543" w:rsidRDefault="007C073D">
      <w:pPr>
        <w:tabs>
          <w:tab w:val="left" w:pos="360"/>
        </w:tabs>
        <w:rPr>
          <w:rFonts w:ascii="Times New Roman" w:hAnsi="Times New Roman" w:cs="Times New Roman"/>
          <w:noProof/>
          <w:sz w:val="24"/>
          <w:lang w:val="en-IE"/>
        </w:rPr>
      </w:pPr>
      <m:oMathPara>
        <m:oMath>
          <m:r>
            <w:rPr>
              <w:rFonts w:ascii="Cambria Math" w:hAnsi="Cambria Math" w:cs="Times New Roman"/>
              <w:noProof/>
              <w:sz w:val="24"/>
              <w:lang w:val="en-IE"/>
            </w:rPr>
            <m:t>NPF</m:t>
          </m:r>
          <m:r>
            <w:rPr>
              <w:rFonts w:ascii="Cambria Math" w:hAnsi="Cambria Math" w:cs="Times New Roman"/>
              <w:noProof/>
              <w:sz w:val="24"/>
              <w:lang w:val="en-IE"/>
            </w:rPr>
            <m:t xml:space="preserve"> </m:t>
          </m:r>
          <m:r>
            <w:rPr>
              <w:rFonts w:ascii="Cambria Math" w:hAnsi="Cambria Math" w:cs="Times New Roman"/>
              <w:noProof/>
              <w:sz w:val="24"/>
              <w:lang w:val="en-IE"/>
            </w:rPr>
            <m:t>value</m:t>
          </m:r>
          <m:r>
            <w:rPr>
              <w:rFonts w:ascii="Cambria Math" w:hAnsi="Cambria Math" w:cs="Times New Roman"/>
              <w:noProof/>
              <w:sz w:val="24"/>
              <w:lang w:val="en-IE"/>
            </w:rPr>
            <m:t xml:space="preserve">= </m:t>
          </m:r>
          <m:f>
            <m:fPr>
              <m:ctrlPr>
                <w:rPr>
                  <w:rFonts w:ascii="Cambria Math" w:hAnsi="Cambria Math" w:cs="Times New Roman"/>
                  <w:i/>
                  <w:noProof/>
                  <w:sz w:val="24"/>
                  <w:lang w:val="en-IE"/>
                </w:rPr>
              </m:ctrlPr>
            </m:fPr>
            <m:num>
              <m:r>
                <w:rPr>
                  <w:rFonts w:ascii="Cambria Math" w:hAnsi="Cambria Math" w:cs="Times New Roman"/>
                  <w:noProof/>
                  <w:sz w:val="24"/>
                  <w:lang w:val="en-IE"/>
                </w:rPr>
                <m:t>NIR</m:t>
              </m:r>
              <m:r>
                <w:rPr>
                  <w:rFonts w:ascii="Cambria Math" w:hAnsi="Cambria Math" w:cs="Times New Roman"/>
                  <w:noProof/>
                  <w:sz w:val="24"/>
                  <w:lang w:val="en-IE"/>
                </w:rPr>
                <m:t xml:space="preserve"> </m:t>
              </m:r>
              <m:r>
                <w:rPr>
                  <w:rFonts w:ascii="Cambria Math" w:hAnsi="Cambria Math" w:cs="Times New Roman"/>
                  <w:noProof/>
                  <w:sz w:val="24"/>
                  <w:lang w:val="en-IE"/>
                </w:rPr>
                <m:t>value</m:t>
              </m:r>
            </m:num>
            <m:den>
              <m:d>
                <m:dPr>
                  <m:ctrlPr>
                    <w:rPr>
                      <w:rFonts w:ascii="Cambria Math" w:hAnsi="Cambria Math" w:cs="Times New Roman"/>
                      <w:i/>
                      <w:noProof/>
                      <w:sz w:val="24"/>
                      <w:lang w:val="en-IE"/>
                    </w:rPr>
                  </m:ctrlPr>
                </m:dPr>
                <m:e>
                  <m:r>
                    <w:rPr>
                      <w:rFonts w:ascii="Cambria Math" w:hAnsi="Cambria Math" w:cs="Times New Roman"/>
                      <w:noProof/>
                      <w:sz w:val="24"/>
                      <w:lang w:val="en-IE"/>
                    </w:rPr>
                    <m:t>1+</m:t>
                  </m:r>
                  <m:f>
                    <m:fPr>
                      <m:ctrlPr>
                        <w:rPr>
                          <w:rFonts w:ascii="Cambria Math" w:hAnsi="Cambria Math" w:cs="Times New Roman"/>
                          <w:i/>
                          <w:noProof/>
                          <w:sz w:val="24"/>
                          <w:lang w:val="en-IE"/>
                        </w:rPr>
                      </m:ctrlPr>
                    </m:fPr>
                    <m:num>
                      <m:r>
                        <w:rPr>
                          <w:rFonts w:ascii="Cambria Math" w:hAnsi="Cambria Math" w:cs="Times New Roman"/>
                          <w:noProof/>
                          <w:sz w:val="24"/>
                          <w:lang w:val="en-IE"/>
                        </w:rPr>
                        <m:t>c</m:t>
                      </m:r>
                      <m:r>
                        <w:rPr>
                          <w:rFonts w:ascii="Cambria Math" w:hAnsi="Cambria Math" w:cs="Times New Roman"/>
                          <w:noProof/>
                          <w:sz w:val="24"/>
                          <w:lang w:val="en-IE"/>
                        </w:rPr>
                        <m:t>h</m:t>
                      </m:r>
                      <m:r>
                        <w:rPr>
                          <w:rFonts w:ascii="Cambria Math" w:hAnsi="Cambria Math" w:cs="Times New Roman"/>
                          <w:noProof/>
                          <w:sz w:val="24"/>
                          <w:lang w:val="en-IE"/>
                        </w:rPr>
                        <m:t>a</m:t>
                      </m:r>
                      <m:r>
                        <w:rPr>
                          <w:rFonts w:ascii="Cambria Math" w:hAnsi="Cambria Math" w:cs="Times New Roman"/>
                          <w:noProof/>
                          <w:sz w:val="24"/>
                          <w:lang w:val="en-IE"/>
                        </w:rPr>
                        <m:t>nge</m:t>
                      </m:r>
                      <m:d>
                        <m:dPr>
                          <m:begChr m:val="["/>
                          <m:endChr m:val="]"/>
                          <m:ctrlPr>
                            <w:rPr>
                              <w:rFonts w:ascii="Cambria Math" w:hAnsi="Cambria Math" w:cs="Times New Roman"/>
                              <w:i/>
                              <w:noProof/>
                              <w:sz w:val="24"/>
                              <w:lang w:val="en-IE"/>
                            </w:rPr>
                          </m:ctrlPr>
                        </m:dPr>
                        <m:e>
                          <m:r>
                            <w:rPr>
                              <w:rFonts w:ascii="Cambria Math" w:hAnsi="Cambria Math" w:cs="Times New Roman"/>
                              <w:noProof/>
                              <w:sz w:val="24"/>
                              <w:lang w:val="en-IE"/>
                            </w:rPr>
                            <m:t>%</m:t>
                          </m:r>
                        </m:e>
                      </m:d>
                    </m:num>
                    <m:den>
                      <m:r>
                        <w:rPr>
                          <w:rFonts w:ascii="Cambria Math" w:hAnsi="Cambria Math" w:cs="Times New Roman"/>
                          <w:noProof/>
                          <w:sz w:val="24"/>
                          <w:lang w:val="en-IE"/>
                        </w:rPr>
                        <m:t>100</m:t>
                      </m:r>
                    </m:den>
                  </m:f>
                </m:e>
              </m:d>
            </m:den>
          </m:f>
        </m:oMath>
      </m:oMathPara>
    </w:p>
    <w:p w:rsidR="00DA7543" w:rsidRDefault="007C073D">
      <w:pPr>
        <w:jc w:val="both"/>
        <w:rPr>
          <w:rFonts w:ascii="Times New Roman" w:hAnsi="Times New Roman" w:cs="Times New Roman"/>
          <w:noProof/>
          <w:sz w:val="24"/>
          <w:lang w:val="en-IE" w:eastAsia="en-IE"/>
        </w:rPr>
      </w:pPr>
      <w:bookmarkStart w:id="23" w:name="_Ref42452437"/>
      <w:r>
        <w:rPr>
          <w:rFonts w:ascii="Times New Roman" w:hAnsi="Times New Roman" w:cs="Times New Roman"/>
          <w:noProof/>
          <w:sz w:val="24"/>
          <w:lang w:val="en-IE" w:eastAsia="en-IE"/>
        </w:rPr>
        <w:t xml:space="preserve">When for a given column in Table 2.1.2-1 the NIR value is present and the corresponding cell “Change NIR vs NPF [%]” is empty, it means that the NPF did not contain the </w:t>
      </w:r>
      <w:r>
        <w:rPr>
          <w:rFonts w:ascii="Times New Roman" w:eastAsiaTheme="minorEastAsia" w:hAnsi="Times New Roman" w:cs="Times New Roman"/>
          <w:noProof/>
          <w:color w:val="000000"/>
          <w:kern w:val="24"/>
          <w:sz w:val="24"/>
          <w:lang w:val="en-IE" w:eastAsia="ro-RO"/>
        </w:rPr>
        <w:t>AFV estimates or AFI targets.</w:t>
      </w:r>
    </w:p>
    <w:p w:rsidR="00DA7543" w:rsidRDefault="007C073D">
      <w:pPr>
        <w:pStyle w:val="Heading3"/>
        <w:rPr>
          <w:rFonts w:ascii="Times New Roman" w:hAnsi="Times New Roman" w:cs="Times New Roman"/>
          <w:noProof/>
          <w:sz w:val="24"/>
          <w:lang w:val="en-IE" w:eastAsia="en-IE"/>
        </w:rPr>
      </w:pPr>
      <w:bookmarkStart w:id="24" w:name="_Toc55301685"/>
      <w:bookmarkStart w:id="25" w:name="_Toc65241939"/>
      <w:r>
        <w:rPr>
          <w:rFonts w:ascii="Times New Roman" w:hAnsi="Times New Roman" w:cs="Times New Roman"/>
          <w:noProof/>
          <w:sz w:val="24"/>
          <w:lang w:val="en-IE" w:eastAsia="en-IE"/>
        </w:rPr>
        <w:t xml:space="preserve">Progress assessment method for AFV-estimates </w:t>
      </w:r>
      <w:r>
        <w:rPr>
          <w:rFonts w:ascii="Times New Roman" w:hAnsi="Times New Roman" w:cs="Times New Roman"/>
          <w:noProof/>
          <w:sz w:val="24"/>
          <w:lang w:val="en-IE" w:eastAsia="en-IE"/>
        </w:rPr>
        <w:t>/ AFI-targets deployment</w:t>
      </w:r>
      <w:bookmarkEnd w:id="23"/>
      <w:bookmarkEnd w:id="24"/>
      <w:bookmarkEnd w:id="25"/>
    </w:p>
    <w:p w:rsidR="00DA7543" w:rsidRDefault="007C073D">
      <w:pPr>
        <w:shd w:val="clear" w:color="auto" w:fill="FFFFFF"/>
        <w:jc w:val="both"/>
        <w:rPr>
          <w:rFonts w:ascii="Times New Roman" w:hAnsi="Times New Roman" w:cs="Times New Roman"/>
          <w:noProof/>
          <w:sz w:val="24"/>
          <w:lang w:val="en-IE"/>
        </w:rPr>
      </w:pPr>
      <w:r>
        <w:rPr>
          <w:rFonts w:ascii="Times New Roman" w:hAnsi="Times New Roman" w:cs="Times New Roman"/>
          <w:noProof/>
          <w:sz w:val="24"/>
          <w:lang w:val="en-IE"/>
        </w:rPr>
        <w:t xml:space="preserve">The progress assessment evaluates what has been achieved at MS level between 2016 and 2018 regarding alternative fuels transport systems and infrastructure compared to the overall planned evolution in the NPF/NIR for the period </w:t>
      </w:r>
      <w:r>
        <w:rPr>
          <w:rFonts w:ascii="Times New Roman" w:hAnsi="Times New Roman" w:cs="Times New Roman"/>
          <w:noProof/>
          <w:sz w:val="24"/>
          <w:lang w:val="en-IE"/>
        </w:rPr>
        <w:t xml:space="preserve">2016-2030. Therefore, the progress is not influenced by the initial situation in 2016. Due to the different level of development of the </w:t>
      </w:r>
      <w:r>
        <w:rPr>
          <w:rFonts w:ascii="Times New Roman" w:hAnsi="Times New Roman" w:cs="Times New Roman"/>
          <w:noProof/>
          <w:sz w:val="24"/>
          <w:lang w:val="en-IE"/>
        </w:rPr>
        <w:lastRenderedPageBreak/>
        <w:t>various AF/AFV/AFI, both at MS level and at EU level, two separate cases have been identified and are treated differentl</w:t>
      </w:r>
      <w:r>
        <w:rPr>
          <w:rFonts w:ascii="Times New Roman" w:hAnsi="Times New Roman" w:cs="Times New Roman"/>
          <w:noProof/>
          <w:sz w:val="24"/>
          <w:lang w:val="en-IE"/>
        </w:rPr>
        <w:t>y.</w:t>
      </w:r>
    </w:p>
    <w:p w:rsidR="00DA7543" w:rsidRDefault="007C073D">
      <w:pPr>
        <w:pStyle w:val="ListParagraph"/>
        <w:numPr>
          <w:ilvl w:val="0"/>
          <w:numId w:val="11"/>
        </w:numPr>
        <w:shd w:val="clear" w:color="auto" w:fill="FFFFFF"/>
        <w:spacing w:after="160" w:line="259" w:lineRule="auto"/>
        <w:jc w:val="both"/>
        <w:rPr>
          <w:rFonts w:ascii="Times New Roman" w:eastAsia="Times New Roman" w:hAnsi="Times New Roman" w:cs="Times New Roman"/>
          <w:noProof/>
          <w:sz w:val="24"/>
          <w:lang w:val="en-IE" w:eastAsia="en-IE"/>
        </w:rPr>
      </w:pPr>
      <w:r>
        <w:rPr>
          <w:rFonts w:ascii="Times New Roman" w:hAnsi="Times New Roman" w:cs="Times New Roman"/>
          <w:noProof/>
          <w:sz w:val="24"/>
          <w:lang w:val="en-IE"/>
        </w:rPr>
        <w:t>For the electricity/road and CNG/road</w:t>
      </w:r>
      <w:r>
        <w:rPr>
          <w:rFonts w:ascii="Times New Roman" w:hAnsi="Times New Roman" w:cs="Times New Roman"/>
          <w:b/>
          <w:noProof/>
          <w:sz w:val="24"/>
          <w:lang w:val="en-IE"/>
        </w:rPr>
        <w:t xml:space="preserve"> </w:t>
      </w:r>
      <w:r>
        <w:rPr>
          <w:rFonts w:ascii="Times New Roman" w:hAnsi="Times New Roman" w:cs="Times New Roman"/>
          <w:noProof/>
          <w:sz w:val="24"/>
          <w:lang w:val="en-IE"/>
        </w:rPr>
        <w:t>pairs, where a clear evolution type could be identified in many MSs and at EU level, the progress is assessed following the next steps, which are described in detail in the mentioned subsections</w:t>
      </w:r>
      <w:r>
        <w:rPr>
          <w:rFonts w:ascii="Times New Roman" w:eastAsia="Times New Roman" w:hAnsi="Times New Roman" w:cs="Times New Roman"/>
          <w:noProof/>
          <w:sz w:val="24"/>
          <w:lang w:val="en-IE" w:eastAsia="en-IE"/>
        </w:rPr>
        <w:t>:</w:t>
      </w:r>
    </w:p>
    <w:p w:rsidR="00DA7543" w:rsidRDefault="007C073D">
      <w:pPr>
        <w:numPr>
          <w:ilvl w:val="1"/>
          <w:numId w:val="4"/>
        </w:numPr>
        <w:shd w:val="clear" w:color="auto" w:fill="FFFFFF"/>
        <w:tabs>
          <w:tab w:val="clear" w:pos="1440"/>
        </w:tabs>
        <w:ind w:left="284" w:hanging="284"/>
        <w:jc w:val="both"/>
        <w:rPr>
          <w:rFonts w:ascii="Times New Roman" w:eastAsia="Times New Roman" w:hAnsi="Times New Roman" w:cs="Times New Roman"/>
          <w:noProof/>
          <w:sz w:val="24"/>
          <w:lang w:val="en-IE" w:eastAsia="en-IE"/>
        </w:rPr>
      </w:pPr>
      <w:r>
        <w:rPr>
          <w:rFonts w:ascii="Times New Roman" w:eastAsia="Times New Roman" w:hAnsi="Times New Roman" w:cs="Times New Roman"/>
          <w:noProof/>
          <w:sz w:val="24"/>
          <w:lang w:val="en-IE" w:eastAsia="en-IE"/>
        </w:rPr>
        <w:t xml:space="preserve">Determination of </w:t>
      </w:r>
      <w:r>
        <w:rPr>
          <w:rFonts w:ascii="Times New Roman" w:eastAsia="Times New Roman" w:hAnsi="Times New Roman" w:cs="Times New Roman"/>
          <w:noProof/>
          <w:sz w:val="24"/>
          <w:lang w:val="en-IE" w:eastAsia="en-IE"/>
        </w:rPr>
        <w:t>the type of evolution at EU level for each of the two AFs from past available data until 2018, and 2020 foreseen situation in the NPF (see subsection 2.1.3.1);</w:t>
      </w:r>
    </w:p>
    <w:p w:rsidR="00DA7543" w:rsidRDefault="007C073D">
      <w:pPr>
        <w:numPr>
          <w:ilvl w:val="1"/>
          <w:numId w:val="4"/>
        </w:numPr>
        <w:shd w:val="clear" w:color="auto" w:fill="FFFFFF"/>
        <w:tabs>
          <w:tab w:val="clear" w:pos="1440"/>
        </w:tabs>
        <w:ind w:left="284" w:hanging="284"/>
        <w:jc w:val="both"/>
        <w:rPr>
          <w:rFonts w:ascii="Times New Roman" w:eastAsia="Times New Roman" w:hAnsi="Times New Roman" w:cs="Times New Roman"/>
          <w:noProof/>
          <w:sz w:val="24"/>
          <w:lang w:val="en-IE" w:eastAsia="en-IE"/>
        </w:rPr>
      </w:pPr>
      <w:r>
        <w:rPr>
          <w:rFonts w:ascii="Times New Roman" w:eastAsia="Times New Roman" w:hAnsi="Times New Roman" w:cs="Times New Roman"/>
          <w:noProof/>
          <w:sz w:val="24"/>
          <w:lang w:val="en-IE" w:eastAsia="en-IE"/>
        </w:rPr>
        <w:t>Determination of the areas of slow progress, adequate progress and fast progress (see subsection</w:t>
      </w:r>
      <w:r>
        <w:rPr>
          <w:rFonts w:ascii="Times New Roman" w:eastAsia="Times New Roman" w:hAnsi="Times New Roman" w:cs="Times New Roman"/>
          <w:noProof/>
          <w:sz w:val="24"/>
          <w:lang w:val="en-IE" w:eastAsia="en-IE"/>
        </w:rPr>
        <w:t xml:space="preserve"> 2.1.3.2);</w:t>
      </w:r>
    </w:p>
    <w:p w:rsidR="00DA7543" w:rsidRDefault="007C073D">
      <w:pPr>
        <w:pStyle w:val="ListParagraph"/>
        <w:numPr>
          <w:ilvl w:val="1"/>
          <w:numId w:val="4"/>
        </w:numPr>
        <w:tabs>
          <w:tab w:val="clear" w:pos="1440"/>
        </w:tabs>
        <w:spacing w:after="160" w:line="259" w:lineRule="auto"/>
        <w:ind w:left="284" w:hanging="284"/>
        <w:jc w:val="both"/>
        <w:rPr>
          <w:rFonts w:ascii="Times New Roman" w:eastAsia="Times New Roman" w:hAnsi="Times New Roman" w:cs="Times New Roman"/>
          <w:noProof/>
          <w:sz w:val="24"/>
          <w:lang w:val="en-IE" w:eastAsia="en-IE"/>
        </w:rPr>
      </w:pPr>
      <w:r>
        <w:rPr>
          <w:rFonts w:ascii="Times New Roman" w:eastAsia="Times New Roman" w:hAnsi="Times New Roman" w:cs="Times New Roman"/>
          <w:noProof/>
          <w:sz w:val="24"/>
          <w:lang w:val="en-IE" w:eastAsia="en-IE"/>
        </w:rPr>
        <w:t xml:space="preserve">Characterisation of the 2018 progress at MS level for AFV-estimates / AFI-targets deployment as </w:t>
      </w:r>
      <w:r>
        <w:rPr>
          <w:rFonts w:ascii="Times New Roman" w:eastAsia="Times New Roman" w:hAnsi="Times New Roman" w:cs="Times New Roman"/>
          <w:b/>
          <w:i/>
          <w:noProof/>
          <w:sz w:val="24"/>
          <w:lang w:val="en-IE" w:eastAsia="en-IE"/>
        </w:rPr>
        <w:t>fast</w:t>
      </w:r>
      <w:r>
        <w:rPr>
          <w:rFonts w:ascii="Times New Roman" w:eastAsia="Times New Roman" w:hAnsi="Times New Roman" w:cs="Times New Roman"/>
          <w:noProof/>
          <w:sz w:val="24"/>
          <w:lang w:val="en-IE" w:eastAsia="en-IE"/>
        </w:rPr>
        <w:t xml:space="preserve">, </w:t>
      </w:r>
      <w:r>
        <w:rPr>
          <w:rFonts w:ascii="Times New Roman" w:eastAsia="Times New Roman" w:hAnsi="Times New Roman" w:cs="Times New Roman"/>
          <w:b/>
          <w:i/>
          <w:noProof/>
          <w:sz w:val="24"/>
          <w:lang w:val="en-IE" w:eastAsia="en-IE"/>
        </w:rPr>
        <w:t>adequate</w:t>
      </w:r>
      <w:r>
        <w:rPr>
          <w:rFonts w:ascii="Times New Roman" w:eastAsia="Times New Roman" w:hAnsi="Times New Roman" w:cs="Times New Roman"/>
          <w:noProof/>
          <w:sz w:val="24"/>
          <w:lang w:val="en-IE" w:eastAsia="en-IE"/>
        </w:rPr>
        <w:t xml:space="preserve"> or </w:t>
      </w:r>
      <w:r>
        <w:rPr>
          <w:rFonts w:ascii="Times New Roman" w:eastAsia="Times New Roman" w:hAnsi="Times New Roman" w:cs="Times New Roman"/>
          <w:b/>
          <w:i/>
          <w:noProof/>
          <w:sz w:val="24"/>
          <w:lang w:val="en-IE" w:eastAsia="en-IE"/>
        </w:rPr>
        <w:t>slow</w:t>
      </w:r>
      <w:r>
        <w:rPr>
          <w:rFonts w:ascii="Times New Roman" w:eastAsia="Times New Roman" w:hAnsi="Times New Roman" w:cs="Times New Roman"/>
          <w:noProof/>
          <w:sz w:val="24"/>
          <w:lang w:val="en-IE" w:eastAsia="en-IE"/>
        </w:rPr>
        <w:t xml:space="preserve"> progress (see subsection 2.1.3.2).</w:t>
      </w:r>
    </w:p>
    <w:p w:rsidR="00DA7543" w:rsidRDefault="007C073D">
      <w:pPr>
        <w:shd w:val="clear" w:color="auto" w:fill="FFFFFF"/>
        <w:spacing w:after="120" w:line="240" w:lineRule="auto"/>
        <w:ind w:left="284"/>
        <w:jc w:val="both"/>
        <w:rPr>
          <w:rFonts w:ascii="Times New Roman" w:eastAsia="Times New Roman" w:hAnsi="Times New Roman" w:cs="Times New Roman"/>
          <w:noProof/>
          <w:sz w:val="24"/>
          <w:lang w:val="en-IE" w:eastAsia="en-IE"/>
        </w:rPr>
      </w:pPr>
      <w:r>
        <w:rPr>
          <w:rFonts w:ascii="Times New Roman" w:eastAsia="Times New Roman" w:hAnsi="Times New Roman" w:cs="Times New Roman"/>
          <w:noProof/>
          <w:sz w:val="24"/>
          <w:lang w:val="en-IE" w:eastAsia="en-IE"/>
        </w:rPr>
        <w:t xml:space="preserve">For these two AF/transport mode pairs, the progress type information is complemented by an </w:t>
      </w:r>
      <w:r>
        <w:rPr>
          <w:rFonts w:ascii="Times New Roman" w:eastAsia="Times New Roman" w:hAnsi="Times New Roman" w:cs="Times New Roman"/>
          <w:noProof/>
          <w:sz w:val="24"/>
          <w:lang w:val="en-IE" w:eastAsia="en-IE"/>
        </w:rPr>
        <w:t>evaluation of the AFV-estimates / AFI-targets growth rate of the foreseen evolution (see subsection 2.1.3.4).</w:t>
      </w:r>
    </w:p>
    <w:p w:rsidR="00DA7543" w:rsidRDefault="00DA7543">
      <w:pPr>
        <w:pStyle w:val="ListParagraph"/>
        <w:spacing w:after="120" w:line="240" w:lineRule="auto"/>
        <w:jc w:val="both"/>
        <w:rPr>
          <w:rFonts w:ascii="Times New Roman" w:hAnsi="Times New Roman" w:cs="Times New Roman"/>
          <w:b/>
          <w:noProof/>
          <w:sz w:val="24"/>
          <w:lang w:val="en-IE"/>
        </w:rPr>
      </w:pPr>
    </w:p>
    <w:p w:rsidR="00DA7543" w:rsidRDefault="007C073D">
      <w:pPr>
        <w:pStyle w:val="ListParagraph"/>
        <w:numPr>
          <w:ilvl w:val="0"/>
          <w:numId w:val="11"/>
        </w:numPr>
        <w:shd w:val="clear" w:color="auto" w:fill="FFFFFF"/>
        <w:spacing w:after="120" w:line="240" w:lineRule="auto"/>
        <w:jc w:val="both"/>
        <w:rPr>
          <w:rFonts w:ascii="Times New Roman" w:eastAsia="Times New Roman" w:hAnsi="Times New Roman" w:cs="Times New Roman"/>
          <w:noProof/>
          <w:sz w:val="24"/>
          <w:lang w:val="en-IE" w:eastAsia="en-IE"/>
        </w:rPr>
      </w:pPr>
      <w:r>
        <w:rPr>
          <w:rFonts w:ascii="Times New Roman" w:eastAsia="Times New Roman" w:hAnsi="Times New Roman" w:cs="Times New Roman"/>
          <w:noProof/>
          <w:sz w:val="24"/>
          <w:lang w:val="en-IE" w:eastAsia="en-IE"/>
        </w:rPr>
        <w:t xml:space="preserve">For all the other AF/transport mode pairs, for which a clear evolution type could not be identified, </w:t>
      </w:r>
      <w:r>
        <w:rPr>
          <w:rFonts w:ascii="Times New Roman" w:hAnsi="Times New Roman" w:cs="Times New Roman"/>
          <w:iCs/>
          <w:noProof/>
          <w:sz w:val="24"/>
          <w:lang w:val="en-IE"/>
        </w:rPr>
        <w:t xml:space="preserve">the 2018 progress of a MS for </w:t>
      </w:r>
      <w:r>
        <w:rPr>
          <w:rFonts w:ascii="Times New Roman" w:hAnsi="Times New Roman" w:cs="Times New Roman"/>
          <w:noProof/>
          <w:sz w:val="24"/>
          <w:lang w:val="en-IE"/>
        </w:rPr>
        <w:t>the correspond</w:t>
      </w:r>
      <w:r>
        <w:rPr>
          <w:rFonts w:ascii="Times New Roman" w:hAnsi="Times New Roman" w:cs="Times New Roman"/>
          <w:noProof/>
          <w:sz w:val="24"/>
          <w:lang w:val="en-IE"/>
        </w:rPr>
        <w:t>ing transport systems or infrastructure</w:t>
      </w:r>
      <w:r>
        <w:rPr>
          <w:rFonts w:ascii="Times New Roman" w:hAnsi="Times New Roman" w:cs="Times New Roman"/>
          <w:iCs/>
          <w:noProof/>
          <w:sz w:val="24"/>
          <w:lang w:val="en-IE"/>
        </w:rPr>
        <w:t xml:space="preserve"> deployment is obtained by dividing the achievement in the period 2016-2018 by the overall planned deployment during the period 2016-2030. Thus, </w:t>
      </w:r>
      <w:r>
        <w:rPr>
          <w:rFonts w:ascii="Times New Roman" w:eastAsia="Times New Roman" w:hAnsi="Times New Roman" w:cs="Times New Roman"/>
          <w:noProof/>
          <w:sz w:val="24"/>
          <w:lang w:val="en-IE" w:eastAsia="en-IE"/>
        </w:rPr>
        <w:t>the progress determination in these cases is based on the formula:</w:t>
      </w:r>
    </w:p>
    <w:p w:rsidR="00DA7543" w:rsidRDefault="007C073D">
      <w:pPr>
        <w:shd w:val="clear" w:color="auto" w:fill="FFFFFF"/>
        <w:spacing w:after="120" w:line="240" w:lineRule="auto"/>
        <w:jc w:val="center"/>
        <w:rPr>
          <w:rFonts w:ascii="Times New Roman" w:eastAsia="Times New Roman" w:hAnsi="Times New Roman" w:cs="Times New Roman"/>
          <w:iCs/>
          <w:noProof/>
          <w:sz w:val="24"/>
          <w:lang w:val="en-IE" w:eastAsia="en-IE"/>
        </w:rPr>
      </w:pPr>
      <w:r>
        <w:rPr>
          <w:rFonts w:ascii="Times New Roman" w:eastAsia="Times New Roman" w:hAnsi="Times New Roman" w:cs="Times New Roman"/>
          <w:i/>
          <w:noProof/>
          <w:sz w:val="28"/>
          <w:szCs w:val="24"/>
          <w:lang w:val="en-IE" w:eastAsia="en-IE"/>
        </w:rPr>
        <w:t>progr</w:t>
      </w:r>
      <w:r>
        <w:rPr>
          <w:rFonts w:ascii="Times New Roman" w:eastAsia="Times New Roman" w:hAnsi="Times New Roman" w:cs="Times New Roman"/>
          <w:i/>
          <w:noProof/>
          <w:sz w:val="28"/>
          <w:szCs w:val="24"/>
          <w:lang w:val="en-IE" w:eastAsia="en-IE"/>
        </w:rPr>
        <w:t xml:space="preserve">ess [%] = </w:t>
      </w:r>
      <m:oMath>
        <m:f>
          <m:fPr>
            <m:ctrlPr>
              <w:rPr>
                <w:rFonts w:ascii="Cambria Math" w:eastAsia="Times New Roman" w:hAnsi="Cambria Math" w:cs="Times New Roman"/>
                <w:i/>
                <w:iCs/>
                <w:noProof/>
                <w:sz w:val="28"/>
                <w:szCs w:val="24"/>
                <w:lang w:val="en-IE" w:eastAsia="en-IE"/>
              </w:rPr>
            </m:ctrlPr>
          </m:fPr>
          <m:num>
            <m:r>
              <m:rPr>
                <m:nor/>
              </m:rPr>
              <w:rPr>
                <w:rFonts w:ascii="Times New Roman" w:eastAsia="Times New Roman" w:hAnsi="Times New Roman" w:cs="Times New Roman"/>
                <w:i/>
                <w:noProof/>
                <w:sz w:val="28"/>
                <w:szCs w:val="24"/>
                <w:lang w:val="en-IE" w:eastAsia="en-IE"/>
              </w:rPr>
              <m:t>NIR</m:t>
            </m:r>
            <m:r>
              <m:rPr>
                <m:nor/>
              </m:rPr>
              <w:rPr>
                <w:rFonts w:ascii="Cambria Math" w:eastAsia="Times New Roman" w:hAnsi="Times New Roman" w:cs="Times New Roman"/>
                <w:i/>
                <w:noProof/>
                <w:sz w:val="28"/>
                <w:szCs w:val="24"/>
                <w:lang w:val="en-IE" w:eastAsia="en-IE"/>
              </w:rPr>
              <m:t xml:space="preserve"> </m:t>
            </m:r>
            <m:r>
              <m:rPr>
                <m:nor/>
              </m:rPr>
              <w:rPr>
                <w:rFonts w:ascii="Times New Roman" w:eastAsia="Times New Roman" w:hAnsi="Times New Roman" w:cs="Times New Roman"/>
                <w:i/>
                <w:noProof/>
                <w:sz w:val="28"/>
                <w:szCs w:val="24"/>
                <w:lang w:val="en-IE" w:eastAsia="en-IE"/>
              </w:rPr>
              <m:t>value (2018) - NIR</m:t>
            </m:r>
            <m:r>
              <m:rPr>
                <m:nor/>
              </m:rPr>
              <w:rPr>
                <w:rFonts w:ascii="Cambria Math" w:eastAsia="Times New Roman" w:hAnsi="Times New Roman" w:cs="Times New Roman"/>
                <w:i/>
                <w:noProof/>
                <w:sz w:val="28"/>
                <w:szCs w:val="24"/>
                <w:lang w:val="en-IE" w:eastAsia="en-IE"/>
              </w:rPr>
              <m:t xml:space="preserve"> </m:t>
            </m:r>
            <m:r>
              <m:rPr>
                <m:nor/>
              </m:rPr>
              <w:rPr>
                <w:rFonts w:ascii="Times New Roman" w:eastAsia="Times New Roman" w:hAnsi="Times New Roman" w:cs="Times New Roman"/>
                <w:i/>
                <w:noProof/>
                <w:sz w:val="28"/>
                <w:szCs w:val="24"/>
                <w:lang w:val="en-IE" w:eastAsia="en-IE"/>
              </w:rPr>
              <m:t>value (2016)</m:t>
            </m:r>
          </m:num>
          <m:den>
            <m:r>
              <m:rPr>
                <m:nor/>
              </m:rPr>
              <w:rPr>
                <w:rFonts w:ascii="Times New Roman" w:eastAsia="Times New Roman" w:hAnsi="Times New Roman" w:cs="Times New Roman"/>
                <w:i/>
                <w:noProof/>
                <w:sz w:val="28"/>
                <w:szCs w:val="24"/>
                <w:lang w:val="en-IE" w:eastAsia="en-IE"/>
              </w:rPr>
              <m:t>NIR value (2030) - NIR value (2016)</m:t>
            </m:r>
          </m:den>
        </m:f>
      </m:oMath>
      <w:r>
        <w:rPr>
          <w:rFonts w:ascii="Times New Roman" w:eastAsia="Times New Roman" w:hAnsi="Times New Roman" w:cs="Times New Roman"/>
          <w:i/>
          <w:iCs/>
          <w:noProof/>
          <w:sz w:val="28"/>
          <w:szCs w:val="24"/>
          <w:lang w:val="en-IE" w:eastAsia="en-IE"/>
        </w:rPr>
        <w:t xml:space="preserve"> *100</w:t>
      </w:r>
    </w:p>
    <w:p w:rsidR="00DA7543" w:rsidRDefault="00DA7543">
      <w:pPr>
        <w:shd w:val="clear" w:color="auto" w:fill="FFFFFF"/>
        <w:spacing w:after="0" w:line="240" w:lineRule="auto"/>
        <w:rPr>
          <w:rFonts w:ascii="Times New Roman" w:eastAsia="Times New Roman" w:hAnsi="Times New Roman" w:cs="Times New Roman"/>
          <w:noProof/>
          <w:color w:val="0070C0"/>
          <w:sz w:val="28"/>
          <w:szCs w:val="24"/>
          <w:lang w:val="en-IE" w:eastAsia="en-IE"/>
        </w:rPr>
      </w:pPr>
    </w:p>
    <w:p w:rsidR="00DA7543" w:rsidRDefault="007C073D">
      <w:pPr>
        <w:pStyle w:val="Heading4"/>
        <w:rPr>
          <w:rFonts w:ascii="Times New Roman" w:eastAsia="Times New Roman" w:hAnsi="Times New Roman" w:cs="Times New Roman"/>
          <w:noProof/>
          <w:sz w:val="28"/>
          <w:szCs w:val="24"/>
          <w:lang w:val="en-IE" w:eastAsia="en-IE"/>
        </w:rPr>
      </w:pPr>
      <w:bookmarkStart w:id="26" w:name="_Ref35867136"/>
      <w:r>
        <w:rPr>
          <w:rFonts w:ascii="Times New Roman" w:hAnsi="Times New Roman" w:cs="Times New Roman"/>
          <w:noProof/>
          <w:sz w:val="24"/>
          <w:lang w:val="en-IE"/>
        </w:rPr>
        <w:t>EU level analysis – evolution type determination</w:t>
      </w:r>
      <w:bookmarkEnd w:id="26"/>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For the electricity/road and CNG/road pairs, the type of evolution at EU level was determined from available past data</w:t>
      </w:r>
      <w:r>
        <w:rPr>
          <w:rFonts w:ascii="Times New Roman" w:hAnsi="Times New Roman" w:cs="Times New Roman"/>
          <w:noProof/>
          <w:sz w:val="24"/>
        </w:rPr>
        <w:t xml:space="preserve"> from the </w:t>
      </w:r>
      <w:r>
        <w:rPr>
          <w:rFonts w:ascii="Times New Roman" w:hAnsi="Times New Roman" w:cs="Times New Roman"/>
          <w:noProof/>
          <w:sz w:val="24"/>
          <w:lang w:val="en-IE"/>
        </w:rPr>
        <w:t>European Alternative Fuels Observatory (EAFO)</w:t>
      </w:r>
      <w:r>
        <w:rPr>
          <w:rStyle w:val="FootnoteReference"/>
          <w:rFonts w:ascii="Times New Roman" w:hAnsi="Times New Roman" w:cs="Times New Roman"/>
          <w:noProof/>
          <w:sz w:val="24"/>
          <w:lang w:val="en-IE"/>
        </w:rPr>
        <w:footnoteReference w:id="4"/>
      </w:r>
      <w:r>
        <w:rPr>
          <w:rFonts w:ascii="Times New Roman" w:hAnsi="Times New Roman" w:cs="Times New Roman"/>
          <w:noProof/>
          <w:sz w:val="24"/>
          <w:lang w:val="en-IE"/>
        </w:rPr>
        <w:t xml:space="preserve"> and future 2020 AFV-estimates / AFI-targets provided by the MSs in their NPFs. The highest </w:t>
      </w:r>
      <w:r>
        <w:rPr>
          <w:rFonts w:ascii="Times New Roman" w:eastAsia="Times New Roman" w:hAnsi="Times New Roman" w:cs="Times New Roman"/>
          <w:noProof/>
          <w:sz w:val="24"/>
          <w:lang w:val="en-IE" w:eastAsia="en-IE"/>
        </w:rPr>
        <w:t>coefficient of determination</w:t>
      </w:r>
      <w:r>
        <w:rPr>
          <w:rFonts w:ascii="Times New Roman" w:hAnsi="Times New Roman" w:cs="Times New Roman"/>
          <w:noProof/>
          <w:sz w:val="24"/>
          <w:lang w:val="en-IE"/>
        </w:rPr>
        <w:t xml:space="preserve"> R</w:t>
      </w:r>
      <w:r>
        <w:rPr>
          <w:rFonts w:ascii="Times New Roman" w:hAnsi="Times New Roman" w:cs="Times New Roman"/>
          <w:noProof/>
          <w:sz w:val="24"/>
          <w:vertAlign w:val="superscript"/>
          <w:lang w:val="en-IE"/>
        </w:rPr>
        <w:t>2</w:t>
      </w:r>
      <w:r>
        <w:rPr>
          <w:rFonts w:ascii="Times New Roman" w:hAnsi="Times New Roman" w:cs="Times New Roman"/>
          <w:noProof/>
          <w:sz w:val="24"/>
          <w:lang w:val="en-IE"/>
        </w:rPr>
        <w:t xml:space="preserve"> that </w:t>
      </w:r>
      <w:r>
        <w:rPr>
          <w:rFonts w:ascii="Times New Roman" w:eastAsia="Times New Roman" w:hAnsi="Times New Roman" w:cs="Times New Roman"/>
          <w:noProof/>
          <w:color w:val="000000" w:themeColor="text1"/>
          <w:sz w:val="24"/>
          <w:lang w:val="en-IE" w:eastAsia="en-IE"/>
        </w:rPr>
        <w:t xml:space="preserve">described the goodness of the fit </w:t>
      </w:r>
      <w:r>
        <w:rPr>
          <w:rFonts w:ascii="Times New Roman" w:hAnsi="Times New Roman" w:cs="Times New Roman"/>
          <w:noProof/>
          <w:sz w:val="24"/>
          <w:lang w:val="en-IE"/>
        </w:rPr>
        <w:t xml:space="preserve">was used as criterion to establish </w:t>
      </w:r>
      <w:r>
        <w:rPr>
          <w:rFonts w:ascii="Times New Roman" w:hAnsi="Times New Roman" w:cs="Times New Roman"/>
          <w:noProof/>
          <w:sz w:val="24"/>
          <w:lang w:val="en-IE"/>
        </w:rPr>
        <w:t>the best fitting curve to these data (exponential, linear, logarithmic or power). This identified curve type provided the type of evolution at EU level that was then considered to perform the MS level progress assessment</w:t>
      </w:r>
      <w:r>
        <w:rPr>
          <w:rFonts w:ascii="Times New Roman" w:eastAsia="Times New Roman" w:hAnsi="Times New Roman" w:cs="Times New Roman"/>
          <w:noProof/>
          <w:color w:val="000000" w:themeColor="text1"/>
          <w:sz w:val="24"/>
          <w:lang w:val="en-IE" w:eastAsia="en-IE"/>
        </w:rPr>
        <w:t>.</w:t>
      </w:r>
    </w:p>
    <w:p w:rsidR="00DA7543" w:rsidRDefault="007C073D">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Electricity/road example</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Using pas</w:t>
      </w:r>
      <w:r>
        <w:rPr>
          <w:rFonts w:ascii="Times New Roman" w:hAnsi="Times New Roman" w:cs="Times New Roman"/>
          <w:noProof/>
          <w:sz w:val="24"/>
          <w:lang w:val="en-IE"/>
        </w:rPr>
        <w:t xml:space="preserve">t data (2008–2018) regarding electric vehicles (EVs) from EAFO and 2020 EV estimates from the NPFs, the results depicted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_Ref42462087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2.1.3</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are obtained a</w:t>
      </w:r>
      <w:r>
        <w:rPr>
          <w:rFonts w:ascii="Times New Roman" w:hAnsi="Times New Roman" w:cs="Times New Roman"/>
          <w:noProof/>
          <w:sz w:val="24"/>
          <w:lang w:val="en-IE"/>
        </w:rPr>
        <w:t>t EU level:</w:t>
      </w:r>
    </w:p>
    <w:p w:rsidR="00DA7543" w:rsidRDefault="00DA7543">
      <w:pPr>
        <w:rPr>
          <w:rFonts w:ascii="Times New Roman" w:hAnsi="Times New Roman" w:cs="Times New Roman"/>
          <w:noProof/>
          <w:sz w:val="24"/>
          <w:lang w:val="en-IE"/>
        </w:rPr>
      </w:pPr>
    </w:p>
    <w:p w:rsidR="00DA7543" w:rsidRDefault="007C073D">
      <w:pPr>
        <w:ind w:hanging="284"/>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73303" cy="360000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2.1.3.1-2.jpg"/>
                    <pic:cNvPicPr/>
                  </pic:nvPicPr>
                  <pic:blipFill>
                    <a:blip r:embed="rId16">
                      <a:extLst>
                        <a:ext uri="{28A0092B-C50C-407E-A947-70E740481C1C}">
                          <a14:useLocalDpi xmlns:a14="http://schemas.microsoft.com/office/drawing/2010/main" val="0"/>
                        </a:ext>
                      </a:extLst>
                    </a:blip>
                    <a:stretch>
                      <a:fillRect/>
                    </a:stretch>
                  </pic:blipFill>
                  <pic:spPr>
                    <a:xfrm>
                      <a:off x="0" y="0"/>
                      <a:ext cx="5473303" cy="3600000"/>
                    </a:xfrm>
                    <a:prstGeom prst="rect">
                      <a:avLst/>
                    </a:prstGeom>
                  </pic:spPr>
                </pic:pic>
              </a:graphicData>
            </a:graphic>
          </wp:inline>
        </w:drawing>
      </w:r>
    </w:p>
    <w:p w:rsidR="00DA7543" w:rsidRDefault="007C073D">
      <w:pPr>
        <w:spacing w:after="120" w:line="240" w:lineRule="auto"/>
        <w:jc w:val="both"/>
        <w:rPr>
          <w:rFonts w:ascii="Times New Roman" w:hAnsi="Times New Roman" w:cs="Times New Roman"/>
          <w:noProof/>
          <w:sz w:val="20"/>
          <w:szCs w:val="18"/>
          <w:lang w:val="en-IE"/>
        </w:rPr>
      </w:pPr>
      <w:bookmarkStart w:id="27" w:name="_Ref42462087"/>
      <w:bookmarkStart w:id="28" w:name="_Ref42462075"/>
      <w:r>
        <w:rPr>
          <w:rFonts w:ascii="Times New Roman" w:hAnsi="Times New Roman" w:cs="Times New Roman"/>
          <w:noProof/>
          <w:sz w:val="20"/>
          <w:szCs w:val="18"/>
          <w:lang w:val="en-IE"/>
        </w:rPr>
        <w:t xml:space="preserve">Figure </w:t>
      </w:r>
      <w:r>
        <w:rPr>
          <w:rFonts w:ascii="Times New Roman" w:hAnsi="Times New Roman" w:cs="Times New Roman"/>
          <w:noProof/>
          <w:sz w:val="20"/>
          <w:szCs w:val="18"/>
          <w:lang w:val="en-IE"/>
        </w:rPr>
        <w:fldChar w:fldCharType="begin"/>
      </w:r>
      <w:r>
        <w:rPr>
          <w:rFonts w:ascii="Times New Roman" w:hAnsi="Times New Roman" w:cs="Times New Roman"/>
          <w:noProof/>
          <w:sz w:val="20"/>
          <w:szCs w:val="18"/>
          <w:lang w:val="en-IE"/>
        </w:rPr>
        <w:instrText xml:space="preserve"> STYLEREF 3 \s </w:instrText>
      </w:r>
      <w:r>
        <w:rPr>
          <w:rFonts w:ascii="Times New Roman" w:hAnsi="Times New Roman" w:cs="Times New Roman"/>
          <w:noProof/>
          <w:sz w:val="20"/>
          <w:szCs w:val="18"/>
          <w:lang w:val="en-IE"/>
        </w:rPr>
        <w:fldChar w:fldCharType="separate"/>
      </w:r>
      <w:r>
        <w:rPr>
          <w:rFonts w:ascii="Times New Roman" w:hAnsi="Times New Roman" w:cs="Times New Roman"/>
          <w:noProof/>
          <w:sz w:val="20"/>
          <w:szCs w:val="18"/>
          <w:lang w:val="en-IE"/>
        </w:rPr>
        <w:t>2.1.3</w:t>
      </w:r>
      <w:r>
        <w:rPr>
          <w:rFonts w:ascii="Times New Roman" w:hAnsi="Times New Roman" w:cs="Times New Roman"/>
          <w:noProof/>
          <w:sz w:val="20"/>
          <w:szCs w:val="18"/>
          <w:lang w:val="en-IE"/>
        </w:rPr>
        <w:fldChar w:fldCharType="end"/>
      </w:r>
      <w:r>
        <w:rPr>
          <w:rFonts w:ascii="Times New Roman" w:hAnsi="Times New Roman" w:cs="Times New Roman"/>
          <w:noProof/>
          <w:sz w:val="20"/>
          <w:szCs w:val="18"/>
          <w:lang w:val="en-IE"/>
        </w:rPr>
        <w:noBreakHyphen/>
      </w:r>
      <w:r>
        <w:rPr>
          <w:rFonts w:ascii="Times New Roman" w:hAnsi="Times New Roman" w:cs="Times New Roman"/>
          <w:noProof/>
          <w:sz w:val="20"/>
          <w:szCs w:val="18"/>
          <w:lang w:val="en-IE"/>
        </w:rPr>
        <w:fldChar w:fldCharType="begin"/>
      </w:r>
      <w:r>
        <w:rPr>
          <w:rFonts w:ascii="Times New Roman" w:hAnsi="Times New Roman" w:cs="Times New Roman"/>
          <w:noProof/>
          <w:sz w:val="20"/>
          <w:szCs w:val="18"/>
          <w:lang w:val="en-IE"/>
        </w:rPr>
        <w:instrText xml:space="preserve"> SEQ Figure \* ARABIC \s 3 </w:instrText>
      </w:r>
      <w:r>
        <w:rPr>
          <w:rFonts w:ascii="Times New Roman" w:hAnsi="Times New Roman" w:cs="Times New Roman"/>
          <w:noProof/>
          <w:sz w:val="20"/>
          <w:szCs w:val="18"/>
          <w:lang w:val="en-IE"/>
        </w:rPr>
        <w:fldChar w:fldCharType="separate"/>
      </w:r>
      <w:r>
        <w:rPr>
          <w:rFonts w:ascii="Times New Roman" w:hAnsi="Times New Roman" w:cs="Times New Roman"/>
          <w:noProof/>
          <w:sz w:val="20"/>
          <w:szCs w:val="18"/>
          <w:lang w:val="en-IE"/>
        </w:rPr>
        <w:t>1</w:t>
      </w:r>
      <w:r>
        <w:rPr>
          <w:rFonts w:ascii="Times New Roman" w:hAnsi="Times New Roman" w:cs="Times New Roman"/>
          <w:noProof/>
          <w:sz w:val="20"/>
          <w:szCs w:val="18"/>
          <w:lang w:val="en-IE"/>
        </w:rPr>
        <w:fldChar w:fldCharType="end"/>
      </w:r>
      <w:bookmarkEnd w:id="27"/>
      <w:r>
        <w:rPr>
          <w:rFonts w:ascii="Times New Roman" w:hAnsi="Times New Roman" w:cs="Times New Roman"/>
          <w:noProof/>
          <w:sz w:val="20"/>
          <w:szCs w:val="18"/>
          <w:lang w:val="en-IE"/>
        </w:rPr>
        <w:t xml:space="preserve"> Evolution of EV number at EU level (source of data – EAFO for 2008-2018, NPFs – 2020 estimates)</w:t>
      </w:r>
      <w:bookmarkEnd w:id="28"/>
    </w:p>
    <w:p w:rsidR="00DA7543" w:rsidRDefault="007C073D">
      <w:pPr>
        <w:jc w:val="both"/>
        <w:rPr>
          <w:rFonts w:ascii="Times New Roman" w:hAnsi="Times New Roman" w:cs="Times New Roman"/>
          <w:b/>
          <w:noProof/>
          <w:sz w:val="24"/>
          <w:lang w:val="en-IE"/>
        </w:rPr>
      </w:pPr>
      <w:r>
        <w:rPr>
          <w:rFonts w:ascii="Times New Roman" w:hAnsi="Times New Roman" w:cs="Times New Roman"/>
          <w:noProof/>
          <w:sz w:val="24"/>
          <w:lang w:val="en-IE"/>
        </w:rPr>
        <w:t xml:space="preserve">Considering the highest </w:t>
      </w:r>
      <w:r>
        <w:rPr>
          <w:rFonts w:ascii="Times New Roman" w:eastAsia="Times New Roman" w:hAnsi="Times New Roman" w:cs="Times New Roman"/>
          <w:noProof/>
          <w:sz w:val="24"/>
          <w:lang w:val="en-IE" w:eastAsia="en-IE"/>
        </w:rPr>
        <w:t>coefficient of determination</w:t>
      </w:r>
      <w:r>
        <w:rPr>
          <w:rFonts w:ascii="Times New Roman" w:hAnsi="Times New Roman" w:cs="Times New Roman"/>
          <w:noProof/>
          <w:sz w:val="24"/>
          <w:lang w:val="en-IE"/>
        </w:rPr>
        <w:t xml:space="preserve"> R</w:t>
      </w:r>
      <w:r>
        <w:rPr>
          <w:rFonts w:ascii="Times New Roman" w:hAnsi="Times New Roman" w:cs="Times New Roman"/>
          <w:noProof/>
          <w:sz w:val="24"/>
          <w:vertAlign w:val="superscript"/>
          <w:lang w:val="en-IE"/>
        </w:rPr>
        <w:t>2</w:t>
      </w:r>
      <w:r>
        <w:rPr>
          <w:rFonts w:ascii="Times New Roman" w:hAnsi="Times New Roman" w:cs="Times New Roman"/>
          <w:noProof/>
          <w:sz w:val="24"/>
          <w:lang w:val="en-IE"/>
        </w:rPr>
        <w:t xml:space="preserve"> as criterion to establish the best fitting curve, the result is that </w:t>
      </w:r>
      <w:r>
        <w:rPr>
          <w:rFonts w:ascii="Times New Roman" w:hAnsi="Times New Roman" w:cs="Times New Roman"/>
          <w:b/>
          <w:noProof/>
          <w:sz w:val="24"/>
          <w:lang w:val="en-IE"/>
        </w:rPr>
        <w:t xml:space="preserve">best_fit = exponential </w:t>
      </w:r>
      <w:r>
        <w:rPr>
          <w:rFonts w:ascii="Times New Roman" w:hAnsi="Times New Roman" w:cs="Times New Roman"/>
          <w:noProof/>
          <w:sz w:val="24"/>
          <w:lang w:val="en-IE"/>
        </w:rPr>
        <w:t>(R</w:t>
      </w:r>
      <w:r>
        <w:rPr>
          <w:rFonts w:ascii="Times New Roman" w:hAnsi="Times New Roman" w:cs="Times New Roman"/>
          <w:noProof/>
          <w:sz w:val="24"/>
          <w:vertAlign w:val="superscript"/>
          <w:lang w:val="en-IE"/>
        </w:rPr>
        <w:t>2</w:t>
      </w:r>
      <w:r>
        <w:rPr>
          <w:rFonts w:ascii="Times New Roman" w:hAnsi="Times New Roman" w:cs="Times New Roman"/>
          <w:noProof/>
          <w:sz w:val="24"/>
          <w:lang w:val="en-IE"/>
        </w:rPr>
        <w:t xml:space="preserve"> = 0.9785).</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For recharging points, </w:t>
      </w:r>
      <w:r>
        <w:rPr>
          <w:rFonts w:ascii="Times New Roman" w:hAnsi="Times New Roman" w:cs="Times New Roman"/>
          <w:b/>
          <w:noProof/>
          <w:sz w:val="24"/>
          <w:lang w:val="en-IE"/>
        </w:rPr>
        <w:t xml:space="preserve">best_fit = exponential </w:t>
      </w:r>
      <w:r>
        <w:rPr>
          <w:rFonts w:ascii="Times New Roman" w:hAnsi="Times New Roman" w:cs="Times New Roman"/>
          <w:noProof/>
          <w:sz w:val="24"/>
          <w:lang w:val="en-IE"/>
        </w:rPr>
        <w:t>is also chosen for the following reasons:</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 it is assumed that vehicles are the driving force for the </w:t>
      </w:r>
      <w:r>
        <w:rPr>
          <w:rFonts w:ascii="Times New Roman" w:hAnsi="Times New Roman" w:cs="Times New Roman"/>
          <w:noProof/>
          <w:sz w:val="24"/>
          <w:lang w:val="en-IE"/>
        </w:rPr>
        <w:t>uptake of AF transport systems and infrastructure will follow;</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the AFI Directive foresees the electric vehicles and infrastructure having a synchronised development, meaning the same evolution type as it recommends a ratio of 10 between electric vehicles</w:t>
      </w:r>
      <w:r>
        <w:rPr>
          <w:rFonts w:ascii="Times New Roman" w:hAnsi="Times New Roman" w:cs="Times New Roman"/>
          <w:noProof/>
          <w:sz w:val="24"/>
          <w:lang w:val="en-IE"/>
        </w:rPr>
        <w:t xml:space="preserve"> and infrastructure.</w:t>
      </w:r>
    </w:p>
    <w:p w:rsidR="00DA7543" w:rsidRDefault="007C073D">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 xml:space="preserve">CNG/road example </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Using past CNG vehicle data (2008–2018) from EAFO and 2020 CNG vehicle estimates from the NPFs, the results depicted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_Ref42462915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2.1.3</w:t>
      </w:r>
      <w:r>
        <w:rPr>
          <w:rFonts w:ascii="Times New Roman" w:hAnsi="Times New Roman" w:cs="Times New Roman"/>
          <w:noProof/>
          <w:sz w:val="24"/>
          <w:lang w:val="en-IE"/>
        </w:rPr>
        <w:noBreakHyphen/>
        <w:t>2</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are obtained at EU level:</w:t>
      </w:r>
    </w:p>
    <w:p w:rsidR="00DA7543" w:rsidRDefault="00DA7543">
      <w:pPr>
        <w:rPr>
          <w:rFonts w:ascii="Times New Roman" w:hAnsi="Times New Roman" w:cs="Times New Roman"/>
          <w:noProof/>
          <w:sz w:val="24"/>
          <w:lang w:val="en-IE"/>
        </w:rPr>
      </w:pPr>
    </w:p>
    <w:p w:rsidR="00DA7543" w:rsidRDefault="00DA7543">
      <w:pPr>
        <w:rPr>
          <w:rFonts w:ascii="Times New Roman" w:hAnsi="Times New Roman" w:cs="Times New Roman"/>
          <w:noProof/>
          <w:sz w:val="24"/>
          <w:lang w:val="en-IE"/>
        </w:rPr>
      </w:pPr>
    </w:p>
    <w:p w:rsidR="00DA7543" w:rsidRDefault="007C073D">
      <w:pPr>
        <w:ind w:hanging="567"/>
        <w:jc w:val="center"/>
        <w:rPr>
          <w:rFonts w:ascii="Times New Roman" w:hAnsi="Times New Roman" w:cs="Times New Roman"/>
          <w:noProof/>
          <w:sz w:val="28"/>
          <w:szCs w:val="24"/>
          <w:lang w:val="en-IE"/>
        </w:rPr>
      </w:pPr>
      <w:r>
        <w:rPr>
          <w:rFonts w:ascii="Times New Roman" w:hAnsi="Times New Roman" w:cs="Times New Roman"/>
          <w:noProof/>
          <w:sz w:val="28"/>
          <w:szCs w:val="24"/>
          <w:lang w:eastAsia="en-GB"/>
        </w:rPr>
        <w:drawing>
          <wp:inline distT="0" distB="0" distL="0" distR="0">
            <wp:extent cx="5499852" cy="3553200"/>
            <wp:effectExtent l="0" t="0" r="571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2.1.3.2-2.jpg"/>
                    <pic:cNvPicPr/>
                  </pic:nvPicPr>
                  <pic:blipFill>
                    <a:blip r:embed="rId17">
                      <a:extLst>
                        <a:ext uri="{28A0092B-C50C-407E-A947-70E740481C1C}">
                          <a14:useLocalDpi xmlns:a14="http://schemas.microsoft.com/office/drawing/2010/main" val="0"/>
                        </a:ext>
                      </a:extLst>
                    </a:blip>
                    <a:stretch>
                      <a:fillRect/>
                    </a:stretch>
                  </pic:blipFill>
                  <pic:spPr>
                    <a:xfrm>
                      <a:off x="0" y="0"/>
                      <a:ext cx="5499852" cy="3553200"/>
                    </a:xfrm>
                    <a:prstGeom prst="rect">
                      <a:avLst/>
                    </a:prstGeom>
                  </pic:spPr>
                </pic:pic>
              </a:graphicData>
            </a:graphic>
          </wp:inline>
        </w:drawing>
      </w:r>
    </w:p>
    <w:p w:rsidR="00DA7543" w:rsidRDefault="007C073D">
      <w:pPr>
        <w:spacing w:after="120" w:line="240" w:lineRule="auto"/>
        <w:jc w:val="both"/>
        <w:rPr>
          <w:rFonts w:ascii="Times New Roman" w:hAnsi="Times New Roman" w:cs="Times New Roman"/>
          <w:noProof/>
          <w:sz w:val="20"/>
          <w:szCs w:val="18"/>
          <w:lang w:val="en-IE"/>
        </w:rPr>
      </w:pPr>
      <w:bookmarkStart w:id="29" w:name="_Ref42462915"/>
      <w:r>
        <w:rPr>
          <w:rFonts w:ascii="Times New Roman" w:hAnsi="Times New Roman" w:cs="Times New Roman"/>
          <w:noProof/>
          <w:sz w:val="20"/>
          <w:szCs w:val="18"/>
          <w:lang w:val="en-IE"/>
        </w:rPr>
        <w:t xml:space="preserve">Figure </w:t>
      </w:r>
      <w:r>
        <w:rPr>
          <w:rFonts w:ascii="Times New Roman" w:hAnsi="Times New Roman" w:cs="Times New Roman"/>
          <w:noProof/>
          <w:sz w:val="20"/>
          <w:szCs w:val="18"/>
          <w:lang w:val="en-IE"/>
        </w:rPr>
        <w:fldChar w:fldCharType="begin"/>
      </w:r>
      <w:r>
        <w:rPr>
          <w:rFonts w:ascii="Times New Roman" w:hAnsi="Times New Roman" w:cs="Times New Roman"/>
          <w:noProof/>
          <w:sz w:val="20"/>
          <w:szCs w:val="18"/>
          <w:lang w:val="en-IE"/>
        </w:rPr>
        <w:instrText xml:space="preserve"> STYLEREF 3 \s </w:instrText>
      </w:r>
      <w:r>
        <w:rPr>
          <w:rFonts w:ascii="Times New Roman" w:hAnsi="Times New Roman" w:cs="Times New Roman"/>
          <w:noProof/>
          <w:sz w:val="20"/>
          <w:szCs w:val="18"/>
          <w:lang w:val="en-IE"/>
        </w:rPr>
        <w:fldChar w:fldCharType="separate"/>
      </w:r>
      <w:r>
        <w:rPr>
          <w:rFonts w:ascii="Times New Roman" w:hAnsi="Times New Roman" w:cs="Times New Roman"/>
          <w:noProof/>
          <w:sz w:val="20"/>
          <w:szCs w:val="18"/>
          <w:lang w:val="en-IE"/>
        </w:rPr>
        <w:t>2.1.3</w:t>
      </w:r>
      <w:r>
        <w:rPr>
          <w:rFonts w:ascii="Times New Roman" w:hAnsi="Times New Roman" w:cs="Times New Roman"/>
          <w:noProof/>
          <w:sz w:val="20"/>
          <w:szCs w:val="18"/>
          <w:lang w:val="en-IE"/>
        </w:rPr>
        <w:fldChar w:fldCharType="end"/>
      </w:r>
      <w:r>
        <w:rPr>
          <w:rFonts w:ascii="Times New Roman" w:hAnsi="Times New Roman" w:cs="Times New Roman"/>
          <w:noProof/>
          <w:sz w:val="20"/>
          <w:szCs w:val="18"/>
          <w:lang w:val="en-IE"/>
        </w:rPr>
        <w:noBreakHyphen/>
      </w:r>
      <w:r>
        <w:rPr>
          <w:rFonts w:ascii="Times New Roman" w:hAnsi="Times New Roman" w:cs="Times New Roman"/>
          <w:noProof/>
          <w:sz w:val="20"/>
          <w:szCs w:val="18"/>
          <w:lang w:val="en-IE"/>
        </w:rPr>
        <w:fldChar w:fldCharType="begin"/>
      </w:r>
      <w:r>
        <w:rPr>
          <w:rFonts w:ascii="Times New Roman" w:hAnsi="Times New Roman" w:cs="Times New Roman"/>
          <w:noProof/>
          <w:sz w:val="20"/>
          <w:szCs w:val="18"/>
          <w:lang w:val="en-IE"/>
        </w:rPr>
        <w:instrText xml:space="preserve"> SEQ Figure \* ARABIC \s 3 </w:instrText>
      </w:r>
      <w:r>
        <w:rPr>
          <w:rFonts w:ascii="Times New Roman" w:hAnsi="Times New Roman" w:cs="Times New Roman"/>
          <w:noProof/>
          <w:sz w:val="20"/>
          <w:szCs w:val="18"/>
          <w:lang w:val="en-IE"/>
        </w:rPr>
        <w:fldChar w:fldCharType="separate"/>
      </w:r>
      <w:r>
        <w:rPr>
          <w:rFonts w:ascii="Times New Roman" w:hAnsi="Times New Roman" w:cs="Times New Roman"/>
          <w:noProof/>
          <w:sz w:val="20"/>
          <w:szCs w:val="18"/>
          <w:lang w:val="en-IE"/>
        </w:rPr>
        <w:t>2</w:t>
      </w:r>
      <w:r>
        <w:rPr>
          <w:rFonts w:ascii="Times New Roman" w:hAnsi="Times New Roman" w:cs="Times New Roman"/>
          <w:noProof/>
          <w:sz w:val="20"/>
          <w:szCs w:val="18"/>
          <w:lang w:val="en-IE"/>
        </w:rPr>
        <w:fldChar w:fldCharType="end"/>
      </w:r>
      <w:bookmarkEnd w:id="29"/>
      <w:r>
        <w:rPr>
          <w:rFonts w:ascii="Times New Roman" w:hAnsi="Times New Roman" w:cs="Times New Roman"/>
          <w:noProof/>
          <w:sz w:val="20"/>
          <w:szCs w:val="18"/>
          <w:lang w:val="en-IE"/>
        </w:rPr>
        <w:t xml:space="preserve"> Evolution of CNG vehicle number at EU level (source of data – EAFO for 2008-2018, NPFs – 2020 estimates)</w:t>
      </w:r>
    </w:p>
    <w:p w:rsidR="00DA7543" w:rsidRDefault="007C073D">
      <w:pPr>
        <w:jc w:val="both"/>
        <w:rPr>
          <w:rFonts w:ascii="Times New Roman" w:hAnsi="Times New Roman" w:cs="Times New Roman"/>
          <w:b/>
          <w:noProof/>
          <w:sz w:val="24"/>
          <w:lang w:val="en-IE"/>
        </w:rPr>
      </w:pPr>
      <w:r>
        <w:rPr>
          <w:rFonts w:ascii="Times New Roman" w:hAnsi="Times New Roman" w:cs="Times New Roman"/>
          <w:noProof/>
          <w:sz w:val="24"/>
          <w:lang w:val="en-IE"/>
        </w:rPr>
        <w:t xml:space="preserve">Considering the highest </w:t>
      </w:r>
      <w:r>
        <w:rPr>
          <w:rFonts w:ascii="Times New Roman" w:eastAsia="Times New Roman" w:hAnsi="Times New Roman" w:cs="Times New Roman"/>
          <w:noProof/>
          <w:sz w:val="24"/>
          <w:lang w:val="en-IE" w:eastAsia="en-IE"/>
        </w:rPr>
        <w:t xml:space="preserve">coefficient </w:t>
      </w:r>
      <w:r>
        <w:rPr>
          <w:rFonts w:ascii="Times New Roman" w:eastAsia="Times New Roman" w:hAnsi="Times New Roman" w:cs="Times New Roman"/>
          <w:noProof/>
          <w:sz w:val="24"/>
          <w:lang w:val="en-IE" w:eastAsia="en-IE"/>
        </w:rPr>
        <w:t>of determination</w:t>
      </w:r>
      <w:r>
        <w:rPr>
          <w:rFonts w:ascii="Times New Roman" w:hAnsi="Times New Roman" w:cs="Times New Roman"/>
          <w:noProof/>
          <w:sz w:val="24"/>
          <w:lang w:val="en-IE"/>
        </w:rPr>
        <w:t xml:space="preserve"> R</w:t>
      </w:r>
      <w:r>
        <w:rPr>
          <w:rFonts w:ascii="Times New Roman" w:hAnsi="Times New Roman" w:cs="Times New Roman"/>
          <w:noProof/>
          <w:sz w:val="24"/>
          <w:vertAlign w:val="superscript"/>
          <w:lang w:val="en-IE"/>
        </w:rPr>
        <w:t>2</w:t>
      </w:r>
      <w:r>
        <w:rPr>
          <w:rFonts w:ascii="Times New Roman" w:hAnsi="Times New Roman" w:cs="Times New Roman"/>
          <w:noProof/>
          <w:sz w:val="24"/>
          <w:lang w:val="en-IE"/>
        </w:rPr>
        <w:t xml:space="preserve"> as criterion to establish the best fit curve, also in this case the result is that </w:t>
      </w:r>
      <w:r>
        <w:rPr>
          <w:rFonts w:ascii="Times New Roman" w:hAnsi="Times New Roman" w:cs="Times New Roman"/>
          <w:b/>
          <w:noProof/>
          <w:sz w:val="24"/>
          <w:lang w:val="en-IE"/>
        </w:rPr>
        <w:t xml:space="preserve">best_fit = exponential </w:t>
      </w:r>
      <w:r>
        <w:rPr>
          <w:rFonts w:ascii="Times New Roman" w:hAnsi="Times New Roman" w:cs="Times New Roman"/>
          <w:noProof/>
          <w:sz w:val="24"/>
          <w:lang w:val="en-IE"/>
        </w:rPr>
        <w:t>(R</w:t>
      </w:r>
      <w:r>
        <w:rPr>
          <w:rFonts w:ascii="Times New Roman" w:hAnsi="Times New Roman" w:cs="Times New Roman"/>
          <w:noProof/>
          <w:sz w:val="24"/>
          <w:vertAlign w:val="superscript"/>
          <w:lang w:val="en-IE"/>
        </w:rPr>
        <w:t>2</w:t>
      </w:r>
      <w:r>
        <w:rPr>
          <w:rFonts w:ascii="Times New Roman" w:hAnsi="Times New Roman" w:cs="Times New Roman"/>
          <w:noProof/>
          <w:sz w:val="24"/>
          <w:lang w:val="en-IE"/>
        </w:rPr>
        <w:t xml:space="preserve"> = 0.9233).</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Following the same approach adopted for the electric vehicles and recharging infrastructure, </w:t>
      </w:r>
      <w:r>
        <w:rPr>
          <w:rFonts w:ascii="Times New Roman" w:hAnsi="Times New Roman" w:cs="Times New Roman"/>
          <w:b/>
          <w:noProof/>
          <w:sz w:val="24"/>
          <w:lang w:val="en-IE"/>
        </w:rPr>
        <w:t>best_fit = exponential</w:t>
      </w:r>
      <w:r>
        <w:rPr>
          <w:rFonts w:ascii="Times New Roman" w:hAnsi="Times New Roman" w:cs="Times New Roman"/>
          <w:b/>
          <w:noProof/>
          <w:sz w:val="24"/>
          <w:lang w:val="en-IE"/>
        </w:rPr>
        <w:t xml:space="preserve"> </w:t>
      </w:r>
      <w:r>
        <w:rPr>
          <w:rFonts w:ascii="Times New Roman" w:hAnsi="Times New Roman" w:cs="Times New Roman"/>
          <w:noProof/>
          <w:sz w:val="24"/>
          <w:lang w:val="en-IE"/>
        </w:rPr>
        <w:t>is also chosen for CNG refuelling points.</w:t>
      </w:r>
    </w:p>
    <w:p w:rsidR="00DA7543" w:rsidRDefault="007C073D">
      <w:pPr>
        <w:pStyle w:val="Heading4"/>
        <w:spacing w:after="120" w:line="240" w:lineRule="auto"/>
        <w:rPr>
          <w:rFonts w:ascii="Times New Roman" w:eastAsia="Times New Roman" w:hAnsi="Times New Roman" w:cs="Times New Roman"/>
          <w:noProof/>
          <w:sz w:val="24"/>
          <w:lang w:val="en-IE" w:eastAsia="en-IE"/>
        </w:rPr>
      </w:pPr>
      <w:bookmarkStart w:id="30" w:name="_Ref35942566"/>
      <w:bookmarkStart w:id="31" w:name="_Ref37065797"/>
      <w:r>
        <w:rPr>
          <w:rFonts w:ascii="Times New Roman" w:eastAsia="Times New Roman" w:hAnsi="Times New Roman" w:cs="Times New Roman"/>
          <w:noProof/>
          <w:sz w:val="24"/>
          <w:lang w:val="en-IE" w:eastAsia="en-IE"/>
        </w:rPr>
        <w:t>Determination of the areas of slow progress, adequate progress and fast progress</w:t>
      </w:r>
    </w:p>
    <w:p w:rsidR="00DA7543" w:rsidRDefault="007C073D">
      <w:pPr>
        <w:jc w:val="both"/>
        <w:rPr>
          <w:rFonts w:ascii="Times New Roman" w:eastAsia="Times New Roman" w:hAnsi="Times New Roman" w:cs="Times New Roman"/>
          <w:noProof/>
          <w:sz w:val="24"/>
          <w:lang w:val="en-IE" w:eastAsia="en-IE"/>
        </w:rPr>
      </w:pPr>
      <w:r>
        <w:rPr>
          <w:rFonts w:ascii="Times New Roman" w:hAnsi="Times New Roman" w:cs="Times New Roman"/>
          <w:noProof/>
          <w:sz w:val="24"/>
          <w:lang w:val="en-IE" w:eastAsia="en-IE"/>
        </w:rPr>
        <w:t xml:space="preserve">Before characterising the progress of a MS, it is necessary to define the areas </w:t>
      </w:r>
      <w:r>
        <w:rPr>
          <w:rFonts w:ascii="Times New Roman" w:eastAsia="Times New Roman" w:hAnsi="Times New Roman" w:cs="Times New Roman"/>
          <w:noProof/>
          <w:sz w:val="24"/>
          <w:lang w:val="en-IE" w:eastAsia="en-IE"/>
        </w:rPr>
        <w:t xml:space="preserve">of slow progress, adequate progress and fast </w:t>
      </w:r>
      <w:r>
        <w:rPr>
          <w:rFonts w:ascii="Times New Roman" w:eastAsia="Times New Roman" w:hAnsi="Times New Roman" w:cs="Times New Roman"/>
          <w:noProof/>
          <w:sz w:val="24"/>
          <w:lang w:val="en-IE" w:eastAsia="en-IE"/>
        </w:rPr>
        <w:t>progress. This is obtained as follows:</w:t>
      </w:r>
    </w:p>
    <w:p w:rsidR="00DA7543" w:rsidRDefault="007C073D">
      <w:pPr>
        <w:pStyle w:val="ListParagraph"/>
        <w:numPr>
          <w:ilvl w:val="0"/>
          <w:numId w:val="12"/>
        </w:numPr>
        <w:jc w:val="both"/>
        <w:rPr>
          <w:rFonts w:ascii="Times New Roman" w:hAnsi="Times New Roman" w:cs="Times New Roman"/>
          <w:noProof/>
          <w:sz w:val="24"/>
          <w:lang w:val="en-IE" w:eastAsia="en-IE"/>
        </w:rPr>
      </w:pPr>
      <w:r>
        <w:rPr>
          <w:rFonts w:ascii="Times New Roman" w:hAnsi="Times New Roman" w:cs="Times New Roman"/>
          <w:noProof/>
          <w:sz w:val="24"/>
          <w:lang w:val="en-IE" w:eastAsia="en-IE"/>
        </w:rPr>
        <w:t>First, a curve of exponential type is applied to the AFV-estimates / AFI-targets values of the MS from 2016 and 2030</w:t>
      </w:r>
      <w:r>
        <w:rPr>
          <w:rStyle w:val="FootnoteReference"/>
          <w:rFonts w:ascii="Times New Roman" w:hAnsi="Times New Roman" w:cs="Times New Roman"/>
          <w:noProof/>
          <w:sz w:val="24"/>
          <w:lang w:val="en-IE"/>
        </w:rPr>
        <w:footnoteReference w:id="5"/>
      </w:r>
      <w:r>
        <w:rPr>
          <w:rFonts w:ascii="Times New Roman" w:hAnsi="Times New Roman" w:cs="Times New Roman"/>
          <w:noProof/>
          <w:sz w:val="24"/>
          <w:lang w:val="en-IE" w:eastAsia="en-IE"/>
        </w:rPr>
        <w:t>; this curve is called “</w:t>
      </w:r>
      <w:r>
        <w:rPr>
          <w:rFonts w:ascii="Times New Roman" w:hAnsi="Times New Roman" w:cs="Times New Roman"/>
          <w:noProof/>
          <w:sz w:val="24"/>
          <w:lang w:val="en-IE"/>
        </w:rPr>
        <w:t>best_fit_2016_2030(x)” and</w:t>
      </w:r>
      <w:r>
        <w:rPr>
          <w:rFonts w:ascii="Times New Roman" w:hAnsi="Times New Roman" w:cs="Times New Roman"/>
          <w:noProof/>
          <w:sz w:val="24"/>
          <w:lang w:val="en-IE" w:eastAsia="en-IE"/>
        </w:rPr>
        <w:t xml:space="preserve"> constitutes the lower boundary of the area of ade</w:t>
      </w:r>
      <w:r>
        <w:rPr>
          <w:rFonts w:ascii="Times New Roman" w:hAnsi="Times New Roman" w:cs="Times New Roman"/>
          <w:noProof/>
          <w:sz w:val="24"/>
          <w:lang w:val="en-IE" w:eastAsia="en-IE"/>
        </w:rPr>
        <w:t>quate progress.</w:t>
      </w:r>
    </w:p>
    <w:p w:rsidR="00DA7543" w:rsidRDefault="007C073D">
      <w:pPr>
        <w:pStyle w:val="ListParagraph"/>
        <w:numPr>
          <w:ilvl w:val="0"/>
          <w:numId w:val="12"/>
        </w:numPr>
        <w:jc w:val="both"/>
        <w:rPr>
          <w:rFonts w:ascii="Times New Roman" w:hAnsi="Times New Roman" w:cs="Times New Roman"/>
          <w:noProof/>
          <w:sz w:val="24"/>
          <w:lang w:val="en-IE" w:eastAsia="en-IE"/>
        </w:rPr>
      </w:pPr>
      <w:r>
        <w:rPr>
          <w:rFonts w:ascii="Times New Roman" w:eastAsia="Times New Roman" w:hAnsi="Times New Roman" w:cs="Times New Roman"/>
          <w:noProof/>
          <w:sz w:val="24"/>
          <w:lang w:val="en-IE" w:eastAsia="en-IE"/>
        </w:rPr>
        <w:t xml:space="preserve">Next, a linear function connecting the </w:t>
      </w:r>
      <w:r>
        <w:rPr>
          <w:rFonts w:ascii="Times New Roman" w:hAnsi="Times New Roman" w:cs="Times New Roman"/>
          <w:noProof/>
          <w:sz w:val="24"/>
          <w:lang w:val="en-IE" w:eastAsia="en-IE"/>
        </w:rPr>
        <w:t xml:space="preserve">AFV-estimates / AFI-targets values for </w:t>
      </w:r>
      <w:r>
        <w:rPr>
          <w:rFonts w:ascii="Times New Roman" w:eastAsia="Times New Roman" w:hAnsi="Times New Roman" w:cs="Times New Roman"/>
          <w:noProof/>
          <w:sz w:val="24"/>
          <w:lang w:val="en-IE" w:eastAsia="en-IE"/>
        </w:rPr>
        <w:t xml:space="preserve">2016 </w:t>
      </w:r>
      <w:r>
        <w:rPr>
          <w:rFonts w:ascii="Times New Roman" w:hAnsi="Times New Roman" w:cs="Times New Roman"/>
          <w:noProof/>
          <w:sz w:val="24"/>
          <w:lang w:val="en-IE" w:eastAsia="en-IE"/>
        </w:rPr>
        <w:t>and 2030</w:t>
      </w:r>
      <w:r>
        <w:rPr>
          <w:rStyle w:val="FootnoteReference"/>
          <w:rFonts w:ascii="Times New Roman" w:hAnsi="Times New Roman" w:cs="Times New Roman"/>
          <w:noProof/>
          <w:sz w:val="24"/>
          <w:lang w:val="en-IE"/>
        </w:rPr>
        <w:footnoteReference w:id="6"/>
      </w:r>
      <w:r>
        <w:rPr>
          <w:rFonts w:ascii="Times New Roman" w:hAnsi="Times New Roman" w:cs="Times New Roman"/>
          <w:noProof/>
          <w:sz w:val="24"/>
          <w:lang w:val="en-IE" w:eastAsia="en-IE"/>
        </w:rPr>
        <w:t xml:space="preserve"> is added to the diagram; this straight line is called “</w:t>
      </w:r>
      <w:r>
        <w:rPr>
          <w:rFonts w:ascii="Times New Roman" w:hAnsi="Times New Roman" w:cs="Times New Roman"/>
          <w:noProof/>
          <w:sz w:val="24"/>
          <w:lang w:val="en-IE"/>
        </w:rPr>
        <w:t xml:space="preserve">lin_2016_2030(x)” and </w:t>
      </w:r>
      <w:r>
        <w:rPr>
          <w:rFonts w:ascii="Times New Roman" w:hAnsi="Times New Roman" w:cs="Times New Roman"/>
          <w:noProof/>
          <w:sz w:val="24"/>
          <w:lang w:val="en-IE" w:eastAsia="en-IE"/>
        </w:rPr>
        <w:t>constitutes the upper boundary of the area of adequate progress.</w:t>
      </w:r>
    </w:p>
    <w:p w:rsidR="00DA7543" w:rsidRDefault="007C073D">
      <w:pPr>
        <w:pStyle w:val="ListParagraph"/>
        <w:numPr>
          <w:ilvl w:val="0"/>
          <w:numId w:val="12"/>
        </w:numPr>
        <w:jc w:val="both"/>
        <w:rPr>
          <w:rFonts w:ascii="Times New Roman" w:eastAsia="Times New Roman" w:hAnsi="Times New Roman" w:cs="Times New Roman"/>
          <w:noProof/>
          <w:sz w:val="24"/>
          <w:lang w:val="en-IE" w:eastAsia="en-IE"/>
        </w:rPr>
      </w:pPr>
      <w:r>
        <w:rPr>
          <w:rFonts w:ascii="Times New Roman" w:eastAsia="Times New Roman" w:hAnsi="Times New Roman" w:cs="Times New Roman"/>
          <w:noProof/>
          <w:sz w:val="24"/>
          <w:lang w:val="en-IE" w:eastAsia="en-IE"/>
        </w:rPr>
        <w:t>The a</w:t>
      </w:r>
      <w:r>
        <w:rPr>
          <w:rFonts w:ascii="Times New Roman" w:eastAsia="Times New Roman" w:hAnsi="Times New Roman" w:cs="Times New Roman"/>
          <w:noProof/>
          <w:sz w:val="24"/>
          <w:lang w:val="en-IE" w:eastAsia="en-IE"/>
        </w:rPr>
        <w:t xml:space="preserve">rea above the linear function is considered as area of fast progress; the area below the exponential curve is considered as area of slow progress (see figures </w:t>
      </w:r>
      <w:r>
        <w:rPr>
          <w:rFonts w:ascii="Times New Roman" w:eastAsia="Times New Roman" w:hAnsi="Times New Roman" w:cs="Times New Roman"/>
          <w:noProof/>
          <w:sz w:val="24"/>
          <w:lang w:val="en-IE" w:eastAsia="en-IE"/>
        </w:rPr>
        <w:fldChar w:fldCharType="begin"/>
      </w:r>
      <w:r>
        <w:rPr>
          <w:rFonts w:ascii="Times New Roman" w:eastAsia="Times New Roman" w:hAnsi="Times New Roman" w:cs="Times New Roman"/>
          <w:noProof/>
          <w:sz w:val="24"/>
          <w:lang w:val="en-IE" w:eastAsia="en-IE"/>
        </w:rPr>
        <w:instrText xml:space="preserve"> REF _Ref51531441 \h  \* MERGEFORMAT </w:instrText>
      </w:r>
      <w:r>
        <w:rPr>
          <w:rFonts w:ascii="Times New Roman" w:eastAsia="Times New Roman" w:hAnsi="Times New Roman" w:cs="Times New Roman"/>
          <w:noProof/>
          <w:sz w:val="24"/>
          <w:lang w:val="en-IE" w:eastAsia="en-IE"/>
        </w:rPr>
      </w:r>
      <w:r>
        <w:rPr>
          <w:rFonts w:ascii="Times New Roman" w:eastAsia="Times New Roman" w:hAnsi="Times New Roman" w:cs="Times New Roman"/>
          <w:noProof/>
          <w:sz w:val="24"/>
          <w:lang w:val="en-IE" w:eastAsia="en-IE"/>
        </w:rPr>
        <w:fldChar w:fldCharType="separate"/>
      </w:r>
      <w:r>
        <w:rPr>
          <w:rFonts w:ascii="Times New Roman" w:eastAsia="Times New Roman" w:hAnsi="Times New Roman" w:cs="Times New Roman"/>
          <w:noProof/>
          <w:sz w:val="24"/>
          <w:lang w:val="en-IE" w:eastAsia="en-IE"/>
        </w:rPr>
        <w:t>Figure 2.1.3</w:t>
      </w:r>
      <w:r>
        <w:rPr>
          <w:rFonts w:ascii="Times New Roman" w:eastAsia="Times New Roman" w:hAnsi="Times New Roman" w:cs="Times New Roman"/>
          <w:noProof/>
          <w:sz w:val="24"/>
          <w:lang w:val="en-IE" w:eastAsia="en-IE"/>
        </w:rPr>
        <w:noBreakHyphen/>
        <w:t>3</w:t>
      </w:r>
      <w:r>
        <w:rPr>
          <w:rFonts w:ascii="Times New Roman" w:eastAsia="Times New Roman" w:hAnsi="Times New Roman" w:cs="Times New Roman"/>
          <w:noProof/>
          <w:sz w:val="24"/>
          <w:lang w:val="en-IE" w:eastAsia="en-IE"/>
        </w:rPr>
        <w:fldChar w:fldCharType="end"/>
      </w:r>
      <w:r>
        <w:rPr>
          <w:rFonts w:ascii="Times New Roman" w:eastAsia="Times New Roman" w:hAnsi="Times New Roman" w:cs="Times New Roman"/>
          <w:noProof/>
          <w:sz w:val="24"/>
          <w:lang w:val="en-IE" w:eastAsia="en-IE"/>
        </w:rPr>
        <w:t xml:space="preserve"> and </w:t>
      </w:r>
      <w:r>
        <w:rPr>
          <w:rFonts w:ascii="Times New Roman" w:eastAsia="Times New Roman" w:hAnsi="Times New Roman" w:cs="Times New Roman"/>
          <w:noProof/>
          <w:sz w:val="24"/>
          <w:lang w:val="en-IE" w:eastAsia="en-IE"/>
        </w:rPr>
        <w:fldChar w:fldCharType="begin"/>
      </w:r>
      <w:r>
        <w:rPr>
          <w:rFonts w:ascii="Times New Roman" w:eastAsia="Times New Roman" w:hAnsi="Times New Roman" w:cs="Times New Roman"/>
          <w:noProof/>
          <w:sz w:val="24"/>
          <w:lang w:val="en-IE" w:eastAsia="en-IE"/>
        </w:rPr>
        <w:instrText xml:space="preserve"> REF _Ref51531683 \h  \* MERGEFORMAT </w:instrText>
      </w:r>
      <w:r>
        <w:rPr>
          <w:rFonts w:ascii="Times New Roman" w:eastAsia="Times New Roman" w:hAnsi="Times New Roman" w:cs="Times New Roman"/>
          <w:noProof/>
          <w:sz w:val="24"/>
          <w:lang w:val="en-IE" w:eastAsia="en-IE"/>
        </w:rPr>
      </w:r>
      <w:r>
        <w:rPr>
          <w:rFonts w:ascii="Times New Roman" w:eastAsia="Times New Roman" w:hAnsi="Times New Roman" w:cs="Times New Roman"/>
          <w:noProof/>
          <w:sz w:val="24"/>
          <w:lang w:val="en-IE" w:eastAsia="en-IE"/>
        </w:rPr>
        <w:fldChar w:fldCharType="separate"/>
      </w:r>
      <w:r>
        <w:rPr>
          <w:rFonts w:ascii="Times New Roman" w:eastAsia="Times New Roman" w:hAnsi="Times New Roman" w:cs="Times New Roman"/>
          <w:noProof/>
          <w:sz w:val="24"/>
          <w:lang w:val="en-IE" w:eastAsia="en-IE"/>
        </w:rPr>
        <w:t>Figure 2.1.3</w:t>
      </w:r>
      <w:r>
        <w:rPr>
          <w:rFonts w:ascii="Times New Roman" w:eastAsia="Times New Roman" w:hAnsi="Times New Roman" w:cs="Times New Roman"/>
          <w:noProof/>
          <w:sz w:val="24"/>
          <w:lang w:val="en-IE" w:eastAsia="en-IE"/>
        </w:rPr>
        <w:noBreakHyphen/>
        <w:t>4</w:t>
      </w:r>
      <w:r>
        <w:rPr>
          <w:rFonts w:ascii="Times New Roman" w:eastAsia="Times New Roman" w:hAnsi="Times New Roman" w:cs="Times New Roman"/>
          <w:noProof/>
          <w:sz w:val="24"/>
          <w:lang w:val="en-IE" w:eastAsia="en-IE"/>
        </w:rPr>
        <w:fldChar w:fldCharType="end"/>
      </w:r>
      <w:r>
        <w:rPr>
          <w:rFonts w:ascii="Times New Roman" w:eastAsia="Times New Roman" w:hAnsi="Times New Roman" w:cs="Times New Roman"/>
          <w:noProof/>
          <w:sz w:val="24"/>
          <w:lang w:val="en-IE" w:eastAsia="en-IE"/>
        </w:rPr>
        <w:t>)</w:t>
      </w:r>
    </w:p>
    <w:p w:rsidR="00DA7543" w:rsidRDefault="007C073D">
      <w:pPr>
        <w:pStyle w:val="Heading4"/>
        <w:spacing w:after="120" w:line="240" w:lineRule="auto"/>
        <w:rPr>
          <w:rFonts w:ascii="Times New Roman" w:hAnsi="Times New Roman" w:cs="Times New Roman"/>
          <w:noProof/>
          <w:sz w:val="24"/>
          <w:lang w:val="en-IE" w:eastAsia="en-IE"/>
        </w:rPr>
      </w:pPr>
      <w:r>
        <w:rPr>
          <w:rFonts w:ascii="Times New Roman" w:hAnsi="Times New Roman" w:cs="Times New Roman"/>
          <w:noProof/>
          <w:sz w:val="24"/>
          <w:lang w:val="en-IE" w:eastAsia="en-IE"/>
        </w:rPr>
        <w:t>Characterisation of AFV-estimates / AFI-targets progress</w:t>
      </w:r>
      <w:bookmarkEnd w:id="30"/>
      <w:r>
        <w:rPr>
          <w:rFonts w:ascii="Times New Roman" w:hAnsi="Times New Roman" w:cs="Times New Roman"/>
          <w:noProof/>
          <w:sz w:val="24"/>
          <w:lang w:val="en-IE" w:eastAsia="en-IE"/>
        </w:rPr>
        <w:t xml:space="preserve"> at MS level</w:t>
      </w:r>
      <w:bookmarkEnd w:id="31"/>
      <w:r>
        <w:rPr>
          <w:rFonts w:ascii="Times New Roman" w:hAnsi="Times New Roman" w:cs="Times New Roman"/>
          <w:noProof/>
          <w:sz w:val="24"/>
          <w:lang w:val="en-IE" w:eastAsia="en-IE"/>
        </w:rPr>
        <w:t xml:space="preserve"> in 2018</w:t>
      </w:r>
    </w:p>
    <w:p w:rsidR="00DA7543" w:rsidRDefault="007C073D">
      <w:pPr>
        <w:shd w:val="clear" w:color="auto" w:fill="FFFFFF"/>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To characterise the progress in 2018 of a certain MS, the position of 2018 </w:t>
      </w:r>
      <w:r>
        <w:rPr>
          <w:rFonts w:ascii="Times New Roman" w:hAnsi="Times New Roman" w:cs="Times New Roman"/>
          <w:noProof/>
          <w:sz w:val="24"/>
          <w:lang w:val="en-IE" w:eastAsia="en-IE"/>
        </w:rPr>
        <w:t xml:space="preserve">AFV-estimates / AFI-targets </w:t>
      </w:r>
      <w:r>
        <w:rPr>
          <w:rFonts w:ascii="Times New Roman" w:hAnsi="Times New Roman" w:cs="Times New Roman"/>
          <w:noProof/>
          <w:sz w:val="24"/>
          <w:lang w:val="en-IE"/>
        </w:rPr>
        <w:t>value (called “MS_situation_2018”), as reported by the MS in its implementation report, is considered with respect to the three areas described above.</w:t>
      </w:r>
    </w:p>
    <w:p w:rsidR="00DA7543" w:rsidRDefault="007C073D">
      <w:pPr>
        <w:spacing w:after="120" w:line="240" w:lineRule="auto"/>
        <w:jc w:val="both"/>
        <w:rPr>
          <w:rFonts w:ascii="Times New Roman" w:hAnsi="Times New Roman" w:cs="Times New Roman"/>
          <w:noProof/>
          <w:sz w:val="24"/>
          <w:lang w:val="en-IE" w:eastAsia="en-IE"/>
        </w:rPr>
      </w:pPr>
      <w:r>
        <w:rPr>
          <w:rFonts w:ascii="Times New Roman" w:hAnsi="Times New Roman" w:cs="Times New Roman"/>
          <w:noProof/>
          <w:sz w:val="24"/>
          <w:lang w:val="en-IE"/>
        </w:rPr>
        <w:t>Th</w:t>
      </w:r>
      <w:r>
        <w:rPr>
          <w:rFonts w:ascii="Times New Roman" w:hAnsi="Times New Roman" w:cs="Times New Roman"/>
          <w:noProof/>
          <w:sz w:val="24"/>
          <w:lang w:val="en-IE"/>
        </w:rPr>
        <w:t xml:space="preserve">us, </w:t>
      </w:r>
      <w:r>
        <w:rPr>
          <w:rFonts w:ascii="Times New Roman" w:hAnsi="Times New Roman" w:cs="Times New Roman"/>
          <w:noProof/>
          <w:sz w:val="24"/>
          <w:lang w:val="en-IE" w:eastAsia="en-IE"/>
        </w:rPr>
        <w:t>it is proposed to classify the 2018 progress of the MSs for AFV-estimates / AFI-targets depending on its position with respect to one of the three areas:</w:t>
      </w:r>
    </w:p>
    <w:p w:rsidR="00DA7543" w:rsidRDefault="007C073D">
      <w:pPr>
        <w:numPr>
          <w:ilvl w:val="2"/>
          <w:numId w:val="3"/>
        </w:numPr>
        <w:spacing w:after="120" w:line="240" w:lineRule="auto"/>
        <w:ind w:left="993" w:hanging="426"/>
        <w:rPr>
          <w:rFonts w:ascii="Times New Roman" w:hAnsi="Times New Roman" w:cs="Times New Roman"/>
          <w:b/>
          <w:noProof/>
          <w:color w:val="00B050"/>
          <w:sz w:val="24"/>
          <w:lang w:val="en-IE"/>
        </w:rPr>
      </w:pPr>
      <w:r>
        <w:rPr>
          <w:rFonts w:ascii="Times New Roman" w:hAnsi="Times New Roman" w:cs="Times New Roman"/>
          <w:b/>
          <w:noProof/>
          <w:color w:val="00B050"/>
          <w:sz w:val="24"/>
          <w:lang w:val="en-IE"/>
        </w:rPr>
        <w:t xml:space="preserve">fast progress </w:t>
      </w:r>
    </w:p>
    <w:p w:rsidR="00DA7543" w:rsidRDefault="007C073D">
      <w:pPr>
        <w:spacing w:after="120" w:line="240" w:lineRule="auto"/>
        <w:ind w:left="1440"/>
        <w:rPr>
          <w:rFonts w:ascii="Times New Roman" w:hAnsi="Times New Roman" w:cs="Times New Roman"/>
          <w:noProof/>
          <w:sz w:val="24"/>
          <w:lang w:val="en-IE"/>
        </w:rPr>
      </w:pPr>
      <w:r>
        <w:rPr>
          <w:rFonts w:ascii="Times New Roman" w:hAnsi="Times New Roman" w:cs="Times New Roman"/>
          <w:noProof/>
          <w:sz w:val="24"/>
          <w:lang w:val="en-IE"/>
        </w:rPr>
        <w:t>MS_situation_2018 &gt; lin_2016_2030(2018)</w:t>
      </w:r>
    </w:p>
    <w:p w:rsidR="00DA7543" w:rsidRDefault="007C073D">
      <w:pPr>
        <w:numPr>
          <w:ilvl w:val="2"/>
          <w:numId w:val="3"/>
        </w:numPr>
        <w:spacing w:after="120" w:line="240" w:lineRule="auto"/>
        <w:ind w:left="993" w:hanging="426"/>
        <w:rPr>
          <w:rFonts w:ascii="Times New Roman" w:hAnsi="Times New Roman" w:cs="Times New Roman"/>
          <w:b/>
          <w:noProof/>
          <w:sz w:val="24"/>
          <w:lang w:val="en-IE"/>
        </w:rPr>
      </w:pPr>
      <w:r>
        <w:rPr>
          <w:rFonts w:ascii="Times New Roman" w:hAnsi="Times New Roman" w:cs="Times New Roman"/>
          <w:b/>
          <w:noProof/>
          <w:color w:val="00B0F0"/>
          <w:sz w:val="24"/>
          <w:lang w:val="en-IE"/>
        </w:rPr>
        <w:t xml:space="preserve">adequate progress </w:t>
      </w:r>
      <w:r>
        <w:rPr>
          <w:rFonts w:ascii="Times New Roman" w:hAnsi="Times New Roman" w:cs="Times New Roman"/>
          <w:b/>
          <w:noProof/>
          <w:color w:val="00B0F0"/>
          <w:sz w:val="24"/>
          <w:lang w:val="en-IE"/>
        </w:rPr>
        <w:tab/>
      </w:r>
    </w:p>
    <w:p w:rsidR="00DA7543" w:rsidRDefault="007C073D">
      <w:pPr>
        <w:spacing w:after="120" w:line="240" w:lineRule="auto"/>
        <w:ind w:left="720" w:firstLine="720"/>
        <w:rPr>
          <w:rFonts w:ascii="Times New Roman" w:hAnsi="Times New Roman" w:cs="Times New Roman"/>
          <w:noProof/>
          <w:sz w:val="24"/>
          <w:lang w:val="en-IE"/>
        </w:rPr>
      </w:pPr>
      <w:r>
        <w:rPr>
          <w:rFonts w:ascii="Times New Roman" w:hAnsi="Times New Roman" w:cs="Times New Roman"/>
          <w:noProof/>
          <w:sz w:val="24"/>
          <w:lang w:val="en-IE"/>
        </w:rPr>
        <w:t xml:space="preserve">lin_2016_2030(2018) &lt;= </w:t>
      </w:r>
      <w:r>
        <w:rPr>
          <w:rFonts w:ascii="Times New Roman" w:hAnsi="Times New Roman" w:cs="Times New Roman"/>
          <w:noProof/>
          <w:sz w:val="24"/>
          <w:lang w:val="en-IE"/>
        </w:rPr>
        <w:t>MS_situation_2018 &lt;= best_fit_2016_2030(2018)</w:t>
      </w:r>
    </w:p>
    <w:p w:rsidR="00DA7543" w:rsidRDefault="007C073D">
      <w:pPr>
        <w:numPr>
          <w:ilvl w:val="2"/>
          <w:numId w:val="3"/>
        </w:numPr>
        <w:spacing w:after="120" w:line="240" w:lineRule="auto"/>
        <w:ind w:left="993" w:hanging="426"/>
        <w:rPr>
          <w:rFonts w:ascii="Times New Roman" w:hAnsi="Times New Roman" w:cs="Times New Roman"/>
          <w:b/>
          <w:noProof/>
          <w:color w:val="00B0F0"/>
          <w:sz w:val="24"/>
          <w:lang w:val="en-IE"/>
        </w:rPr>
      </w:pPr>
      <w:r>
        <w:rPr>
          <w:rFonts w:ascii="Times New Roman" w:hAnsi="Times New Roman" w:cs="Times New Roman"/>
          <w:b/>
          <w:noProof/>
          <w:color w:val="ED7D31" w:themeColor="accent2"/>
          <w:sz w:val="24"/>
          <w:lang w:val="en-IE"/>
        </w:rPr>
        <w:t xml:space="preserve">slow progress </w:t>
      </w:r>
      <w:r>
        <w:rPr>
          <w:rFonts w:ascii="Times New Roman" w:hAnsi="Times New Roman" w:cs="Times New Roman"/>
          <w:b/>
          <w:noProof/>
          <w:color w:val="ED7D31" w:themeColor="accent2"/>
          <w:sz w:val="24"/>
          <w:lang w:val="en-IE"/>
        </w:rPr>
        <w:tab/>
      </w:r>
      <w:r>
        <w:rPr>
          <w:rFonts w:ascii="Times New Roman" w:hAnsi="Times New Roman" w:cs="Times New Roman"/>
          <w:b/>
          <w:noProof/>
          <w:color w:val="00B0F0"/>
          <w:sz w:val="24"/>
          <w:lang w:val="en-IE"/>
        </w:rPr>
        <w:t xml:space="preserve">    </w:t>
      </w:r>
      <w:r>
        <w:rPr>
          <w:rFonts w:ascii="Times New Roman" w:hAnsi="Times New Roman" w:cs="Times New Roman"/>
          <w:b/>
          <w:noProof/>
          <w:color w:val="00B0F0"/>
          <w:sz w:val="24"/>
          <w:lang w:val="en-IE"/>
        </w:rPr>
        <w:tab/>
      </w:r>
    </w:p>
    <w:p w:rsidR="00DA7543" w:rsidRDefault="007C073D">
      <w:pPr>
        <w:spacing w:after="120" w:line="240" w:lineRule="auto"/>
        <w:ind w:left="720" w:firstLine="720"/>
        <w:rPr>
          <w:rFonts w:ascii="Times New Roman" w:eastAsia="Times New Roman" w:hAnsi="Times New Roman" w:cs="Times New Roman"/>
          <w:noProof/>
          <w:sz w:val="24"/>
          <w:lang w:val="en-IE" w:eastAsia="en-IE"/>
        </w:rPr>
      </w:pPr>
      <w:r>
        <w:rPr>
          <w:rFonts w:ascii="Times New Roman" w:hAnsi="Times New Roman" w:cs="Times New Roman"/>
          <w:noProof/>
          <w:sz w:val="24"/>
          <w:lang w:val="en-IE"/>
        </w:rPr>
        <w:t xml:space="preserve">MS_situation_2018 &lt; </w:t>
      </w:r>
      <w:r>
        <w:rPr>
          <w:rFonts w:ascii="Times New Roman" w:eastAsia="Times New Roman" w:hAnsi="Times New Roman" w:cs="Times New Roman"/>
          <w:noProof/>
          <w:sz w:val="24"/>
          <w:lang w:val="en-IE" w:eastAsia="en-IE"/>
        </w:rPr>
        <w:t xml:space="preserve">best_fit_2016_2030(2018) </w:t>
      </w:r>
    </w:p>
    <w:p w:rsidR="00DA7543" w:rsidRDefault="007C073D">
      <w:pPr>
        <w:shd w:val="clear" w:color="auto" w:fill="FFFFFF"/>
        <w:spacing w:after="120" w:line="240" w:lineRule="auto"/>
        <w:jc w:val="both"/>
        <w:rPr>
          <w:rFonts w:ascii="Times New Roman" w:eastAsia="Times New Roman" w:hAnsi="Times New Roman" w:cs="Times New Roman"/>
          <w:noProof/>
          <w:color w:val="000000" w:themeColor="text1"/>
          <w:sz w:val="24"/>
          <w:lang w:val="en-IE" w:eastAsia="en-IE"/>
        </w:rPr>
      </w:pPr>
      <w:r>
        <w:rPr>
          <w:rFonts w:ascii="Times New Roman" w:hAnsi="Times New Roman" w:cs="Times New Roman"/>
          <w:noProof/>
          <w:sz w:val="24"/>
          <w:lang w:val="en-IE"/>
        </w:rPr>
        <w:t xml:space="preserve">In other words, </w:t>
      </w:r>
      <w:r>
        <w:rPr>
          <w:rFonts w:ascii="Times New Roman" w:eastAsia="Times New Roman" w:hAnsi="Times New Roman" w:cs="Times New Roman"/>
          <w:noProof/>
          <w:color w:val="000000" w:themeColor="text1"/>
          <w:sz w:val="24"/>
          <w:lang w:val="en-IE" w:eastAsia="en-IE"/>
        </w:rPr>
        <w:t xml:space="preserve">when the 2018 data point of the MS is in between the exponential curve and the straight line, this is considered as an </w:t>
      </w:r>
      <w:r>
        <w:rPr>
          <w:rFonts w:ascii="Times New Roman" w:eastAsia="Times New Roman" w:hAnsi="Times New Roman" w:cs="Times New Roman"/>
          <w:b/>
          <w:noProof/>
          <w:color w:val="00B0F0"/>
          <w:sz w:val="24"/>
          <w:lang w:val="en-IE" w:eastAsia="en-IE"/>
        </w:rPr>
        <w:t>adequate</w:t>
      </w:r>
      <w:r>
        <w:rPr>
          <w:rFonts w:ascii="Times New Roman" w:eastAsia="Times New Roman" w:hAnsi="Times New Roman" w:cs="Times New Roman"/>
          <w:b/>
          <w:noProof/>
          <w:color w:val="00B0F0"/>
          <w:sz w:val="24"/>
          <w:lang w:val="en-IE" w:eastAsia="en-IE"/>
        </w:rPr>
        <w:t xml:space="preserve"> progress</w:t>
      </w:r>
      <w:r>
        <w:rPr>
          <w:rFonts w:ascii="Times New Roman" w:eastAsia="Times New Roman" w:hAnsi="Times New Roman" w:cs="Times New Roman"/>
          <w:noProof/>
          <w:color w:val="000000" w:themeColor="text1"/>
          <w:sz w:val="24"/>
          <w:lang w:val="en-IE" w:eastAsia="en-IE"/>
        </w:rPr>
        <w:t xml:space="preserve">. If the 2018 data point is below the exponential curve, this is considered as a </w:t>
      </w:r>
      <w:r>
        <w:rPr>
          <w:rFonts w:ascii="Times New Roman" w:eastAsia="Times New Roman" w:hAnsi="Times New Roman" w:cs="Times New Roman"/>
          <w:b/>
          <w:noProof/>
          <w:color w:val="ED7D31" w:themeColor="accent2"/>
          <w:sz w:val="24"/>
          <w:lang w:val="en-IE" w:eastAsia="en-IE"/>
        </w:rPr>
        <w:t>slow progress</w:t>
      </w:r>
      <w:r>
        <w:rPr>
          <w:rFonts w:ascii="Times New Roman" w:eastAsia="Times New Roman" w:hAnsi="Times New Roman" w:cs="Times New Roman"/>
          <w:noProof/>
          <w:color w:val="000000" w:themeColor="text1"/>
          <w:sz w:val="24"/>
          <w:lang w:val="en-IE" w:eastAsia="en-IE"/>
        </w:rPr>
        <w:t xml:space="preserve">. If the 2018 data point is above the straight line, this is considered as a </w:t>
      </w:r>
      <w:r>
        <w:rPr>
          <w:rFonts w:ascii="Times New Roman" w:eastAsia="Times New Roman" w:hAnsi="Times New Roman" w:cs="Times New Roman"/>
          <w:b/>
          <w:noProof/>
          <w:color w:val="00B050"/>
          <w:sz w:val="24"/>
          <w:lang w:val="en-IE" w:eastAsia="en-IE"/>
        </w:rPr>
        <w:t>fast progress</w:t>
      </w:r>
      <w:r>
        <w:rPr>
          <w:rFonts w:ascii="Times New Roman" w:eastAsia="Times New Roman" w:hAnsi="Times New Roman" w:cs="Times New Roman"/>
          <w:noProof/>
          <w:color w:val="000000" w:themeColor="text1"/>
          <w:sz w:val="24"/>
          <w:lang w:val="en-IE" w:eastAsia="en-IE"/>
        </w:rPr>
        <w:t>. This is further explained in the examples in the following su</w:t>
      </w:r>
      <w:r>
        <w:rPr>
          <w:rFonts w:ascii="Times New Roman" w:eastAsia="Times New Roman" w:hAnsi="Times New Roman" w:cs="Times New Roman"/>
          <w:noProof/>
          <w:color w:val="000000" w:themeColor="text1"/>
          <w:sz w:val="24"/>
          <w:lang w:val="en-IE" w:eastAsia="en-IE"/>
        </w:rPr>
        <w:t>bsection.</w:t>
      </w:r>
    </w:p>
    <w:p w:rsidR="00DA7543" w:rsidRDefault="007C073D">
      <w:pPr>
        <w:pStyle w:val="Heading5"/>
        <w:jc w:val="both"/>
        <w:rPr>
          <w:rFonts w:ascii="Times New Roman" w:hAnsi="Times New Roman" w:cs="Times New Roman"/>
          <w:noProof/>
          <w:sz w:val="24"/>
          <w:lang w:val="en-IE" w:eastAsia="en-IE"/>
        </w:rPr>
      </w:pPr>
      <w:r>
        <w:rPr>
          <w:rFonts w:ascii="Times New Roman" w:hAnsi="Times New Roman" w:cs="Times New Roman"/>
          <w:noProof/>
          <w:sz w:val="24"/>
          <w:lang w:val="en-IE" w:eastAsia="en-IE"/>
        </w:rPr>
        <w:t xml:space="preserve">Examples of the methodology application for the evaluation of progress for AFV-estimates / AFI-targets </w:t>
      </w:r>
    </w:p>
    <w:p w:rsidR="00DA7543" w:rsidRDefault="007C073D">
      <w:pPr>
        <w:jc w:val="both"/>
        <w:rPr>
          <w:rFonts w:ascii="Times New Roman" w:hAnsi="Times New Roman" w:cs="Times New Roman"/>
          <w:noProof/>
          <w:sz w:val="24"/>
          <w:lang w:val="en-IE" w:eastAsia="en-IE"/>
        </w:rPr>
      </w:pPr>
      <w:r>
        <w:rPr>
          <w:rFonts w:ascii="Times New Roman" w:hAnsi="Times New Roman" w:cs="Times New Roman"/>
          <w:noProof/>
          <w:sz w:val="24"/>
          <w:lang w:val="en-IE" w:eastAsia="en-IE"/>
        </w:rPr>
        <w:t>In this subsection, three detailed examples of the computation of 2018 progress are provided for AFV and AFI, different pairs AF/transport mod</w:t>
      </w:r>
      <w:r>
        <w:rPr>
          <w:rFonts w:ascii="Times New Roman" w:hAnsi="Times New Roman" w:cs="Times New Roman"/>
          <w:noProof/>
          <w:sz w:val="24"/>
          <w:lang w:val="en-IE" w:eastAsia="en-IE"/>
        </w:rPr>
        <w:t>e and different Member States.</w:t>
      </w:r>
    </w:p>
    <w:p w:rsidR="00DA7543" w:rsidRDefault="007C073D">
      <w:pPr>
        <w:pStyle w:val="Heading6"/>
        <w:rPr>
          <w:rFonts w:ascii="Times New Roman" w:hAnsi="Times New Roman" w:cs="Times New Roman"/>
          <w:noProof/>
          <w:sz w:val="24"/>
          <w:lang w:val="en-IE"/>
        </w:rPr>
      </w:pPr>
      <w:r>
        <w:rPr>
          <w:rFonts w:ascii="Times New Roman" w:hAnsi="Times New Roman" w:cs="Times New Roman"/>
          <w:noProof/>
          <w:sz w:val="24"/>
          <w:lang w:val="en-IE"/>
        </w:rPr>
        <w:t>AFV CNG/road</w:t>
      </w:r>
    </w:p>
    <w:p w:rsidR="00DA7543" w:rsidRDefault="007C073D">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_Ref51531441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Pr>
          <w:rFonts w:ascii="Times New Roman" w:hAnsi="Times New Roman" w:cs="Times New Roman"/>
          <w:noProof/>
          <w:color w:val="000000" w:themeColor="text1"/>
          <w:sz w:val="24"/>
          <w:lang w:val="en-IE"/>
        </w:rPr>
        <w:t>Figure 2.1.3</w:t>
      </w:r>
      <w:r>
        <w:rPr>
          <w:rFonts w:ascii="Times New Roman" w:hAnsi="Times New Roman" w:cs="Times New Roman"/>
          <w:noProof/>
          <w:color w:val="000000" w:themeColor="text1"/>
          <w:sz w:val="24"/>
          <w:lang w:val="en-IE"/>
        </w:rPr>
        <w:noBreakHyphen/>
        <w:t>3</w:t>
      </w:r>
      <w:r>
        <w:rPr>
          <w:rFonts w:ascii="Times New Roman" w:hAnsi="Times New Roman" w:cs="Times New Roman"/>
          <w:noProof/>
          <w:color w:val="000000" w:themeColor="text1"/>
          <w:sz w:val="24"/>
          <w:lang w:val="en-IE"/>
        </w:rPr>
        <w:fldChar w:fldCharType="end"/>
      </w:r>
      <w:r>
        <w:rPr>
          <w:rFonts w:ascii="Times New Roman" w:hAnsi="Times New Roman" w:cs="Times New Roman"/>
          <w:noProof/>
          <w:color w:val="000000" w:themeColor="text1"/>
          <w:sz w:val="24"/>
          <w:lang w:val="en-IE"/>
        </w:rPr>
        <w:t xml:space="preserve"> displays the determination of the progress type for the case of CNG vehicles in one MS. The recorded EV value of fleet in 2018 is: </w:t>
      </w:r>
    </w:p>
    <w:p w:rsidR="00DA7543" w:rsidRDefault="007C073D">
      <w:pPr>
        <w:ind w:firstLine="708"/>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MS_situation_2018 = 578 (in yellow in the figure)</w:t>
      </w:r>
    </w:p>
    <w:p w:rsidR="00DA7543" w:rsidRDefault="007C073D">
      <w:pP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best_f</w:t>
      </w:r>
      <w:r>
        <w:rPr>
          <w:rFonts w:ascii="Times New Roman" w:hAnsi="Times New Roman" w:cs="Times New Roman"/>
          <w:noProof/>
          <w:color w:val="000000" w:themeColor="text1"/>
          <w:sz w:val="24"/>
          <w:lang w:val="en-IE"/>
        </w:rPr>
        <w:t>it is an exponential curve with the formula:</w:t>
      </w:r>
    </w:p>
    <w:p w:rsidR="00DA7543" w:rsidRDefault="007C073D">
      <w:pPr>
        <w:ind w:firstLine="708"/>
        <w:rPr>
          <w:rFonts w:ascii="Times New Roman" w:hAnsi="Times New Roman" w:cs="Times New Roman"/>
          <w:noProof/>
          <w:color w:val="000000" w:themeColor="text1"/>
          <w:sz w:val="24"/>
          <w:vertAlign w:val="superscript"/>
          <w:lang w:val="en-IE"/>
        </w:rPr>
      </w:pPr>
      <w:r>
        <w:rPr>
          <w:rFonts w:ascii="Times New Roman" w:hAnsi="Times New Roman" w:cs="Times New Roman"/>
          <w:noProof/>
          <w:color w:val="000000" w:themeColor="text1"/>
          <w:sz w:val="24"/>
          <w:lang w:val="en-IE"/>
        </w:rPr>
        <w:t>best_fit_2016_2030(x) = 319.66e</w:t>
      </w:r>
      <w:r>
        <w:rPr>
          <w:rFonts w:ascii="Times New Roman" w:hAnsi="Times New Roman" w:cs="Times New Roman"/>
          <w:noProof/>
          <w:color w:val="000000" w:themeColor="text1"/>
          <w:sz w:val="24"/>
          <w:vertAlign w:val="superscript"/>
          <w:lang w:val="en-IE"/>
        </w:rPr>
        <w:t>0.1272x</w:t>
      </w:r>
    </w:p>
    <w:p w:rsidR="00DA7543" w:rsidRDefault="007C073D">
      <w:pPr>
        <w:ind w:firstLine="708"/>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which gives: best_fit_2016_2030(2018) = 468 (in black in the figure)</w:t>
      </w:r>
    </w:p>
    <w:p w:rsidR="00DA7543" w:rsidRDefault="007C073D">
      <w:pP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Concerning the straight line connecting the 2016 data point to the 2030 (or latest available) data poin</w:t>
      </w:r>
      <w:r>
        <w:rPr>
          <w:rFonts w:ascii="Times New Roman" w:hAnsi="Times New Roman" w:cs="Times New Roman"/>
          <w:noProof/>
          <w:color w:val="000000" w:themeColor="text1"/>
          <w:sz w:val="24"/>
          <w:lang w:val="en-IE"/>
        </w:rPr>
        <w:t>t, we obtain:</w:t>
      </w:r>
    </w:p>
    <w:p w:rsidR="00DA7543" w:rsidRDefault="007C073D">
      <w:pPr>
        <w:ind w:firstLine="708"/>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lin_2016_2030(x) = 127.868x + 235.14</w:t>
      </w:r>
    </w:p>
    <w:p w:rsidR="00DA7543" w:rsidRDefault="007C073D">
      <w:pPr>
        <w:ind w:firstLine="708"/>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which gives: lin_2016_2030(2018) = 619 (in red in the figure)</w:t>
      </w:r>
    </w:p>
    <w:p w:rsidR="00DA7543" w:rsidRDefault="007C073D">
      <w:pP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In this case of </w:t>
      </w:r>
      <w:r>
        <w:rPr>
          <w:rFonts w:ascii="Times New Roman" w:hAnsi="Times New Roman" w:cs="Times New Roman"/>
          <w:noProof/>
          <w:sz w:val="24"/>
          <w:lang w:val="en-IE"/>
        </w:rPr>
        <w:t>CNG/road</w:t>
      </w:r>
      <w:r>
        <w:rPr>
          <w:rFonts w:ascii="Times New Roman" w:hAnsi="Times New Roman" w:cs="Times New Roman"/>
          <w:noProof/>
          <w:color w:val="000000" w:themeColor="text1"/>
          <w:sz w:val="24"/>
          <w:lang w:val="en-IE"/>
        </w:rPr>
        <w:t xml:space="preserve">, </w:t>
      </w:r>
      <w:r>
        <w:rPr>
          <w:rFonts w:ascii="Times New Roman" w:hAnsi="Times New Roman" w:cs="Times New Roman"/>
          <w:b/>
          <w:noProof/>
          <w:color w:val="00B0F0"/>
          <w:sz w:val="24"/>
          <w:lang w:val="en-IE"/>
        </w:rPr>
        <w:t>adequate progress</w:t>
      </w:r>
      <w:r>
        <w:rPr>
          <w:rFonts w:ascii="Times New Roman" w:hAnsi="Times New Roman" w:cs="Times New Roman"/>
          <w:noProof/>
          <w:color w:val="000000" w:themeColor="text1"/>
          <w:sz w:val="24"/>
          <w:lang w:val="en-IE"/>
        </w:rPr>
        <w:t xml:space="preserve"> is obtained because </w:t>
      </w:r>
    </w:p>
    <w:p w:rsidR="00DA7543" w:rsidRDefault="007C073D">
      <w:pPr>
        <w:ind w:firstLine="708"/>
        <w:rPr>
          <w:rFonts w:ascii="Times New Roman" w:hAnsi="Times New Roman" w:cs="Times New Roman"/>
          <w:noProof/>
          <w:color w:val="000000" w:themeColor="text1"/>
          <w:sz w:val="24"/>
          <w:lang w:val="en-IE"/>
        </w:rPr>
      </w:pPr>
      <w:r>
        <w:rPr>
          <w:rFonts w:ascii="Times New Roman" w:eastAsia="Times New Roman" w:hAnsi="Times New Roman" w:cs="Times New Roman"/>
          <w:noProof/>
          <w:color w:val="000000" w:themeColor="text1"/>
          <w:sz w:val="24"/>
          <w:lang w:val="en-IE" w:eastAsia="en-IE"/>
        </w:rPr>
        <w:t xml:space="preserve">best_fit_2016_2030(2018) </w:t>
      </w:r>
      <w:r>
        <w:rPr>
          <w:rFonts w:ascii="Times New Roman" w:hAnsi="Times New Roman" w:cs="Times New Roman"/>
          <w:noProof/>
          <w:color w:val="000000" w:themeColor="text1"/>
          <w:sz w:val="24"/>
          <w:lang w:val="en-IE"/>
        </w:rPr>
        <w:t>&lt;= MS_situation_2018 &lt;= lin_2016_2030(2018)</w:t>
      </w:r>
    </w:p>
    <w:p w:rsidR="00DA7543" w:rsidRDefault="007C073D">
      <w:pPr>
        <w:ind w:firstLine="708"/>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i.e.</w:t>
      </w:r>
      <w:r>
        <w:rPr>
          <w:rFonts w:ascii="Times New Roman" w:hAnsi="Times New Roman" w:cs="Times New Roman"/>
          <w:noProof/>
          <w:color w:val="000000" w:themeColor="text1"/>
          <w:sz w:val="24"/>
          <w:lang w:val="en-IE"/>
        </w:rPr>
        <w:tab/>
        <w:t xml:space="preserve">468 </w:t>
      </w:r>
      <w:r>
        <w:rPr>
          <w:rFonts w:ascii="Times New Roman" w:hAnsi="Times New Roman" w:cs="Times New Roman"/>
          <w:noProof/>
          <w:color w:val="000000" w:themeColor="text1"/>
          <w:sz w:val="24"/>
          <w:lang w:val="en-IE"/>
        </w:rPr>
        <w:t>&lt;= 578 &lt;= 619 (the 2018 data point is in the blue zone of adequate progress).</w:t>
      </w:r>
    </w:p>
    <w:p w:rsidR="00DA7543" w:rsidRDefault="007C073D">
      <w:pPr>
        <w:jc w:val="cente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686454" cy="32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2.1.3.3-2.jpg"/>
                    <pic:cNvPicPr/>
                  </pic:nvPicPr>
                  <pic:blipFill>
                    <a:blip r:embed="rId18">
                      <a:extLst>
                        <a:ext uri="{28A0092B-C50C-407E-A947-70E740481C1C}">
                          <a14:useLocalDpi xmlns:a14="http://schemas.microsoft.com/office/drawing/2010/main" val="0"/>
                        </a:ext>
                      </a:extLst>
                    </a:blip>
                    <a:stretch>
                      <a:fillRect/>
                    </a:stretch>
                  </pic:blipFill>
                  <pic:spPr>
                    <a:xfrm>
                      <a:off x="0" y="0"/>
                      <a:ext cx="5686454" cy="3240000"/>
                    </a:xfrm>
                    <a:prstGeom prst="rect">
                      <a:avLst/>
                    </a:prstGeom>
                  </pic:spPr>
                </pic:pic>
              </a:graphicData>
            </a:graphic>
          </wp:inline>
        </w:drawing>
      </w:r>
    </w:p>
    <w:p w:rsidR="00DA7543" w:rsidRDefault="007C073D">
      <w:pPr>
        <w:pStyle w:val="Caption"/>
        <w:rPr>
          <w:rFonts w:ascii="Times New Roman" w:eastAsia="Times New Roman" w:hAnsi="Times New Roman" w:cs="Times New Roman"/>
          <w:b w:val="0"/>
          <w:noProof/>
          <w:color w:val="000000" w:themeColor="text1"/>
          <w:sz w:val="20"/>
          <w:szCs w:val="18"/>
          <w:lang w:val="en-IE" w:eastAsia="en-IE"/>
        </w:rPr>
      </w:pPr>
      <w:bookmarkStart w:id="32" w:name="_Ref51531441"/>
      <w:bookmarkStart w:id="33" w:name="_Ref51531429"/>
      <w:r>
        <w:rPr>
          <w:rFonts w:ascii="Times New Roman" w:hAnsi="Times New Roman" w:cs="Times New Roman"/>
          <w:b w:val="0"/>
          <w:noProof/>
          <w:sz w:val="20"/>
          <w:szCs w:val="18"/>
          <w:lang w:val="en-IE"/>
        </w:rPr>
        <w:t xml:space="preserve">Figure </w:t>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STYLEREF 3 \s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2.1.3</w:t>
      </w:r>
      <w:r>
        <w:rPr>
          <w:rFonts w:ascii="Times New Roman" w:hAnsi="Times New Roman" w:cs="Times New Roman"/>
          <w:b w:val="0"/>
          <w:noProof/>
          <w:sz w:val="20"/>
          <w:szCs w:val="18"/>
          <w:lang w:val="en-IE"/>
        </w:rPr>
        <w:fldChar w:fldCharType="end"/>
      </w:r>
      <w:r>
        <w:rPr>
          <w:rFonts w:ascii="Times New Roman" w:hAnsi="Times New Roman" w:cs="Times New Roman"/>
          <w:b w:val="0"/>
          <w:noProof/>
          <w:sz w:val="20"/>
          <w:szCs w:val="18"/>
          <w:lang w:val="en-IE"/>
        </w:rPr>
        <w:noBreakHyphen/>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SEQ Figure \* ARABIC \s 3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3</w:t>
      </w:r>
      <w:r>
        <w:rPr>
          <w:rFonts w:ascii="Times New Roman" w:hAnsi="Times New Roman" w:cs="Times New Roman"/>
          <w:b w:val="0"/>
          <w:noProof/>
          <w:sz w:val="20"/>
          <w:szCs w:val="18"/>
          <w:lang w:val="en-IE"/>
        </w:rPr>
        <w:fldChar w:fldCharType="end"/>
      </w:r>
      <w:bookmarkEnd w:id="32"/>
      <w:r>
        <w:rPr>
          <w:rFonts w:ascii="Times New Roman" w:hAnsi="Times New Roman" w:cs="Times New Roman"/>
          <w:b w:val="0"/>
          <w:noProof/>
          <w:sz w:val="20"/>
          <w:szCs w:val="18"/>
          <w:lang w:val="en-IE"/>
        </w:rPr>
        <w:t xml:space="preserve"> Example of 2018 progress determination for AFV CNG/road 2016 - 2030 evolution</w:t>
      </w:r>
      <w:bookmarkEnd w:id="33"/>
      <w:r>
        <w:rPr>
          <w:rFonts w:ascii="Times New Roman" w:hAnsi="Times New Roman" w:cs="Times New Roman"/>
          <w:b w:val="0"/>
          <w:noProof/>
          <w:sz w:val="20"/>
          <w:szCs w:val="18"/>
          <w:lang w:val="en-IE"/>
        </w:rPr>
        <w:t xml:space="preserve"> in one MS.</w:t>
      </w:r>
      <w:r>
        <w:rPr>
          <w:rFonts w:ascii="Times New Roman" w:eastAsia="Times New Roman" w:hAnsi="Times New Roman" w:cs="Times New Roman"/>
          <w:b w:val="0"/>
          <w:noProof/>
          <w:color w:val="000000" w:themeColor="text1"/>
          <w:sz w:val="20"/>
          <w:szCs w:val="18"/>
          <w:lang w:val="en-IE" w:eastAsia="en-IE"/>
        </w:rPr>
        <w:t xml:space="preserve"> </w:t>
      </w:r>
    </w:p>
    <w:p w:rsidR="00DA7543" w:rsidRDefault="007C073D">
      <w:pPr>
        <w:pStyle w:val="Heading6"/>
        <w:ind w:left="0" w:hanging="19"/>
        <w:rPr>
          <w:rFonts w:ascii="Times New Roman" w:hAnsi="Times New Roman" w:cs="Times New Roman"/>
          <w:noProof/>
          <w:sz w:val="24"/>
          <w:lang w:val="en-IE"/>
        </w:rPr>
      </w:pPr>
      <w:r>
        <w:rPr>
          <w:rFonts w:ascii="Times New Roman" w:hAnsi="Times New Roman" w:cs="Times New Roman"/>
          <w:noProof/>
          <w:sz w:val="24"/>
          <w:lang w:val="en-IE"/>
        </w:rPr>
        <w:t>AFI electricity/road</w:t>
      </w:r>
    </w:p>
    <w:p w:rsidR="00DA7543" w:rsidRDefault="007C073D">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_Ref51531683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Pr>
          <w:rFonts w:ascii="Times New Roman" w:hAnsi="Times New Roman" w:cs="Times New Roman"/>
          <w:noProof/>
          <w:color w:val="000000" w:themeColor="text1"/>
          <w:sz w:val="24"/>
          <w:lang w:val="en-IE"/>
        </w:rPr>
        <w:t>Figure 2.1.3</w:t>
      </w:r>
      <w:r>
        <w:rPr>
          <w:rFonts w:ascii="Times New Roman" w:hAnsi="Times New Roman" w:cs="Times New Roman"/>
          <w:noProof/>
          <w:color w:val="000000" w:themeColor="text1"/>
          <w:sz w:val="24"/>
          <w:lang w:val="en-IE"/>
        </w:rPr>
        <w:noBreakHyphen/>
        <w:t>4</w:t>
      </w:r>
      <w:r>
        <w:rPr>
          <w:rFonts w:ascii="Times New Roman" w:hAnsi="Times New Roman" w:cs="Times New Roman"/>
          <w:noProof/>
          <w:color w:val="000000" w:themeColor="text1"/>
          <w:sz w:val="24"/>
          <w:lang w:val="en-IE"/>
        </w:rPr>
        <w:fldChar w:fldCharType="end"/>
      </w:r>
      <w:r>
        <w:rPr>
          <w:rFonts w:ascii="Times New Roman" w:hAnsi="Times New Roman" w:cs="Times New Roman"/>
          <w:noProof/>
          <w:color w:val="000000" w:themeColor="text1"/>
          <w:sz w:val="24"/>
          <w:lang w:val="en-IE"/>
        </w:rPr>
        <w:t xml:space="preserve"> displays the determination of the progress type for the case of recharging points in another MS. The recorded value of recharging points i</w:t>
      </w:r>
      <w:r>
        <w:rPr>
          <w:rFonts w:ascii="Times New Roman" w:hAnsi="Times New Roman" w:cs="Times New Roman"/>
          <w:noProof/>
          <w:color w:val="000000" w:themeColor="text1"/>
          <w:sz w:val="24"/>
          <w:lang w:val="en-IE"/>
        </w:rPr>
        <w:t xml:space="preserve">n 2018 communicated by this MS is: </w:t>
      </w:r>
    </w:p>
    <w:p w:rsidR="00DA7543" w:rsidRDefault="007C073D">
      <w:pPr>
        <w:ind w:firstLine="708"/>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MS_situation_2018 = 231 (in yellow in the figure)</w:t>
      </w:r>
    </w:p>
    <w:p w:rsidR="00DA7543" w:rsidRDefault="007C073D">
      <w:pP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best_fit is an exponential curve with the formula:</w:t>
      </w:r>
    </w:p>
    <w:p w:rsidR="00DA7543" w:rsidRDefault="007C073D">
      <w:pPr>
        <w:ind w:firstLine="708"/>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best_fit_2016_2030(x) = 14.267e</w:t>
      </w:r>
      <w:r>
        <w:rPr>
          <w:rFonts w:ascii="Times New Roman" w:hAnsi="Times New Roman" w:cs="Times New Roman"/>
          <w:noProof/>
          <w:color w:val="000000" w:themeColor="text1"/>
          <w:sz w:val="24"/>
          <w:vertAlign w:val="superscript"/>
          <w:lang w:val="en-IE"/>
        </w:rPr>
        <w:t>0.2324x</w:t>
      </w:r>
    </w:p>
    <w:p w:rsidR="00DA7543" w:rsidRDefault="007C073D">
      <w:pPr>
        <w:ind w:firstLine="708"/>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which gives: best_fit_2016_2030(2018) = 29 (in black in the figure)</w:t>
      </w:r>
    </w:p>
    <w:p w:rsidR="00DA7543" w:rsidRDefault="007C073D">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Concerni</w:t>
      </w:r>
      <w:r>
        <w:rPr>
          <w:rFonts w:ascii="Times New Roman" w:hAnsi="Times New Roman" w:cs="Times New Roman"/>
          <w:noProof/>
          <w:color w:val="000000" w:themeColor="text1"/>
          <w:sz w:val="24"/>
          <w:lang w:val="en-IE"/>
        </w:rPr>
        <w:t>ng the straight line connecting the 2016 data point to the 2030 (or latest available) data point, we obtain:</w:t>
      </w:r>
    </w:p>
    <w:p w:rsidR="00DA7543" w:rsidRDefault="007C073D">
      <w:pPr>
        <w:ind w:firstLine="708"/>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lin_2016_2030(x) = 32x - 14</w:t>
      </w:r>
    </w:p>
    <w:p w:rsidR="00DA7543" w:rsidRDefault="007C073D">
      <w:pPr>
        <w:ind w:firstLine="708"/>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which gives: lin_2016_2030(2018) = 82 (in red in the figure)</w:t>
      </w:r>
    </w:p>
    <w:p w:rsidR="00DA7543" w:rsidRDefault="007C073D">
      <w:pP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In this case, </w:t>
      </w:r>
      <w:r>
        <w:rPr>
          <w:rFonts w:ascii="Times New Roman" w:hAnsi="Times New Roman" w:cs="Times New Roman"/>
          <w:b/>
          <w:noProof/>
          <w:color w:val="00B050"/>
          <w:sz w:val="24"/>
          <w:lang w:val="en-IE"/>
        </w:rPr>
        <w:t>fast progress</w:t>
      </w:r>
      <w:r>
        <w:rPr>
          <w:rFonts w:ascii="Times New Roman" w:hAnsi="Times New Roman" w:cs="Times New Roman"/>
          <w:noProof/>
          <w:color w:val="00B050"/>
          <w:sz w:val="24"/>
          <w:lang w:val="en-IE"/>
        </w:rPr>
        <w:t xml:space="preserve"> </w:t>
      </w:r>
      <w:r>
        <w:rPr>
          <w:rFonts w:ascii="Times New Roman" w:hAnsi="Times New Roman" w:cs="Times New Roman"/>
          <w:noProof/>
          <w:color w:val="000000" w:themeColor="text1"/>
          <w:sz w:val="24"/>
          <w:lang w:val="en-IE"/>
        </w:rPr>
        <w:t xml:space="preserve">is obtained because </w:t>
      </w:r>
    </w:p>
    <w:p w:rsidR="00DA7543" w:rsidRDefault="007C073D">
      <w:pPr>
        <w:ind w:firstLine="708"/>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MS_situat</w:t>
      </w:r>
      <w:r>
        <w:rPr>
          <w:rFonts w:ascii="Times New Roman" w:hAnsi="Times New Roman" w:cs="Times New Roman"/>
          <w:noProof/>
          <w:color w:val="000000" w:themeColor="text1"/>
          <w:sz w:val="24"/>
          <w:lang w:val="en-IE"/>
        </w:rPr>
        <w:t>ion_2018 &gt; lin_2016_2030(2018)</w:t>
      </w:r>
    </w:p>
    <w:p w:rsidR="00DA7543" w:rsidRDefault="007C073D">
      <w:pPr>
        <w:ind w:firstLine="708"/>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i.e.</w:t>
      </w:r>
      <w:r>
        <w:rPr>
          <w:rFonts w:ascii="Times New Roman" w:hAnsi="Times New Roman" w:cs="Times New Roman"/>
          <w:noProof/>
          <w:color w:val="000000" w:themeColor="text1"/>
          <w:sz w:val="24"/>
          <w:lang w:val="en-IE"/>
        </w:rPr>
        <w:tab/>
        <w:t>231 &gt; 82 (the 2018 data point is in the green zone of fast progress).</w:t>
      </w:r>
    </w:p>
    <w:p w:rsidR="00DA7543" w:rsidRDefault="007C073D">
      <w:pPr>
        <w:spacing w:after="0" w:line="240" w:lineRule="auto"/>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eastAsia="en-GB"/>
        </w:rPr>
        <w:drawing>
          <wp:inline distT="0" distB="0" distL="0" distR="0">
            <wp:extent cx="5760720" cy="2559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2.1.3.4-2.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2559050"/>
                    </a:xfrm>
                    <a:prstGeom prst="rect">
                      <a:avLst/>
                    </a:prstGeom>
                  </pic:spPr>
                </pic:pic>
              </a:graphicData>
            </a:graphic>
          </wp:inline>
        </w:drawing>
      </w:r>
    </w:p>
    <w:p w:rsidR="00DA7543" w:rsidRDefault="007C073D">
      <w:pPr>
        <w:pStyle w:val="Caption"/>
        <w:jc w:val="both"/>
        <w:rPr>
          <w:rFonts w:ascii="Times New Roman" w:eastAsia="Times New Roman" w:hAnsi="Times New Roman" w:cs="Times New Roman"/>
          <w:b w:val="0"/>
          <w:noProof/>
          <w:color w:val="000000" w:themeColor="text1"/>
          <w:sz w:val="20"/>
          <w:szCs w:val="18"/>
          <w:lang w:val="en-IE" w:eastAsia="en-IE"/>
        </w:rPr>
      </w:pPr>
      <w:bookmarkStart w:id="34" w:name="_Ref51531683"/>
      <w:r>
        <w:rPr>
          <w:rFonts w:ascii="Times New Roman" w:hAnsi="Times New Roman" w:cs="Times New Roman"/>
          <w:b w:val="0"/>
          <w:noProof/>
          <w:sz w:val="20"/>
          <w:szCs w:val="18"/>
          <w:lang w:val="en-IE"/>
        </w:rPr>
        <w:t xml:space="preserve">Figure </w:t>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STYLEREF 3 \s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2.1.3</w:t>
      </w:r>
      <w:r>
        <w:rPr>
          <w:rFonts w:ascii="Times New Roman" w:hAnsi="Times New Roman" w:cs="Times New Roman"/>
          <w:b w:val="0"/>
          <w:noProof/>
          <w:sz w:val="20"/>
          <w:szCs w:val="18"/>
          <w:lang w:val="en-IE"/>
        </w:rPr>
        <w:fldChar w:fldCharType="end"/>
      </w:r>
      <w:r>
        <w:rPr>
          <w:rFonts w:ascii="Times New Roman" w:hAnsi="Times New Roman" w:cs="Times New Roman"/>
          <w:b w:val="0"/>
          <w:noProof/>
          <w:sz w:val="20"/>
          <w:szCs w:val="18"/>
          <w:lang w:val="en-IE"/>
        </w:rPr>
        <w:noBreakHyphen/>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SEQ Figure \* ARABIC \s 3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4</w:t>
      </w:r>
      <w:r>
        <w:rPr>
          <w:rFonts w:ascii="Times New Roman" w:hAnsi="Times New Roman" w:cs="Times New Roman"/>
          <w:b w:val="0"/>
          <w:noProof/>
          <w:sz w:val="20"/>
          <w:szCs w:val="18"/>
          <w:lang w:val="en-IE"/>
        </w:rPr>
        <w:fldChar w:fldCharType="end"/>
      </w:r>
      <w:bookmarkEnd w:id="34"/>
      <w:r>
        <w:rPr>
          <w:rFonts w:ascii="Times New Roman" w:hAnsi="Times New Roman" w:cs="Times New Roman"/>
          <w:b w:val="0"/>
          <w:noProof/>
          <w:sz w:val="20"/>
          <w:szCs w:val="18"/>
          <w:lang w:val="en-IE"/>
        </w:rPr>
        <w:t xml:space="preserve"> Example of 2018 progress determination for AFI electricity/road 2016 - 2030 evolution in one MS. </w:t>
      </w:r>
    </w:p>
    <w:p w:rsidR="00DA7543" w:rsidRDefault="007C073D">
      <w:pPr>
        <w:pStyle w:val="Heading6"/>
        <w:ind w:left="0" w:hanging="19"/>
        <w:rPr>
          <w:rFonts w:ascii="Times New Roman" w:hAnsi="Times New Roman" w:cs="Times New Roman"/>
          <w:noProof/>
          <w:sz w:val="24"/>
          <w:lang w:val="en-IE"/>
        </w:rPr>
      </w:pPr>
      <w:r>
        <w:rPr>
          <w:rFonts w:ascii="Times New Roman" w:hAnsi="Times New Roman" w:cs="Times New Roman"/>
          <w:noProof/>
          <w:sz w:val="24"/>
          <w:lang w:val="en-IE"/>
        </w:rPr>
        <w:t>AFV LNG/road</w:t>
      </w:r>
    </w:p>
    <w:p w:rsidR="00DA7543" w:rsidRDefault="007C073D">
      <w:pPr>
        <w:jc w:val="both"/>
        <w:rPr>
          <w:rFonts w:ascii="Times New Roman" w:hAnsi="Times New Roman" w:cs="Times New Roman"/>
          <w:noProof/>
          <w:sz w:val="24"/>
          <w:lang w:val="en-IE"/>
        </w:rPr>
      </w:pPr>
      <w:r>
        <w:rPr>
          <w:rFonts w:ascii="Times New Roman" w:hAnsi="Times New Roman" w:cs="Times New Roman"/>
          <w:iCs/>
          <w:noProof/>
          <w:color w:val="000000" w:themeColor="text1"/>
          <w:sz w:val="24"/>
          <w:lang w:val="en-IE"/>
        </w:rPr>
        <w:t xml:space="preserve">As described in </w:t>
      </w:r>
      <w:r>
        <w:rPr>
          <w:rFonts w:ascii="Times New Roman" w:hAnsi="Times New Roman" w:cs="Times New Roman"/>
          <w:noProof/>
          <w:sz w:val="24"/>
          <w:lang w:val="en-IE"/>
        </w:rPr>
        <w:t xml:space="preserve">subsection 0 B </w:t>
      </w:r>
      <w:r>
        <w:rPr>
          <w:rFonts w:ascii="Times New Roman" w:hAnsi="Times New Roman" w:cs="Times New Roman"/>
          <w:iCs/>
          <w:noProof/>
          <w:color w:val="000000" w:themeColor="text1"/>
          <w:sz w:val="24"/>
          <w:lang w:val="en-IE"/>
        </w:rPr>
        <w:t>of the assessment methodology, for all the other pairs than electricity/road and CNG road, the progress is obtain</w:t>
      </w:r>
      <w:r>
        <w:rPr>
          <w:rFonts w:ascii="Times New Roman" w:hAnsi="Times New Roman" w:cs="Times New Roman"/>
          <w:iCs/>
          <w:noProof/>
          <w:color w:val="000000" w:themeColor="text1"/>
          <w:sz w:val="24"/>
          <w:lang w:val="en-IE"/>
        </w:rPr>
        <w:t>ed in a different way. In the following example the progress obtained from 2016 until 2018 by a MS for LNG vehicles deployment is 0.79% of the overall planned deployment during the period 2016-2030. T</w:t>
      </w:r>
      <w:r>
        <w:rPr>
          <w:rFonts w:ascii="Times New Roman" w:hAnsi="Times New Roman" w:cs="Times New Roman"/>
          <w:noProof/>
          <w:sz w:val="24"/>
          <w:lang w:val="en-IE"/>
        </w:rPr>
        <w:t>he AFV LNG/road estimates used in the calculations are p</w:t>
      </w:r>
      <w:r>
        <w:rPr>
          <w:rFonts w:ascii="Times New Roman" w:hAnsi="Times New Roman" w:cs="Times New Roman"/>
          <w:noProof/>
          <w:sz w:val="24"/>
          <w:lang w:val="en-IE"/>
        </w:rPr>
        <w:t>resented below:</w:t>
      </w:r>
    </w:p>
    <w:tbl>
      <w:tblPr>
        <w:tblW w:w="906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275"/>
        <w:gridCol w:w="1157"/>
        <w:gridCol w:w="1276"/>
        <w:gridCol w:w="1275"/>
        <w:gridCol w:w="1385"/>
      </w:tblGrid>
      <w:tr w:rsidR="00DA7543">
        <w:trPr>
          <w:trHeight w:val="354"/>
        </w:trPr>
        <w:tc>
          <w:tcPr>
            <w:tcW w:w="2694" w:type="dxa"/>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Year</w:t>
            </w:r>
          </w:p>
        </w:tc>
        <w:tc>
          <w:tcPr>
            <w:tcW w:w="1275" w:type="dxa"/>
            <w:shd w:val="clear" w:color="auto" w:fill="BDD6EE" w:themeFill="accent1" w:themeFillTint="66"/>
            <w:vAlign w:val="center"/>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2016</w:t>
            </w:r>
          </w:p>
        </w:tc>
        <w:tc>
          <w:tcPr>
            <w:tcW w:w="1157" w:type="dxa"/>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2018</w:t>
            </w:r>
          </w:p>
        </w:tc>
        <w:tc>
          <w:tcPr>
            <w:tcW w:w="1276" w:type="dxa"/>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2020</w:t>
            </w:r>
          </w:p>
        </w:tc>
        <w:tc>
          <w:tcPr>
            <w:tcW w:w="1275" w:type="dxa"/>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2025</w:t>
            </w:r>
          </w:p>
        </w:tc>
        <w:tc>
          <w:tcPr>
            <w:tcW w:w="1385" w:type="dxa"/>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2030</w:t>
            </w:r>
          </w:p>
        </w:tc>
      </w:tr>
      <w:tr w:rsidR="00DA7543">
        <w:trPr>
          <w:trHeight w:val="341"/>
        </w:trPr>
        <w:tc>
          <w:tcPr>
            <w:tcW w:w="2694" w:type="dxa"/>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LNG AFV existent/estimated value</w:t>
            </w:r>
          </w:p>
        </w:tc>
        <w:tc>
          <w:tcPr>
            <w:tcW w:w="1275" w:type="dxa"/>
            <w:vAlign w:val="center"/>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0</w:t>
            </w:r>
          </w:p>
        </w:tc>
        <w:tc>
          <w:tcPr>
            <w:tcW w:w="1157" w:type="dxa"/>
            <w:shd w:val="clear" w:color="auto" w:fill="auto"/>
            <w:noWrap/>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15</w:t>
            </w:r>
          </w:p>
        </w:tc>
        <w:tc>
          <w:tcPr>
            <w:tcW w:w="1276" w:type="dxa"/>
            <w:shd w:val="clear" w:color="auto" w:fill="auto"/>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100</w:t>
            </w:r>
          </w:p>
        </w:tc>
        <w:tc>
          <w:tcPr>
            <w:tcW w:w="1275" w:type="dxa"/>
            <w:shd w:val="clear" w:color="auto" w:fill="auto"/>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397</w:t>
            </w:r>
          </w:p>
        </w:tc>
        <w:tc>
          <w:tcPr>
            <w:tcW w:w="1385" w:type="dxa"/>
            <w:shd w:val="clear" w:color="auto" w:fill="auto"/>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1,888</w:t>
            </w:r>
          </w:p>
        </w:tc>
      </w:tr>
    </w:tbl>
    <w:p w:rsidR="00DA7543" w:rsidRDefault="00DA7543">
      <w:pPr>
        <w:rPr>
          <w:rFonts w:ascii="Times New Roman" w:hAnsi="Times New Roman" w:cs="Times New Roman"/>
          <w:iCs/>
          <w:noProof/>
          <w:color w:val="000000" w:themeColor="text1"/>
          <w:sz w:val="24"/>
          <w:lang w:val="en-IE"/>
        </w:rPr>
      </w:pPr>
    </w:p>
    <w:p w:rsidR="00DA7543" w:rsidRDefault="007C073D">
      <w:pPr>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and the Progress result, in this case, is obtained by the formula shown in section 2.1.3 B):</w:t>
      </w:r>
    </w:p>
    <w:p w:rsidR="00DA7543" w:rsidRDefault="007C073D">
      <w:pPr>
        <w:shd w:val="clear" w:color="auto" w:fill="FFFFFF"/>
        <w:spacing w:after="120" w:line="240" w:lineRule="auto"/>
        <w:jc w:val="center"/>
        <w:rPr>
          <w:rFonts w:ascii="Times New Roman" w:eastAsia="Times New Roman" w:hAnsi="Times New Roman" w:cs="Times New Roman"/>
          <w:iCs/>
          <w:noProof/>
          <w:sz w:val="24"/>
          <w:lang w:val="en-IE" w:eastAsia="en-IE"/>
        </w:rPr>
      </w:pPr>
      <w:r>
        <w:rPr>
          <w:rFonts w:ascii="Times New Roman" w:eastAsia="Times New Roman" w:hAnsi="Times New Roman" w:cs="Times New Roman"/>
          <w:noProof/>
          <w:sz w:val="28"/>
          <w:szCs w:val="24"/>
          <w:lang w:val="en-IE" w:eastAsia="en-IE"/>
        </w:rPr>
        <w:t xml:space="preserve">progress [%] = </w:t>
      </w:r>
      <m:oMath>
        <m:f>
          <m:fPr>
            <m:ctrlPr>
              <w:rPr>
                <w:rFonts w:ascii="Cambria Math" w:eastAsia="Times New Roman" w:hAnsi="Cambria Math" w:cs="Times New Roman"/>
                <w:iCs/>
                <w:noProof/>
                <w:sz w:val="28"/>
                <w:szCs w:val="24"/>
                <w:lang w:val="en-IE" w:eastAsia="en-IE"/>
              </w:rPr>
            </m:ctrlPr>
          </m:fPr>
          <m:num>
            <m:r>
              <m:rPr>
                <m:nor/>
              </m:rPr>
              <w:rPr>
                <w:rFonts w:ascii="Times New Roman" w:eastAsia="Times New Roman" w:hAnsi="Times New Roman" w:cs="Times New Roman"/>
                <w:noProof/>
                <w:sz w:val="28"/>
                <w:szCs w:val="24"/>
                <w:lang w:val="en-IE" w:eastAsia="en-IE"/>
              </w:rPr>
              <m:t>NIR</m:t>
            </m:r>
            <m:r>
              <m:rPr>
                <m:nor/>
              </m:rPr>
              <w:rPr>
                <w:rFonts w:ascii="Cambria Math" w:eastAsia="Times New Roman" w:hAnsi="Times New Roman" w:cs="Times New Roman"/>
                <w:noProof/>
                <w:sz w:val="28"/>
                <w:szCs w:val="24"/>
                <w:lang w:val="en-IE" w:eastAsia="en-IE"/>
              </w:rPr>
              <m:t xml:space="preserve"> </m:t>
            </m:r>
            <m:r>
              <m:rPr>
                <m:nor/>
              </m:rPr>
              <w:rPr>
                <w:rFonts w:ascii="Times New Roman" w:eastAsia="Times New Roman" w:hAnsi="Times New Roman" w:cs="Times New Roman"/>
                <w:noProof/>
                <w:sz w:val="28"/>
                <w:szCs w:val="24"/>
                <w:lang w:val="en-IE" w:eastAsia="en-IE"/>
              </w:rPr>
              <m:t>value (2018) - NIR</m:t>
            </m:r>
            <m:r>
              <m:rPr>
                <m:nor/>
              </m:rPr>
              <w:rPr>
                <w:rFonts w:ascii="Cambria Math" w:eastAsia="Times New Roman" w:hAnsi="Times New Roman" w:cs="Times New Roman"/>
                <w:noProof/>
                <w:sz w:val="28"/>
                <w:szCs w:val="24"/>
                <w:lang w:val="en-IE" w:eastAsia="en-IE"/>
              </w:rPr>
              <m:t xml:space="preserve"> </m:t>
            </m:r>
            <m:r>
              <m:rPr>
                <m:nor/>
              </m:rPr>
              <w:rPr>
                <w:rFonts w:ascii="Times New Roman" w:eastAsia="Times New Roman" w:hAnsi="Times New Roman" w:cs="Times New Roman"/>
                <w:noProof/>
                <w:sz w:val="28"/>
                <w:szCs w:val="24"/>
                <w:lang w:val="en-IE" w:eastAsia="en-IE"/>
              </w:rPr>
              <m:t>value (2016)</m:t>
            </m:r>
          </m:num>
          <m:den>
            <m:r>
              <m:rPr>
                <m:nor/>
              </m:rPr>
              <w:rPr>
                <w:rFonts w:ascii="Times New Roman" w:eastAsia="Times New Roman" w:hAnsi="Times New Roman" w:cs="Times New Roman"/>
                <w:noProof/>
                <w:sz w:val="28"/>
                <w:szCs w:val="24"/>
                <w:lang w:val="en-IE" w:eastAsia="en-IE"/>
              </w:rPr>
              <m:t>NIR value (2030) - NIR value (2016)</m:t>
            </m:r>
          </m:den>
        </m:f>
      </m:oMath>
      <w:r>
        <w:rPr>
          <w:rFonts w:ascii="Times New Roman" w:eastAsia="Times New Roman" w:hAnsi="Times New Roman" w:cs="Times New Roman"/>
          <w:iCs/>
          <w:noProof/>
          <w:sz w:val="28"/>
          <w:szCs w:val="24"/>
          <w:lang w:val="en-IE" w:eastAsia="en-IE"/>
        </w:rPr>
        <w:t xml:space="preserve"> *100 =</w:t>
      </w:r>
      <m:oMath>
        <m:r>
          <m:rPr>
            <m:sty m:val="p"/>
          </m:rPr>
          <w:rPr>
            <w:rFonts w:ascii="Cambria Math" w:eastAsia="Times New Roman" w:hAnsi="Cambria Math" w:cs="Times New Roman"/>
            <w:noProof/>
            <w:sz w:val="28"/>
            <w:szCs w:val="24"/>
            <w:lang w:val="en-IE" w:eastAsia="en-IE"/>
          </w:rPr>
          <m:t xml:space="preserve"> </m:t>
        </m:r>
        <m:f>
          <m:fPr>
            <m:ctrlPr>
              <w:rPr>
                <w:rFonts w:ascii="Cambria Math" w:eastAsia="Times New Roman" w:hAnsi="Cambria Math" w:cs="Times New Roman"/>
                <w:iCs/>
                <w:noProof/>
                <w:sz w:val="28"/>
                <w:szCs w:val="24"/>
                <w:lang w:val="en-IE" w:eastAsia="en-IE"/>
              </w:rPr>
            </m:ctrlPr>
          </m:fPr>
          <m:num>
            <m:d>
              <m:dPr>
                <m:ctrlPr>
                  <w:rPr>
                    <w:rFonts w:ascii="Cambria Math" w:eastAsia="Times New Roman" w:hAnsi="Cambria Math" w:cs="Times New Roman"/>
                    <w:iCs/>
                    <w:noProof/>
                    <w:sz w:val="28"/>
                    <w:szCs w:val="24"/>
                    <w:lang w:val="en-IE" w:eastAsia="en-IE"/>
                  </w:rPr>
                </m:ctrlPr>
              </m:dPr>
              <m:e>
                <m:r>
                  <m:rPr>
                    <m:sty m:val="p"/>
                  </m:rPr>
                  <w:rPr>
                    <w:rFonts w:ascii="Cambria Math" w:eastAsia="Times New Roman" w:hAnsi="Cambria Math" w:cs="Times New Roman"/>
                    <w:noProof/>
                    <w:sz w:val="28"/>
                    <w:szCs w:val="24"/>
                    <w:lang w:val="en-IE" w:eastAsia="en-IE"/>
                  </w:rPr>
                  <m:t>15 – 0</m:t>
                </m:r>
              </m:e>
            </m:d>
          </m:num>
          <m:den>
            <m:d>
              <m:dPr>
                <m:ctrlPr>
                  <w:rPr>
                    <w:rFonts w:ascii="Cambria Math" w:eastAsia="Times New Roman" w:hAnsi="Cambria Math" w:cs="Times New Roman"/>
                    <w:iCs/>
                    <w:noProof/>
                    <w:sz w:val="28"/>
                    <w:szCs w:val="24"/>
                    <w:lang w:val="en-IE" w:eastAsia="en-IE"/>
                  </w:rPr>
                </m:ctrlPr>
              </m:dPr>
              <m:e>
                <m:r>
                  <m:rPr>
                    <m:sty m:val="p"/>
                  </m:rPr>
                  <w:rPr>
                    <w:rFonts w:ascii="Cambria Math" w:eastAsia="Times New Roman" w:hAnsi="Cambria Math" w:cs="Times New Roman"/>
                    <w:noProof/>
                    <w:sz w:val="28"/>
                    <w:szCs w:val="24"/>
                    <w:lang w:val="en-IE" w:eastAsia="en-IE"/>
                  </w:rPr>
                  <m:t>1,888-0</m:t>
                </m:r>
              </m:e>
            </m:d>
          </m:den>
        </m:f>
        <m:r>
          <m:rPr>
            <m:sty m:val="p"/>
          </m:rPr>
          <w:rPr>
            <w:rFonts w:ascii="Cambria Math" w:eastAsia="Times New Roman" w:hAnsi="Cambria Math" w:cs="Times New Roman"/>
            <w:noProof/>
            <w:sz w:val="28"/>
            <w:szCs w:val="24"/>
            <w:lang w:val="en-IE" w:eastAsia="en-IE"/>
          </w:rPr>
          <m:t>*100=0.79</m:t>
        </m:r>
      </m:oMath>
      <w:r>
        <w:rPr>
          <w:rFonts w:ascii="Times New Roman" w:eastAsia="Times New Roman" w:hAnsi="Times New Roman" w:cs="Times New Roman"/>
          <w:noProof/>
          <w:sz w:val="28"/>
          <w:szCs w:val="24"/>
          <w:lang w:val="en-IE" w:eastAsia="en-IE"/>
        </w:rPr>
        <w:t>%</w:t>
      </w:r>
    </w:p>
    <w:p w:rsidR="00DA7543" w:rsidRDefault="00DA7543">
      <w:pPr>
        <w:rPr>
          <w:rFonts w:ascii="Times New Roman" w:hAnsi="Times New Roman" w:cs="Times New Roman"/>
          <w:noProof/>
          <w:sz w:val="24"/>
          <w:highlight w:val="red"/>
          <w:lang w:val="en-IE"/>
        </w:rPr>
      </w:pPr>
    </w:p>
    <w:p w:rsidR="00DA7543" w:rsidRDefault="007C073D">
      <w:pPr>
        <w:pStyle w:val="Heading4"/>
        <w:jc w:val="both"/>
        <w:rPr>
          <w:rFonts w:ascii="Times New Roman" w:hAnsi="Times New Roman" w:cs="Times New Roman"/>
          <w:noProof/>
          <w:sz w:val="24"/>
          <w:lang w:val="en-IE" w:eastAsia="en-IE"/>
        </w:rPr>
      </w:pPr>
      <w:bookmarkStart w:id="35" w:name="_Ref37065753"/>
      <w:r>
        <w:rPr>
          <w:rFonts w:ascii="Times New Roman" w:hAnsi="Times New Roman" w:cs="Times New Roman"/>
          <w:noProof/>
          <w:sz w:val="24"/>
          <w:lang w:val="en-IE" w:eastAsia="en-IE"/>
        </w:rPr>
        <w:t xml:space="preserve">Characterisation of the AFV-estimates / AFI-targets </w:t>
      </w:r>
      <w:r>
        <w:rPr>
          <w:rFonts w:ascii="Times New Roman" w:eastAsia="Times New Roman" w:hAnsi="Times New Roman" w:cs="Times New Roman"/>
          <w:noProof/>
          <w:sz w:val="24"/>
          <w:lang w:val="en-IE" w:eastAsia="en-IE"/>
        </w:rPr>
        <w:t xml:space="preserve">growth rate of the </w:t>
      </w:r>
      <w:r>
        <w:rPr>
          <w:rFonts w:ascii="Times New Roman" w:hAnsi="Times New Roman" w:cs="Times New Roman"/>
          <w:noProof/>
          <w:sz w:val="24"/>
          <w:lang w:val="en-IE" w:eastAsia="en-IE"/>
        </w:rPr>
        <w:t>foreseen evolution at MS level</w:t>
      </w:r>
      <w:bookmarkEnd w:id="35"/>
    </w:p>
    <w:p w:rsidR="00DA7543" w:rsidRDefault="007C073D">
      <w:pPr>
        <w:shd w:val="clear" w:color="auto" w:fill="FFFFFF"/>
        <w:spacing w:after="0" w:line="240" w:lineRule="auto"/>
        <w:jc w:val="both"/>
        <w:rPr>
          <w:rFonts w:ascii="Times New Roman" w:eastAsia="Times New Roman" w:hAnsi="Times New Roman" w:cs="Times New Roman"/>
          <w:noProof/>
          <w:color w:val="000000" w:themeColor="text1"/>
          <w:sz w:val="24"/>
          <w:lang w:val="en-IE" w:eastAsia="en-IE"/>
        </w:rPr>
      </w:pPr>
      <w:r>
        <w:rPr>
          <w:rFonts w:ascii="Times New Roman" w:eastAsia="Times New Roman" w:hAnsi="Times New Roman" w:cs="Times New Roman"/>
          <w:noProof/>
          <w:color w:val="000000" w:themeColor="text1"/>
          <w:sz w:val="24"/>
          <w:lang w:val="en-IE" w:eastAsia="en-IE"/>
        </w:rPr>
        <w:t xml:space="preserve">Having selected the exponential curve as best fit for the electricity and CNG </w:t>
      </w:r>
      <w:r>
        <w:rPr>
          <w:rFonts w:ascii="Times New Roman" w:hAnsi="Times New Roman" w:cs="Times New Roman"/>
          <w:noProof/>
          <w:sz w:val="24"/>
          <w:lang w:val="en-IE" w:eastAsia="en-IE"/>
        </w:rPr>
        <w:t>AFV-estimates / AFI-targets values both at MS and at EU level, for each MS a specific exponential curve is obtained, which fits all its provided data as reported in the NIR.</w:t>
      </w:r>
      <w:r>
        <w:rPr>
          <w:rFonts w:ascii="Times New Roman" w:eastAsia="Times New Roman" w:hAnsi="Times New Roman" w:cs="Times New Roman"/>
          <w:noProof/>
          <w:color w:val="000000" w:themeColor="text1"/>
          <w:sz w:val="24"/>
          <w:lang w:val="en-IE" w:eastAsia="en-IE"/>
        </w:rPr>
        <w:t xml:space="preserve"> In order to characterise mathematically the exponential evolution for </w:t>
      </w:r>
      <w:r>
        <w:rPr>
          <w:rFonts w:ascii="Times New Roman" w:hAnsi="Times New Roman" w:cs="Times New Roman"/>
          <w:noProof/>
          <w:sz w:val="24"/>
          <w:lang w:val="en-IE" w:eastAsia="en-IE"/>
        </w:rPr>
        <w:t>AFV-estimate</w:t>
      </w:r>
      <w:r>
        <w:rPr>
          <w:rFonts w:ascii="Times New Roman" w:hAnsi="Times New Roman" w:cs="Times New Roman"/>
          <w:noProof/>
          <w:sz w:val="24"/>
          <w:lang w:val="en-IE" w:eastAsia="en-IE"/>
        </w:rPr>
        <w:t>s / AFI-targets, a calculation of its growth rate is carried out as explained below.</w:t>
      </w:r>
    </w:p>
    <w:p w:rsidR="00DA7543" w:rsidRDefault="00DA7543">
      <w:pPr>
        <w:shd w:val="clear" w:color="auto" w:fill="FFFFFF"/>
        <w:spacing w:after="0" w:line="240" w:lineRule="auto"/>
        <w:jc w:val="both"/>
        <w:rPr>
          <w:rFonts w:ascii="Times New Roman" w:eastAsia="Times New Roman" w:hAnsi="Times New Roman" w:cs="Times New Roman"/>
          <w:noProof/>
          <w:color w:val="000000" w:themeColor="text1"/>
          <w:sz w:val="24"/>
          <w:lang w:val="en-IE" w:eastAsia="en-IE"/>
        </w:rPr>
      </w:pPr>
    </w:p>
    <w:p w:rsidR="00DA7543" w:rsidRDefault="007C073D">
      <w:pPr>
        <w:shd w:val="clear" w:color="auto" w:fill="FFFFFF"/>
        <w:spacing w:after="0" w:line="240" w:lineRule="auto"/>
        <w:jc w:val="both"/>
        <w:rPr>
          <w:rFonts w:ascii="Times New Roman" w:eastAsia="Times New Roman" w:hAnsi="Times New Roman" w:cs="Times New Roman"/>
          <w:noProof/>
          <w:color w:val="000000" w:themeColor="text1"/>
          <w:sz w:val="24"/>
          <w:lang w:val="en-IE" w:eastAsia="en-IE"/>
        </w:rPr>
      </w:pPr>
      <w:r>
        <w:rPr>
          <w:rFonts w:ascii="Times New Roman" w:eastAsia="Times New Roman" w:hAnsi="Times New Roman" w:cs="Times New Roman"/>
          <w:noProof/>
          <w:color w:val="000000" w:themeColor="text1"/>
          <w:sz w:val="24"/>
          <w:lang w:val="en-IE" w:eastAsia="en-IE"/>
        </w:rPr>
        <w:t xml:space="preserve">Since the best fitting curve is an exponential curve, the normal exponential function under its form </w:t>
      </w:r>
      <w:r>
        <w:rPr>
          <w:rFonts w:ascii="Times New Roman" w:eastAsia="Times New Roman" w:hAnsi="Times New Roman" w:cs="Times New Roman"/>
          <w:b/>
          <w:noProof/>
          <w:color w:val="000000" w:themeColor="text1"/>
          <w:sz w:val="24"/>
          <w:lang w:val="en-IE" w:eastAsia="en-IE"/>
        </w:rPr>
        <w:t>f(x) = ae</w:t>
      </w:r>
      <w:r>
        <w:rPr>
          <w:rFonts w:ascii="Times New Roman" w:eastAsia="Times New Roman" w:hAnsi="Times New Roman" w:cs="Times New Roman"/>
          <w:b/>
          <w:noProof/>
          <w:color w:val="000000" w:themeColor="text1"/>
          <w:sz w:val="24"/>
          <w:vertAlign w:val="superscript"/>
          <w:lang w:val="en-IE" w:eastAsia="en-IE"/>
        </w:rPr>
        <w:t>kx</w:t>
      </w:r>
      <w:r>
        <w:rPr>
          <w:rFonts w:ascii="Times New Roman" w:eastAsia="Times New Roman" w:hAnsi="Times New Roman" w:cs="Times New Roman"/>
          <w:noProof/>
          <w:color w:val="000000" w:themeColor="text1"/>
          <w:sz w:val="24"/>
          <w:lang w:val="en-IE" w:eastAsia="en-IE"/>
        </w:rPr>
        <w:t xml:space="preserve"> (which is employed in situations of continuous growth or </w:t>
      </w:r>
      <w:r>
        <w:rPr>
          <w:rFonts w:ascii="Times New Roman" w:eastAsia="Times New Roman" w:hAnsi="Times New Roman" w:cs="Times New Roman"/>
          <w:noProof/>
          <w:color w:val="000000" w:themeColor="text1"/>
          <w:sz w:val="24"/>
          <w:lang w:val="en-IE" w:eastAsia="en-IE"/>
        </w:rPr>
        <w:t>decay) is used. If a quantity grows continuously by a fixed percentage (growth rate), the pattern can be depicted by this type of function.</w:t>
      </w:r>
    </w:p>
    <w:p w:rsidR="00DA7543" w:rsidRDefault="00DA7543">
      <w:pPr>
        <w:shd w:val="clear" w:color="auto" w:fill="FFFFFF"/>
        <w:spacing w:after="0" w:line="240" w:lineRule="auto"/>
        <w:jc w:val="both"/>
        <w:rPr>
          <w:rFonts w:ascii="Times New Roman" w:eastAsia="Times New Roman" w:hAnsi="Times New Roman" w:cs="Times New Roman"/>
          <w:noProof/>
          <w:color w:val="000000" w:themeColor="text1"/>
          <w:sz w:val="24"/>
          <w:lang w:val="en-IE" w:eastAsia="en-IE"/>
        </w:rPr>
      </w:pPr>
    </w:p>
    <w:p w:rsidR="00DA7543" w:rsidRDefault="007C073D">
      <w:pPr>
        <w:shd w:val="clear" w:color="auto" w:fill="FFFFFF"/>
        <w:spacing w:after="0" w:line="240" w:lineRule="auto"/>
        <w:jc w:val="center"/>
        <w:rPr>
          <w:rFonts w:ascii="Times New Roman" w:eastAsia="Times New Roman" w:hAnsi="Times New Roman" w:cs="Times New Roman"/>
          <w:noProof/>
          <w:color w:val="000000" w:themeColor="text1"/>
          <w:sz w:val="24"/>
          <w:vertAlign w:val="superscript"/>
          <w:lang w:val="en-IE" w:eastAsia="en-IE"/>
        </w:rPr>
      </w:pPr>
      <w:r>
        <w:rPr>
          <w:rFonts w:ascii="Times New Roman" w:eastAsia="Times New Roman" w:hAnsi="Times New Roman" w:cs="Times New Roman"/>
          <w:noProof/>
          <w:color w:val="000000" w:themeColor="text1"/>
          <w:sz w:val="24"/>
          <w:lang w:val="en-IE" w:eastAsia="en-IE"/>
        </w:rPr>
        <w:t>f(x) = ab</w:t>
      </w:r>
      <w:r>
        <w:rPr>
          <w:rFonts w:ascii="Times New Roman" w:eastAsia="Times New Roman" w:hAnsi="Times New Roman" w:cs="Times New Roman"/>
          <w:noProof/>
          <w:color w:val="000000" w:themeColor="text1"/>
          <w:sz w:val="24"/>
          <w:vertAlign w:val="superscript"/>
          <w:lang w:val="en-IE" w:eastAsia="en-IE"/>
        </w:rPr>
        <w:t xml:space="preserve">x </w:t>
      </w:r>
      <w:r>
        <w:rPr>
          <w:rFonts w:ascii="Times New Roman" w:eastAsia="Times New Roman" w:hAnsi="Times New Roman" w:cs="Times New Roman"/>
          <w:noProof/>
          <w:color w:val="000000" w:themeColor="text1"/>
          <w:sz w:val="24"/>
          <w:lang w:val="en-IE" w:eastAsia="en-IE"/>
        </w:rPr>
        <w:t xml:space="preserve">= </w:t>
      </w:r>
      <w:r>
        <w:rPr>
          <w:rFonts w:ascii="Times New Roman" w:eastAsia="Times New Roman" w:hAnsi="Times New Roman" w:cs="Times New Roman"/>
          <w:b/>
          <w:noProof/>
          <w:color w:val="000000" w:themeColor="text1"/>
          <w:sz w:val="24"/>
          <w:lang w:val="en-IE" w:eastAsia="en-IE"/>
        </w:rPr>
        <w:t>ae</w:t>
      </w:r>
      <w:r>
        <w:rPr>
          <w:rFonts w:ascii="Times New Roman" w:eastAsia="Times New Roman" w:hAnsi="Times New Roman" w:cs="Times New Roman"/>
          <w:b/>
          <w:noProof/>
          <w:color w:val="000000" w:themeColor="text1"/>
          <w:sz w:val="24"/>
          <w:vertAlign w:val="superscript"/>
          <w:lang w:val="en-IE" w:eastAsia="en-IE"/>
        </w:rPr>
        <w:t xml:space="preserve">kx </w:t>
      </w:r>
      <w:r>
        <w:rPr>
          <w:rFonts w:ascii="Times New Roman" w:eastAsia="Times New Roman" w:hAnsi="Times New Roman" w:cs="Times New Roman"/>
          <w:noProof/>
          <w:color w:val="000000" w:themeColor="text1"/>
          <w:sz w:val="24"/>
          <w:lang w:val="en-IE" w:eastAsia="en-IE"/>
        </w:rPr>
        <w:t>= a(1+r)</w:t>
      </w:r>
      <w:r>
        <w:rPr>
          <w:rFonts w:ascii="Times New Roman" w:eastAsia="Times New Roman" w:hAnsi="Times New Roman" w:cs="Times New Roman"/>
          <w:noProof/>
          <w:color w:val="000000" w:themeColor="text1"/>
          <w:sz w:val="24"/>
          <w:vertAlign w:val="superscript"/>
          <w:lang w:val="en-IE" w:eastAsia="en-IE"/>
        </w:rPr>
        <w:t>x</w:t>
      </w:r>
    </w:p>
    <w:p w:rsidR="00DA7543" w:rsidRDefault="00DA7543">
      <w:pPr>
        <w:shd w:val="clear" w:color="auto" w:fill="FFFFFF"/>
        <w:spacing w:after="0" w:line="240" w:lineRule="auto"/>
        <w:jc w:val="center"/>
        <w:rPr>
          <w:rFonts w:ascii="Times New Roman" w:eastAsia="Times New Roman" w:hAnsi="Times New Roman" w:cs="Times New Roman"/>
          <w:noProof/>
          <w:color w:val="000000" w:themeColor="text1"/>
          <w:sz w:val="24"/>
          <w:vertAlign w:val="superscript"/>
          <w:lang w:val="en-IE" w:eastAsia="en-IE"/>
        </w:rPr>
      </w:pPr>
    </w:p>
    <w:p w:rsidR="00DA7543" w:rsidRDefault="007C073D">
      <w:pPr>
        <w:shd w:val="clear" w:color="auto" w:fill="FFFFFF"/>
        <w:spacing w:after="0" w:line="240" w:lineRule="auto"/>
        <w:rPr>
          <w:rFonts w:ascii="Times New Roman" w:eastAsia="Times New Roman" w:hAnsi="Times New Roman" w:cs="Times New Roman"/>
          <w:noProof/>
          <w:color w:val="000000" w:themeColor="text1"/>
          <w:sz w:val="24"/>
          <w:lang w:val="en-IE" w:eastAsia="en-IE"/>
        </w:rPr>
      </w:pPr>
      <w:r>
        <w:rPr>
          <w:rFonts w:ascii="Times New Roman" w:eastAsia="Times New Roman" w:hAnsi="Times New Roman" w:cs="Times New Roman"/>
          <w:noProof/>
          <w:color w:val="000000" w:themeColor="text1"/>
          <w:sz w:val="24"/>
          <w:lang w:val="en-IE" w:eastAsia="en-IE"/>
        </w:rPr>
        <w:t>where the parameters have the following meanings:</w:t>
      </w:r>
    </w:p>
    <w:p w:rsidR="00DA7543" w:rsidRDefault="007C073D">
      <w:pPr>
        <w:shd w:val="clear" w:color="auto" w:fill="FFFFFF"/>
        <w:spacing w:after="0" w:line="240" w:lineRule="auto"/>
        <w:rPr>
          <w:rFonts w:ascii="Times New Roman" w:eastAsia="Times New Roman" w:hAnsi="Times New Roman" w:cs="Times New Roman"/>
          <w:noProof/>
          <w:color w:val="000000" w:themeColor="text1"/>
          <w:sz w:val="24"/>
          <w:lang w:val="en-IE" w:eastAsia="en-IE"/>
        </w:rPr>
      </w:pPr>
      <w:r>
        <w:rPr>
          <w:rFonts w:ascii="Times New Roman" w:eastAsia="Times New Roman" w:hAnsi="Times New Roman" w:cs="Times New Roman"/>
          <w:noProof/>
          <w:color w:val="000000" w:themeColor="text1"/>
          <w:sz w:val="24"/>
          <w:lang w:val="en-IE" w:eastAsia="en-IE"/>
        </w:rPr>
        <w:t>a=initial value</w:t>
      </w:r>
    </w:p>
    <w:p w:rsidR="00DA7543" w:rsidRDefault="007C073D">
      <w:pPr>
        <w:shd w:val="clear" w:color="auto" w:fill="FFFFFF"/>
        <w:spacing w:after="0" w:line="240" w:lineRule="auto"/>
        <w:rPr>
          <w:rFonts w:ascii="Times New Roman" w:eastAsia="Times New Roman" w:hAnsi="Times New Roman" w:cs="Times New Roman"/>
          <w:noProof/>
          <w:color w:val="000000" w:themeColor="text1"/>
          <w:sz w:val="24"/>
          <w:lang w:val="en-IE" w:eastAsia="en-IE"/>
        </w:rPr>
      </w:pPr>
      <w:r>
        <w:rPr>
          <w:rFonts w:ascii="Times New Roman" w:eastAsia="Times New Roman" w:hAnsi="Times New Roman" w:cs="Times New Roman"/>
          <w:noProof/>
          <w:color w:val="000000" w:themeColor="text1"/>
          <w:sz w:val="24"/>
          <w:lang w:val="en-IE" w:eastAsia="en-IE"/>
        </w:rPr>
        <w:t>b=base (if b &gt; 1 - e</w:t>
      </w:r>
      <w:r>
        <w:rPr>
          <w:rFonts w:ascii="Times New Roman" w:eastAsia="Times New Roman" w:hAnsi="Times New Roman" w:cs="Times New Roman"/>
          <w:noProof/>
          <w:color w:val="000000" w:themeColor="text1"/>
          <w:sz w:val="24"/>
          <w:lang w:val="en-IE" w:eastAsia="en-IE"/>
        </w:rPr>
        <w:t>xponential growth, if 0 &lt; b &lt; 1 - exponential decrease)</w:t>
      </w:r>
    </w:p>
    <w:p w:rsidR="00DA7543" w:rsidRDefault="007C073D">
      <w:pPr>
        <w:shd w:val="clear" w:color="auto" w:fill="FFFFFF"/>
        <w:spacing w:after="0" w:line="240" w:lineRule="auto"/>
        <w:rPr>
          <w:rFonts w:ascii="Times New Roman" w:eastAsia="Times New Roman" w:hAnsi="Times New Roman" w:cs="Times New Roman"/>
          <w:noProof/>
          <w:color w:val="000000" w:themeColor="text1"/>
          <w:sz w:val="24"/>
          <w:lang w:val="en-IE" w:eastAsia="en-IE"/>
        </w:rPr>
      </w:pPr>
      <w:r>
        <w:rPr>
          <w:rFonts w:ascii="Times New Roman" w:eastAsia="Times New Roman" w:hAnsi="Times New Roman" w:cs="Times New Roman"/>
          <w:noProof/>
          <w:color w:val="000000" w:themeColor="text1"/>
          <w:sz w:val="24"/>
          <w:lang w:val="en-IE" w:eastAsia="en-IE"/>
        </w:rPr>
        <w:t>x=exponent (in this case, it is the year)</w:t>
      </w:r>
    </w:p>
    <w:p w:rsidR="00DA7543" w:rsidRDefault="007C073D">
      <w:pPr>
        <w:shd w:val="clear" w:color="auto" w:fill="FFFFFF"/>
        <w:spacing w:after="0" w:line="240" w:lineRule="auto"/>
        <w:jc w:val="both"/>
        <w:rPr>
          <w:rFonts w:ascii="Times New Roman" w:eastAsia="Times New Roman" w:hAnsi="Times New Roman" w:cs="Times New Roman"/>
          <w:noProof/>
          <w:color w:val="000000" w:themeColor="text1"/>
          <w:sz w:val="24"/>
          <w:lang w:val="en-IE" w:eastAsia="en-IE"/>
        </w:rPr>
      </w:pPr>
      <w:r>
        <w:rPr>
          <w:rFonts w:ascii="Times New Roman" w:eastAsia="Times New Roman" w:hAnsi="Times New Roman" w:cs="Times New Roman"/>
          <w:noProof/>
          <w:color w:val="000000" w:themeColor="text1"/>
          <w:sz w:val="24"/>
          <w:lang w:val="en-IE" w:eastAsia="en-IE"/>
        </w:rPr>
        <w:t>k=constant of proportionality (if k &gt; 0 - the amount is increasing (growing); if k &lt; 0 - the amount is decreasing (decaying))</w:t>
      </w:r>
    </w:p>
    <w:p w:rsidR="00DA7543" w:rsidRDefault="007C073D">
      <w:pPr>
        <w:shd w:val="clear" w:color="auto" w:fill="FFFFFF"/>
        <w:spacing w:after="0" w:line="240" w:lineRule="auto"/>
        <w:jc w:val="both"/>
        <w:rPr>
          <w:rFonts w:ascii="Times New Roman" w:eastAsia="Times New Roman" w:hAnsi="Times New Roman" w:cs="Times New Roman"/>
          <w:noProof/>
          <w:color w:val="000000" w:themeColor="text1"/>
          <w:sz w:val="24"/>
          <w:lang w:val="en-IE" w:eastAsia="en-IE"/>
        </w:rPr>
      </w:pPr>
      <w:r>
        <w:rPr>
          <w:rFonts w:ascii="Times New Roman" w:eastAsia="Times New Roman" w:hAnsi="Times New Roman" w:cs="Times New Roman"/>
          <w:noProof/>
          <w:color w:val="000000" w:themeColor="text1"/>
          <w:sz w:val="24"/>
          <w:lang w:val="en-IE" w:eastAsia="en-IE"/>
        </w:rPr>
        <w:t>r=growth rate, where r=e</w:t>
      </w:r>
      <w:r>
        <w:rPr>
          <w:rFonts w:ascii="Times New Roman" w:eastAsia="Times New Roman" w:hAnsi="Times New Roman" w:cs="Times New Roman"/>
          <w:noProof/>
          <w:color w:val="000000" w:themeColor="text1"/>
          <w:sz w:val="24"/>
          <w:vertAlign w:val="superscript"/>
          <w:lang w:val="en-IE" w:eastAsia="en-IE"/>
        </w:rPr>
        <w:t>k</w:t>
      </w:r>
      <w:r>
        <w:rPr>
          <w:rFonts w:ascii="Times New Roman" w:eastAsia="Times New Roman" w:hAnsi="Times New Roman" w:cs="Times New Roman"/>
          <w:noProof/>
          <w:color w:val="000000" w:themeColor="text1"/>
          <w:sz w:val="24"/>
          <w:lang w:val="en-IE" w:eastAsia="en-IE"/>
        </w:rPr>
        <w:t>-1.</w:t>
      </w:r>
    </w:p>
    <w:p w:rsidR="00DA7543" w:rsidRDefault="00DA7543">
      <w:pPr>
        <w:shd w:val="clear" w:color="auto" w:fill="FFFFFF"/>
        <w:spacing w:after="0" w:line="240" w:lineRule="auto"/>
        <w:jc w:val="both"/>
        <w:rPr>
          <w:rFonts w:ascii="Times New Roman" w:eastAsia="Times New Roman" w:hAnsi="Times New Roman" w:cs="Times New Roman"/>
          <w:noProof/>
          <w:color w:val="000000" w:themeColor="text1"/>
          <w:sz w:val="24"/>
          <w:lang w:val="en-IE" w:eastAsia="en-IE"/>
        </w:rPr>
      </w:pPr>
    </w:p>
    <w:p w:rsidR="00DA7543" w:rsidRDefault="007C073D">
      <w:pPr>
        <w:shd w:val="clear" w:color="auto" w:fill="FFFFFF"/>
        <w:spacing w:after="0" w:line="240" w:lineRule="auto"/>
        <w:jc w:val="both"/>
        <w:rPr>
          <w:rFonts w:ascii="Times New Roman" w:eastAsia="Times New Roman" w:hAnsi="Times New Roman" w:cs="Times New Roman"/>
          <w:noProof/>
          <w:color w:val="000000" w:themeColor="text1"/>
          <w:sz w:val="24"/>
          <w:lang w:val="en-IE" w:eastAsia="en-IE"/>
        </w:rPr>
      </w:pPr>
      <w:r>
        <w:rPr>
          <w:rFonts w:ascii="Times New Roman" w:eastAsia="Times New Roman" w:hAnsi="Times New Roman" w:cs="Times New Roman"/>
          <w:noProof/>
          <w:color w:val="000000" w:themeColor="text1"/>
          <w:sz w:val="24"/>
          <w:lang w:val="en-IE" w:eastAsia="en-IE"/>
        </w:rPr>
        <w:t>Fo</w:t>
      </w:r>
      <w:r>
        <w:rPr>
          <w:rFonts w:ascii="Times New Roman" w:eastAsia="Times New Roman" w:hAnsi="Times New Roman" w:cs="Times New Roman"/>
          <w:noProof/>
          <w:color w:val="000000" w:themeColor="text1"/>
          <w:sz w:val="24"/>
          <w:lang w:val="en-IE" w:eastAsia="en-IE"/>
        </w:rPr>
        <w:t xml:space="preserve">r each MS, the fitted exponential curve will have different parameters (a, k and r). </w:t>
      </w:r>
    </w:p>
    <w:p w:rsidR="00DA7543" w:rsidRDefault="00DA7543">
      <w:pPr>
        <w:shd w:val="clear" w:color="auto" w:fill="FFFFFF"/>
        <w:spacing w:after="0" w:line="240" w:lineRule="auto"/>
        <w:jc w:val="both"/>
        <w:rPr>
          <w:rFonts w:ascii="Times New Roman" w:eastAsia="Times New Roman" w:hAnsi="Times New Roman" w:cs="Times New Roman"/>
          <w:noProof/>
          <w:color w:val="000000" w:themeColor="text1"/>
          <w:sz w:val="24"/>
          <w:lang w:val="en-IE" w:eastAsia="en-IE"/>
        </w:rPr>
      </w:pPr>
    </w:p>
    <w:p w:rsidR="00DA7543" w:rsidRDefault="007C073D">
      <w:pPr>
        <w:shd w:val="clear" w:color="auto" w:fill="FFFFFF"/>
        <w:spacing w:after="0" w:line="240" w:lineRule="auto"/>
        <w:jc w:val="both"/>
        <w:rPr>
          <w:rFonts w:ascii="Times New Roman" w:eastAsia="Times New Roman" w:hAnsi="Times New Roman" w:cs="Times New Roman"/>
          <w:noProof/>
          <w:color w:val="000000" w:themeColor="text1"/>
          <w:sz w:val="24"/>
          <w:lang w:val="en-IE" w:eastAsia="en-IE"/>
        </w:rPr>
      </w:pPr>
      <w:r>
        <w:rPr>
          <w:rFonts w:ascii="Times New Roman" w:eastAsia="Times New Roman" w:hAnsi="Times New Roman" w:cs="Times New Roman"/>
          <w:noProof/>
          <w:color w:val="000000" w:themeColor="text1"/>
          <w:sz w:val="24"/>
          <w:lang w:val="en-IE" w:eastAsia="en-IE"/>
        </w:rPr>
        <w:t xml:space="preserve">In order to better understand the influence of the parameters constant of proportionality (k) and growth rate (r), </w:t>
      </w:r>
      <w:r>
        <w:rPr>
          <w:rFonts w:ascii="Times New Roman" w:eastAsia="Times New Roman" w:hAnsi="Times New Roman" w:cs="Times New Roman"/>
          <w:noProof/>
          <w:color w:val="000000" w:themeColor="text1"/>
          <w:sz w:val="24"/>
          <w:lang w:val="en-IE" w:eastAsia="en-IE"/>
        </w:rPr>
        <w:fldChar w:fldCharType="begin"/>
      </w:r>
      <w:r>
        <w:rPr>
          <w:rFonts w:ascii="Times New Roman" w:eastAsia="Times New Roman" w:hAnsi="Times New Roman" w:cs="Times New Roman"/>
          <w:noProof/>
          <w:color w:val="000000" w:themeColor="text1"/>
          <w:sz w:val="24"/>
          <w:lang w:val="en-IE" w:eastAsia="en-IE"/>
        </w:rPr>
        <w:instrText xml:space="preserve"> REF _Ref42467445 \h  \* MERGEFORMAT </w:instrText>
      </w:r>
      <w:r>
        <w:rPr>
          <w:rFonts w:ascii="Times New Roman" w:eastAsia="Times New Roman" w:hAnsi="Times New Roman" w:cs="Times New Roman"/>
          <w:noProof/>
          <w:color w:val="000000" w:themeColor="text1"/>
          <w:sz w:val="24"/>
          <w:lang w:val="en-IE" w:eastAsia="en-IE"/>
        </w:rPr>
      </w:r>
      <w:r>
        <w:rPr>
          <w:rFonts w:ascii="Times New Roman" w:eastAsia="Times New Roman" w:hAnsi="Times New Roman" w:cs="Times New Roman"/>
          <w:noProof/>
          <w:color w:val="000000" w:themeColor="text1"/>
          <w:sz w:val="24"/>
          <w:lang w:val="en-IE" w:eastAsia="en-IE"/>
        </w:rPr>
        <w:fldChar w:fldCharType="separate"/>
      </w:r>
      <w:r>
        <w:rPr>
          <w:rFonts w:ascii="Times New Roman" w:eastAsia="Times New Roman" w:hAnsi="Times New Roman" w:cs="Times New Roman"/>
          <w:noProof/>
          <w:color w:val="000000" w:themeColor="text1"/>
          <w:sz w:val="24"/>
          <w:lang w:val="en-IE" w:eastAsia="en-IE"/>
        </w:rPr>
        <w:t>Figure 2.1.3</w:t>
      </w:r>
      <w:r>
        <w:rPr>
          <w:rFonts w:ascii="Times New Roman" w:eastAsia="Times New Roman" w:hAnsi="Times New Roman" w:cs="Times New Roman"/>
          <w:noProof/>
          <w:color w:val="000000" w:themeColor="text1"/>
          <w:sz w:val="24"/>
          <w:lang w:val="en-IE" w:eastAsia="en-IE"/>
        </w:rPr>
        <w:noBreakHyphen/>
        <w:t>5</w:t>
      </w:r>
      <w:r>
        <w:rPr>
          <w:rFonts w:ascii="Times New Roman" w:eastAsia="Times New Roman" w:hAnsi="Times New Roman" w:cs="Times New Roman"/>
          <w:noProof/>
          <w:color w:val="000000" w:themeColor="text1"/>
          <w:sz w:val="24"/>
          <w:lang w:val="en-IE" w:eastAsia="en-IE"/>
        </w:rPr>
        <w:fldChar w:fldCharType="end"/>
      </w:r>
      <w:r>
        <w:rPr>
          <w:rFonts w:ascii="Times New Roman" w:eastAsia="Times New Roman" w:hAnsi="Times New Roman" w:cs="Times New Roman"/>
          <w:noProof/>
          <w:color w:val="000000" w:themeColor="text1"/>
          <w:sz w:val="24"/>
          <w:lang w:val="en-IE" w:eastAsia="en-IE"/>
        </w:rPr>
        <w:t xml:space="preserve"> provides a graph containing 10 exponential functions (k=0.1, 0.2…1 and a=1) with corresponding growth rates displayed.</w:t>
      </w:r>
    </w:p>
    <w:p w:rsidR="00DA7543" w:rsidRDefault="00DA7543">
      <w:pPr>
        <w:shd w:val="clear" w:color="auto" w:fill="FFFFFF"/>
        <w:spacing w:after="0" w:line="240" w:lineRule="auto"/>
        <w:rPr>
          <w:rFonts w:ascii="Times New Roman" w:eastAsia="Times New Roman" w:hAnsi="Times New Roman" w:cs="Times New Roman"/>
          <w:noProof/>
          <w:color w:val="000000" w:themeColor="text1"/>
          <w:sz w:val="28"/>
          <w:szCs w:val="24"/>
          <w:lang w:val="en-IE" w:eastAsia="en-IE"/>
        </w:rPr>
      </w:pPr>
    </w:p>
    <w:p w:rsidR="00DA7543" w:rsidRDefault="007C073D">
      <w:pPr>
        <w:shd w:val="clear" w:color="auto" w:fill="FFFFFF"/>
        <w:spacing w:after="0" w:line="240" w:lineRule="auto"/>
        <w:jc w:val="center"/>
        <w:rPr>
          <w:rFonts w:ascii="Times New Roman" w:eastAsia="Times New Roman" w:hAnsi="Times New Roman" w:cs="Times New Roman"/>
          <w:noProof/>
          <w:color w:val="000000" w:themeColor="text1"/>
          <w:sz w:val="28"/>
          <w:szCs w:val="24"/>
          <w:lang w:val="en-IE" w:eastAsia="en-IE"/>
        </w:rPr>
      </w:pPr>
      <w:r>
        <w:rPr>
          <w:rFonts w:ascii="Times New Roman" w:eastAsia="Times New Roman" w:hAnsi="Times New Roman" w:cs="Times New Roman"/>
          <w:noProof/>
          <w:color w:val="000000" w:themeColor="text1"/>
          <w:sz w:val="28"/>
          <w:szCs w:val="24"/>
          <w:lang w:eastAsia="en-GB"/>
        </w:rPr>
        <w:drawing>
          <wp:inline distT="0" distB="0" distL="0" distR="0">
            <wp:extent cx="5710689" cy="42912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1.3.5.jpg"/>
                    <pic:cNvPicPr/>
                  </pic:nvPicPr>
                  <pic:blipFill>
                    <a:blip r:embed="rId20">
                      <a:extLst>
                        <a:ext uri="{28A0092B-C50C-407E-A947-70E740481C1C}">
                          <a14:useLocalDpi xmlns:a14="http://schemas.microsoft.com/office/drawing/2010/main" val="0"/>
                        </a:ext>
                      </a:extLst>
                    </a:blip>
                    <a:stretch>
                      <a:fillRect/>
                    </a:stretch>
                  </pic:blipFill>
                  <pic:spPr>
                    <a:xfrm>
                      <a:off x="0" y="0"/>
                      <a:ext cx="5710689" cy="4291200"/>
                    </a:xfrm>
                    <a:prstGeom prst="rect">
                      <a:avLst/>
                    </a:prstGeom>
                  </pic:spPr>
                </pic:pic>
              </a:graphicData>
            </a:graphic>
          </wp:inline>
        </w:drawing>
      </w:r>
    </w:p>
    <w:p w:rsidR="00DA7543" w:rsidRDefault="00DA7543">
      <w:pPr>
        <w:shd w:val="clear" w:color="auto" w:fill="FFFFFF"/>
        <w:spacing w:after="0" w:line="240" w:lineRule="auto"/>
        <w:rPr>
          <w:rFonts w:ascii="Times New Roman" w:eastAsia="Times New Roman" w:hAnsi="Times New Roman" w:cs="Times New Roman"/>
          <w:noProof/>
          <w:color w:val="000000" w:themeColor="text1"/>
          <w:sz w:val="28"/>
          <w:szCs w:val="24"/>
          <w:lang w:val="en-IE" w:eastAsia="en-IE"/>
        </w:rPr>
      </w:pPr>
    </w:p>
    <w:p w:rsidR="00DA7543" w:rsidRDefault="007C073D">
      <w:pPr>
        <w:spacing w:after="120" w:line="240" w:lineRule="auto"/>
        <w:rPr>
          <w:rFonts w:ascii="Times New Roman" w:hAnsi="Times New Roman" w:cs="Times New Roman"/>
          <w:noProof/>
          <w:sz w:val="20"/>
          <w:szCs w:val="18"/>
          <w:lang w:val="en-IE"/>
        </w:rPr>
      </w:pPr>
      <w:bookmarkStart w:id="36" w:name="_Ref42467445"/>
      <w:r>
        <w:rPr>
          <w:rFonts w:ascii="Times New Roman" w:hAnsi="Times New Roman" w:cs="Times New Roman"/>
          <w:noProof/>
          <w:sz w:val="20"/>
          <w:szCs w:val="18"/>
          <w:lang w:val="en-IE"/>
        </w:rPr>
        <w:t xml:space="preserve">Figure </w:t>
      </w:r>
      <w:r>
        <w:rPr>
          <w:rFonts w:ascii="Times New Roman" w:hAnsi="Times New Roman" w:cs="Times New Roman"/>
          <w:noProof/>
          <w:sz w:val="20"/>
          <w:szCs w:val="18"/>
          <w:lang w:val="en-IE"/>
        </w:rPr>
        <w:fldChar w:fldCharType="begin"/>
      </w:r>
      <w:r>
        <w:rPr>
          <w:rFonts w:ascii="Times New Roman" w:hAnsi="Times New Roman" w:cs="Times New Roman"/>
          <w:noProof/>
          <w:sz w:val="20"/>
          <w:szCs w:val="18"/>
          <w:lang w:val="en-IE"/>
        </w:rPr>
        <w:instrText xml:space="preserve"> STYLEREF 3 \s </w:instrText>
      </w:r>
      <w:r>
        <w:rPr>
          <w:rFonts w:ascii="Times New Roman" w:hAnsi="Times New Roman" w:cs="Times New Roman"/>
          <w:noProof/>
          <w:sz w:val="20"/>
          <w:szCs w:val="18"/>
          <w:lang w:val="en-IE"/>
        </w:rPr>
        <w:fldChar w:fldCharType="separate"/>
      </w:r>
      <w:r>
        <w:rPr>
          <w:rFonts w:ascii="Times New Roman" w:hAnsi="Times New Roman" w:cs="Times New Roman"/>
          <w:noProof/>
          <w:sz w:val="20"/>
          <w:szCs w:val="18"/>
          <w:lang w:val="en-IE"/>
        </w:rPr>
        <w:t>2.1.3</w:t>
      </w:r>
      <w:r>
        <w:rPr>
          <w:rFonts w:ascii="Times New Roman" w:hAnsi="Times New Roman" w:cs="Times New Roman"/>
          <w:noProof/>
          <w:sz w:val="20"/>
          <w:szCs w:val="18"/>
          <w:lang w:val="en-IE"/>
        </w:rPr>
        <w:fldChar w:fldCharType="end"/>
      </w:r>
      <w:r>
        <w:rPr>
          <w:rFonts w:ascii="Times New Roman" w:hAnsi="Times New Roman" w:cs="Times New Roman"/>
          <w:noProof/>
          <w:sz w:val="20"/>
          <w:szCs w:val="18"/>
          <w:lang w:val="en-IE"/>
        </w:rPr>
        <w:noBreakHyphen/>
      </w:r>
      <w:r>
        <w:rPr>
          <w:rFonts w:ascii="Times New Roman" w:hAnsi="Times New Roman" w:cs="Times New Roman"/>
          <w:noProof/>
          <w:sz w:val="20"/>
          <w:szCs w:val="18"/>
          <w:lang w:val="en-IE"/>
        </w:rPr>
        <w:fldChar w:fldCharType="begin"/>
      </w:r>
      <w:r>
        <w:rPr>
          <w:rFonts w:ascii="Times New Roman" w:hAnsi="Times New Roman" w:cs="Times New Roman"/>
          <w:noProof/>
          <w:sz w:val="20"/>
          <w:szCs w:val="18"/>
          <w:lang w:val="en-IE"/>
        </w:rPr>
        <w:instrText xml:space="preserve"> SEQ Figure \* ARABIC \s 3 </w:instrText>
      </w:r>
      <w:r>
        <w:rPr>
          <w:rFonts w:ascii="Times New Roman" w:hAnsi="Times New Roman" w:cs="Times New Roman"/>
          <w:noProof/>
          <w:sz w:val="20"/>
          <w:szCs w:val="18"/>
          <w:lang w:val="en-IE"/>
        </w:rPr>
        <w:fldChar w:fldCharType="separate"/>
      </w:r>
      <w:r>
        <w:rPr>
          <w:rFonts w:ascii="Times New Roman" w:hAnsi="Times New Roman" w:cs="Times New Roman"/>
          <w:noProof/>
          <w:sz w:val="20"/>
          <w:szCs w:val="18"/>
          <w:lang w:val="en-IE"/>
        </w:rPr>
        <w:t>5</w:t>
      </w:r>
      <w:r>
        <w:rPr>
          <w:rFonts w:ascii="Times New Roman" w:hAnsi="Times New Roman" w:cs="Times New Roman"/>
          <w:noProof/>
          <w:sz w:val="20"/>
          <w:szCs w:val="18"/>
          <w:lang w:val="en-IE"/>
        </w:rPr>
        <w:fldChar w:fldCharType="end"/>
      </w:r>
      <w:bookmarkEnd w:id="36"/>
      <w:r>
        <w:rPr>
          <w:rFonts w:ascii="Times New Roman" w:hAnsi="Times New Roman" w:cs="Times New Roman"/>
          <w:noProof/>
          <w:sz w:val="20"/>
          <w:szCs w:val="18"/>
          <w:lang w:val="en-IE"/>
        </w:rPr>
        <w:t xml:space="preserve"> Exponential function f(x) = ae</w:t>
      </w:r>
      <w:r>
        <w:rPr>
          <w:rFonts w:ascii="Times New Roman" w:hAnsi="Times New Roman" w:cs="Times New Roman"/>
          <w:noProof/>
          <w:sz w:val="20"/>
          <w:szCs w:val="18"/>
          <w:vertAlign w:val="superscript"/>
          <w:lang w:val="en-IE"/>
        </w:rPr>
        <w:t>kx</w:t>
      </w:r>
      <w:r>
        <w:rPr>
          <w:rFonts w:ascii="Times New Roman" w:hAnsi="Times New Roman" w:cs="Times New Roman"/>
          <w:noProof/>
          <w:sz w:val="20"/>
          <w:szCs w:val="18"/>
          <w:lang w:val="en-IE"/>
        </w:rPr>
        <w:t xml:space="preserve"> graphical representation (k=0.1, 0.2…1 and a=1)</w:t>
      </w:r>
    </w:p>
    <w:p w:rsidR="00DA7543" w:rsidRDefault="00DA7543">
      <w:pPr>
        <w:shd w:val="clear" w:color="auto" w:fill="FFFFFF"/>
        <w:spacing w:after="0" w:line="240" w:lineRule="auto"/>
        <w:rPr>
          <w:rFonts w:ascii="Times New Roman" w:eastAsia="Times New Roman" w:hAnsi="Times New Roman" w:cs="Times New Roman"/>
          <w:noProof/>
          <w:color w:val="000000" w:themeColor="text1"/>
          <w:sz w:val="24"/>
          <w:lang w:val="en-IE" w:eastAsia="en-IE"/>
        </w:rPr>
      </w:pPr>
    </w:p>
    <w:p w:rsidR="00DA7543" w:rsidRDefault="007C073D">
      <w:pPr>
        <w:shd w:val="clear" w:color="auto" w:fill="FFFFFF"/>
        <w:spacing w:after="0" w:line="240" w:lineRule="auto"/>
        <w:jc w:val="both"/>
        <w:rPr>
          <w:rFonts w:ascii="Times New Roman" w:eastAsia="Times New Roman" w:hAnsi="Times New Roman" w:cs="Times New Roman"/>
          <w:noProof/>
          <w:color w:val="000000" w:themeColor="text1"/>
          <w:sz w:val="24"/>
          <w:lang w:val="en-IE" w:eastAsia="en-IE"/>
        </w:rPr>
      </w:pPr>
      <w:r>
        <w:rPr>
          <w:rFonts w:ascii="Times New Roman" w:eastAsia="Times New Roman" w:hAnsi="Times New Roman" w:cs="Times New Roman"/>
          <w:noProof/>
          <w:color w:val="000000" w:themeColor="text1"/>
          <w:sz w:val="24"/>
          <w:lang w:val="en-IE" w:eastAsia="en-IE"/>
        </w:rPr>
        <w:t xml:space="preserve">Thus, the characterisation of the </w:t>
      </w:r>
      <w:r>
        <w:rPr>
          <w:rFonts w:ascii="Times New Roman" w:hAnsi="Times New Roman" w:cs="Times New Roman"/>
          <w:noProof/>
          <w:sz w:val="24"/>
          <w:lang w:val="en-IE" w:eastAsia="en-IE"/>
        </w:rPr>
        <w:t xml:space="preserve">AFV-estimates / AFI-targets </w:t>
      </w:r>
      <w:r>
        <w:rPr>
          <w:rFonts w:ascii="Times New Roman" w:eastAsia="Times New Roman" w:hAnsi="Times New Roman" w:cs="Times New Roman"/>
          <w:noProof/>
          <w:sz w:val="24"/>
          <w:lang w:val="en-IE" w:eastAsia="en-IE"/>
        </w:rPr>
        <w:t xml:space="preserve">of the </w:t>
      </w:r>
      <w:r>
        <w:rPr>
          <w:rFonts w:ascii="Times New Roman" w:eastAsia="Times New Roman" w:hAnsi="Times New Roman" w:cs="Times New Roman"/>
          <w:noProof/>
          <w:color w:val="000000" w:themeColor="text1"/>
          <w:sz w:val="24"/>
          <w:lang w:val="en-IE" w:eastAsia="en-IE"/>
        </w:rPr>
        <w:t xml:space="preserve">foreseen evolution at MS level can be performed by providing a parameter given by the best fitting </w:t>
      </w:r>
      <w:r>
        <w:rPr>
          <w:rFonts w:ascii="Times New Roman" w:eastAsia="Times New Roman" w:hAnsi="Times New Roman" w:cs="Times New Roman"/>
          <w:noProof/>
          <w:color w:val="000000" w:themeColor="text1"/>
          <w:sz w:val="24"/>
          <w:lang w:val="en-IE" w:eastAsia="en-IE"/>
        </w:rPr>
        <w:t>exponential function, namely the growth rate (r). This parameter describes how quickly the MS envisioned its development of the corresponding AFV/AFI for the AF/transport mode pair under analysis between 2016 and 2030 by showing the corresponding annual pe</w:t>
      </w:r>
      <w:r>
        <w:rPr>
          <w:rFonts w:ascii="Times New Roman" w:eastAsia="Times New Roman" w:hAnsi="Times New Roman" w:cs="Times New Roman"/>
          <w:noProof/>
          <w:color w:val="000000" w:themeColor="text1"/>
          <w:sz w:val="24"/>
          <w:lang w:val="en-IE" w:eastAsia="en-IE"/>
        </w:rPr>
        <w:t>rcentage of growth.</w:t>
      </w:r>
    </w:p>
    <w:p w:rsidR="00DA7543" w:rsidRDefault="007C073D">
      <w:pPr>
        <w:pStyle w:val="Heading5"/>
        <w:rPr>
          <w:rFonts w:ascii="Times New Roman" w:hAnsi="Times New Roman" w:cs="Times New Roman"/>
          <w:noProof/>
          <w:sz w:val="24"/>
          <w:lang w:val="en-IE" w:eastAsia="en-IE"/>
        </w:rPr>
      </w:pPr>
      <w:r>
        <w:rPr>
          <w:rFonts w:ascii="Times New Roman" w:hAnsi="Times New Roman" w:cs="Times New Roman"/>
          <w:noProof/>
          <w:sz w:val="24"/>
          <w:lang w:val="en-IE" w:eastAsia="en-IE"/>
        </w:rPr>
        <w:t xml:space="preserve">Examples of the methodology application for the evaluation of the annual growth rate for AFV-estimates / AFI-targets </w:t>
      </w:r>
    </w:p>
    <w:p w:rsidR="00DA7543" w:rsidRDefault="007C073D">
      <w:pPr>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eastAsia="en-IE"/>
        </w:rPr>
        <w:t xml:space="preserve">Two examples for the determination of the average annual growth rate from the exponential </w:t>
      </w:r>
      <w:r>
        <w:rPr>
          <w:rFonts w:ascii="Times New Roman" w:eastAsia="Times New Roman" w:hAnsi="Times New Roman" w:cs="Times New Roman"/>
          <w:noProof/>
          <w:color w:val="000000" w:themeColor="text1"/>
          <w:sz w:val="24"/>
          <w:lang w:val="en-IE" w:eastAsia="en-IE"/>
        </w:rPr>
        <w:t>function fitting the four po</w:t>
      </w:r>
      <w:r>
        <w:rPr>
          <w:rFonts w:ascii="Times New Roman" w:eastAsia="Times New Roman" w:hAnsi="Times New Roman" w:cs="Times New Roman"/>
          <w:noProof/>
          <w:color w:val="000000" w:themeColor="text1"/>
          <w:sz w:val="24"/>
          <w:lang w:val="en-IE" w:eastAsia="en-IE"/>
        </w:rPr>
        <w:t xml:space="preserve">ints </w:t>
      </w:r>
      <w:r>
        <w:rPr>
          <w:rFonts w:ascii="Times New Roman" w:hAnsi="Times New Roman" w:cs="Times New Roman"/>
          <w:noProof/>
          <w:sz w:val="24"/>
          <w:lang w:val="en-IE" w:eastAsia="en-IE"/>
        </w:rPr>
        <w:t xml:space="preserve">corresponding to the foreseen AFV-estimates / AFI-targets evolutions </w:t>
      </w:r>
      <w:r>
        <w:rPr>
          <w:rFonts w:ascii="Times New Roman" w:hAnsi="Times New Roman" w:cs="Times New Roman"/>
          <w:noProof/>
          <w:color w:val="000000" w:themeColor="text1"/>
          <w:sz w:val="24"/>
          <w:lang w:val="en-IE"/>
        </w:rPr>
        <w:t xml:space="preserve">are illustrated in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_Ref51532044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Pr>
          <w:rFonts w:ascii="Times New Roman" w:hAnsi="Times New Roman" w:cs="Times New Roman"/>
          <w:noProof/>
          <w:color w:val="000000" w:themeColor="text1"/>
          <w:sz w:val="24"/>
          <w:lang w:val="en-IE"/>
        </w:rPr>
        <w:t>Figure 2.1.3</w:t>
      </w:r>
      <w:r>
        <w:rPr>
          <w:rFonts w:ascii="Times New Roman" w:hAnsi="Times New Roman" w:cs="Times New Roman"/>
          <w:noProof/>
          <w:color w:val="000000" w:themeColor="text1"/>
          <w:sz w:val="24"/>
          <w:lang w:val="en-IE"/>
        </w:rPr>
        <w:noBreakHyphen/>
        <w:t>6</w:t>
      </w:r>
      <w:r>
        <w:rPr>
          <w:rFonts w:ascii="Times New Roman" w:hAnsi="Times New Roman" w:cs="Times New Roman"/>
          <w:noProof/>
          <w:color w:val="000000" w:themeColor="text1"/>
          <w:sz w:val="24"/>
          <w:lang w:val="en-IE"/>
        </w:rPr>
        <w:fldChar w:fldCharType="end"/>
      </w:r>
      <w:r>
        <w:rPr>
          <w:rFonts w:ascii="Times New Roman" w:hAnsi="Times New Roman" w:cs="Times New Roman"/>
          <w:noProof/>
          <w:color w:val="000000" w:themeColor="text1"/>
          <w:sz w:val="24"/>
          <w:lang w:val="en-IE"/>
        </w:rPr>
        <w:t xml:space="preserve"> and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_Ref51532074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Pr>
          <w:rFonts w:ascii="Times New Roman" w:hAnsi="Times New Roman" w:cs="Times New Roman"/>
          <w:noProof/>
          <w:color w:val="000000" w:themeColor="text1"/>
          <w:sz w:val="24"/>
          <w:lang w:val="en-IE"/>
        </w:rPr>
        <w:t>Fig</w:t>
      </w:r>
      <w:r>
        <w:rPr>
          <w:rFonts w:ascii="Times New Roman" w:hAnsi="Times New Roman" w:cs="Times New Roman"/>
          <w:noProof/>
          <w:color w:val="000000" w:themeColor="text1"/>
          <w:sz w:val="24"/>
          <w:lang w:val="en-IE"/>
        </w:rPr>
        <w:t>ure 2.1.3</w:t>
      </w:r>
      <w:r>
        <w:rPr>
          <w:rFonts w:ascii="Times New Roman" w:hAnsi="Times New Roman" w:cs="Times New Roman"/>
          <w:noProof/>
          <w:color w:val="000000" w:themeColor="text1"/>
          <w:sz w:val="24"/>
          <w:lang w:val="en-IE"/>
        </w:rPr>
        <w:noBreakHyphen/>
        <w:t>7</w:t>
      </w:r>
      <w:r>
        <w:rPr>
          <w:rFonts w:ascii="Times New Roman" w:hAnsi="Times New Roman" w:cs="Times New Roman"/>
          <w:noProof/>
          <w:color w:val="000000" w:themeColor="text1"/>
          <w:sz w:val="24"/>
          <w:lang w:val="en-IE"/>
        </w:rPr>
        <w:fldChar w:fldCharType="end"/>
      </w:r>
      <w:r>
        <w:rPr>
          <w:rFonts w:ascii="Times New Roman" w:hAnsi="Times New Roman" w:cs="Times New Roman"/>
          <w:noProof/>
          <w:color w:val="000000" w:themeColor="text1"/>
          <w:sz w:val="24"/>
          <w:lang w:val="en-IE"/>
        </w:rPr>
        <w:t xml:space="preserve"> in the cases of EVs for one MS and of CNG AFI for another MS.</w:t>
      </w:r>
    </w:p>
    <w:p w:rsidR="00DA7543" w:rsidRDefault="007C073D">
      <w:pP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724610" cy="306360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2.1.3.6.jpg"/>
                    <pic:cNvPicPr/>
                  </pic:nvPicPr>
                  <pic:blipFill>
                    <a:blip r:embed="rId21">
                      <a:extLst>
                        <a:ext uri="{28A0092B-C50C-407E-A947-70E740481C1C}">
                          <a14:useLocalDpi xmlns:a14="http://schemas.microsoft.com/office/drawing/2010/main" val="0"/>
                        </a:ext>
                      </a:extLst>
                    </a:blip>
                    <a:stretch>
                      <a:fillRect/>
                    </a:stretch>
                  </pic:blipFill>
                  <pic:spPr>
                    <a:xfrm>
                      <a:off x="0" y="0"/>
                      <a:ext cx="5724610" cy="3063600"/>
                    </a:xfrm>
                    <a:prstGeom prst="rect">
                      <a:avLst/>
                    </a:prstGeom>
                  </pic:spPr>
                </pic:pic>
              </a:graphicData>
            </a:graphic>
          </wp:inline>
        </w:drawing>
      </w:r>
    </w:p>
    <w:p w:rsidR="00DA7543" w:rsidRDefault="007C073D">
      <w:pPr>
        <w:pStyle w:val="Caption"/>
        <w:rPr>
          <w:rFonts w:ascii="Times New Roman" w:hAnsi="Times New Roman" w:cs="Times New Roman"/>
          <w:b w:val="0"/>
          <w:noProof/>
          <w:sz w:val="20"/>
          <w:szCs w:val="18"/>
          <w:lang w:val="en-IE"/>
        </w:rPr>
      </w:pPr>
      <w:bookmarkStart w:id="37" w:name="_Ref51532044"/>
      <w:r>
        <w:rPr>
          <w:rFonts w:ascii="Times New Roman" w:hAnsi="Times New Roman" w:cs="Times New Roman"/>
          <w:b w:val="0"/>
          <w:noProof/>
          <w:sz w:val="20"/>
          <w:szCs w:val="18"/>
          <w:lang w:val="en-IE"/>
        </w:rPr>
        <w:t xml:space="preserve">Figure </w:t>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STYLEREF 3 \s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2.1.3</w:t>
      </w:r>
      <w:r>
        <w:rPr>
          <w:rFonts w:ascii="Times New Roman" w:hAnsi="Times New Roman" w:cs="Times New Roman"/>
          <w:b w:val="0"/>
          <w:noProof/>
          <w:sz w:val="20"/>
          <w:szCs w:val="18"/>
          <w:lang w:val="en-IE"/>
        </w:rPr>
        <w:fldChar w:fldCharType="end"/>
      </w:r>
      <w:r>
        <w:rPr>
          <w:rFonts w:ascii="Times New Roman" w:hAnsi="Times New Roman" w:cs="Times New Roman"/>
          <w:b w:val="0"/>
          <w:noProof/>
          <w:sz w:val="20"/>
          <w:szCs w:val="18"/>
          <w:lang w:val="en-IE"/>
        </w:rPr>
        <w:noBreakHyphen/>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SEQ Figure \* ARABIC \s 3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6</w:t>
      </w:r>
      <w:r>
        <w:rPr>
          <w:rFonts w:ascii="Times New Roman" w:hAnsi="Times New Roman" w:cs="Times New Roman"/>
          <w:b w:val="0"/>
          <w:noProof/>
          <w:sz w:val="20"/>
          <w:szCs w:val="18"/>
          <w:lang w:val="en-IE"/>
        </w:rPr>
        <w:fldChar w:fldCharType="end"/>
      </w:r>
      <w:bookmarkEnd w:id="37"/>
      <w:r>
        <w:rPr>
          <w:rFonts w:ascii="Times New Roman" w:hAnsi="Times New Roman" w:cs="Times New Roman"/>
          <w:b w:val="0"/>
          <w:noProof/>
          <w:color w:val="000000" w:themeColor="text1"/>
          <w:sz w:val="20"/>
          <w:szCs w:val="18"/>
          <w:lang w:val="en-IE"/>
        </w:rPr>
        <w:t xml:space="preserve"> </w:t>
      </w:r>
      <w:r>
        <w:rPr>
          <w:rFonts w:ascii="Times New Roman" w:hAnsi="Times New Roman" w:cs="Times New Roman"/>
          <w:b w:val="0"/>
          <w:noProof/>
          <w:sz w:val="20"/>
          <w:szCs w:val="18"/>
          <w:lang w:val="en-IE"/>
        </w:rPr>
        <w:t xml:space="preserve">Example of EV number 2016 – 2020 – 2025 – 2030 </w:t>
      </w:r>
      <w:r>
        <w:rPr>
          <w:rFonts w:ascii="Times New Roman" w:hAnsi="Times New Roman" w:cs="Times New Roman"/>
          <w:b w:val="0"/>
          <w:noProof/>
          <w:sz w:val="20"/>
          <w:szCs w:val="18"/>
          <w:lang w:val="en-IE"/>
        </w:rPr>
        <w:t>evolution</w:t>
      </w:r>
    </w:p>
    <w:p w:rsidR="00DA7543" w:rsidRDefault="007C073D">
      <w:pPr>
        <w:rPr>
          <w:rFonts w:ascii="Times New Roman" w:hAnsi="Times New Roman" w:cs="Times New Roman"/>
          <w:noProof/>
          <w:sz w:val="24"/>
          <w:lang w:val="en-IE"/>
        </w:rPr>
      </w:pPr>
      <w:r>
        <w:rPr>
          <w:rFonts w:ascii="Times New Roman" w:hAnsi="Times New Roman" w:cs="Times New Roman"/>
          <w:noProof/>
          <w:sz w:val="24"/>
          <w:lang w:val="en-IE"/>
        </w:rPr>
        <w:t>In the case of foreseen EV evolution, the exponential function fitting the 2016, 2020, 2025 and 2030 data has a good R</w:t>
      </w:r>
      <w:r>
        <w:rPr>
          <w:rFonts w:ascii="Times New Roman" w:hAnsi="Times New Roman" w:cs="Times New Roman"/>
          <w:noProof/>
          <w:sz w:val="24"/>
          <w:vertAlign w:val="superscript"/>
          <w:lang w:val="en-IE"/>
        </w:rPr>
        <w:t>2</w:t>
      </w:r>
      <w:r>
        <w:rPr>
          <w:rFonts w:ascii="Times New Roman" w:hAnsi="Times New Roman" w:cs="Times New Roman"/>
          <w:noProof/>
          <w:sz w:val="24"/>
          <w:lang w:val="en-IE"/>
        </w:rPr>
        <w:t xml:space="preserve"> and an annual growth rate of 25.52% is obtained.</w:t>
      </w:r>
    </w:p>
    <w:p w:rsidR="00DA7543" w:rsidRDefault="007C073D">
      <w:pP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884603" cy="3063600"/>
            <wp:effectExtent l="0" t="0" r="190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2.1.3.7.jpg"/>
                    <pic:cNvPicPr/>
                  </pic:nvPicPr>
                  <pic:blipFill>
                    <a:blip r:embed="rId22">
                      <a:extLst>
                        <a:ext uri="{28A0092B-C50C-407E-A947-70E740481C1C}">
                          <a14:useLocalDpi xmlns:a14="http://schemas.microsoft.com/office/drawing/2010/main" val="0"/>
                        </a:ext>
                      </a:extLst>
                    </a:blip>
                    <a:stretch>
                      <a:fillRect/>
                    </a:stretch>
                  </pic:blipFill>
                  <pic:spPr>
                    <a:xfrm>
                      <a:off x="0" y="0"/>
                      <a:ext cx="5884603" cy="3063600"/>
                    </a:xfrm>
                    <a:prstGeom prst="rect">
                      <a:avLst/>
                    </a:prstGeom>
                  </pic:spPr>
                </pic:pic>
              </a:graphicData>
            </a:graphic>
          </wp:inline>
        </w:drawing>
      </w:r>
    </w:p>
    <w:p w:rsidR="00DA7543" w:rsidRDefault="007C073D">
      <w:pPr>
        <w:pStyle w:val="Caption"/>
        <w:rPr>
          <w:rFonts w:ascii="Times New Roman" w:hAnsi="Times New Roman" w:cs="Times New Roman"/>
          <w:b w:val="0"/>
          <w:noProof/>
          <w:sz w:val="20"/>
          <w:szCs w:val="18"/>
          <w:lang w:val="en-IE" w:eastAsia="en-IE"/>
        </w:rPr>
      </w:pPr>
      <w:bookmarkStart w:id="38" w:name="_Ref51532074"/>
      <w:r>
        <w:rPr>
          <w:rFonts w:ascii="Times New Roman" w:hAnsi="Times New Roman" w:cs="Times New Roman"/>
          <w:b w:val="0"/>
          <w:noProof/>
          <w:sz w:val="20"/>
          <w:szCs w:val="18"/>
          <w:lang w:val="en-IE"/>
        </w:rPr>
        <w:t xml:space="preserve">Figure </w:t>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STYLEREF 3 \s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2.1.3</w:t>
      </w:r>
      <w:r>
        <w:rPr>
          <w:rFonts w:ascii="Times New Roman" w:hAnsi="Times New Roman" w:cs="Times New Roman"/>
          <w:b w:val="0"/>
          <w:noProof/>
          <w:sz w:val="20"/>
          <w:szCs w:val="18"/>
          <w:lang w:val="en-IE"/>
        </w:rPr>
        <w:fldChar w:fldCharType="end"/>
      </w:r>
      <w:r>
        <w:rPr>
          <w:rFonts w:ascii="Times New Roman" w:hAnsi="Times New Roman" w:cs="Times New Roman"/>
          <w:b w:val="0"/>
          <w:noProof/>
          <w:sz w:val="20"/>
          <w:szCs w:val="18"/>
          <w:lang w:val="en-IE"/>
        </w:rPr>
        <w:noBreakHyphen/>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SEQ Figure \* ARABIC \s 3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7</w:t>
      </w:r>
      <w:r>
        <w:rPr>
          <w:rFonts w:ascii="Times New Roman" w:hAnsi="Times New Roman" w:cs="Times New Roman"/>
          <w:b w:val="0"/>
          <w:noProof/>
          <w:sz w:val="20"/>
          <w:szCs w:val="18"/>
          <w:lang w:val="en-IE"/>
        </w:rPr>
        <w:fldChar w:fldCharType="end"/>
      </w:r>
      <w:bookmarkEnd w:id="38"/>
      <w:r>
        <w:rPr>
          <w:rFonts w:ascii="Times New Roman" w:hAnsi="Times New Roman" w:cs="Times New Roman"/>
          <w:b w:val="0"/>
          <w:noProof/>
          <w:sz w:val="20"/>
          <w:szCs w:val="18"/>
          <w:lang w:val="en-IE"/>
        </w:rPr>
        <w:t xml:space="preserve"> Example of CNG AFI 2016 – 2020 – 2025 – 2030 evolution</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In the case of foreseen CNG AFI evolution, the good exponential fitting (R</w:t>
      </w:r>
      <w:r>
        <w:rPr>
          <w:rFonts w:ascii="Times New Roman" w:hAnsi="Times New Roman" w:cs="Times New Roman"/>
          <w:noProof/>
          <w:sz w:val="24"/>
          <w:vertAlign w:val="superscript"/>
          <w:lang w:val="en-IE"/>
        </w:rPr>
        <w:t>2</w:t>
      </w:r>
      <w:r>
        <w:rPr>
          <w:rFonts w:ascii="Times New Roman" w:hAnsi="Times New Roman" w:cs="Times New Roman"/>
          <w:noProof/>
          <w:sz w:val="24"/>
          <w:lang w:val="en-IE"/>
        </w:rPr>
        <w:t xml:space="preserve"> = 0.9899) leads to an annual growth rate of 14.35%.</w:t>
      </w:r>
    </w:p>
    <w:p w:rsidR="00DA7543" w:rsidRDefault="00DA7543">
      <w:pPr>
        <w:rPr>
          <w:rFonts w:ascii="Times New Roman" w:hAnsi="Times New Roman" w:cs="Times New Roman"/>
          <w:noProof/>
          <w:sz w:val="24"/>
          <w:lang w:val="en-IE"/>
        </w:rPr>
      </w:pPr>
    </w:p>
    <w:p w:rsidR="00DA7543" w:rsidRDefault="007C073D">
      <w:pPr>
        <w:pStyle w:val="Heading3"/>
        <w:rPr>
          <w:rFonts w:ascii="Times New Roman" w:hAnsi="Times New Roman" w:cs="Times New Roman"/>
          <w:noProof/>
          <w:sz w:val="24"/>
          <w:lang w:val="en-IE"/>
        </w:rPr>
      </w:pPr>
      <w:bookmarkStart w:id="39" w:name="_Ref42452463"/>
      <w:bookmarkStart w:id="40" w:name="_Toc55301686"/>
      <w:bookmarkStart w:id="41" w:name="_Toc65241940"/>
      <w:r>
        <w:rPr>
          <w:rFonts w:ascii="Times New Roman" w:hAnsi="Times New Roman" w:cs="Times New Roman"/>
          <w:noProof/>
          <w:sz w:val="24"/>
          <w:lang w:val="en-IE"/>
        </w:rPr>
        <w:t xml:space="preserve">Level of </w:t>
      </w:r>
      <w:r>
        <w:rPr>
          <w:rFonts w:ascii="Times New Roman" w:hAnsi="Times New Roman" w:cs="Times New Roman"/>
          <w:noProof/>
          <w:sz w:val="24"/>
          <w:lang w:val="en-IE" w:eastAsia="en-IE"/>
        </w:rPr>
        <w:t xml:space="preserve">AFV-estimates / AFI-targets </w:t>
      </w:r>
      <w:r>
        <w:rPr>
          <w:rFonts w:ascii="Times New Roman" w:hAnsi="Times New Roman" w:cs="Times New Roman"/>
          <w:noProof/>
          <w:sz w:val="24"/>
          <w:lang w:val="en-IE"/>
        </w:rPr>
        <w:t>attainment</w:t>
      </w:r>
      <w:bookmarkEnd w:id="39"/>
      <w:bookmarkEnd w:id="40"/>
      <w:bookmarkEnd w:id="41"/>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level of </w:t>
      </w:r>
      <w:r>
        <w:rPr>
          <w:rFonts w:ascii="Times New Roman" w:hAnsi="Times New Roman" w:cs="Times New Roman"/>
          <w:noProof/>
          <w:sz w:val="24"/>
          <w:lang w:val="en-IE" w:eastAsia="en-IE"/>
        </w:rPr>
        <w:t>AFV-estima</w:t>
      </w:r>
      <w:r>
        <w:rPr>
          <w:rFonts w:ascii="Times New Roman" w:hAnsi="Times New Roman" w:cs="Times New Roman"/>
          <w:noProof/>
          <w:sz w:val="24"/>
          <w:lang w:val="en-IE" w:eastAsia="en-IE"/>
        </w:rPr>
        <w:t xml:space="preserve">tes / AFI-targets </w:t>
      </w:r>
      <w:r>
        <w:rPr>
          <w:rFonts w:ascii="Times New Roman" w:hAnsi="Times New Roman" w:cs="Times New Roman"/>
          <w:noProof/>
          <w:sz w:val="24"/>
          <w:lang w:val="en-IE"/>
        </w:rPr>
        <w:t>attainment can be expressed by the percentage represented by the number of AFI/AFV existent in 2018 over the total number of AFV/AFI foreseen to exist in 2020/2025/2030. The level of attainment corresponding to a certain future year (2020</w:t>
      </w:r>
      <w:r>
        <w:rPr>
          <w:rFonts w:ascii="Times New Roman" w:hAnsi="Times New Roman" w:cs="Times New Roman"/>
          <w:noProof/>
          <w:sz w:val="24"/>
          <w:lang w:val="en-IE"/>
        </w:rPr>
        <w:t>/2025/2030) is calculated according to the formula:</w:t>
      </w:r>
    </w:p>
    <w:p w:rsidR="00DA7543" w:rsidRDefault="007C073D">
      <w:pPr>
        <w:jc w:val="center"/>
        <w:rPr>
          <w:rFonts w:ascii="Times New Roman" w:hAnsi="Times New Roman" w:cs="Times New Roman"/>
          <w:noProof/>
          <w:sz w:val="24"/>
          <w:lang w:val="en-IE"/>
        </w:rPr>
      </w:pPr>
      <w:r>
        <w:rPr>
          <w:rFonts w:ascii="Times New Roman" w:hAnsi="Times New Roman" w:cs="Times New Roman"/>
          <w:i/>
          <w:noProof/>
          <w:sz w:val="24"/>
          <w:lang w:val="en-IE"/>
        </w:rPr>
        <w:t xml:space="preserve">level of attainment [%] = </w:t>
      </w:r>
      <m:oMath>
        <m:f>
          <m:fPr>
            <m:ctrlPr>
              <w:rPr>
                <w:rFonts w:ascii="Cambria Math" w:hAnsi="Cambria Math" w:cs="Times New Roman"/>
                <w:i/>
                <w:iCs/>
                <w:noProof/>
                <w:sz w:val="28"/>
                <w:szCs w:val="24"/>
                <w:lang w:val="en-IE"/>
              </w:rPr>
            </m:ctrlPr>
          </m:fPr>
          <m:num>
            <m:r>
              <m:rPr>
                <m:nor/>
              </m:rPr>
              <w:rPr>
                <w:rFonts w:ascii="Times New Roman" w:hAnsi="Times New Roman" w:cs="Times New Roman"/>
                <w:i/>
                <w:noProof/>
                <w:sz w:val="28"/>
                <w:szCs w:val="24"/>
                <w:lang w:val="en-IE"/>
              </w:rPr>
              <m:t>NIR</m:t>
            </m:r>
            <m:r>
              <m:rPr>
                <m:nor/>
              </m:rPr>
              <w:rPr>
                <w:rFonts w:ascii="Cambria Math" w:hAnsi="Times New Roman" w:cs="Times New Roman"/>
                <w:i/>
                <w:noProof/>
                <w:sz w:val="28"/>
                <w:szCs w:val="24"/>
                <w:lang w:val="en-IE"/>
              </w:rPr>
              <m:t xml:space="preserve"> </m:t>
            </m:r>
            <m:r>
              <m:rPr>
                <m:nor/>
              </m:rPr>
              <w:rPr>
                <w:rFonts w:ascii="Times New Roman" w:hAnsi="Times New Roman" w:cs="Times New Roman"/>
                <w:i/>
                <w:noProof/>
                <w:sz w:val="28"/>
                <w:szCs w:val="24"/>
                <w:lang w:val="en-IE"/>
              </w:rPr>
              <m:t>value (2018)</m:t>
            </m:r>
          </m:num>
          <m:den>
            <m:r>
              <m:rPr>
                <m:nor/>
              </m:rPr>
              <w:rPr>
                <w:rFonts w:ascii="Times New Roman" w:hAnsi="Times New Roman" w:cs="Times New Roman"/>
                <w:i/>
                <w:noProof/>
                <w:sz w:val="28"/>
                <w:szCs w:val="24"/>
                <w:lang w:val="en-IE"/>
              </w:rPr>
              <m:t>NIR</m:t>
            </m:r>
            <m:r>
              <m:rPr>
                <m:nor/>
              </m:rPr>
              <w:rPr>
                <w:rFonts w:ascii="Cambria Math" w:hAnsi="Times New Roman" w:cs="Times New Roman"/>
                <w:i/>
                <w:noProof/>
                <w:sz w:val="28"/>
                <w:szCs w:val="24"/>
                <w:lang w:val="en-IE"/>
              </w:rPr>
              <m:t xml:space="preserve"> </m:t>
            </m:r>
            <m:r>
              <m:rPr>
                <m:nor/>
              </m:rPr>
              <w:rPr>
                <w:rFonts w:ascii="Times New Roman" w:hAnsi="Times New Roman" w:cs="Times New Roman"/>
                <w:i/>
                <w:noProof/>
                <w:sz w:val="28"/>
                <w:szCs w:val="24"/>
                <w:lang w:val="en-IE"/>
              </w:rPr>
              <m:t>value (2020/2025/2030)</m:t>
            </m:r>
          </m:den>
        </m:f>
      </m:oMath>
      <w:r>
        <w:rPr>
          <w:rFonts w:ascii="Times New Roman" w:eastAsiaTheme="minorEastAsia" w:hAnsi="Times New Roman" w:cs="Times New Roman"/>
          <w:iCs/>
          <w:noProof/>
          <w:sz w:val="24"/>
          <w:lang w:val="en-IE"/>
        </w:rPr>
        <w:t>*100</w:t>
      </w:r>
    </w:p>
    <w:p w:rsidR="00DA7543" w:rsidRDefault="00DA7543">
      <w:pPr>
        <w:rPr>
          <w:rFonts w:ascii="Times New Roman" w:hAnsi="Times New Roman" w:cs="Times New Roman"/>
          <w:noProof/>
          <w:sz w:val="24"/>
          <w:lang w:val="en-IE"/>
        </w:rPr>
      </w:pP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As an example, the results for AFV electricity/road for one MS are presented in the table below:</w:t>
      </w:r>
    </w:p>
    <w:tbl>
      <w:tblPr>
        <w:tblW w:w="8756" w:type="dxa"/>
        <w:tblInd w:w="-10" w:type="dxa"/>
        <w:tblLook w:val="04A0" w:firstRow="1" w:lastRow="0" w:firstColumn="1" w:lastColumn="0" w:noHBand="0" w:noVBand="1"/>
      </w:tblPr>
      <w:tblGrid>
        <w:gridCol w:w="2977"/>
        <w:gridCol w:w="1366"/>
        <w:gridCol w:w="1471"/>
        <w:gridCol w:w="1471"/>
        <w:gridCol w:w="1471"/>
      </w:tblGrid>
      <w:tr w:rsidR="00DA7543">
        <w:trPr>
          <w:trHeight w:val="354"/>
        </w:trPr>
        <w:tc>
          <w:tcPr>
            <w:tcW w:w="2977"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Year</w:t>
            </w:r>
          </w:p>
        </w:tc>
        <w:tc>
          <w:tcPr>
            <w:tcW w:w="1366" w:type="dxa"/>
            <w:tcBorders>
              <w:top w:val="single" w:sz="8" w:space="0" w:color="auto"/>
              <w:left w:val="nil"/>
              <w:bottom w:val="single" w:sz="8" w:space="0" w:color="auto"/>
              <w:right w:val="single" w:sz="4" w:space="0" w:color="auto"/>
            </w:tcBorders>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2018</w:t>
            </w:r>
          </w:p>
        </w:tc>
        <w:tc>
          <w:tcPr>
            <w:tcW w:w="1471" w:type="dxa"/>
            <w:tcBorders>
              <w:top w:val="single" w:sz="8" w:space="0" w:color="auto"/>
              <w:left w:val="nil"/>
              <w:bottom w:val="single" w:sz="8" w:space="0" w:color="auto"/>
              <w:right w:val="single" w:sz="4" w:space="0" w:color="auto"/>
            </w:tcBorders>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2020</w:t>
            </w:r>
          </w:p>
        </w:tc>
        <w:tc>
          <w:tcPr>
            <w:tcW w:w="1471" w:type="dxa"/>
            <w:tcBorders>
              <w:top w:val="single" w:sz="8" w:space="0" w:color="auto"/>
              <w:left w:val="nil"/>
              <w:bottom w:val="single" w:sz="8" w:space="0" w:color="auto"/>
              <w:right w:val="single" w:sz="4" w:space="0" w:color="auto"/>
            </w:tcBorders>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2025</w:t>
            </w:r>
          </w:p>
        </w:tc>
        <w:tc>
          <w:tcPr>
            <w:tcW w:w="147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2030</w:t>
            </w:r>
          </w:p>
        </w:tc>
      </w:tr>
      <w:tr w:rsidR="00DA7543">
        <w:trPr>
          <w:trHeight w:val="341"/>
        </w:trPr>
        <w:tc>
          <w:tcPr>
            <w:tcW w:w="2977" w:type="dxa"/>
            <w:tcBorders>
              <w:top w:val="nil"/>
              <w:left w:val="single" w:sz="8" w:space="0" w:color="auto"/>
              <w:bottom w:val="single" w:sz="4" w:space="0" w:color="auto"/>
              <w:right w:val="single" w:sz="8" w:space="0" w:color="auto"/>
            </w:tcBorders>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 xml:space="preserve">EV </w:t>
            </w:r>
            <w:r>
              <w:rPr>
                <w:rFonts w:ascii="Times New Roman" w:eastAsia="Times New Roman" w:hAnsi="Times New Roman" w:cs="Times New Roman"/>
                <w:b/>
                <w:bCs/>
                <w:noProof/>
                <w:color w:val="000000"/>
                <w:sz w:val="24"/>
                <w:lang w:val="en-IE" w:eastAsia="ro-RO"/>
              </w:rPr>
              <w:t>existent/estimated value</w:t>
            </w:r>
          </w:p>
        </w:tc>
        <w:tc>
          <w:tcPr>
            <w:tcW w:w="1366" w:type="dxa"/>
            <w:tcBorders>
              <w:top w:val="nil"/>
              <w:left w:val="nil"/>
              <w:bottom w:val="single" w:sz="4" w:space="0" w:color="auto"/>
              <w:right w:val="single" w:sz="4" w:space="0" w:color="auto"/>
            </w:tcBorders>
            <w:shd w:val="clear" w:color="auto" w:fill="auto"/>
            <w:noWrap/>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7,464</w:t>
            </w:r>
          </w:p>
        </w:tc>
        <w:tc>
          <w:tcPr>
            <w:tcW w:w="1471" w:type="dxa"/>
            <w:tcBorders>
              <w:top w:val="nil"/>
              <w:left w:val="nil"/>
              <w:bottom w:val="single" w:sz="4" w:space="0" w:color="auto"/>
              <w:right w:val="single" w:sz="4" w:space="0" w:color="auto"/>
            </w:tcBorders>
            <w:shd w:val="clear" w:color="auto" w:fill="auto"/>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59,219</w:t>
            </w:r>
          </w:p>
        </w:tc>
        <w:tc>
          <w:tcPr>
            <w:tcW w:w="1471" w:type="dxa"/>
            <w:tcBorders>
              <w:top w:val="nil"/>
              <w:left w:val="nil"/>
              <w:bottom w:val="single" w:sz="4" w:space="0" w:color="auto"/>
              <w:right w:val="single" w:sz="4" w:space="0" w:color="auto"/>
            </w:tcBorders>
            <w:shd w:val="clear" w:color="auto" w:fill="auto"/>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181,263</w:t>
            </w:r>
          </w:p>
        </w:tc>
        <w:tc>
          <w:tcPr>
            <w:tcW w:w="1471" w:type="dxa"/>
            <w:tcBorders>
              <w:top w:val="nil"/>
              <w:left w:val="nil"/>
              <w:bottom w:val="single" w:sz="4" w:space="0" w:color="auto"/>
              <w:right w:val="single" w:sz="8" w:space="0" w:color="auto"/>
            </w:tcBorders>
            <w:shd w:val="clear" w:color="auto" w:fill="auto"/>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936,363</w:t>
            </w:r>
          </w:p>
        </w:tc>
      </w:tr>
      <w:tr w:rsidR="00DA7543">
        <w:trPr>
          <w:trHeight w:val="262"/>
        </w:trPr>
        <w:tc>
          <w:tcPr>
            <w:tcW w:w="2977" w:type="dxa"/>
            <w:tcBorders>
              <w:top w:val="nil"/>
              <w:left w:val="single" w:sz="8" w:space="0" w:color="auto"/>
              <w:bottom w:val="single" w:sz="8" w:space="0" w:color="auto"/>
              <w:right w:val="single" w:sz="8" w:space="0" w:color="auto"/>
            </w:tcBorders>
            <w:shd w:val="clear" w:color="auto" w:fill="BDD6EE" w:themeFill="accent1" w:themeFillTint="66"/>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Level of attainment (2018 vs 2020/2025/2030)</w:t>
            </w:r>
          </w:p>
        </w:tc>
        <w:tc>
          <w:tcPr>
            <w:tcW w:w="1366" w:type="dxa"/>
            <w:tcBorders>
              <w:top w:val="nil"/>
              <w:left w:val="nil"/>
              <w:bottom w:val="single" w:sz="8" w:space="0" w:color="auto"/>
              <w:right w:val="single" w:sz="4" w:space="0" w:color="auto"/>
            </w:tcBorders>
            <w:shd w:val="clear" w:color="auto" w:fill="auto"/>
            <w:noWrap/>
            <w:vAlign w:val="center"/>
            <w:hideMark/>
          </w:tcPr>
          <w:p w:rsidR="00DA7543" w:rsidRDefault="00DA7543">
            <w:pPr>
              <w:spacing w:after="0" w:line="240" w:lineRule="auto"/>
              <w:jc w:val="center"/>
              <w:rPr>
                <w:rFonts w:ascii="Times New Roman" w:eastAsia="Times New Roman" w:hAnsi="Times New Roman" w:cs="Times New Roman"/>
                <w:bCs/>
                <w:noProof/>
                <w:color w:val="000000"/>
                <w:sz w:val="24"/>
                <w:lang w:val="en-IE" w:eastAsia="ro-RO"/>
              </w:rPr>
            </w:pPr>
          </w:p>
        </w:tc>
        <w:tc>
          <w:tcPr>
            <w:tcW w:w="1471" w:type="dxa"/>
            <w:tcBorders>
              <w:top w:val="nil"/>
              <w:left w:val="nil"/>
              <w:bottom w:val="single" w:sz="8" w:space="0" w:color="auto"/>
              <w:right w:val="single" w:sz="4" w:space="0" w:color="auto"/>
            </w:tcBorders>
            <w:shd w:val="clear" w:color="auto" w:fill="auto"/>
            <w:noWrap/>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12.60%</w:t>
            </w:r>
          </w:p>
        </w:tc>
        <w:tc>
          <w:tcPr>
            <w:tcW w:w="1471" w:type="dxa"/>
            <w:tcBorders>
              <w:top w:val="nil"/>
              <w:left w:val="nil"/>
              <w:bottom w:val="single" w:sz="8" w:space="0" w:color="auto"/>
              <w:right w:val="single" w:sz="4" w:space="0" w:color="auto"/>
            </w:tcBorders>
            <w:shd w:val="clear" w:color="auto" w:fill="auto"/>
            <w:noWrap/>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4.12%</w:t>
            </w:r>
          </w:p>
        </w:tc>
        <w:tc>
          <w:tcPr>
            <w:tcW w:w="1471" w:type="dxa"/>
            <w:tcBorders>
              <w:top w:val="nil"/>
              <w:left w:val="nil"/>
              <w:bottom w:val="single" w:sz="8" w:space="0" w:color="auto"/>
              <w:right w:val="single" w:sz="8" w:space="0" w:color="auto"/>
            </w:tcBorders>
            <w:shd w:val="clear" w:color="auto" w:fill="auto"/>
            <w:noWrap/>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0.80%</w:t>
            </w:r>
          </w:p>
        </w:tc>
      </w:tr>
    </w:tbl>
    <w:p w:rsidR="00DA7543" w:rsidRDefault="00DA7543">
      <w:pPr>
        <w:rPr>
          <w:rFonts w:ascii="Times New Roman" w:hAnsi="Times New Roman" w:cs="Times New Roman"/>
          <w:iCs/>
          <w:noProof/>
          <w:color w:val="000000" w:themeColor="text1"/>
          <w:sz w:val="24"/>
          <w:lang w:val="en-IE"/>
        </w:rPr>
      </w:pPr>
    </w:p>
    <w:p w:rsidR="00DA7543" w:rsidRDefault="007C073D">
      <w:pPr>
        <w:jc w:val="both"/>
        <w:rPr>
          <w:rFonts w:ascii="Times New Roman" w:hAnsi="Times New Roman" w:cs="Times New Roman"/>
          <w:noProof/>
          <w:sz w:val="24"/>
          <w:lang w:val="en-IE"/>
        </w:rPr>
      </w:pPr>
      <w:r>
        <w:rPr>
          <w:rFonts w:ascii="Times New Roman" w:hAnsi="Times New Roman" w:cs="Times New Roman"/>
          <w:iCs/>
          <w:noProof/>
          <w:color w:val="000000" w:themeColor="text1"/>
          <w:sz w:val="24"/>
          <w:lang w:val="en-IE"/>
        </w:rPr>
        <w:t xml:space="preserve">Because of the significant increase of the EV fleet foreseen by this MS during the period 2016-2030, the corresponding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estimates has reduced values and varies moderately, from 12.60% for 2020 to 0.80% for 2030.</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We mention that attainment can be &gt; 100% if the 2018 value is higher than the 2020 one, illustrating a foreseen descending tendency. This is shown in the</w:t>
      </w:r>
      <w:r>
        <w:rPr>
          <w:rFonts w:ascii="Times New Roman" w:hAnsi="Times New Roman" w:cs="Times New Roman"/>
          <w:noProof/>
          <w:sz w:val="24"/>
          <w:lang w:val="en-IE"/>
        </w:rPr>
        <w:t xml:space="preserve"> table below for the CNG AFV evolution in one MS. </w:t>
      </w:r>
    </w:p>
    <w:tbl>
      <w:tblPr>
        <w:tblW w:w="8756" w:type="dxa"/>
        <w:tblInd w:w="-10" w:type="dxa"/>
        <w:tblLook w:val="04A0" w:firstRow="1" w:lastRow="0" w:firstColumn="1" w:lastColumn="0" w:noHBand="0" w:noVBand="1"/>
      </w:tblPr>
      <w:tblGrid>
        <w:gridCol w:w="2977"/>
        <w:gridCol w:w="1366"/>
        <w:gridCol w:w="1471"/>
        <w:gridCol w:w="1471"/>
        <w:gridCol w:w="1471"/>
      </w:tblGrid>
      <w:tr w:rsidR="00DA7543">
        <w:trPr>
          <w:trHeight w:val="354"/>
        </w:trPr>
        <w:tc>
          <w:tcPr>
            <w:tcW w:w="2977"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Year</w:t>
            </w:r>
          </w:p>
        </w:tc>
        <w:tc>
          <w:tcPr>
            <w:tcW w:w="1366" w:type="dxa"/>
            <w:tcBorders>
              <w:top w:val="single" w:sz="8" w:space="0" w:color="auto"/>
              <w:left w:val="nil"/>
              <w:bottom w:val="single" w:sz="8" w:space="0" w:color="auto"/>
              <w:right w:val="single" w:sz="4" w:space="0" w:color="auto"/>
            </w:tcBorders>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2018</w:t>
            </w:r>
          </w:p>
        </w:tc>
        <w:tc>
          <w:tcPr>
            <w:tcW w:w="1471" w:type="dxa"/>
            <w:tcBorders>
              <w:top w:val="single" w:sz="8" w:space="0" w:color="auto"/>
              <w:left w:val="nil"/>
              <w:bottom w:val="single" w:sz="8" w:space="0" w:color="auto"/>
              <w:right w:val="single" w:sz="4" w:space="0" w:color="auto"/>
            </w:tcBorders>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2020</w:t>
            </w:r>
          </w:p>
        </w:tc>
        <w:tc>
          <w:tcPr>
            <w:tcW w:w="1471" w:type="dxa"/>
            <w:tcBorders>
              <w:top w:val="single" w:sz="8" w:space="0" w:color="auto"/>
              <w:left w:val="nil"/>
              <w:bottom w:val="single" w:sz="8" w:space="0" w:color="auto"/>
              <w:right w:val="single" w:sz="4" w:space="0" w:color="auto"/>
            </w:tcBorders>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2025</w:t>
            </w:r>
          </w:p>
        </w:tc>
        <w:tc>
          <w:tcPr>
            <w:tcW w:w="147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2030</w:t>
            </w:r>
          </w:p>
        </w:tc>
      </w:tr>
      <w:tr w:rsidR="00DA7543">
        <w:trPr>
          <w:trHeight w:val="341"/>
        </w:trPr>
        <w:tc>
          <w:tcPr>
            <w:tcW w:w="2977" w:type="dxa"/>
            <w:tcBorders>
              <w:top w:val="nil"/>
              <w:left w:val="single" w:sz="8" w:space="0" w:color="auto"/>
              <w:bottom w:val="single" w:sz="4" w:space="0" w:color="auto"/>
              <w:right w:val="single" w:sz="8" w:space="0" w:color="auto"/>
            </w:tcBorders>
            <w:shd w:val="clear" w:color="auto" w:fill="BDD6EE" w:themeFill="accent1" w:themeFillTint="66"/>
            <w:noWrap/>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CNG AFV existent/estimated value</w:t>
            </w:r>
          </w:p>
        </w:tc>
        <w:tc>
          <w:tcPr>
            <w:tcW w:w="1366" w:type="dxa"/>
            <w:tcBorders>
              <w:top w:val="nil"/>
              <w:left w:val="nil"/>
              <w:bottom w:val="single" w:sz="4" w:space="0" w:color="auto"/>
              <w:right w:val="single" w:sz="4" w:space="0" w:color="auto"/>
            </w:tcBorders>
            <w:shd w:val="clear" w:color="auto" w:fill="auto"/>
            <w:noWrap/>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314</w:t>
            </w:r>
          </w:p>
        </w:tc>
        <w:tc>
          <w:tcPr>
            <w:tcW w:w="1471" w:type="dxa"/>
            <w:tcBorders>
              <w:top w:val="nil"/>
              <w:left w:val="nil"/>
              <w:bottom w:val="single" w:sz="4" w:space="0" w:color="auto"/>
              <w:right w:val="single" w:sz="4" w:space="0" w:color="auto"/>
            </w:tcBorders>
            <w:shd w:val="clear" w:color="auto" w:fill="auto"/>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180</w:t>
            </w:r>
          </w:p>
        </w:tc>
        <w:tc>
          <w:tcPr>
            <w:tcW w:w="1471" w:type="dxa"/>
            <w:tcBorders>
              <w:top w:val="nil"/>
              <w:left w:val="nil"/>
              <w:bottom w:val="single" w:sz="4" w:space="0" w:color="auto"/>
              <w:right w:val="single" w:sz="4" w:space="0" w:color="auto"/>
            </w:tcBorders>
            <w:shd w:val="clear" w:color="auto" w:fill="auto"/>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125</w:t>
            </w:r>
          </w:p>
        </w:tc>
        <w:tc>
          <w:tcPr>
            <w:tcW w:w="1471" w:type="dxa"/>
            <w:tcBorders>
              <w:top w:val="nil"/>
              <w:left w:val="nil"/>
              <w:bottom w:val="single" w:sz="4" w:space="0" w:color="auto"/>
              <w:right w:val="single" w:sz="8" w:space="0" w:color="auto"/>
            </w:tcBorders>
            <w:shd w:val="clear" w:color="auto" w:fill="auto"/>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eastAsia="Times New Roman" w:hAnsi="Times New Roman" w:cs="Times New Roman"/>
                <w:bCs/>
                <w:noProof/>
                <w:color w:val="000000"/>
                <w:sz w:val="24"/>
                <w:lang w:val="en-IE" w:eastAsia="ro-RO"/>
              </w:rPr>
              <w:t>100</w:t>
            </w:r>
          </w:p>
        </w:tc>
      </w:tr>
      <w:tr w:rsidR="00DA7543">
        <w:trPr>
          <w:trHeight w:val="866"/>
        </w:trPr>
        <w:tc>
          <w:tcPr>
            <w:tcW w:w="2977" w:type="dxa"/>
            <w:tcBorders>
              <w:top w:val="nil"/>
              <w:left w:val="single" w:sz="8" w:space="0" w:color="auto"/>
              <w:bottom w:val="single" w:sz="8" w:space="0" w:color="auto"/>
              <w:right w:val="single" w:sz="8" w:space="0" w:color="auto"/>
            </w:tcBorders>
            <w:shd w:val="clear" w:color="auto" w:fill="BDD6EE" w:themeFill="accent1" w:themeFillTint="66"/>
            <w:vAlign w:val="center"/>
            <w:hideMark/>
          </w:tcPr>
          <w:p w:rsidR="00DA7543" w:rsidRDefault="007C073D">
            <w:pPr>
              <w:spacing w:after="0" w:line="240" w:lineRule="auto"/>
              <w:jc w:val="center"/>
              <w:rPr>
                <w:rFonts w:ascii="Times New Roman" w:eastAsia="Times New Roman" w:hAnsi="Times New Roman" w:cs="Times New Roman"/>
                <w:b/>
                <w:bCs/>
                <w:noProof/>
                <w:color w:val="000000"/>
                <w:sz w:val="24"/>
                <w:lang w:val="en-IE" w:eastAsia="ro-RO"/>
              </w:rPr>
            </w:pPr>
            <w:r>
              <w:rPr>
                <w:rFonts w:ascii="Times New Roman" w:eastAsia="Times New Roman" w:hAnsi="Times New Roman" w:cs="Times New Roman"/>
                <w:b/>
                <w:bCs/>
                <w:noProof/>
                <w:color w:val="000000"/>
                <w:sz w:val="24"/>
                <w:lang w:val="en-IE" w:eastAsia="ro-RO"/>
              </w:rPr>
              <w:t>Level of attainment (2018 vs 2020/2025/2030)</w:t>
            </w:r>
          </w:p>
        </w:tc>
        <w:tc>
          <w:tcPr>
            <w:tcW w:w="1366" w:type="dxa"/>
            <w:tcBorders>
              <w:top w:val="nil"/>
              <w:left w:val="nil"/>
              <w:bottom w:val="single" w:sz="8" w:space="0" w:color="auto"/>
              <w:right w:val="single" w:sz="4" w:space="0" w:color="auto"/>
            </w:tcBorders>
            <w:shd w:val="clear" w:color="auto" w:fill="auto"/>
            <w:noWrap/>
            <w:vAlign w:val="center"/>
            <w:hideMark/>
          </w:tcPr>
          <w:p w:rsidR="00DA7543" w:rsidRDefault="00DA7543">
            <w:pPr>
              <w:spacing w:after="0" w:line="240" w:lineRule="auto"/>
              <w:jc w:val="center"/>
              <w:rPr>
                <w:rFonts w:ascii="Times New Roman" w:eastAsia="Times New Roman" w:hAnsi="Times New Roman" w:cs="Times New Roman"/>
                <w:bCs/>
                <w:noProof/>
                <w:color w:val="000000"/>
                <w:sz w:val="24"/>
                <w:lang w:val="en-IE" w:eastAsia="ro-RO"/>
              </w:rPr>
            </w:pPr>
          </w:p>
        </w:tc>
        <w:tc>
          <w:tcPr>
            <w:tcW w:w="147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hAnsi="Times New Roman" w:cs="Times New Roman"/>
                <w:noProof/>
                <w:color w:val="000000"/>
                <w:szCs w:val="20"/>
                <w:lang w:val="en-IE"/>
              </w:rPr>
              <w:t>174.44%</w:t>
            </w:r>
          </w:p>
        </w:tc>
        <w:tc>
          <w:tcPr>
            <w:tcW w:w="1471" w:type="dxa"/>
            <w:tcBorders>
              <w:top w:val="single" w:sz="8" w:space="0" w:color="auto"/>
              <w:left w:val="nil"/>
              <w:bottom w:val="single" w:sz="8" w:space="0" w:color="auto"/>
              <w:right w:val="single" w:sz="4" w:space="0" w:color="auto"/>
            </w:tcBorders>
            <w:shd w:val="clear" w:color="auto" w:fill="auto"/>
            <w:noWrap/>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hAnsi="Times New Roman" w:cs="Times New Roman"/>
                <w:noProof/>
                <w:color w:val="000000"/>
                <w:szCs w:val="20"/>
                <w:lang w:val="en-IE"/>
              </w:rPr>
              <w:t>251.20%</w:t>
            </w:r>
          </w:p>
        </w:tc>
        <w:tc>
          <w:tcPr>
            <w:tcW w:w="1471" w:type="dxa"/>
            <w:tcBorders>
              <w:top w:val="single" w:sz="8" w:space="0" w:color="auto"/>
              <w:left w:val="nil"/>
              <w:bottom w:val="single" w:sz="8" w:space="0" w:color="auto"/>
              <w:right w:val="single" w:sz="8" w:space="0" w:color="auto"/>
            </w:tcBorders>
            <w:shd w:val="clear" w:color="auto" w:fill="auto"/>
            <w:noWrap/>
            <w:vAlign w:val="center"/>
            <w:hideMark/>
          </w:tcPr>
          <w:p w:rsidR="00DA7543" w:rsidRDefault="007C073D">
            <w:pPr>
              <w:spacing w:after="0" w:line="240" w:lineRule="auto"/>
              <w:jc w:val="center"/>
              <w:rPr>
                <w:rFonts w:ascii="Times New Roman" w:eastAsia="Times New Roman" w:hAnsi="Times New Roman" w:cs="Times New Roman"/>
                <w:bCs/>
                <w:noProof/>
                <w:color w:val="000000"/>
                <w:sz w:val="24"/>
                <w:lang w:val="en-IE" w:eastAsia="ro-RO"/>
              </w:rPr>
            </w:pPr>
            <w:r>
              <w:rPr>
                <w:rFonts w:ascii="Times New Roman" w:hAnsi="Times New Roman" w:cs="Times New Roman"/>
                <w:noProof/>
                <w:color w:val="000000"/>
                <w:szCs w:val="20"/>
                <w:lang w:val="en-IE"/>
              </w:rPr>
              <w:t>314.00%</w:t>
            </w:r>
          </w:p>
        </w:tc>
      </w:tr>
    </w:tbl>
    <w:p w:rsidR="00DA7543" w:rsidRDefault="00DA7543">
      <w:pPr>
        <w:tabs>
          <w:tab w:val="left" w:pos="360"/>
        </w:tabs>
        <w:rPr>
          <w:rFonts w:ascii="Times New Roman" w:hAnsi="Times New Roman" w:cs="Times New Roman"/>
          <w:noProof/>
          <w:sz w:val="24"/>
          <w:lang w:val="en-IE"/>
        </w:rPr>
      </w:pPr>
    </w:p>
    <w:p w:rsidR="00DA7543" w:rsidRDefault="007C073D">
      <w:pPr>
        <w:pStyle w:val="Heading3"/>
        <w:rPr>
          <w:rFonts w:ascii="Times New Roman" w:hAnsi="Times New Roman" w:cs="Times New Roman"/>
          <w:noProof/>
          <w:sz w:val="24"/>
          <w:lang w:val="en-IE"/>
        </w:rPr>
      </w:pPr>
      <w:bookmarkStart w:id="42" w:name="_Ref51449234"/>
      <w:bookmarkStart w:id="43" w:name="_Toc55301687"/>
      <w:bookmarkStart w:id="44" w:name="_Toc65241941"/>
      <w:bookmarkStart w:id="45" w:name="_Ref42452495"/>
      <w:r>
        <w:rPr>
          <w:rFonts w:ascii="Times New Roman" w:hAnsi="Times New Roman" w:cs="Times New Roman"/>
          <w:noProof/>
          <w:sz w:val="24"/>
          <w:lang w:val="en-IE"/>
        </w:rPr>
        <w:t xml:space="preserve">Adequacy between alternative fuels vehicles and </w:t>
      </w:r>
      <w:r>
        <w:rPr>
          <w:rFonts w:ascii="Times New Roman" w:hAnsi="Times New Roman" w:cs="Times New Roman"/>
          <w:noProof/>
          <w:sz w:val="24"/>
          <w:lang w:val="en-IE"/>
        </w:rPr>
        <w:t>infrastructure</w:t>
      </w:r>
      <w:bookmarkEnd w:id="42"/>
      <w:bookmarkEnd w:id="43"/>
      <w:bookmarkEnd w:id="44"/>
      <w:r>
        <w:rPr>
          <w:rFonts w:ascii="Times New Roman" w:hAnsi="Times New Roman" w:cs="Times New Roman"/>
          <w:noProof/>
          <w:sz w:val="24"/>
          <w:lang w:val="en-IE"/>
        </w:rPr>
        <w:t xml:space="preserve"> </w:t>
      </w:r>
      <w:bookmarkEnd w:id="45"/>
    </w:p>
    <w:p w:rsidR="00DA7543" w:rsidRDefault="007C073D">
      <w:pPr>
        <w:spacing w:after="0"/>
        <w:jc w:val="both"/>
        <w:rPr>
          <w:rFonts w:ascii="Times New Roman" w:hAnsi="Times New Roman" w:cs="Times New Roman"/>
          <w:noProof/>
          <w:sz w:val="24"/>
          <w:lang w:val="en-IE"/>
        </w:rPr>
      </w:pPr>
      <w:r>
        <w:rPr>
          <w:rFonts w:ascii="Times New Roman" w:hAnsi="Times New Roman" w:cs="Times New Roman"/>
          <w:noProof/>
          <w:sz w:val="24"/>
          <w:lang w:val="en-IE"/>
        </w:rPr>
        <w:t>For road transport, where the number of AFV and AFI can be relevant in almost all the MSs, the adequacy between AFV and publicly accessible AFI at MS level is monitored by calculating the sufficiency index that is the ratio between AFV esti</w:t>
      </w:r>
      <w:r>
        <w:rPr>
          <w:rFonts w:ascii="Times New Roman" w:hAnsi="Times New Roman" w:cs="Times New Roman"/>
          <w:noProof/>
          <w:sz w:val="24"/>
          <w:lang w:val="en-IE"/>
        </w:rPr>
        <w:t>mates and AFI targets for each of the reference years for which the MSs provided values in their NIR</w:t>
      </w:r>
      <w:r>
        <w:rPr>
          <w:rStyle w:val="FootnoteReference"/>
          <w:rFonts w:ascii="Times New Roman" w:hAnsi="Times New Roman" w:cs="Times New Roman"/>
          <w:iCs/>
          <w:noProof/>
          <w:sz w:val="24"/>
          <w:lang w:val="en-IE"/>
        </w:rPr>
        <w:footnoteReference w:id="7"/>
      </w:r>
      <w:r>
        <w:rPr>
          <w:rFonts w:ascii="Times New Roman" w:hAnsi="Times New Roman" w:cs="Times New Roman"/>
          <w:noProof/>
          <w:sz w:val="24"/>
          <w:lang w:val="en-IE"/>
        </w:rPr>
        <w:t xml:space="preserve">. When an AFV estimate or an AFI target is not provided for a certain year, the corresponding ratio cannot be calculated. An example of this is shown in </w:t>
      </w:r>
      <w:r>
        <w:rPr>
          <w:rFonts w:ascii="Times New Roman" w:hAnsi="Times New Roman" w:cs="Times New Roman"/>
          <w:noProof/>
          <w:sz w:val="24"/>
          <w:lang w:val="en-IE"/>
        </w:rPr>
        <w:t>the table below:</w:t>
      </w:r>
    </w:p>
    <w:p w:rsidR="00DA7543" w:rsidRDefault="00DA7543">
      <w:pPr>
        <w:spacing w:after="0"/>
        <w:jc w:val="both"/>
        <w:rPr>
          <w:rFonts w:ascii="Times New Roman" w:hAnsi="Times New Roman" w:cs="Times New Roman"/>
          <w:noProof/>
          <w:sz w:val="24"/>
          <w:lang w:val="en-IE"/>
        </w:rPr>
      </w:pPr>
    </w:p>
    <w:p w:rsidR="00DA7543" w:rsidRDefault="007C073D">
      <w:pPr>
        <w:spacing w:after="0"/>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97450" cy="3873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7450" cy="387350"/>
                    </a:xfrm>
                    <a:prstGeom prst="rect">
                      <a:avLst/>
                    </a:prstGeom>
                    <a:noFill/>
                    <a:ln>
                      <a:noFill/>
                    </a:ln>
                  </pic:spPr>
                </pic:pic>
              </a:graphicData>
            </a:graphic>
          </wp:inline>
        </w:drawing>
      </w:r>
    </w:p>
    <w:p w:rsidR="00DA7543" w:rsidRDefault="00DA7543">
      <w:pPr>
        <w:spacing w:after="0"/>
        <w:jc w:val="both"/>
        <w:rPr>
          <w:rFonts w:ascii="Times New Roman" w:hAnsi="Times New Roman" w:cs="Times New Roman"/>
          <w:noProof/>
          <w:sz w:val="24"/>
          <w:lang w:val="en-IE"/>
        </w:rPr>
      </w:pPr>
    </w:p>
    <w:p w:rsidR="00DA7543" w:rsidRDefault="007C073D">
      <w:pPr>
        <w:spacing w:after="0"/>
        <w:jc w:val="both"/>
        <w:rPr>
          <w:rFonts w:ascii="Times New Roman" w:hAnsi="Times New Roman" w:cs="Times New Roman"/>
          <w:iCs/>
          <w:noProof/>
          <w:sz w:val="24"/>
          <w:lang w:val="en-IE"/>
        </w:rPr>
      </w:pPr>
      <w:r>
        <w:rPr>
          <w:rFonts w:ascii="Times New Roman" w:hAnsi="Times New Roman" w:cs="Times New Roman"/>
          <w:noProof/>
          <w:sz w:val="24"/>
          <w:lang w:val="en-IE"/>
        </w:rPr>
        <w:t>Where applicable, the evolution trend of the sufficiency index will be analysed and considerations will be made on the value of the index.</w:t>
      </w:r>
      <w:r>
        <w:rPr>
          <w:rFonts w:ascii="Times New Roman" w:hAnsi="Times New Roman" w:cs="Times New Roman"/>
          <w:iCs/>
          <w:noProof/>
          <w:sz w:val="24"/>
          <w:lang w:val="en-IE"/>
        </w:rPr>
        <w:t xml:space="preserve"> In particular, for the electricity/road pair, an assessment is provided concerning the adequacy </w:t>
      </w:r>
      <w:r>
        <w:rPr>
          <w:rFonts w:ascii="Times New Roman" w:hAnsi="Times New Roman" w:cs="Times New Roman"/>
          <w:iCs/>
          <w:noProof/>
          <w:sz w:val="24"/>
          <w:lang w:val="en-IE"/>
        </w:rPr>
        <w:t>of the ratio between the number of vehicles and the number of recharging points. The adequacy assessment is based mainly on the indicative threshold value of 10, as mentioned by the Directive</w:t>
      </w:r>
      <w:r>
        <w:rPr>
          <w:rStyle w:val="FootnoteReference"/>
          <w:rFonts w:ascii="Times New Roman" w:hAnsi="Times New Roman" w:cs="Times New Roman"/>
          <w:iCs/>
          <w:noProof/>
          <w:sz w:val="24"/>
          <w:lang w:val="en-IE"/>
        </w:rPr>
        <w:footnoteReference w:id="8"/>
      </w:r>
      <w:r>
        <w:rPr>
          <w:rFonts w:ascii="Times New Roman" w:hAnsi="Times New Roman" w:cs="Times New Roman"/>
          <w:iCs/>
          <w:noProof/>
          <w:sz w:val="24"/>
          <w:lang w:val="en-IE"/>
        </w:rPr>
        <w:t xml:space="preserve">, however, the share of high power (&gt;22kW) recharging points in </w:t>
      </w:r>
      <w:r>
        <w:rPr>
          <w:rFonts w:ascii="Times New Roman" w:hAnsi="Times New Roman" w:cs="Times New Roman"/>
          <w:iCs/>
          <w:noProof/>
          <w:sz w:val="24"/>
          <w:lang w:val="en-IE"/>
        </w:rPr>
        <w:t>the total number of recharging points is also taken in consideration.</w:t>
      </w:r>
    </w:p>
    <w:p w:rsidR="00DA7543" w:rsidRDefault="007C073D">
      <w:pPr>
        <w:jc w:val="both"/>
        <w:rPr>
          <w:rFonts w:ascii="Times New Roman" w:hAnsi="Times New Roman" w:cs="Times New Roman"/>
          <w:noProof/>
          <w:sz w:val="24"/>
          <w:lang w:val="en-IE"/>
        </w:rPr>
      </w:pPr>
      <w:r>
        <w:rPr>
          <w:rFonts w:ascii="Times New Roman" w:hAnsi="Times New Roman" w:cs="Times New Roman"/>
          <w:iCs/>
          <w:noProof/>
          <w:sz w:val="24"/>
          <w:lang w:val="en-IE"/>
        </w:rPr>
        <w:t xml:space="preserve">For the CNG/road pair, the adequacy assessment is based on the indicative value of 600 as considered in </w:t>
      </w:r>
      <w:sdt>
        <w:sdtPr>
          <w:rPr>
            <w:rFonts w:ascii="Times New Roman" w:hAnsi="Times New Roman" w:cs="Times New Roman"/>
            <w:iCs/>
            <w:noProof/>
            <w:sz w:val="24"/>
            <w:lang w:val="en-IE"/>
          </w:rPr>
          <w:id w:val="1980487652"/>
          <w:citation/>
        </w:sdtPr>
        <w:sdtEndPr/>
        <w:sdtContent>
          <w:r>
            <w:rPr>
              <w:rFonts w:ascii="Times New Roman" w:hAnsi="Times New Roman" w:cs="Times New Roman"/>
              <w:iCs/>
              <w:noProof/>
              <w:sz w:val="24"/>
              <w:lang w:val="en-IE"/>
            </w:rPr>
            <w:fldChar w:fldCharType="begin"/>
          </w:r>
          <w:r>
            <w:rPr>
              <w:rFonts w:ascii="Times New Roman" w:hAnsi="Times New Roman" w:cs="Times New Roman"/>
              <w:iCs/>
              <w:noProof/>
              <w:sz w:val="24"/>
              <w:lang w:val="en-IE"/>
            </w:rPr>
            <w:instrText xml:space="preserve"> CITATION Eur191 \l 1033 </w:instrText>
          </w:r>
          <w:r>
            <w:rPr>
              <w:rFonts w:ascii="Times New Roman" w:hAnsi="Times New Roman" w:cs="Times New Roman"/>
              <w:iCs/>
              <w:noProof/>
              <w:sz w:val="24"/>
              <w:lang w:val="en-IE"/>
            </w:rPr>
            <w:fldChar w:fldCharType="separate"/>
          </w:r>
          <w:r>
            <w:rPr>
              <w:rFonts w:ascii="Times New Roman" w:hAnsi="Times New Roman" w:cs="Times New Roman"/>
              <w:noProof/>
              <w:sz w:val="24"/>
              <w:lang w:val="en-IE"/>
            </w:rPr>
            <w:t>(European Commission, 2019)</w:t>
          </w:r>
          <w:r>
            <w:rPr>
              <w:rFonts w:ascii="Times New Roman" w:hAnsi="Times New Roman" w:cs="Times New Roman"/>
              <w:iCs/>
              <w:noProof/>
              <w:sz w:val="24"/>
              <w:lang w:val="en-IE"/>
            </w:rPr>
            <w:fldChar w:fldCharType="end"/>
          </w:r>
        </w:sdtContent>
      </w:sdt>
      <w:r>
        <w:rPr>
          <w:rStyle w:val="FootnoteReference"/>
          <w:rFonts w:ascii="Times New Roman" w:hAnsi="Times New Roman" w:cs="Times New Roman"/>
          <w:iCs/>
          <w:noProof/>
          <w:sz w:val="24"/>
          <w:lang w:val="en-IE"/>
        </w:rPr>
        <w:footnoteReference w:id="9"/>
      </w:r>
      <w:r>
        <w:rPr>
          <w:rFonts w:ascii="Times New Roman" w:hAnsi="Times New Roman" w:cs="Times New Roman"/>
          <w:iCs/>
          <w:noProof/>
          <w:sz w:val="24"/>
          <w:lang w:val="en-IE"/>
        </w:rPr>
        <w:t>. For all the other AFs/</w:t>
      </w:r>
      <w:r>
        <w:rPr>
          <w:rFonts w:ascii="Times New Roman" w:hAnsi="Times New Roman" w:cs="Times New Roman"/>
          <w:iCs/>
          <w:noProof/>
          <w:sz w:val="24"/>
          <w:lang w:val="en-IE"/>
        </w:rPr>
        <w:t>road pairs, only the sufficiency index is shown, without any comment.</w:t>
      </w:r>
    </w:p>
    <w:p w:rsidR="00DA7543" w:rsidRDefault="00DA7543">
      <w:pPr>
        <w:jc w:val="both"/>
        <w:rPr>
          <w:rFonts w:ascii="Times New Roman" w:hAnsi="Times New Roman" w:cs="Times New Roman"/>
          <w:noProof/>
          <w:color w:val="000000" w:themeColor="text1"/>
          <w:sz w:val="24"/>
          <w:lang w:val="en-IE"/>
        </w:rPr>
      </w:pPr>
    </w:p>
    <w:p w:rsidR="00DA7543" w:rsidRDefault="00DA7543">
      <w:pPr>
        <w:rPr>
          <w:rFonts w:ascii="Times New Roman" w:hAnsi="Times New Roman" w:cs="Times New Roman"/>
          <w:noProof/>
          <w:color w:val="000000" w:themeColor="text1"/>
          <w:sz w:val="24"/>
          <w:lang w:val="en-IE"/>
        </w:rPr>
      </w:pPr>
    </w:p>
    <w:p w:rsidR="00DA7543" w:rsidRDefault="007C073D">
      <w:pP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br w:type="page"/>
      </w:r>
    </w:p>
    <w:p w:rsidR="00DA7543" w:rsidRDefault="007C073D">
      <w:pPr>
        <w:pStyle w:val="Heading2"/>
        <w:rPr>
          <w:rFonts w:ascii="Times New Roman" w:hAnsi="Times New Roman" w:cs="Times New Roman"/>
          <w:noProof/>
          <w:sz w:val="24"/>
          <w:lang w:val="en-IE"/>
        </w:rPr>
      </w:pPr>
      <w:bookmarkStart w:id="46" w:name="_Ref51449288"/>
      <w:bookmarkStart w:id="47" w:name="_Ref51449334"/>
      <w:bookmarkStart w:id="48" w:name="_Toc55301688"/>
      <w:bookmarkStart w:id="49" w:name="_Toc65241942"/>
      <w:r>
        <w:rPr>
          <w:rFonts w:ascii="Times New Roman" w:hAnsi="Times New Roman" w:cs="Times New Roman"/>
          <w:noProof/>
          <w:sz w:val="24"/>
          <w:lang w:val="en-IE"/>
        </w:rPr>
        <w:t>Measure assessment method</w:t>
      </w:r>
      <w:bookmarkEnd w:id="46"/>
      <w:bookmarkEnd w:id="47"/>
      <w:bookmarkEnd w:id="48"/>
      <w:bookmarkEnd w:id="49"/>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A key aspect of the Directive is that the Member States are asked to plan and adopt measures to support the achievement of the alternative fuels </w:t>
      </w:r>
      <w:r>
        <w:rPr>
          <w:rFonts w:ascii="Times New Roman" w:hAnsi="Times New Roman" w:cs="Times New Roman"/>
          <w:noProof/>
          <w:sz w:val="24"/>
          <w:lang w:val="en-IE"/>
        </w:rPr>
        <w:t>infrastructure and transport system targets and objectives of their NPF. The Annex I of the Directive mentions that the implementation report of the NPF of each MS required by Article 10(1) of the Directive “</w:t>
      </w:r>
      <w:r>
        <w:rPr>
          <w:rFonts w:ascii="Times New Roman" w:hAnsi="Times New Roman" w:cs="Times New Roman"/>
          <w:i/>
          <w:noProof/>
          <w:sz w:val="24"/>
          <w:lang w:val="en-IE"/>
        </w:rPr>
        <w:t>shall include at least the following elements:</w:t>
      </w:r>
    </w:p>
    <w:p w:rsidR="00DA7543" w:rsidRDefault="007C073D">
      <w:pPr>
        <w:pStyle w:val="Paragraph"/>
        <w:numPr>
          <w:ilvl w:val="0"/>
          <w:numId w:val="7"/>
        </w:numPr>
        <w:rPr>
          <w:rFonts w:ascii="Times New Roman" w:hAnsi="Times New Roman"/>
          <w:i/>
          <w:noProof/>
          <w:sz w:val="24"/>
          <w:szCs w:val="22"/>
          <w:lang w:val="en-IE"/>
        </w:rPr>
      </w:pPr>
      <w:r>
        <w:rPr>
          <w:rFonts w:ascii="Times New Roman" w:hAnsi="Times New Roman"/>
          <w:i/>
          <w:noProof/>
          <w:sz w:val="24"/>
          <w:szCs w:val="22"/>
          <w:lang w:val="en-IE"/>
        </w:rPr>
        <w:t>Legal measures [...]</w:t>
      </w:r>
    </w:p>
    <w:p w:rsidR="00DA7543" w:rsidRDefault="007C073D">
      <w:pPr>
        <w:pStyle w:val="Paragraph"/>
        <w:numPr>
          <w:ilvl w:val="0"/>
          <w:numId w:val="7"/>
        </w:numPr>
        <w:rPr>
          <w:rFonts w:ascii="Times New Roman" w:hAnsi="Times New Roman"/>
          <w:i/>
          <w:noProof/>
          <w:sz w:val="24"/>
          <w:szCs w:val="22"/>
          <w:lang w:val="en-IE"/>
        </w:rPr>
      </w:pPr>
      <w:r>
        <w:rPr>
          <w:rFonts w:ascii="Times New Roman" w:hAnsi="Times New Roman"/>
          <w:i/>
          <w:noProof/>
          <w:sz w:val="24"/>
          <w:szCs w:val="22"/>
          <w:lang w:val="en-IE"/>
        </w:rPr>
        <w:t>Policy measures supporting he implementation of the national policy framework [...]</w:t>
      </w:r>
    </w:p>
    <w:p w:rsidR="00DA7543" w:rsidRDefault="007C073D">
      <w:pPr>
        <w:pStyle w:val="Paragraph"/>
        <w:numPr>
          <w:ilvl w:val="0"/>
          <w:numId w:val="7"/>
        </w:numPr>
        <w:rPr>
          <w:rFonts w:ascii="Times New Roman" w:hAnsi="Times New Roman"/>
          <w:i/>
          <w:noProof/>
          <w:sz w:val="24"/>
          <w:szCs w:val="22"/>
          <w:lang w:val="en-IE"/>
        </w:rPr>
      </w:pPr>
      <w:r>
        <w:rPr>
          <w:rFonts w:ascii="Times New Roman" w:hAnsi="Times New Roman"/>
          <w:i/>
          <w:noProof/>
          <w:sz w:val="24"/>
          <w:szCs w:val="22"/>
          <w:lang w:val="en-IE"/>
        </w:rPr>
        <w:t>Deployment and manufacturing support [...]</w:t>
      </w:r>
    </w:p>
    <w:p w:rsidR="00DA7543" w:rsidRDefault="007C073D">
      <w:pPr>
        <w:pStyle w:val="Paragraph"/>
        <w:numPr>
          <w:ilvl w:val="0"/>
          <w:numId w:val="7"/>
        </w:numPr>
        <w:rPr>
          <w:rFonts w:ascii="Times New Roman" w:hAnsi="Times New Roman"/>
          <w:i/>
          <w:noProof/>
          <w:sz w:val="24"/>
          <w:szCs w:val="22"/>
          <w:lang w:val="en-IE"/>
        </w:rPr>
      </w:pPr>
      <w:r>
        <w:rPr>
          <w:rFonts w:ascii="Times New Roman" w:hAnsi="Times New Roman"/>
          <w:i/>
          <w:noProof/>
          <w:sz w:val="24"/>
          <w:szCs w:val="22"/>
          <w:lang w:val="en-IE"/>
        </w:rPr>
        <w:t>Research, technological development and demonstration (RTD&amp;D) [...]”</w:t>
      </w:r>
    </w:p>
    <w:p w:rsidR="00DA7543" w:rsidRDefault="00DA7543">
      <w:pPr>
        <w:pStyle w:val="Paragraph"/>
        <w:ind w:left="0"/>
        <w:rPr>
          <w:rFonts w:ascii="Times New Roman" w:hAnsi="Times New Roman"/>
          <w:i/>
          <w:noProof/>
          <w:sz w:val="22"/>
          <w:lang w:val="en-IE"/>
        </w:rPr>
      </w:pPr>
    </w:p>
    <w:p w:rsidR="00DA7543" w:rsidRDefault="007C073D">
      <w:pPr>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573115" cy="172800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asures.jpg"/>
                    <pic:cNvPicPr/>
                  </pic:nvPicPr>
                  <pic:blipFill>
                    <a:blip r:embed="rId24">
                      <a:extLst>
                        <a:ext uri="{28A0092B-C50C-407E-A947-70E740481C1C}">
                          <a14:useLocalDpi xmlns:a14="http://schemas.microsoft.com/office/drawing/2010/main" val="0"/>
                        </a:ext>
                      </a:extLst>
                    </a:blip>
                    <a:stretch>
                      <a:fillRect/>
                    </a:stretch>
                  </pic:blipFill>
                  <pic:spPr>
                    <a:xfrm>
                      <a:off x="0" y="0"/>
                      <a:ext cx="2573115" cy="1728000"/>
                    </a:xfrm>
                    <a:prstGeom prst="rect">
                      <a:avLst/>
                    </a:prstGeom>
                  </pic:spPr>
                </pic:pic>
              </a:graphicData>
            </a:graphic>
          </wp:inline>
        </w:drawing>
      </w:r>
    </w:p>
    <w:p w:rsidR="00DA7543" w:rsidRDefault="007C073D">
      <w:pPr>
        <w:pStyle w:val="Heading3"/>
        <w:rPr>
          <w:rFonts w:ascii="Times New Roman" w:hAnsi="Times New Roman" w:cs="Times New Roman"/>
          <w:noProof/>
          <w:sz w:val="24"/>
          <w:lang w:val="en-IE"/>
        </w:rPr>
      </w:pPr>
      <w:bookmarkStart w:id="50" w:name="_Toc65241943"/>
      <w:r>
        <w:rPr>
          <w:rFonts w:ascii="Times New Roman" w:hAnsi="Times New Roman" w:cs="Times New Roman"/>
          <w:noProof/>
          <w:sz w:val="24"/>
          <w:lang w:val="en-IE"/>
        </w:rPr>
        <w:t>Overview of measure assessment activ</w:t>
      </w:r>
      <w:r>
        <w:rPr>
          <w:rFonts w:ascii="Times New Roman" w:hAnsi="Times New Roman" w:cs="Times New Roman"/>
          <w:noProof/>
          <w:sz w:val="24"/>
          <w:lang w:val="en-IE"/>
        </w:rPr>
        <w:t>ities</w:t>
      </w:r>
      <w:bookmarkEnd w:id="50"/>
    </w:p>
    <w:p w:rsidR="00DA7543" w:rsidRDefault="007C073D">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flowchart in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_Ref42520419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Pr>
          <w:rFonts w:ascii="Times New Roman" w:hAnsi="Times New Roman" w:cs="Times New Roman"/>
          <w:noProof/>
          <w:sz w:val="24"/>
          <w:lang w:val="en-IE"/>
        </w:rPr>
        <w:t>Figure 2.2.1</w:t>
      </w:r>
      <w:r>
        <w:rPr>
          <w:rFonts w:ascii="Times New Roman" w:hAnsi="Times New Roman" w:cs="Times New Roman"/>
          <w:noProof/>
          <w:sz w:val="24"/>
          <w:lang w:val="en-IE"/>
        </w:rPr>
        <w:noBreakHyphen/>
        <w:t>1</w:t>
      </w:r>
      <w:r>
        <w:rPr>
          <w:rFonts w:ascii="Times New Roman" w:hAnsi="Times New Roman" w:cs="Times New Roman"/>
          <w:noProof/>
          <w:color w:val="000000" w:themeColor="text1"/>
          <w:sz w:val="24"/>
          <w:lang w:val="en-IE"/>
        </w:rPr>
        <w:fldChar w:fldCharType="end"/>
      </w:r>
      <w:r>
        <w:rPr>
          <w:rFonts w:ascii="Times New Roman" w:hAnsi="Times New Roman" w:cs="Times New Roman"/>
          <w:noProof/>
          <w:color w:val="000000" w:themeColor="text1"/>
          <w:sz w:val="24"/>
          <w:lang w:val="en-IE"/>
        </w:rPr>
        <w:t xml:space="preserve"> delivers an overview of the assessment performed for the measures present in the NIR by presenting the main activities (rectangles) that are performed and their different inputs and outputs (parallelograms). In the following sections, the methodology empl</w:t>
      </w:r>
      <w:r>
        <w:rPr>
          <w:rFonts w:ascii="Times New Roman" w:hAnsi="Times New Roman" w:cs="Times New Roman"/>
          <w:noProof/>
          <w:color w:val="000000" w:themeColor="text1"/>
          <w:sz w:val="24"/>
          <w:lang w:val="en-IE"/>
        </w:rPr>
        <w:t>oyed to perform the listed activities on the four types of measures included in the NIR is presented.</w:t>
      </w:r>
    </w:p>
    <w:p w:rsidR="00DA7543" w:rsidRDefault="007C073D">
      <w:pPr>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540876" cy="41184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2.2.1.1.jpg"/>
                    <pic:cNvPicPr/>
                  </pic:nvPicPr>
                  <pic:blipFill>
                    <a:blip r:embed="rId25">
                      <a:extLst>
                        <a:ext uri="{28A0092B-C50C-407E-A947-70E740481C1C}">
                          <a14:useLocalDpi xmlns:a14="http://schemas.microsoft.com/office/drawing/2010/main" val="0"/>
                        </a:ext>
                      </a:extLst>
                    </a:blip>
                    <a:stretch>
                      <a:fillRect/>
                    </a:stretch>
                  </pic:blipFill>
                  <pic:spPr>
                    <a:xfrm>
                      <a:off x="0" y="0"/>
                      <a:ext cx="5540876" cy="4118400"/>
                    </a:xfrm>
                    <a:prstGeom prst="rect">
                      <a:avLst/>
                    </a:prstGeom>
                  </pic:spPr>
                </pic:pic>
              </a:graphicData>
            </a:graphic>
          </wp:inline>
        </w:drawing>
      </w:r>
    </w:p>
    <w:p w:rsidR="00DA7543" w:rsidRDefault="007C073D">
      <w:pPr>
        <w:spacing w:after="120" w:line="240" w:lineRule="auto"/>
        <w:rPr>
          <w:rFonts w:ascii="Times New Roman" w:hAnsi="Times New Roman" w:cs="Times New Roman"/>
          <w:noProof/>
          <w:sz w:val="20"/>
          <w:szCs w:val="18"/>
          <w:lang w:val="en-IE"/>
        </w:rPr>
      </w:pPr>
      <w:bookmarkStart w:id="51" w:name="_Ref42520419"/>
      <w:bookmarkStart w:id="52" w:name="_Ref42520411"/>
      <w:r>
        <w:rPr>
          <w:rFonts w:ascii="Times New Roman" w:hAnsi="Times New Roman" w:cs="Times New Roman"/>
          <w:noProof/>
          <w:sz w:val="20"/>
          <w:szCs w:val="18"/>
          <w:lang w:val="en-IE"/>
        </w:rPr>
        <w:t xml:space="preserve">Figure </w:t>
      </w:r>
      <w:r>
        <w:rPr>
          <w:rFonts w:ascii="Times New Roman" w:hAnsi="Times New Roman" w:cs="Times New Roman"/>
          <w:noProof/>
          <w:sz w:val="20"/>
          <w:szCs w:val="18"/>
          <w:lang w:val="en-IE"/>
        </w:rPr>
        <w:fldChar w:fldCharType="begin"/>
      </w:r>
      <w:r>
        <w:rPr>
          <w:rFonts w:ascii="Times New Roman" w:hAnsi="Times New Roman" w:cs="Times New Roman"/>
          <w:noProof/>
          <w:sz w:val="20"/>
          <w:szCs w:val="18"/>
          <w:lang w:val="en-IE"/>
        </w:rPr>
        <w:instrText xml:space="preserve"> STYLEREF 3 \s </w:instrText>
      </w:r>
      <w:r>
        <w:rPr>
          <w:rFonts w:ascii="Times New Roman" w:hAnsi="Times New Roman" w:cs="Times New Roman"/>
          <w:noProof/>
          <w:sz w:val="20"/>
          <w:szCs w:val="18"/>
          <w:lang w:val="en-IE"/>
        </w:rPr>
        <w:fldChar w:fldCharType="separate"/>
      </w:r>
      <w:r>
        <w:rPr>
          <w:rFonts w:ascii="Times New Roman" w:hAnsi="Times New Roman" w:cs="Times New Roman"/>
          <w:noProof/>
          <w:sz w:val="20"/>
          <w:szCs w:val="18"/>
          <w:lang w:val="en-IE"/>
        </w:rPr>
        <w:t>2.2.1</w:t>
      </w:r>
      <w:r>
        <w:rPr>
          <w:rFonts w:ascii="Times New Roman" w:hAnsi="Times New Roman" w:cs="Times New Roman"/>
          <w:noProof/>
          <w:sz w:val="20"/>
          <w:szCs w:val="18"/>
          <w:lang w:val="en-IE"/>
        </w:rPr>
        <w:fldChar w:fldCharType="end"/>
      </w:r>
      <w:r>
        <w:rPr>
          <w:rFonts w:ascii="Times New Roman" w:hAnsi="Times New Roman" w:cs="Times New Roman"/>
          <w:noProof/>
          <w:sz w:val="20"/>
          <w:szCs w:val="18"/>
          <w:lang w:val="en-IE"/>
        </w:rPr>
        <w:noBreakHyphen/>
      </w:r>
      <w:r>
        <w:rPr>
          <w:rFonts w:ascii="Times New Roman" w:hAnsi="Times New Roman" w:cs="Times New Roman"/>
          <w:noProof/>
          <w:sz w:val="20"/>
          <w:szCs w:val="18"/>
          <w:lang w:val="en-IE"/>
        </w:rPr>
        <w:fldChar w:fldCharType="begin"/>
      </w:r>
      <w:r>
        <w:rPr>
          <w:rFonts w:ascii="Times New Roman" w:hAnsi="Times New Roman" w:cs="Times New Roman"/>
          <w:noProof/>
          <w:sz w:val="20"/>
          <w:szCs w:val="18"/>
          <w:lang w:val="en-IE"/>
        </w:rPr>
        <w:instrText xml:space="preserve"> SEQ Figure \* ARABIC \s 3 </w:instrText>
      </w:r>
      <w:r>
        <w:rPr>
          <w:rFonts w:ascii="Times New Roman" w:hAnsi="Times New Roman" w:cs="Times New Roman"/>
          <w:noProof/>
          <w:sz w:val="20"/>
          <w:szCs w:val="18"/>
          <w:lang w:val="en-IE"/>
        </w:rPr>
        <w:fldChar w:fldCharType="separate"/>
      </w:r>
      <w:r>
        <w:rPr>
          <w:rFonts w:ascii="Times New Roman" w:hAnsi="Times New Roman" w:cs="Times New Roman"/>
          <w:noProof/>
          <w:sz w:val="20"/>
          <w:szCs w:val="18"/>
          <w:lang w:val="en-IE"/>
        </w:rPr>
        <w:t>1</w:t>
      </w:r>
      <w:r>
        <w:rPr>
          <w:rFonts w:ascii="Times New Roman" w:hAnsi="Times New Roman" w:cs="Times New Roman"/>
          <w:noProof/>
          <w:sz w:val="20"/>
          <w:szCs w:val="18"/>
          <w:lang w:val="en-IE"/>
        </w:rPr>
        <w:fldChar w:fldCharType="end"/>
      </w:r>
      <w:bookmarkEnd w:id="51"/>
      <w:r>
        <w:rPr>
          <w:rFonts w:ascii="Times New Roman" w:hAnsi="Times New Roman" w:cs="Times New Roman"/>
          <w:noProof/>
          <w:sz w:val="20"/>
          <w:szCs w:val="18"/>
          <w:lang w:val="en-IE"/>
        </w:rPr>
        <w:t xml:space="preserve"> Overview of the NIR measures assessment</w:t>
      </w:r>
      <w:bookmarkEnd w:id="52"/>
    </w:p>
    <w:p w:rsidR="00DA7543" w:rsidRDefault="007C073D">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first step of the measure assessment is the i</w:t>
      </w:r>
      <w:r>
        <w:rPr>
          <w:rFonts w:ascii="Times New Roman" w:hAnsi="Times New Roman" w:cs="Times New Roman"/>
          <w:noProof/>
          <w:sz w:val="24"/>
          <w:lang w:val="en-IE"/>
        </w:rPr>
        <w:t>dentification and classification of the measures as presented by the MSs in their NIRs. In doing so, it can happen that a measure placed by a MS in a category (ex. Legal measures) is moved to another category (ex. Deployment &amp; Manufacturing) because it fit</w:t>
      </w:r>
      <w:r>
        <w:rPr>
          <w:rFonts w:ascii="Times New Roman" w:hAnsi="Times New Roman" w:cs="Times New Roman"/>
          <w:noProof/>
          <w:sz w:val="24"/>
          <w:lang w:val="en-IE"/>
        </w:rPr>
        <w:t xml:space="preserve">s better with the classification presented in the support guidance </w:t>
      </w:r>
      <w:sdt>
        <w:sdtPr>
          <w:rPr>
            <w:rFonts w:ascii="Times New Roman" w:hAnsi="Times New Roman" w:cs="Times New Roman"/>
            <w:noProof/>
            <w:sz w:val="24"/>
            <w:lang w:val="en-IE"/>
          </w:rPr>
          <w:id w:val="461856556"/>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CITATION Eur18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(European Commission, 2018)</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and the assessment methodology. However, all the NIR measures, either confirmed or moved, are analysed and assessed.</w:t>
      </w:r>
    </w:p>
    <w:p w:rsidR="00DA7543" w:rsidRDefault="007C073D">
      <w:pPr>
        <w:pStyle w:val="Heading3"/>
        <w:ind w:left="0" w:firstLine="0"/>
        <w:jc w:val="both"/>
        <w:rPr>
          <w:rFonts w:ascii="Times New Roman" w:hAnsi="Times New Roman" w:cs="Times New Roman"/>
          <w:noProof/>
          <w:sz w:val="24"/>
          <w:lang w:val="en-IE"/>
        </w:rPr>
      </w:pPr>
      <w:bookmarkStart w:id="53" w:name="_Toc55301689"/>
      <w:bookmarkStart w:id="54" w:name="_Toc65241944"/>
      <w:r>
        <w:rPr>
          <w:rFonts w:ascii="Times New Roman" w:hAnsi="Times New Roman" w:cs="Times New Roman"/>
          <w:noProof/>
          <w:sz w:val="24"/>
          <w:lang w:val="en-IE"/>
        </w:rPr>
        <w:t>Legal measures</w:t>
      </w:r>
      <w:bookmarkEnd w:id="53"/>
      <w:bookmarkEnd w:id="54"/>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According to the support guidance </w:t>
      </w:r>
      <w:sdt>
        <w:sdtPr>
          <w:rPr>
            <w:rFonts w:ascii="Times New Roman" w:hAnsi="Times New Roman" w:cs="Times New Roman"/>
            <w:noProof/>
            <w:sz w:val="24"/>
            <w:lang w:val="en-IE"/>
          </w:rPr>
          <w:id w:val="-962731248"/>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CITATION Eur18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(European Commission, 2018)</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concerning the NIR content, it is possible to classify the legal measures in two categories which are disaggregated by type</w:t>
      </w:r>
      <w:r>
        <w:rPr>
          <w:rStyle w:val="FootnoteReference"/>
          <w:rFonts w:ascii="Times New Roman" w:hAnsi="Times New Roman" w:cs="Times New Roman"/>
          <w:noProof/>
          <w:sz w:val="24"/>
          <w:lang w:val="en-IE"/>
        </w:rPr>
        <w:footnoteReference w:id="10"/>
      </w:r>
      <w:r>
        <w:rPr>
          <w:rFonts w:ascii="Times New Roman" w:hAnsi="Times New Roman" w:cs="Times New Roman"/>
          <w:noProof/>
          <w:sz w:val="24"/>
          <w:lang w:val="en-IE"/>
        </w:rPr>
        <w:t xml:space="preserve"> as it can be observed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_Ref42521027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br/>
        <w:t xml:space="preserve">Figure </w:t>
      </w:r>
      <w:r>
        <w:rPr>
          <w:rFonts w:ascii="Times New Roman" w:hAnsi="Times New Roman" w:cs="Times New Roman"/>
          <w:noProof/>
          <w:sz w:val="20"/>
          <w:szCs w:val="18"/>
          <w:lang w:val="en-IE"/>
        </w:rPr>
        <w:t>2.2.2</w:t>
      </w:r>
      <w:r>
        <w:rPr>
          <w:rFonts w:ascii="Times New Roman" w:hAnsi="Times New Roman" w:cs="Times New Roman"/>
          <w:noProof/>
          <w:sz w:val="20"/>
          <w:szCs w:val="18"/>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Therefore, the legal measures provided by a MS in their NIR are identified and classified using these proposed categories.</w:t>
      </w:r>
    </w:p>
    <w:p w:rsidR="00DA7543" w:rsidRDefault="007C073D">
      <w:pPr>
        <w:jc w:val="center"/>
        <w:rPr>
          <w:rFonts w:ascii="Times New Roman" w:hAnsi="Times New Roman" w:cs="Times New Roman"/>
          <w:noProof/>
          <w:sz w:val="24"/>
          <w:lang w:val="en-IE"/>
        </w:rPr>
      </w:pPr>
      <w:r>
        <w:rPr>
          <w:rFonts w:ascii="Times New Roman" w:hAnsi="Times New Roman" w:cs="Times New Roman"/>
          <w:noProof/>
          <w:sz w:val="24"/>
          <w:lang w:eastAsia="en-GB"/>
        </w:rPr>
        <mc:AlternateContent>
          <mc:Choice Requires="wpg">
            <w:drawing>
              <wp:anchor distT="0" distB="0" distL="114300" distR="114300" simplePos="0" relativeHeight="251659264" behindDoc="0" locked="0" layoutInCell="1" allowOverlap="1">
                <wp:simplePos x="0" y="0"/>
                <wp:positionH relativeFrom="column">
                  <wp:posOffset>447675</wp:posOffset>
                </wp:positionH>
                <wp:positionV relativeFrom="paragraph">
                  <wp:posOffset>2038668</wp:posOffset>
                </wp:positionV>
                <wp:extent cx="609600" cy="823595"/>
                <wp:effectExtent l="0" t="0" r="19050" b="14605"/>
                <wp:wrapNone/>
                <wp:docPr id="7168" name="Group 7168"/>
                <wp:cNvGraphicFramePr/>
                <a:graphic xmlns:a="http://schemas.openxmlformats.org/drawingml/2006/main">
                  <a:graphicData uri="http://schemas.microsoft.com/office/word/2010/wordprocessingGroup">
                    <wpg:wgp>
                      <wpg:cNvGrpSpPr/>
                      <wpg:grpSpPr>
                        <a:xfrm>
                          <a:off x="0" y="0"/>
                          <a:ext cx="609600" cy="823595"/>
                          <a:chOff x="0" y="0"/>
                          <a:chExt cx="609600" cy="823595"/>
                        </a:xfrm>
                      </wpg:grpSpPr>
                      <wps:wsp>
                        <wps:cNvPr id="27" name="Rounded Rectangle 27"/>
                        <wps:cNvSpPr/>
                        <wps:spPr>
                          <a:xfrm>
                            <a:off x="0" y="285750"/>
                            <a:ext cx="609600" cy="242887"/>
                          </a:xfrm>
                          <a:prstGeom prst="round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543" w:rsidRDefault="007C073D">
                              <w:pPr>
                                <w:jc w:val="center"/>
                                <w:rPr>
                                  <w:color w:val="000000" w:themeColor="text1"/>
                                  <w:sz w:val="16"/>
                                  <w:szCs w:val="16"/>
                                  <w:lang w:val="fr-BE"/>
                                </w:rPr>
                              </w:pPr>
                              <w:r>
                                <w:rPr>
                                  <w:color w:val="000000" w:themeColor="text1"/>
                                  <w:sz w:val="16"/>
                                  <w:szCs w:val="16"/>
                                  <w:lang w:val="fr-BE"/>
                                </w:rPr>
                                <w:t>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0" y="581025"/>
                            <a:ext cx="609600" cy="242570"/>
                          </a:xfrm>
                          <a:prstGeom prst="round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543" w:rsidRDefault="007C073D">
                              <w:pPr>
                                <w:jc w:val="center"/>
                                <w:rPr>
                                  <w:color w:val="000000" w:themeColor="text1"/>
                                  <w:sz w:val="16"/>
                                  <w:szCs w:val="16"/>
                                  <w:lang w:val="fr-BE"/>
                                </w:rPr>
                              </w:pPr>
                              <w:r>
                                <w:rPr>
                                  <w:color w:val="000000" w:themeColor="text1"/>
                                  <w:sz w:val="16"/>
                                  <w:szCs w:val="16"/>
                                  <w:lang w:val="fr-BE"/>
                                </w:rPr>
                                <w:t>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0" y="0"/>
                            <a:ext cx="609600" cy="24288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7543" w:rsidRDefault="007C073D">
                              <w:pPr>
                                <w:jc w:val="center"/>
                                <w:rPr>
                                  <w:color w:val="000000" w:themeColor="text1"/>
                                  <w:sz w:val="16"/>
                                  <w:szCs w:val="16"/>
                                  <w:lang w:val="fr-BE"/>
                                </w:rPr>
                              </w:pPr>
                              <w:r>
                                <w:rPr>
                                  <w:color w:val="000000" w:themeColor="text1"/>
                                  <w:sz w:val="16"/>
                                  <w:szCs w:val="16"/>
                                  <w:lang w:val="fr-BE"/>
                                </w:rPr>
                                <w:t>Legend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168" o:spid="_x0000_s1026" style="position:absolute;left:0;text-align:left;margin-left:35.25pt;margin-top:160.55pt;width:48pt;height:64.85pt;z-index:251659264" coordsize="6096,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">
                <v:roundrect id="Rounded Rectangle 27" o:spid="_x0000_s1027" style="position:absolute;top:2857;width:6096;height:2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" fillcolor="#5b9bd5 [3204]" strokecolor="black [3213]" strokeweight="1pt">
                  <v:stroke joinstyle="miter"/>
                  <v:textbox>
                    <w:txbxContent>
                      <w:p w:rsidR="00DA7543" w:rsidRDefault="007C073D">
                        <w:pPr>
                          <w:jc w:val="center"/>
                          <w:rPr>
                            <w:color w:val="000000" w:themeColor="text1"/>
                            <w:sz w:val="16"/>
                            <w:szCs w:val="16"/>
                            <w:lang w:val="fr-BE"/>
                          </w:rPr>
                        </w:pPr>
                        <w:r>
                          <w:rPr>
                            <w:color w:val="000000" w:themeColor="text1"/>
                            <w:sz w:val="16"/>
                            <w:szCs w:val="16"/>
                            <w:lang w:val="fr-BE"/>
                          </w:rPr>
                          <w:t>Category</w:t>
                        </w:r>
                      </w:p>
                    </w:txbxContent>
                  </v:textbox>
                </v:roundrect>
                <v:roundrect id="Rounded Rectangle 28" o:spid="_x0000_s1028" style="position:absolute;top:5810;width:6096;height:2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" fillcolor="#bdd6ee [1300]" strokecolor="black [3213]" strokeweight="1pt">
                  <v:stroke joinstyle="miter"/>
                  <v:textbox>
                    <w:txbxContent>
                      <w:p w:rsidR="00DA7543" w:rsidRDefault="007C073D">
                        <w:pPr>
                          <w:jc w:val="center"/>
                          <w:rPr>
                            <w:color w:val="000000" w:themeColor="text1"/>
                            <w:sz w:val="16"/>
                            <w:szCs w:val="16"/>
                            <w:lang w:val="fr-BE"/>
                          </w:rPr>
                        </w:pPr>
                        <w:r>
                          <w:rPr>
                            <w:color w:val="000000" w:themeColor="text1"/>
                            <w:sz w:val="16"/>
                            <w:szCs w:val="16"/>
                            <w:lang w:val="fr-BE"/>
                          </w:rPr>
                          <w:t>Type</w:t>
                        </w:r>
                      </w:p>
                    </w:txbxContent>
                  </v:textbox>
                </v:roundrect>
                <v:roundrect id="Rounded Rectangle 29" o:spid="_x0000_s1029" style="position:absolute;width:6096;height:2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" fillcolor="white [3212]" stroked="f" strokeweight="1pt">
                  <v:stroke joinstyle="miter"/>
                  <v:textbox>
                    <w:txbxContent>
                      <w:p w:rsidR="00DA7543" w:rsidRDefault="007C073D">
                        <w:pPr>
                          <w:jc w:val="center"/>
                          <w:rPr>
                            <w:color w:val="000000" w:themeColor="text1"/>
                            <w:sz w:val="16"/>
                            <w:szCs w:val="16"/>
                            <w:lang w:val="fr-BE"/>
                          </w:rPr>
                        </w:pPr>
                        <w:r>
                          <w:rPr>
                            <w:color w:val="000000" w:themeColor="text1"/>
                            <w:sz w:val="16"/>
                            <w:szCs w:val="16"/>
                            <w:lang w:val="fr-BE"/>
                          </w:rPr>
                          <w:t>Legend</w:t>
                        </w:r>
                      </w:p>
                    </w:txbxContent>
                  </v:textbox>
                </v:roundrect>
              </v:group>
            </w:pict>
          </mc:Fallback>
        </mc:AlternateContent>
      </w:r>
      <w:r>
        <w:rPr>
          <w:rFonts w:ascii="Times New Roman" w:hAnsi="Times New Roman" w:cs="Times New Roman"/>
          <w:noProof/>
          <w:sz w:val="24"/>
          <w:lang w:eastAsia="en-GB"/>
        </w:rPr>
        <w:drawing>
          <wp:inline distT="0" distB="0" distL="0" distR="0">
            <wp:extent cx="6305550" cy="3200400"/>
            <wp:effectExtent l="0" t="0" r="0" b="3810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DA7543" w:rsidRDefault="007C073D">
      <w:pPr>
        <w:spacing w:after="120" w:line="240" w:lineRule="auto"/>
        <w:rPr>
          <w:rFonts w:ascii="Times New Roman" w:hAnsi="Times New Roman" w:cs="Times New Roman"/>
          <w:noProof/>
          <w:sz w:val="20"/>
          <w:szCs w:val="18"/>
          <w:lang w:val="en-IE"/>
        </w:rPr>
      </w:pPr>
      <w:bookmarkStart w:id="55" w:name="_Ref42521027"/>
      <w:r>
        <w:rPr>
          <w:rFonts w:ascii="Times New Roman" w:hAnsi="Times New Roman" w:cs="Times New Roman"/>
          <w:noProof/>
          <w:sz w:val="20"/>
          <w:szCs w:val="18"/>
          <w:lang w:val="en-IE"/>
        </w:rPr>
        <w:br/>
        <w:t xml:space="preserve">Figure </w:t>
      </w:r>
      <w:r>
        <w:rPr>
          <w:rFonts w:ascii="Times New Roman" w:hAnsi="Times New Roman" w:cs="Times New Roman"/>
          <w:noProof/>
          <w:sz w:val="20"/>
          <w:szCs w:val="18"/>
          <w:lang w:val="en-IE"/>
        </w:rPr>
        <w:fldChar w:fldCharType="begin"/>
      </w:r>
      <w:r>
        <w:rPr>
          <w:rFonts w:ascii="Times New Roman" w:hAnsi="Times New Roman" w:cs="Times New Roman"/>
          <w:noProof/>
          <w:sz w:val="20"/>
          <w:szCs w:val="18"/>
          <w:lang w:val="en-IE"/>
        </w:rPr>
        <w:instrText xml:space="preserve"> STYLEREF 3 \s </w:instrText>
      </w:r>
      <w:r>
        <w:rPr>
          <w:rFonts w:ascii="Times New Roman" w:hAnsi="Times New Roman" w:cs="Times New Roman"/>
          <w:noProof/>
          <w:sz w:val="20"/>
          <w:szCs w:val="18"/>
          <w:lang w:val="en-IE"/>
        </w:rPr>
        <w:fldChar w:fldCharType="separate"/>
      </w:r>
      <w:r>
        <w:rPr>
          <w:rFonts w:ascii="Times New Roman" w:hAnsi="Times New Roman" w:cs="Times New Roman"/>
          <w:noProof/>
          <w:sz w:val="20"/>
          <w:szCs w:val="18"/>
          <w:lang w:val="en-IE"/>
        </w:rPr>
        <w:t>2.2.2</w:t>
      </w:r>
      <w:r>
        <w:rPr>
          <w:rFonts w:ascii="Times New Roman" w:hAnsi="Times New Roman" w:cs="Times New Roman"/>
          <w:noProof/>
          <w:sz w:val="20"/>
          <w:szCs w:val="18"/>
          <w:lang w:val="en-IE"/>
        </w:rPr>
        <w:fldChar w:fldCharType="end"/>
      </w:r>
      <w:r>
        <w:rPr>
          <w:rFonts w:ascii="Times New Roman" w:hAnsi="Times New Roman" w:cs="Times New Roman"/>
          <w:noProof/>
          <w:sz w:val="20"/>
          <w:szCs w:val="18"/>
          <w:lang w:val="en-IE"/>
        </w:rPr>
        <w:noBreakHyphen/>
      </w:r>
      <w:r>
        <w:rPr>
          <w:rFonts w:ascii="Times New Roman" w:hAnsi="Times New Roman" w:cs="Times New Roman"/>
          <w:noProof/>
          <w:sz w:val="20"/>
          <w:szCs w:val="18"/>
          <w:lang w:val="en-IE"/>
        </w:rPr>
        <w:fldChar w:fldCharType="begin"/>
      </w:r>
      <w:r>
        <w:rPr>
          <w:rFonts w:ascii="Times New Roman" w:hAnsi="Times New Roman" w:cs="Times New Roman"/>
          <w:noProof/>
          <w:sz w:val="20"/>
          <w:szCs w:val="18"/>
          <w:lang w:val="en-IE"/>
        </w:rPr>
        <w:instrText xml:space="preserve"> SEQ Figure \* ARABIC \s 3 </w:instrText>
      </w:r>
      <w:r>
        <w:rPr>
          <w:rFonts w:ascii="Times New Roman" w:hAnsi="Times New Roman" w:cs="Times New Roman"/>
          <w:noProof/>
          <w:sz w:val="20"/>
          <w:szCs w:val="18"/>
          <w:lang w:val="en-IE"/>
        </w:rPr>
        <w:fldChar w:fldCharType="separate"/>
      </w:r>
      <w:r>
        <w:rPr>
          <w:rFonts w:ascii="Times New Roman" w:hAnsi="Times New Roman" w:cs="Times New Roman"/>
          <w:noProof/>
          <w:sz w:val="20"/>
          <w:szCs w:val="18"/>
          <w:lang w:val="en-IE"/>
        </w:rPr>
        <w:t>1</w:t>
      </w:r>
      <w:r>
        <w:rPr>
          <w:rFonts w:ascii="Times New Roman" w:hAnsi="Times New Roman" w:cs="Times New Roman"/>
          <w:noProof/>
          <w:sz w:val="20"/>
          <w:szCs w:val="18"/>
          <w:lang w:val="en-IE"/>
        </w:rPr>
        <w:fldChar w:fldCharType="end"/>
      </w:r>
      <w:bookmarkEnd w:id="55"/>
      <w:r>
        <w:rPr>
          <w:rFonts w:ascii="Times New Roman" w:hAnsi="Times New Roman" w:cs="Times New Roman"/>
          <w:noProof/>
          <w:sz w:val="20"/>
          <w:szCs w:val="18"/>
          <w:lang w:val="en-IE"/>
        </w:rPr>
        <w:t xml:space="preserve"> Types of legal measures</w:t>
      </w:r>
    </w:p>
    <w:p w:rsidR="00DA7543" w:rsidRDefault="007C073D">
      <w:pPr>
        <w:pStyle w:val="Heading3"/>
        <w:rPr>
          <w:rFonts w:ascii="Times New Roman" w:hAnsi="Times New Roman" w:cs="Times New Roman"/>
          <w:noProof/>
          <w:sz w:val="24"/>
          <w:lang w:val="en-IE"/>
        </w:rPr>
      </w:pPr>
      <w:bookmarkStart w:id="56" w:name="_Toc55301690"/>
      <w:bookmarkStart w:id="57" w:name="_Toc65241945"/>
      <w:r>
        <w:rPr>
          <w:rFonts w:ascii="Times New Roman" w:hAnsi="Times New Roman" w:cs="Times New Roman"/>
          <w:noProof/>
          <w:sz w:val="24"/>
          <w:lang w:val="en-IE"/>
        </w:rPr>
        <w:t>Policy measures</w:t>
      </w:r>
      <w:bookmarkEnd w:id="56"/>
      <w:bookmarkEnd w:id="57"/>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The policy measures are supporting the implementation of the national policy framework. The proposed categorisation</w:t>
      </w:r>
      <w:r>
        <w:rPr>
          <w:rStyle w:val="FootnoteReference"/>
          <w:rFonts w:ascii="Times New Roman" w:hAnsi="Times New Roman" w:cs="Times New Roman"/>
          <w:noProof/>
          <w:sz w:val="24"/>
          <w:lang w:val="en-IE"/>
        </w:rPr>
        <w:footnoteReference w:id="11"/>
      </w:r>
      <w:r>
        <w:rPr>
          <w:rFonts w:ascii="Times New Roman" w:hAnsi="Times New Roman" w:cs="Times New Roman"/>
          <w:noProof/>
          <w:sz w:val="24"/>
          <w:lang w:val="en-IE"/>
        </w:rPr>
        <w:t xml:space="preserve"> of policy measures derives from Article 3(1) and Article 4(3) of the Directive. Three categories are available for policy measures:</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w:t>
      </w:r>
      <w:r>
        <w:rPr>
          <w:rFonts w:ascii="Times New Roman" w:hAnsi="Times New Roman" w:cs="Times New Roman"/>
          <w:noProof/>
          <w:sz w:val="24"/>
          <w:lang w:val="en-IE"/>
        </w:rPr>
        <w:tab/>
        <w:t>Measures to ensure that the national targets and estimates are reached (Art. 3 (1) 3</w:t>
      </w:r>
      <w:r>
        <w:rPr>
          <w:rFonts w:ascii="Times New Roman" w:hAnsi="Times New Roman" w:cs="Times New Roman"/>
          <w:noProof/>
          <w:sz w:val="24"/>
          <w:vertAlign w:val="superscript"/>
          <w:lang w:val="en-IE"/>
        </w:rPr>
        <w:t>rd</w:t>
      </w:r>
      <w:r>
        <w:rPr>
          <w:rFonts w:ascii="Times New Roman" w:hAnsi="Times New Roman" w:cs="Times New Roman"/>
          <w:noProof/>
          <w:sz w:val="24"/>
          <w:lang w:val="en-IE"/>
        </w:rPr>
        <w:t xml:space="preserve"> indent)</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w:t>
      </w:r>
      <w:r>
        <w:rPr>
          <w:rFonts w:ascii="Times New Roman" w:hAnsi="Times New Roman" w:cs="Times New Roman"/>
          <w:noProof/>
          <w:sz w:val="24"/>
          <w:lang w:val="en-IE"/>
        </w:rPr>
        <w:tab/>
        <w:t>Measures that can promot</w:t>
      </w:r>
      <w:r>
        <w:rPr>
          <w:rFonts w:ascii="Times New Roman" w:hAnsi="Times New Roman" w:cs="Times New Roman"/>
          <w:noProof/>
          <w:sz w:val="24"/>
          <w:lang w:val="en-IE"/>
        </w:rPr>
        <w:t>e AFI deployment in public transport services (Art. 3 (1) 4</w:t>
      </w:r>
      <w:r>
        <w:rPr>
          <w:rFonts w:ascii="Times New Roman" w:hAnsi="Times New Roman" w:cs="Times New Roman"/>
          <w:noProof/>
          <w:sz w:val="24"/>
          <w:vertAlign w:val="superscript"/>
          <w:lang w:val="en-IE"/>
        </w:rPr>
        <w:t>th</w:t>
      </w:r>
      <w:r>
        <w:rPr>
          <w:rFonts w:ascii="Times New Roman" w:hAnsi="Times New Roman" w:cs="Times New Roman"/>
          <w:noProof/>
          <w:sz w:val="24"/>
          <w:lang w:val="en-IE"/>
        </w:rPr>
        <w:t xml:space="preserve"> indent)</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w:t>
      </w:r>
      <w:r>
        <w:rPr>
          <w:rFonts w:ascii="Times New Roman" w:hAnsi="Times New Roman" w:cs="Times New Roman"/>
          <w:noProof/>
          <w:sz w:val="24"/>
          <w:lang w:val="en-IE"/>
        </w:rPr>
        <w:tab/>
        <w:t>Measures to encourage and facilitate the deployment of recharging points not accessible to the public (Art. 4 (3))</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According to the support guidance </w:t>
      </w:r>
      <w:sdt>
        <w:sdtPr>
          <w:rPr>
            <w:rFonts w:ascii="Times New Roman" w:hAnsi="Times New Roman" w:cs="Times New Roman"/>
            <w:noProof/>
            <w:sz w:val="24"/>
            <w:lang w:val="en-IE"/>
          </w:rPr>
          <w:id w:val="-281503924"/>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CITATION Eur18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(European C</w:t>
          </w:r>
          <w:r>
            <w:rPr>
              <w:rFonts w:ascii="Times New Roman" w:hAnsi="Times New Roman" w:cs="Times New Roman"/>
              <w:noProof/>
              <w:sz w:val="24"/>
              <w:lang w:val="en-IE"/>
            </w:rPr>
            <w:t>ommission, 2018)</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concerning the NIR content, it is possible to classify the policy measures in these three categories which are further disaggregated by type and indicator as it can be observed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_Ref42532150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2.2.3</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Therefore, the policy measures provided by MSs in their NIRs are identified and classified using these proposed parameters.</w:t>
      </w:r>
    </w:p>
    <w:p w:rsidR="00DA7543" w:rsidRDefault="00DA7543">
      <w:pPr>
        <w:jc w:val="both"/>
        <w:rPr>
          <w:rFonts w:ascii="Times New Roman" w:hAnsi="Times New Roman" w:cs="Times New Roman"/>
          <w:noProof/>
          <w:sz w:val="24"/>
          <w:lang w:val="en-IE"/>
        </w:rPr>
      </w:pPr>
    </w:p>
    <w:p w:rsidR="00DA7543" w:rsidRDefault="007C073D">
      <w:pPr>
        <w:pStyle w:val="Paragraph"/>
        <w:rPr>
          <w:rFonts w:ascii="Times New Roman" w:hAnsi="Times New Roman"/>
          <w:noProof/>
          <w:sz w:val="22"/>
          <w:u w:val="single"/>
          <w:lang w:val="en-IE"/>
        </w:rPr>
      </w:pPr>
      <w:r>
        <w:rPr>
          <w:rFonts w:ascii="Times New Roman" w:hAnsi="Times New Roman"/>
          <w:noProof/>
          <w:sz w:val="22"/>
          <w:lang w:val="en-GB" w:eastAsia="en-GB"/>
        </w:rPr>
        <mc:AlternateContent>
          <mc:Choice Requires="wpg">
            <w:drawing>
              <wp:anchor distT="0" distB="0" distL="114300" distR="114300" simplePos="0" relativeHeight="251667456" behindDoc="0" locked="0" layoutInCell="1" allowOverlap="1">
                <wp:simplePos x="0" y="0"/>
                <wp:positionH relativeFrom="column">
                  <wp:posOffset>600393</wp:posOffset>
                </wp:positionH>
                <wp:positionV relativeFrom="paragraph">
                  <wp:posOffset>-61595</wp:posOffset>
                </wp:positionV>
                <wp:extent cx="804862" cy="1233488"/>
                <wp:effectExtent l="0" t="0" r="14605" b="24130"/>
                <wp:wrapNone/>
                <wp:docPr id="7174" name="Group 7174"/>
                <wp:cNvGraphicFramePr/>
                <a:graphic xmlns:a="http://schemas.openxmlformats.org/drawingml/2006/main">
                  <a:graphicData uri="http://schemas.microsoft.com/office/word/2010/wordprocessingGroup">
                    <wpg:wgp>
                      <wpg:cNvGrpSpPr/>
                      <wpg:grpSpPr>
                        <a:xfrm>
                          <a:off x="0" y="0"/>
                          <a:ext cx="804862" cy="1233488"/>
                          <a:chOff x="0" y="0"/>
                          <a:chExt cx="804862" cy="1233488"/>
                        </a:xfrm>
                      </wpg:grpSpPr>
                      <wps:wsp>
                        <wps:cNvPr id="7170" name="Rounded Rectangle 7170"/>
                        <wps:cNvSpPr/>
                        <wps:spPr>
                          <a:xfrm>
                            <a:off x="0" y="285750"/>
                            <a:ext cx="609600" cy="242887"/>
                          </a:xfrm>
                          <a:prstGeom prst="round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543" w:rsidRDefault="007C073D">
                              <w:pPr>
                                <w:spacing w:after="0" w:line="240" w:lineRule="auto"/>
                                <w:jc w:val="center"/>
                                <w:rPr>
                                  <w:color w:val="000000" w:themeColor="text1"/>
                                  <w:sz w:val="14"/>
                                  <w:szCs w:val="14"/>
                                  <w:lang w:val="fr-BE"/>
                                </w:rPr>
                              </w:pPr>
                              <w:r>
                                <w:rPr>
                                  <w:color w:val="000000" w:themeColor="text1"/>
                                  <w:sz w:val="14"/>
                                  <w:szCs w:val="14"/>
                                  <w:lang w:val="fr-BE"/>
                                </w:rPr>
                                <w:t>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1" name="Rounded Rectangle 7171"/>
                        <wps:cNvSpPr/>
                        <wps:spPr>
                          <a:xfrm>
                            <a:off x="0" y="581025"/>
                            <a:ext cx="609600" cy="242570"/>
                          </a:xfrm>
                          <a:prstGeom prst="round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543" w:rsidRDefault="007C073D">
                              <w:pPr>
                                <w:spacing w:after="0" w:line="240" w:lineRule="auto"/>
                                <w:jc w:val="center"/>
                                <w:rPr>
                                  <w:color w:val="000000" w:themeColor="text1"/>
                                  <w:sz w:val="16"/>
                                  <w:szCs w:val="16"/>
                                  <w:lang w:val="fr-BE"/>
                                </w:rPr>
                              </w:pPr>
                              <w:r>
                                <w:rPr>
                                  <w:color w:val="000000" w:themeColor="text1"/>
                                  <w:sz w:val="16"/>
                                  <w:szCs w:val="16"/>
                                  <w:lang w:val="fr-BE"/>
                                </w:rPr>
                                <w:t>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2" name="Rounded Rectangle 7172"/>
                        <wps:cNvSpPr/>
                        <wps:spPr>
                          <a:xfrm>
                            <a:off x="0" y="0"/>
                            <a:ext cx="609600" cy="24288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7543" w:rsidRDefault="007C073D">
                              <w:pPr>
                                <w:jc w:val="center"/>
                                <w:rPr>
                                  <w:color w:val="000000" w:themeColor="text1"/>
                                  <w:sz w:val="16"/>
                                  <w:szCs w:val="16"/>
                                  <w:lang w:val="fr-BE"/>
                                </w:rPr>
                              </w:pPr>
                              <w:r>
                                <w:rPr>
                                  <w:color w:val="000000" w:themeColor="text1"/>
                                  <w:sz w:val="16"/>
                                  <w:szCs w:val="16"/>
                                  <w:lang w:val="fr-BE"/>
                                </w:rPr>
                                <w:t>Legend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3" name="Rounded Rectangle 7173"/>
                        <wps:cNvSpPr/>
                        <wps:spPr>
                          <a:xfrm>
                            <a:off x="0" y="876300"/>
                            <a:ext cx="804862" cy="357188"/>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7543" w:rsidRDefault="007C073D">
                              <w:pPr>
                                <w:spacing w:after="0" w:line="240" w:lineRule="auto"/>
                                <w:jc w:val="center"/>
                                <w:rPr>
                                  <w:color w:val="000000" w:themeColor="text1"/>
                                  <w:sz w:val="14"/>
                                  <w:szCs w:val="14"/>
                                  <w:lang w:val="fr-BE"/>
                                </w:rPr>
                              </w:pPr>
                              <w:r>
                                <w:rPr>
                                  <w:color w:val="000000" w:themeColor="text1"/>
                                  <w:sz w:val="14"/>
                                  <w:szCs w:val="14"/>
                                  <w:lang w:val="fr-BE"/>
                                </w:rPr>
                                <w:t>Indicator/group of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174" o:spid="_x0000_s1030" style="position:absolute;left:0;text-align:left;margin-left:47.3pt;margin-top:-4.85pt;width:63.35pt;height:97.15pt;z-index:251667456" coordsize="8048,1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">
                <v:roundrect id="Rounded Rectangle 7170" o:spid="_x0000_s1031" style="position:absolute;top:2857;width:6096;height:2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" fillcolor="#5b9bd5 [3204]" strokecolor="black [3213]" strokeweight="1pt">
                  <v:stroke joinstyle="miter"/>
                  <v:textbox>
                    <w:txbxContent>
                      <w:p w:rsidR="00DA7543" w:rsidRDefault="007C073D">
                        <w:pPr>
                          <w:spacing w:after="0" w:line="240" w:lineRule="auto"/>
                          <w:jc w:val="center"/>
                          <w:rPr>
                            <w:color w:val="000000" w:themeColor="text1"/>
                            <w:sz w:val="14"/>
                            <w:szCs w:val="14"/>
                            <w:lang w:val="fr-BE"/>
                          </w:rPr>
                        </w:pPr>
                        <w:r>
                          <w:rPr>
                            <w:color w:val="000000" w:themeColor="text1"/>
                            <w:sz w:val="14"/>
                            <w:szCs w:val="14"/>
                            <w:lang w:val="fr-BE"/>
                          </w:rPr>
                          <w:t>Category</w:t>
                        </w:r>
                      </w:p>
                    </w:txbxContent>
                  </v:textbox>
                </v:roundrect>
                <v:roundrect id="Rounded Rectangle 7171" o:spid="_x0000_s1032" style="position:absolute;top:5810;width:6096;height:2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" fillcolor="#bdd6ee [1300]" strokecolor="black [3213]" strokeweight="1pt">
                  <v:stroke joinstyle="miter"/>
                  <v:textbox>
                    <w:txbxContent>
                      <w:p w:rsidR="00DA7543" w:rsidRDefault="007C073D">
                        <w:pPr>
                          <w:spacing w:after="0" w:line="240" w:lineRule="auto"/>
                          <w:jc w:val="center"/>
                          <w:rPr>
                            <w:color w:val="000000" w:themeColor="text1"/>
                            <w:sz w:val="16"/>
                            <w:szCs w:val="16"/>
                            <w:lang w:val="fr-BE"/>
                          </w:rPr>
                        </w:pPr>
                        <w:r>
                          <w:rPr>
                            <w:color w:val="000000" w:themeColor="text1"/>
                            <w:sz w:val="16"/>
                            <w:szCs w:val="16"/>
                            <w:lang w:val="fr-BE"/>
                          </w:rPr>
                          <w:t>Type</w:t>
                        </w:r>
                      </w:p>
                    </w:txbxContent>
                  </v:textbox>
                </v:roundrect>
                <v:roundrect id="Rounded Rectangle 7172" o:spid="_x0000_s1033" style="position:absolute;width:6096;height:2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" fillcolor="white [3212]" stroked="f" strokeweight="1pt">
                  <v:stroke joinstyle="miter"/>
                  <v:textbox>
                    <w:txbxContent>
                      <w:p w:rsidR="00DA7543" w:rsidRDefault="007C073D">
                        <w:pPr>
                          <w:jc w:val="center"/>
                          <w:rPr>
                            <w:color w:val="000000" w:themeColor="text1"/>
                            <w:sz w:val="16"/>
                            <w:szCs w:val="16"/>
                            <w:lang w:val="fr-BE"/>
                          </w:rPr>
                        </w:pPr>
                        <w:r>
                          <w:rPr>
                            <w:color w:val="000000" w:themeColor="text1"/>
                            <w:sz w:val="16"/>
                            <w:szCs w:val="16"/>
                            <w:lang w:val="fr-BE"/>
                          </w:rPr>
                          <w:t>Legend</w:t>
                        </w:r>
                      </w:p>
                    </w:txbxContent>
                  </v:textbox>
                </v:roundrect>
                <v:roundrect id="Rounded Rectangle 7173" o:spid="_x0000_s1034" style="position:absolute;top:8763;width:8048;height:3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" fillcolor="#deeaf6 [660]" strokecolor="black [3213]" strokeweight="1pt">
                  <v:stroke joinstyle="miter"/>
                  <v:textbox>
                    <w:txbxContent>
                      <w:p w:rsidR="00DA7543" w:rsidRDefault="007C073D">
                        <w:pPr>
                          <w:spacing w:after="0" w:line="240" w:lineRule="auto"/>
                          <w:jc w:val="center"/>
                          <w:rPr>
                            <w:color w:val="000000" w:themeColor="text1"/>
                            <w:sz w:val="14"/>
                            <w:szCs w:val="14"/>
                            <w:lang w:val="fr-BE"/>
                          </w:rPr>
                        </w:pPr>
                        <w:r>
                          <w:rPr>
                            <w:color w:val="000000" w:themeColor="text1"/>
                            <w:sz w:val="14"/>
                            <w:szCs w:val="14"/>
                            <w:lang w:val="fr-BE"/>
                          </w:rPr>
                          <w:t>Indicator/group of indicators</w:t>
                        </w:r>
                      </w:p>
                    </w:txbxContent>
                  </v:textbox>
                </v:roundrect>
              </v:group>
            </w:pict>
          </mc:Fallback>
        </mc:AlternateContent>
      </w:r>
      <w:r>
        <w:rPr>
          <w:rFonts w:ascii="Times New Roman" w:hAnsi="Times New Roman"/>
          <w:noProof/>
          <w:sz w:val="22"/>
          <w:lang w:val="en-GB" w:eastAsia="en-GB"/>
        </w:rPr>
        <w:drawing>
          <wp:inline distT="0" distB="0" distL="0" distR="0">
            <wp:extent cx="5486400" cy="3600000"/>
            <wp:effectExtent l="0" t="0" r="0" b="5778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A7543" w:rsidRDefault="007C073D">
      <w:pPr>
        <w:spacing w:after="120" w:line="240" w:lineRule="auto"/>
        <w:rPr>
          <w:rFonts w:ascii="Times New Roman" w:hAnsi="Times New Roman" w:cs="Times New Roman"/>
          <w:noProof/>
          <w:sz w:val="20"/>
          <w:szCs w:val="18"/>
          <w:lang w:val="en-IE"/>
        </w:rPr>
      </w:pPr>
      <w:bookmarkStart w:id="58" w:name="_Ref42532150"/>
      <w:bookmarkStart w:id="59" w:name="_Toc532551930"/>
      <w:r>
        <w:rPr>
          <w:rFonts w:ascii="Times New Roman" w:hAnsi="Times New Roman" w:cs="Times New Roman"/>
          <w:noProof/>
          <w:sz w:val="20"/>
          <w:szCs w:val="18"/>
          <w:lang w:val="en-IE"/>
        </w:rPr>
        <w:t xml:space="preserve">Figure </w:t>
      </w:r>
      <w:r>
        <w:rPr>
          <w:rFonts w:ascii="Times New Roman" w:hAnsi="Times New Roman" w:cs="Times New Roman"/>
          <w:noProof/>
          <w:sz w:val="20"/>
          <w:szCs w:val="18"/>
          <w:lang w:val="en-IE"/>
        </w:rPr>
        <w:fldChar w:fldCharType="begin"/>
      </w:r>
      <w:r>
        <w:rPr>
          <w:rFonts w:ascii="Times New Roman" w:hAnsi="Times New Roman" w:cs="Times New Roman"/>
          <w:noProof/>
          <w:sz w:val="20"/>
          <w:szCs w:val="18"/>
          <w:lang w:val="en-IE"/>
        </w:rPr>
        <w:instrText xml:space="preserve"> STYLEREF 3 \s </w:instrText>
      </w:r>
      <w:r>
        <w:rPr>
          <w:rFonts w:ascii="Times New Roman" w:hAnsi="Times New Roman" w:cs="Times New Roman"/>
          <w:noProof/>
          <w:sz w:val="20"/>
          <w:szCs w:val="18"/>
          <w:lang w:val="en-IE"/>
        </w:rPr>
        <w:fldChar w:fldCharType="separate"/>
      </w:r>
      <w:r>
        <w:rPr>
          <w:rFonts w:ascii="Times New Roman" w:hAnsi="Times New Roman" w:cs="Times New Roman"/>
          <w:noProof/>
          <w:sz w:val="20"/>
          <w:szCs w:val="18"/>
          <w:lang w:val="en-IE"/>
        </w:rPr>
        <w:t>2.2.3</w:t>
      </w:r>
      <w:r>
        <w:rPr>
          <w:rFonts w:ascii="Times New Roman" w:hAnsi="Times New Roman" w:cs="Times New Roman"/>
          <w:noProof/>
          <w:sz w:val="20"/>
          <w:szCs w:val="18"/>
          <w:lang w:val="en-IE"/>
        </w:rPr>
        <w:fldChar w:fldCharType="end"/>
      </w:r>
      <w:r>
        <w:rPr>
          <w:rFonts w:ascii="Times New Roman" w:hAnsi="Times New Roman" w:cs="Times New Roman"/>
          <w:noProof/>
          <w:sz w:val="20"/>
          <w:szCs w:val="18"/>
          <w:lang w:val="en-IE"/>
        </w:rPr>
        <w:noBreakHyphen/>
      </w:r>
      <w:r>
        <w:rPr>
          <w:rFonts w:ascii="Times New Roman" w:hAnsi="Times New Roman" w:cs="Times New Roman"/>
          <w:noProof/>
          <w:sz w:val="20"/>
          <w:szCs w:val="18"/>
          <w:lang w:val="en-IE"/>
        </w:rPr>
        <w:fldChar w:fldCharType="begin"/>
      </w:r>
      <w:r>
        <w:rPr>
          <w:rFonts w:ascii="Times New Roman" w:hAnsi="Times New Roman" w:cs="Times New Roman"/>
          <w:noProof/>
          <w:sz w:val="20"/>
          <w:szCs w:val="18"/>
          <w:lang w:val="en-IE"/>
        </w:rPr>
        <w:instrText xml:space="preserve"> SEQ Figure \* ARABIC \s 3 </w:instrText>
      </w:r>
      <w:r>
        <w:rPr>
          <w:rFonts w:ascii="Times New Roman" w:hAnsi="Times New Roman" w:cs="Times New Roman"/>
          <w:noProof/>
          <w:sz w:val="20"/>
          <w:szCs w:val="18"/>
          <w:lang w:val="en-IE"/>
        </w:rPr>
        <w:fldChar w:fldCharType="separate"/>
      </w:r>
      <w:r>
        <w:rPr>
          <w:rFonts w:ascii="Times New Roman" w:hAnsi="Times New Roman" w:cs="Times New Roman"/>
          <w:noProof/>
          <w:sz w:val="20"/>
          <w:szCs w:val="18"/>
          <w:lang w:val="en-IE"/>
        </w:rPr>
        <w:t>1</w:t>
      </w:r>
      <w:r>
        <w:rPr>
          <w:rFonts w:ascii="Times New Roman" w:hAnsi="Times New Roman" w:cs="Times New Roman"/>
          <w:noProof/>
          <w:sz w:val="20"/>
          <w:szCs w:val="18"/>
          <w:lang w:val="en-IE"/>
        </w:rPr>
        <w:fldChar w:fldCharType="end"/>
      </w:r>
      <w:bookmarkEnd w:id="58"/>
      <w:r>
        <w:rPr>
          <w:rFonts w:ascii="Times New Roman" w:hAnsi="Times New Roman" w:cs="Times New Roman"/>
          <w:noProof/>
          <w:sz w:val="20"/>
          <w:szCs w:val="18"/>
          <w:lang w:val="en-IE"/>
        </w:rPr>
        <w:t xml:space="preserve"> Types of policy measures</w:t>
      </w:r>
      <w:bookmarkEnd w:id="59"/>
    </w:p>
    <w:p w:rsidR="00DA7543" w:rsidRDefault="00DA7543">
      <w:pPr>
        <w:jc w:val="both"/>
        <w:rPr>
          <w:rFonts w:ascii="Times New Roman" w:hAnsi="Times New Roman" w:cs="Times New Roman"/>
          <w:noProof/>
          <w:sz w:val="24"/>
          <w:lang w:val="en-IE"/>
        </w:rPr>
      </w:pPr>
    </w:p>
    <w:p w:rsidR="00DA7543" w:rsidRDefault="007C073D">
      <w:pPr>
        <w:pStyle w:val="Heading3"/>
        <w:rPr>
          <w:rFonts w:ascii="Times New Roman" w:hAnsi="Times New Roman" w:cs="Times New Roman"/>
          <w:noProof/>
          <w:sz w:val="24"/>
          <w:lang w:val="en-IE"/>
        </w:rPr>
      </w:pPr>
      <w:bookmarkStart w:id="60" w:name="_Toc55301691"/>
      <w:bookmarkStart w:id="61" w:name="_Toc65241946"/>
      <w:r>
        <w:rPr>
          <w:rFonts w:ascii="Times New Roman" w:hAnsi="Times New Roman" w:cs="Times New Roman"/>
          <w:noProof/>
          <w:sz w:val="24"/>
          <w:lang w:val="en-IE"/>
        </w:rPr>
        <w:t>Deployment and manufacturing support measures</w:t>
      </w:r>
      <w:bookmarkEnd w:id="60"/>
      <w:bookmarkEnd w:id="61"/>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According to the support guidance </w:t>
      </w:r>
      <w:sdt>
        <w:sdtPr>
          <w:rPr>
            <w:rFonts w:ascii="Times New Roman" w:hAnsi="Times New Roman" w:cs="Times New Roman"/>
            <w:noProof/>
            <w:sz w:val="24"/>
            <w:lang w:val="en-IE"/>
          </w:rPr>
          <w:id w:val="693124817"/>
          <w:citation/>
        </w:sdtPr>
        <w:sdtEndPr/>
        <w:sdtContent>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CITATION Eur18 \l 1033 </w:instrText>
          </w:r>
          <w:r>
            <w:rPr>
              <w:rFonts w:ascii="Times New Roman" w:hAnsi="Times New Roman" w:cs="Times New Roman"/>
              <w:noProof/>
              <w:sz w:val="24"/>
              <w:lang w:val="en-IE"/>
            </w:rPr>
            <w:fldChar w:fldCharType="separate"/>
          </w:r>
          <w:r>
            <w:rPr>
              <w:rFonts w:ascii="Times New Roman" w:hAnsi="Times New Roman" w:cs="Times New Roman"/>
              <w:noProof/>
              <w:sz w:val="24"/>
              <w:lang w:val="en-IE"/>
            </w:rPr>
            <w:t>(European Commission, 2018)</w:t>
          </w:r>
          <w:r>
            <w:rPr>
              <w:rFonts w:ascii="Times New Roman" w:hAnsi="Times New Roman" w:cs="Times New Roman"/>
              <w:noProof/>
              <w:sz w:val="24"/>
              <w:lang w:val="en-IE"/>
            </w:rPr>
            <w:fldChar w:fldCharType="end"/>
          </w:r>
        </w:sdtContent>
      </w:sdt>
      <w:r>
        <w:rPr>
          <w:rFonts w:ascii="Times New Roman" w:hAnsi="Times New Roman" w:cs="Times New Roman"/>
          <w:noProof/>
          <w:sz w:val="24"/>
          <w:lang w:val="en-IE"/>
        </w:rPr>
        <w:t xml:space="preserve"> concerning the NIR content prepared for the MSs, it is possible to classify the deployment and manufacturing support in two categories: a) AFI deployment and b) support of manufacturing plants for alternative fuels technologies. Manufacturing plants for A</w:t>
      </w:r>
      <w:r>
        <w:rPr>
          <w:rFonts w:ascii="Times New Roman" w:hAnsi="Times New Roman" w:cs="Times New Roman"/>
          <w:noProof/>
          <w:sz w:val="24"/>
          <w:lang w:val="en-IE"/>
        </w:rPr>
        <w:t xml:space="preserve">F technologies include both production sites and research facilities for any of the key components of AF technologies such as connectors of charging systems, batteries, fuel cell systems or hydrogen storage tanks. </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Therefore, the deployment and manufacturi</w:t>
      </w:r>
      <w:r>
        <w:rPr>
          <w:rFonts w:ascii="Times New Roman" w:hAnsi="Times New Roman" w:cs="Times New Roman"/>
          <w:noProof/>
          <w:sz w:val="24"/>
          <w:lang w:val="en-IE"/>
        </w:rPr>
        <w:t>ng support measures provided by MSs in their NIRs are identified and classified using these proposed categories.</w:t>
      </w:r>
    </w:p>
    <w:p w:rsidR="00DA7543" w:rsidRDefault="00DA7543">
      <w:pPr>
        <w:jc w:val="both"/>
        <w:rPr>
          <w:rFonts w:ascii="Times New Roman" w:hAnsi="Times New Roman" w:cs="Times New Roman"/>
          <w:noProof/>
          <w:sz w:val="24"/>
          <w:lang w:val="en-IE"/>
        </w:rPr>
      </w:pPr>
    </w:p>
    <w:p w:rsidR="00DA7543" w:rsidRDefault="007C073D">
      <w:pPr>
        <w:pStyle w:val="Heading3"/>
        <w:rPr>
          <w:rFonts w:ascii="Times New Roman" w:hAnsi="Times New Roman" w:cs="Times New Roman"/>
          <w:noProof/>
          <w:sz w:val="24"/>
          <w:lang w:val="en-IE"/>
        </w:rPr>
      </w:pPr>
      <w:bookmarkStart w:id="62" w:name="_Toc55301692"/>
      <w:bookmarkStart w:id="63" w:name="_Toc65241947"/>
      <w:r>
        <w:rPr>
          <w:rFonts w:ascii="Times New Roman" w:hAnsi="Times New Roman" w:cs="Times New Roman"/>
          <w:noProof/>
          <w:sz w:val="24"/>
          <w:lang w:val="en-IE"/>
        </w:rPr>
        <w:t>Research, technological development and demonstration (RTD&amp;D) activities</w:t>
      </w:r>
      <w:bookmarkStart w:id="64" w:name="_Toc476820818"/>
      <w:bookmarkStart w:id="65" w:name="_Toc496259406"/>
      <w:bookmarkEnd w:id="62"/>
      <w:bookmarkEnd w:id="63"/>
    </w:p>
    <w:p w:rsidR="00DA7543" w:rsidRDefault="007C073D">
      <w:pPr>
        <w:jc w:val="both"/>
        <w:rPr>
          <w:rFonts w:ascii="Times New Roman" w:hAnsi="Times New Roman" w:cs="Times New Roman"/>
          <w:b/>
          <w:noProof/>
          <w:sz w:val="24"/>
          <w:lang w:val="en-IE"/>
        </w:rPr>
      </w:pPr>
      <w:r>
        <w:rPr>
          <w:rFonts w:ascii="Times New Roman" w:hAnsi="Times New Roman" w:cs="Times New Roman"/>
          <w:noProof/>
          <w:sz w:val="24"/>
          <w:lang w:val="en-IE"/>
        </w:rPr>
        <w:t>Annex I of the Directive requires the reporting of “annual public bud</w:t>
      </w:r>
      <w:r>
        <w:rPr>
          <w:rFonts w:ascii="Times New Roman" w:hAnsi="Times New Roman" w:cs="Times New Roman"/>
          <w:noProof/>
          <w:sz w:val="24"/>
          <w:lang w:val="en-IE"/>
        </w:rPr>
        <w:t xml:space="preserve">get allocated to support alternative fuels RTD&amp;D, broken down by fuel and by transport mode”. </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The activities of research, technological development and demonstration (RTD&amp;D) are identified and classified according to the alternative fuel, transport mode a</w:t>
      </w:r>
      <w:r>
        <w:rPr>
          <w:rFonts w:ascii="Times New Roman" w:hAnsi="Times New Roman" w:cs="Times New Roman"/>
          <w:noProof/>
          <w:sz w:val="24"/>
          <w:lang w:val="en-IE"/>
        </w:rPr>
        <w:t>nd to the application field (AF, AFI, AFV or combination).</w:t>
      </w:r>
    </w:p>
    <w:p w:rsidR="00DA7543" w:rsidRDefault="00DA7543">
      <w:pPr>
        <w:rPr>
          <w:rFonts w:ascii="Times New Roman" w:hAnsi="Times New Roman" w:cs="Times New Roman"/>
          <w:noProof/>
          <w:sz w:val="24"/>
          <w:lang w:val="en-IE"/>
        </w:rPr>
      </w:pPr>
    </w:p>
    <w:p w:rsidR="00DA7543" w:rsidRDefault="00DA7543">
      <w:pPr>
        <w:rPr>
          <w:rFonts w:ascii="Times New Roman" w:hAnsi="Times New Roman" w:cs="Times New Roman"/>
          <w:noProof/>
          <w:sz w:val="24"/>
          <w:lang w:val="en-IE"/>
        </w:rPr>
      </w:pPr>
    </w:p>
    <w:p w:rsidR="00DA7543" w:rsidRDefault="007C073D">
      <w:pPr>
        <w:pStyle w:val="Heading3"/>
        <w:rPr>
          <w:rFonts w:ascii="Times New Roman" w:hAnsi="Times New Roman" w:cs="Times New Roman"/>
          <w:noProof/>
          <w:sz w:val="24"/>
          <w:lang w:val="en-IE"/>
        </w:rPr>
      </w:pPr>
      <w:bookmarkStart w:id="66" w:name="_Toc55301693"/>
      <w:bookmarkStart w:id="67" w:name="_Toc65241948"/>
      <w:r>
        <w:rPr>
          <w:rFonts w:ascii="Times New Roman" w:hAnsi="Times New Roman" w:cs="Times New Roman"/>
          <w:noProof/>
          <w:sz w:val="24"/>
          <w:lang w:val="en-IE"/>
        </w:rPr>
        <w:t>Assessment methodology at individual measure level</w:t>
      </w:r>
      <w:bookmarkEnd w:id="66"/>
      <w:bookmarkEnd w:id="67"/>
    </w:p>
    <w:p w:rsidR="00DA7543" w:rsidRDefault="007C073D">
      <w:pPr>
        <w:pStyle w:val="Paragraph"/>
        <w:ind w:left="0"/>
        <w:rPr>
          <w:rFonts w:ascii="Times New Roman" w:hAnsi="Times New Roman"/>
          <w:noProof/>
          <w:color w:val="000000" w:themeColor="text1"/>
          <w:sz w:val="24"/>
          <w:szCs w:val="22"/>
          <w:lang w:val="en-IE"/>
        </w:rPr>
      </w:pPr>
      <w:r>
        <w:rPr>
          <w:rFonts w:ascii="Times New Roman" w:hAnsi="Times New Roman"/>
          <w:noProof/>
          <w:color w:val="000000" w:themeColor="text1"/>
          <w:sz w:val="24"/>
          <w:szCs w:val="22"/>
          <w:lang w:val="en-IE"/>
        </w:rPr>
        <w:t xml:space="preserve">Once the identification and classification of all the measures contained in the NIR is concluded, the assessment continues with the analysis of </w:t>
      </w:r>
      <w:r>
        <w:rPr>
          <w:rFonts w:ascii="Times New Roman" w:hAnsi="Times New Roman"/>
          <w:noProof/>
          <w:color w:val="000000" w:themeColor="text1"/>
          <w:sz w:val="24"/>
          <w:szCs w:val="22"/>
          <w:lang w:val="en-IE"/>
        </w:rPr>
        <w:t>all the measures, one by one. The methodology employed to assess each individual measure involves several activities that are described in detail in the following subsections. Some assessment activities are common to all four types of measures while others</w:t>
      </w:r>
      <w:r>
        <w:rPr>
          <w:rFonts w:ascii="Times New Roman" w:hAnsi="Times New Roman"/>
          <w:noProof/>
          <w:color w:val="000000" w:themeColor="text1"/>
          <w:sz w:val="24"/>
          <w:szCs w:val="22"/>
          <w:lang w:val="en-IE"/>
        </w:rPr>
        <w:t xml:space="preserve"> are dedicated only to some types of measures.</w:t>
      </w:r>
    </w:p>
    <w:p w:rsidR="00DA7543" w:rsidRDefault="00DA7543">
      <w:pPr>
        <w:pStyle w:val="Paragraph"/>
        <w:ind w:left="0"/>
        <w:rPr>
          <w:rFonts w:ascii="Times New Roman" w:hAnsi="Times New Roman"/>
          <w:noProof/>
          <w:color w:val="000000" w:themeColor="text1"/>
          <w:sz w:val="24"/>
          <w:szCs w:val="22"/>
          <w:lang w:val="en-IE"/>
        </w:rPr>
      </w:pPr>
    </w:p>
    <w:p w:rsidR="00DA7543" w:rsidRDefault="007C073D">
      <w:pPr>
        <w:pStyle w:val="Heading4"/>
        <w:rPr>
          <w:rFonts w:ascii="Times New Roman" w:hAnsi="Times New Roman" w:cs="Times New Roman"/>
          <w:noProof/>
          <w:color w:val="000000" w:themeColor="text1"/>
          <w:sz w:val="24"/>
          <w:lang w:val="en-IE"/>
        </w:rPr>
      </w:pPr>
      <w:bookmarkStart w:id="68" w:name="_Ref55506508"/>
      <w:r>
        <w:rPr>
          <w:rFonts w:ascii="Times New Roman" w:hAnsi="Times New Roman" w:cs="Times New Roman"/>
          <w:noProof/>
          <w:color w:val="000000" w:themeColor="text1"/>
          <w:sz w:val="24"/>
          <w:lang w:val="en-IE"/>
        </w:rPr>
        <w:t>NIR and NPF measure correspondence identification</w:t>
      </w:r>
      <w:bookmarkEnd w:id="68"/>
    </w:p>
    <w:p w:rsidR="00DA7543" w:rsidRDefault="007C073D">
      <w:pPr>
        <w:pStyle w:val="Paragraph"/>
        <w:ind w:left="0"/>
        <w:rPr>
          <w:rFonts w:ascii="Times New Roman" w:hAnsi="Times New Roman"/>
          <w:noProof/>
          <w:color w:val="000000" w:themeColor="text1"/>
          <w:sz w:val="24"/>
          <w:szCs w:val="22"/>
          <w:lang w:val="en-IE"/>
        </w:rPr>
      </w:pPr>
      <w:r>
        <w:rPr>
          <w:rFonts w:ascii="Times New Roman" w:hAnsi="Times New Roman"/>
          <w:noProof/>
          <w:color w:val="000000" w:themeColor="text1"/>
          <w:sz w:val="24"/>
          <w:szCs w:val="22"/>
          <w:lang w:val="en-IE"/>
        </w:rPr>
        <w:t>An assessment activity that is common to all four types of measures in the NIR is represented by the verification of the existence in the NPF of a similar mea</w:t>
      </w:r>
      <w:r>
        <w:rPr>
          <w:rFonts w:ascii="Times New Roman" w:hAnsi="Times New Roman"/>
          <w:noProof/>
          <w:color w:val="000000" w:themeColor="text1"/>
          <w:sz w:val="24"/>
          <w:szCs w:val="22"/>
          <w:lang w:val="en-IE"/>
        </w:rPr>
        <w:t xml:space="preserve">sure. In a positive case, a comparative analysis of the two measures from the NIR and NPF is performed to determine if their descriptions coincide or contain differences. This activity has four possible results: </w:t>
      </w:r>
    </w:p>
    <w:p w:rsidR="00DA7543" w:rsidRDefault="007C073D">
      <w:pPr>
        <w:pStyle w:val="Paragraph"/>
        <w:numPr>
          <w:ilvl w:val="0"/>
          <w:numId w:val="8"/>
        </w:numPr>
        <w:rPr>
          <w:rFonts w:ascii="Times New Roman" w:hAnsi="Times New Roman"/>
          <w:noProof/>
          <w:color w:val="000000" w:themeColor="text1"/>
          <w:sz w:val="24"/>
          <w:szCs w:val="22"/>
          <w:lang w:val="en-IE"/>
        </w:rPr>
      </w:pPr>
      <w:r>
        <w:rPr>
          <w:rFonts w:ascii="Times New Roman" w:hAnsi="Times New Roman"/>
          <w:noProof/>
          <w:color w:val="000000" w:themeColor="text1"/>
          <w:sz w:val="24"/>
          <w:szCs w:val="22"/>
          <w:lang w:val="en-IE"/>
        </w:rPr>
        <w:t xml:space="preserve">the measure appears only in the NIR </w:t>
      </w:r>
    </w:p>
    <w:p w:rsidR="00DA7543" w:rsidRDefault="007C073D">
      <w:pPr>
        <w:pStyle w:val="Paragraph"/>
        <w:numPr>
          <w:ilvl w:val="0"/>
          <w:numId w:val="8"/>
        </w:numPr>
        <w:rPr>
          <w:rFonts w:ascii="Times New Roman" w:hAnsi="Times New Roman"/>
          <w:noProof/>
          <w:color w:val="000000" w:themeColor="text1"/>
          <w:sz w:val="24"/>
          <w:szCs w:val="22"/>
          <w:lang w:val="en-IE"/>
        </w:rPr>
      </w:pPr>
      <w:r>
        <w:rPr>
          <w:rFonts w:ascii="Times New Roman" w:hAnsi="Times New Roman"/>
          <w:noProof/>
          <w:color w:val="000000" w:themeColor="text1"/>
          <w:sz w:val="24"/>
          <w:szCs w:val="22"/>
          <w:lang w:val="en-IE"/>
        </w:rPr>
        <w:t>the me</w:t>
      </w:r>
      <w:r>
        <w:rPr>
          <w:rFonts w:ascii="Times New Roman" w:hAnsi="Times New Roman"/>
          <w:noProof/>
          <w:color w:val="000000" w:themeColor="text1"/>
          <w:sz w:val="24"/>
          <w:szCs w:val="22"/>
          <w:lang w:val="en-IE"/>
        </w:rPr>
        <w:t xml:space="preserve">asure appeared only in the NPF </w:t>
      </w:r>
    </w:p>
    <w:p w:rsidR="00DA7543" w:rsidRDefault="007C073D">
      <w:pPr>
        <w:pStyle w:val="Paragraph"/>
        <w:numPr>
          <w:ilvl w:val="0"/>
          <w:numId w:val="8"/>
        </w:numPr>
        <w:rPr>
          <w:rFonts w:ascii="Times New Roman" w:hAnsi="Times New Roman"/>
          <w:noProof/>
          <w:color w:val="000000" w:themeColor="text1"/>
          <w:sz w:val="24"/>
          <w:szCs w:val="22"/>
          <w:lang w:val="en-IE"/>
        </w:rPr>
      </w:pPr>
      <w:r>
        <w:rPr>
          <w:rFonts w:ascii="Times New Roman" w:hAnsi="Times New Roman"/>
          <w:noProof/>
          <w:color w:val="000000" w:themeColor="text1"/>
          <w:sz w:val="24"/>
          <w:szCs w:val="22"/>
          <w:lang w:val="en-IE"/>
        </w:rPr>
        <w:t xml:space="preserve">the measure appears in both NIR and NPF with the same characteristics </w:t>
      </w:r>
    </w:p>
    <w:p w:rsidR="00DA7543" w:rsidRDefault="007C073D">
      <w:pPr>
        <w:pStyle w:val="Paragraph"/>
        <w:numPr>
          <w:ilvl w:val="0"/>
          <w:numId w:val="8"/>
        </w:numPr>
        <w:rPr>
          <w:rFonts w:ascii="Times New Roman" w:hAnsi="Times New Roman"/>
          <w:noProof/>
          <w:color w:val="000000" w:themeColor="text1"/>
          <w:sz w:val="24"/>
          <w:szCs w:val="22"/>
          <w:lang w:val="en-IE"/>
        </w:rPr>
      </w:pPr>
      <w:r>
        <w:rPr>
          <w:rFonts w:ascii="Times New Roman" w:hAnsi="Times New Roman"/>
          <w:noProof/>
          <w:color w:val="000000" w:themeColor="text1"/>
          <w:sz w:val="24"/>
          <w:szCs w:val="22"/>
          <w:lang w:val="en-IE"/>
        </w:rPr>
        <w:t>the measure appears in both NIR and NPF with different characteristics</w:t>
      </w:r>
    </w:p>
    <w:p w:rsidR="00DA7543" w:rsidRDefault="00DA7543">
      <w:pPr>
        <w:rPr>
          <w:rFonts w:ascii="Times New Roman" w:hAnsi="Times New Roman" w:cs="Times New Roman"/>
          <w:noProof/>
          <w:sz w:val="24"/>
          <w:lang w:val="en-IE"/>
        </w:rPr>
      </w:pPr>
    </w:p>
    <w:p w:rsidR="00DA7543" w:rsidRDefault="007C073D">
      <w:pPr>
        <w:pStyle w:val="Heading4"/>
        <w:rPr>
          <w:rFonts w:ascii="Times New Roman" w:hAnsi="Times New Roman" w:cs="Times New Roman"/>
          <w:noProof/>
          <w:color w:val="000000" w:themeColor="text1"/>
          <w:sz w:val="24"/>
          <w:lang w:val="en-IE"/>
        </w:rPr>
      </w:pPr>
      <w:bookmarkStart w:id="69" w:name="_Ref55506521"/>
      <w:r>
        <w:rPr>
          <w:rFonts w:ascii="Times New Roman" w:hAnsi="Times New Roman" w:cs="Times New Roman"/>
          <w:noProof/>
          <w:color w:val="000000" w:themeColor="text1"/>
          <w:sz w:val="24"/>
          <w:lang w:val="en-IE"/>
        </w:rPr>
        <w:t>Adoption status determination</w:t>
      </w:r>
      <w:bookmarkEnd w:id="69"/>
    </w:p>
    <w:p w:rsidR="00DA7543" w:rsidRDefault="007C073D">
      <w:pPr>
        <w:spacing w:after="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The adoption status determination of a measure represents another common activity to all four types of measures. This parameter can be assigned to one of the following five categories: </w:t>
      </w:r>
    </w:p>
    <w:p w:rsidR="00DA7543" w:rsidRDefault="007C073D">
      <w:pPr>
        <w:pStyle w:val="ListParagraph"/>
        <w:numPr>
          <w:ilvl w:val="0"/>
          <w:numId w:val="9"/>
        </w:numPr>
        <w:spacing w:after="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Existed [2016-2018]</w:t>
      </w:r>
    </w:p>
    <w:p w:rsidR="00DA7543" w:rsidRDefault="007C073D">
      <w:pPr>
        <w:pStyle w:val="ListParagraph"/>
        <w:numPr>
          <w:ilvl w:val="0"/>
          <w:numId w:val="9"/>
        </w:numPr>
        <w:spacing w:after="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Existing [2019]</w:t>
      </w:r>
    </w:p>
    <w:p w:rsidR="00DA7543" w:rsidRDefault="007C073D">
      <w:pPr>
        <w:pStyle w:val="ListParagraph"/>
        <w:numPr>
          <w:ilvl w:val="0"/>
          <w:numId w:val="9"/>
        </w:numPr>
        <w:spacing w:after="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Adopted (but not yet in effect)</w:t>
      </w:r>
    </w:p>
    <w:p w:rsidR="00DA7543" w:rsidRDefault="007C073D">
      <w:pPr>
        <w:pStyle w:val="ListParagraph"/>
        <w:numPr>
          <w:ilvl w:val="0"/>
          <w:numId w:val="9"/>
        </w:numPr>
        <w:spacing w:after="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In</w:t>
      </w:r>
      <w:r>
        <w:rPr>
          <w:rFonts w:ascii="Times New Roman" w:hAnsi="Times New Roman" w:cs="Times New Roman"/>
          <w:noProof/>
          <w:color w:val="000000" w:themeColor="text1"/>
          <w:sz w:val="24"/>
          <w:lang w:val="en-IE"/>
        </w:rPr>
        <w:t xml:space="preserve"> process of adoption</w:t>
      </w:r>
    </w:p>
    <w:p w:rsidR="00DA7543" w:rsidRDefault="007C073D">
      <w:pPr>
        <w:pStyle w:val="ListParagraph"/>
        <w:numPr>
          <w:ilvl w:val="0"/>
          <w:numId w:val="9"/>
        </w:numPr>
        <w:spacing w:after="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Under consideration</w:t>
      </w:r>
    </w:p>
    <w:p w:rsidR="00DA7543" w:rsidRDefault="00DA7543">
      <w:pPr>
        <w:spacing w:after="0"/>
        <w:rPr>
          <w:rFonts w:ascii="Times New Roman" w:hAnsi="Times New Roman" w:cs="Times New Roman"/>
          <w:noProof/>
          <w:sz w:val="24"/>
          <w:lang w:val="en-IE"/>
        </w:rPr>
      </w:pPr>
    </w:p>
    <w:p w:rsidR="00DA7543" w:rsidRDefault="007C073D">
      <w:pPr>
        <w:pStyle w:val="Heading4"/>
        <w:rPr>
          <w:rFonts w:ascii="Times New Roman" w:hAnsi="Times New Roman" w:cs="Times New Roman"/>
          <w:noProof/>
          <w:color w:val="000000" w:themeColor="text1"/>
          <w:sz w:val="24"/>
          <w:lang w:val="en-IE"/>
        </w:rPr>
      </w:pPr>
      <w:bookmarkStart w:id="70" w:name="_Ref55506530"/>
      <w:r>
        <w:rPr>
          <w:rFonts w:ascii="Times New Roman" w:hAnsi="Times New Roman" w:cs="Times New Roman"/>
          <w:noProof/>
          <w:color w:val="000000" w:themeColor="text1"/>
          <w:sz w:val="24"/>
          <w:lang w:val="en-IE"/>
        </w:rPr>
        <w:t>Ambition level determination</w:t>
      </w:r>
      <w:bookmarkEnd w:id="70"/>
    </w:p>
    <w:p w:rsidR="00DA7543" w:rsidRDefault="007C073D">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Another common activity to all four types of measures regards the determination of the level of ambition of each measure in the NIR compared to the NPF. The level of ambition is a param</w:t>
      </w:r>
      <w:r>
        <w:rPr>
          <w:rFonts w:ascii="Times New Roman" w:hAnsi="Times New Roman" w:cs="Times New Roman"/>
          <w:noProof/>
          <w:color w:val="000000" w:themeColor="text1"/>
          <w:sz w:val="24"/>
          <w:lang w:val="en-IE"/>
        </w:rPr>
        <w:t>eter that describes qualitatively the characteristics of the measure in the NIR compared to NPF from the perspective of the influence to reaching the MS alternative fuels related targets and objectives. The determination of this parameter takes into accoun</w:t>
      </w:r>
      <w:r>
        <w:rPr>
          <w:rFonts w:ascii="Times New Roman" w:hAnsi="Times New Roman" w:cs="Times New Roman"/>
          <w:noProof/>
          <w:color w:val="000000" w:themeColor="text1"/>
          <w:sz w:val="24"/>
          <w:lang w:val="en-IE"/>
        </w:rPr>
        <w:t xml:space="preserve">t whether there is a new measure in the NIR that was not in the NPF, or the opposite, or any change in the measure’s characteristics (e.g. the degree of coverage, the duration of application, the amount of a subsidy/tax, the funding level, etc.). For each </w:t>
      </w:r>
      <w:r>
        <w:rPr>
          <w:rFonts w:ascii="Times New Roman" w:hAnsi="Times New Roman" w:cs="Times New Roman"/>
          <w:noProof/>
          <w:color w:val="000000" w:themeColor="text1"/>
          <w:sz w:val="24"/>
          <w:lang w:val="en-IE"/>
        </w:rPr>
        <w:t xml:space="preserve">measure, the comparative analysis of its ambition in the NIR versus NPF can have three types of results expressed by the following symbols: </w:t>
      </w:r>
    </w:p>
    <w:p w:rsidR="00DA7543" w:rsidRDefault="007C073D">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t>
      </w:r>
      <w:r>
        <w:rPr>
          <w:rFonts w:ascii="Times New Roman" w:hAnsi="Times New Roman" w:cs="Times New Roman"/>
          <w:noProof/>
          <w:color w:val="000000" w:themeColor="text1"/>
          <w:sz w:val="24"/>
          <w:lang w:val="en-IE"/>
        </w:rPr>
        <w:tab/>
        <w:t>“+” describes an increased level of ambition in the NIR vs NPF</w:t>
      </w:r>
    </w:p>
    <w:p w:rsidR="00DA7543" w:rsidRDefault="007C073D">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t>
      </w:r>
      <w:r>
        <w:rPr>
          <w:rFonts w:ascii="Times New Roman" w:hAnsi="Times New Roman" w:cs="Times New Roman"/>
          <w:noProof/>
          <w:color w:val="000000" w:themeColor="text1"/>
          <w:sz w:val="24"/>
          <w:lang w:val="en-IE"/>
        </w:rPr>
        <w:tab/>
        <w:t>“=” describes a similar level of ambition in the</w:t>
      </w:r>
      <w:r>
        <w:rPr>
          <w:rFonts w:ascii="Times New Roman" w:hAnsi="Times New Roman" w:cs="Times New Roman"/>
          <w:noProof/>
          <w:color w:val="000000" w:themeColor="text1"/>
          <w:sz w:val="24"/>
          <w:lang w:val="en-IE"/>
        </w:rPr>
        <w:t xml:space="preserve"> NIR and NPF</w:t>
      </w:r>
    </w:p>
    <w:p w:rsidR="00DA7543" w:rsidRDefault="007C073D">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t>
      </w:r>
      <w:r>
        <w:rPr>
          <w:rFonts w:ascii="Times New Roman" w:hAnsi="Times New Roman" w:cs="Times New Roman"/>
          <w:noProof/>
          <w:color w:val="000000" w:themeColor="text1"/>
          <w:sz w:val="24"/>
          <w:lang w:val="en-IE"/>
        </w:rPr>
        <w:tab/>
        <w:t xml:space="preserve">“-“ describes a decreased level of ambition in the NIR vs NPF </w:t>
      </w:r>
    </w:p>
    <w:p w:rsidR="00DA7543" w:rsidRDefault="007C073D">
      <w:pPr>
        <w:pStyle w:val="Paragraph"/>
        <w:ind w:left="0"/>
        <w:rPr>
          <w:rFonts w:ascii="Times New Roman" w:hAnsi="Times New Roman"/>
          <w:noProof/>
          <w:color w:val="000000" w:themeColor="text1"/>
          <w:sz w:val="24"/>
          <w:szCs w:val="22"/>
          <w:lang w:val="en-IE"/>
        </w:rPr>
      </w:pPr>
      <w:r>
        <w:rPr>
          <w:rFonts w:ascii="Times New Roman" w:hAnsi="Times New Roman"/>
          <w:noProof/>
          <w:color w:val="000000" w:themeColor="text1"/>
          <w:sz w:val="24"/>
          <w:szCs w:val="22"/>
          <w:lang w:val="en-IE"/>
        </w:rPr>
        <w:t xml:space="preserve">In general, the level of ambition is assessed to be decreasing when a measure appeared only in the NPF and to be increasing when a new measure appears only in the NIR. </w:t>
      </w:r>
    </w:p>
    <w:p w:rsidR="00DA7543" w:rsidRDefault="007C073D">
      <w:pPr>
        <w:pStyle w:val="Heading4"/>
        <w:spacing w:after="0"/>
        <w:ind w:left="1146" w:hanging="862"/>
        <w:rPr>
          <w:rFonts w:ascii="Times New Roman" w:hAnsi="Times New Roman" w:cs="Times New Roman"/>
          <w:noProof/>
          <w:sz w:val="24"/>
          <w:lang w:val="en-IE"/>
        </w:rPr>
      </w:pPr>
      <w:r>
        <w:rPr>
          <w:rFonts w:ascii="Times New Roman" w:hAnsi="Times New Roman" w:cs="Times New Roman"/>
          <w:noProof/>
          <w:sz w:val="24"/>
          <w:lang w:val="en-IE"/>
        </w:rPr>
        <w:t>Type of f</w:t>
      </w:r>
      <w:r>
        <w:rPr>
          <w:rFonts w:ascii="Times New Roman" w:hAnsi="Times New Roman" w:cs="Times New Roman"/>
          <w:noProof/>
          <w:sz w:val="24"/>
          <w:lang w:val="en-IE"/>
        </w:rPr>
        <w:t>unding determination</w:t>
      </w:r>
    </w:p>
    <w:p w:rsidR="00DA7543" w:rsidRDefault="007C073D">
      <w:pPr>
        <w:pStyle w:val="Paragraph"/>
        <w:spacing w:before="0"/>
        <w:ind w:left="0"/>
        <w:rPr>
          <w:rFonts w:ascii="Times New Roman" w:hAnsi="Times New Roman"/>
          <w:noProof/>
          <w:sz w:val="24"/>
          <w:szCs w:val="22"/>
          <w:lang w:val="en-IE"/>
        </w:rPr>
      </w:pPr>
      <w:r>
        <w:rPr>
          <w:rFonts w:ascii="Times New Roman" w:hAnsi="Times New Roman"/>
          <w:noProof/>
          <w:sz w:val="24"/>
          <w:szCs w:val="22"/>
          <w:lang w:val="en-IE"/>
        </w:rPr>
        <w:t xml:space="preserve">When the assessment involves research, technological development and demonstration (RTD&amp;D) measures, the determination of the funding available is carried out. </w:t>
      </w:r>
    </w:p>
    <w:p w:rsidR="00DA7543" w:rsidRDefault="007C073D">
      <w:pPr>
        <w:pStyle w:val="Paragraph"/>
        <w:ind w:left="0"/>
        <w:rPr>
          <w:rFonts w:ascii="Times New Roman" w:hAnsi="Times New Roman"/>
          <w:noProof/>
          <w:sz w:val="24"/>
          <w:szCs w:val="22"/>
          <w:lang w:val="en-IE"/>
        </w:rPr>
      </w:pPr>
      <w:r>
        <w:rPr>
          <w:rFonts w:ascii="Times New Roman" w:hAnsi="Times New Roman"/>
          <w:noProof/>
          <w:sz w:val="24"/>
          <w:szCs w:val="22"/>
          <w:lang w:val="en-IE"/>
        </w:rPr>
        <w:t>The options for this parameter include the following nature of funding cat</w:t>
      </w:r>
      <w:r>
        <w:rPr>
          <w:rFonts w:ascii="Times New Roman" w:hAnsi="Times New Roman"/>
          <w:noProof/>
          <w:sz w:val="24"/>
          <w:szCs w:val="22"/>
          <w:lang w:val="en-IE"/>
        </w:rPr>
        <w:t>egories:</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national</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 xml:space="preserve">EU </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international</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co-funding</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other</w:t>
      </w:r>
    </w:p>
    <w:p w:rsidR="00DA7543" w:rsidRDefault="00DA7543">
      <w:pPr>
        <w:spacing w:after="0"/>
        <w:ind w:left="360"/>
        <w:rPr>
          <w:rFonts w:ascii="Times New Roman" w:hAnsi="Times New Roman" w:cs="Times New Roman"/>
          <w:noProof/>
          <w:sz w:val="24"/>
          <w:lang w:val="en-IE"/>
        </w:rPr>
      </w:pPr>
    </w:p>
    <w:p w:rsidR="00DA7543" w:rsidRDefault="007C073D">
      <w:pPr>
        <w:pStyle w:val="Heading4"/>
        <w:rPr>
          <w:rFonts w:ascii="Times New Roman" w:hAnsi="Times New Roman" w:cs="Times New Roman"/>
          <w:noProof/>
          <w:sz w:val="24"/>
          <w:lang w:val="en-IE"/>
        </w:rPr>
      </w:pPr>
      <w:bookmarkStart w:id="71" w:name="_Ref48748937"/>
      <w:r>
        <w:rPr>
          <w:rFonts w:ascii="Times New Roman" w:hAnsi="Times New Roman" w:cs="Times New Roman"/>
          <w:noProof/>
          <w:sz w:val="24"/>
          <w:lang w:val="en-IE"/>
        </w:rPr>
        <w:t>Measure score determination</w:t>
      </w:r>
      <w:bookmarkEnd w:id="71"/>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explained earlier, the four groups of measures are not assessed in the same way. Legal measures and RTD&amp;D measures are analysed and described qualitatively. In addition, </w:t>
      </w:r>
      <w:r>
        <w:rPr>
          <w:rFonts w:ascii="Times New Roman" w:hAnsi="Times New Roman" w:cs="Times New Roman"/>
          <w:noProof/>
          <w:sz w:val="24"/>
          <w:lang w:val="en-IE"/>
        </w:rPr>
        <w:t>the three characterisations presented in paragraphs 2.2.6.1, 2.2.6.2 and 2.2.6.3 are carried out and, where possible, some considerations on the ambition level are provided.</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For the individual measures belonging to the Policy and AFI Deployment &amp; Manufactu</w:t>
      </w:r>
      <w:r>
        <w:rPr>
          <w:rFonts w:ascii="Times New Roman" w:hAnsi="Times New Roman" w:cs="Times New Roman"/>
          <w:noProof/>
          <w:sz w:val="24"/>
          <w:lang w:val="en-IE"/>
        </w:rPr>
        <w:t xml:space="preserve">ring support categories, the assessment methodology includes more steps and the introduction of a scoring for some parameters (similarly to the NPF assessment [EC17]). This is explained below. </w:t>
      </w:r>
    </w:p>
    <w:p w:rsidR="00DA7543" w:rsidRDefault="007C073D">
      <w:pPr>
        <w:pStyle w:val="Heading6"/>
        <w:numPr>
          <w:ilvl w:val="0"/>
          <w:numId w:val="0"/>
        </w:numPr>
        <w:ind w:left="1152" w:hanging="1152"/>
        <w:rPr>
          <w:rFonts w:ascii="Times New Roman" w:hAnsi="Times New Roman" w:cs="Times New Roman"/>
          <w:b/>
          <w:noProof/>
          <w:sz w:val="24"/>
          <w:lang w:val="en-IE"/>
        </w:rPr>
      </w:pPr>
      <w:r>
        <w:rPr>
          <w:rFonts w:ascii="Times New Roman" w:hAnsi="Times New Roman" w:cs="Times New Roman"/>
          <w:b/>
          <w:noProof/>
          <w:sz w:val="24"/>
          <w:lang w:val="en-IE"/>
        </w:rPr>
        <w:t>Status</w:t>
      </w:r>
    </w:p>
    <w:p w:rsidR="00DA7543" w:rsidRDefault="007C073D">
      <w:pPr>
        <w:spacing w:after="0"/>
        <w:rPr>
          <w:rFonts w:ascii="Times New Roman" w:hAnsi="Times New Roman" w:cs="Times New Roman"/>
          <w:noProof/>
          <w:sz w:val="24"/>
          <w:lang w:val="en-IE"/>
        </w:rPr>
      </w:pPr>
      <w:r>
        <w:rPr>
          <w:rFonts w:ascii="Times New Roman" w:hAnsi="Times New Roman" w:cs="Times New Roman"/>
          <w:noProof/>
          <w:sz w:val="24"/>
          <w:lang w:val="en-IE"/>
        </w:rPr>
        <w:t>For Policy and AFI Deployment &amp; Manufacturing support m</w:t>
      </w:r>
      <w:r>
        <w:rPr>
          <w:rFonts w:ascii="Times New Roman" w:hAnsi="Times New Roman" w:cs="Times New Roman"/>
          <w:noProof/>
          <w:sz w:val="24"/>
          <w:lang w:val="en-IE"/>
        </w:rPr>
        <w:t>easures the status is characterised as in paragraph 2.2.5.2, but depending on the status level identified a score is assigned:</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Low (L): if the measure is under consideration,</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Medium (M): if the measure is adopted or in process of adoption,</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High (H): if the</w:t>
      </w:r>
      <w:r>
        <w:rPr>
          <w:rFonts w:ascii="Times New Roman" w:hAnsi="Times New Roman" w:cs="Times New Roman"/>
          <w:noProof/>
          <w:sz w:val="24"/>
          <w:lang w:val="en-IE"/>
        </w:rPr>
        <w:t xml:space="preserve"> measure existed [2016-2018] or is existing in 2019.</w:t>
      </w:r>
    </w:p>
    <w:p w:rsidR="00DA7543" w:rsidRDefault="007C073D">
      <w:pPr>
        <w:pStyle w:val="Heading6"/>
        <w:numPr>
          <w:ilvl w:val="0"/>
          <w:numId w:val="0"/>
        </w:numPr>
        <w:spacing w:before="0" w:after="160"/>
        <w:ind w:left="1152" w:hanging="1152"/>
        <w:rPr>
          <w:rFonts w:ascii="Times New Roman" w:hAnsi="Times New Roman" w:cs="Times New Roman"/>
          <w:b/>
          <w:noProof/>
          <w:sz w:val="24"/>
          <w:lang w:val="en-IE"/>
        </w:rPr>
      </w:pPr>
      <w:r>
        <w:rPr>
          <w:rFonts w:ascii="Times New Roman" w:hAnsi="Times New Roman" w:cs="Times New Roman"/>
          <w:b/>
          <w:noProof/>
          <w:sz w:val="24"/>
          <w:lang w:val="en-IE"/>
        </w:rPr>
        <w:t>Scope</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scope of a measure is evaluated against two dimensions, coverage and effect, as summarised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_Ref48744142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2.2.6</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r>
        <w:rPr>
          <w:rFonts w:ascii="Times New Roman" w:hAnsi="Times New Roman" w:cs="Times New Roman"/>
          <w:b/>
          <w:noProof/>
          <w:sz w:val="24"/>
          <w:lang w:val="en-IE"/>
        </w:rPr>
        <w:t xml:space="preserve"> </w:t>
      </w:r>
    </w:p>
    <w:p w:rsidR="00DA7543" w:rsidRDefault="007C073D">
      <w:pPr>
        <w:pStyle w:val="Caption"/>
        <w:spacing w:before="0" w:after="160"/>
        <w:rPr>
          <w:rFonts w:ascii="Times New Roman" w:hAnsi="Times New Roman" w:cs="Times New Roman"/>
          <w:b w:val="0"/>
          <w:noProof/>
          <w:sz w:val="20"/>
          <w:szCs w:val="18"/>
          <w:lang w:val="en-IE"/>
        </w:rPr>
      </w:pPr>
      <w:bookmarkStart w:id="72" w:name="_Ref48744142"/>
      <w:bookmarkStart w:id="73" w:name="_Ref48744130"/>
      <w:r>
        <w:rPr>
          <w:rFonts w:ascii="Times New Roman" w:hAnsi="Times New Roman" w:cs="Times New Roman"/>
          <w:b w:val="0"/>
          <w:noProof/>
          <w:sz w:val="20"/>
          <w:szCs w:val="18"/>
          <w:lang w:val="en-IE"/>
        </w:rPr>
        <w:t xml:space="preserve">Table </w:t>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STYLEREF 3 \s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2.2.6</w:t>
      </w:r>
      <w:r>
        <w:rPr>
          <w:rFonts w:ascii="Times New Roman" w:hAnsi="Times New Roman" w:cs="Times New Roman"/>
          <w:b w:val="0"/>
          <w:noProof/>
          <w:sz w:val="20"/>
          <w:szCs w:val="18"/>
          <w:lang w:val="en-IE"/>
        </w:rPr>
        <w:fldChar w:fldCharType="end"/>
      </w:r>
      <w:r>
        <w:rPr>
          <w:rFonts w:ascii="Times New Roman" w:hAnsi="Times New Roman" w:cs="Times New Roman"/>
          <w:b w:val="0"/>
          <w:noProof/>
          <w:sz w:val="20"/>
          <w:szCs w:val="18"/>
          <w:lang w:val="en-IE"/>
        </w:rPr>
        <w:noBreakHyphen/>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SEQ Table \* ARABIC \s 3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1</w:t>
      </w:r>
      <w:r>
        <w:rPr>
          <w:rFonts w:ascii="Times New Roman" w:hAnsi="Times New Roman" w:cs="Times New Roman"/>
          <w:b w:val="0"/>
          <w:noProof/>
          <w:sz w:val="20"/>
          <w:szCs w:val="18"/>
          <w:lang w:val="en-IE"/>
        </w:rPr>
        <w:fldChar w:fldCharType="end"/>
      </w:r>
      <w:bookmarkEnd w:id="72"/>
      <w:r>
        <w:rPr>
          <w:rFonts w:ascii="Times New Roman" w:hAnsi="Times New Roman" w:cs="Times New Roman"/>
          <w:b w:val="0"/>
          <w:noProof/>
          <w:sz w:val="20"/>
          <w:szCs w:val="18"/>
          <w:lang w:val="en-IE"/>
        </w:rPr>
        <w:t xml:space="preserve"> Criteria for determining the scope of a measure</w:t>
      </w:r>
      <w:bookmarkEnd w:id="73"/>
    </w:p>
    <w:tbl>
      <w:tblPr>
        <w:tblStyle w:val="TableGrid"/>
        <w:tblW w:w="0" w:type="auto"/>
        <w:jc w:val="center"/>
        <w:tblLook w:val="04A0" w:firstRow="1" w:lastRow="0" w:firstColumn="1" w:lastColumn="0" w:noHBand="0" w:noVBand="1"/>
      </w:tblPr>
      <w:tblGrid>
        <w:gridCol w:w="2552"/>
        <w:gridCol w:w="2945"/>
        <w:gridCol w:w="3287"/>
      </w:tblGrid>
      <w:tr w:rsidR="00DA7543">
        <w:trPr>
          <w:jc w:val="center"/>
        </w:trPr>
        <w:tc>
          <w:tcPr>
            <w:tcW w:w="2552" w:type="dxa"/>
          </w:tcPr>
          <w:p w:rsidR="00DA7543" w:rsidRDefault="00DA7543">
            <w:pPr>
              <w:rPr>
                <w:noProof/>
                <w:sz w:val="22"/>
                <w:lang w:val="en-IE"/>
              </w:rPr>
            </w:pPr>
          </w:p>
        </w:tc>
        <w:tc>
          <w:tcPr>
            <w:tcW w:w="2945" w:type="dxa"/>
          </w:tcPr>
          <w:p w:rsidR="00DA7543" w:rsidRDefault="007C073D">
            <w:pPr>
              <w:rPr>
                <w:b/>
                <w:noProof/>
                <w:sz w:val="22"/>
                <w:lang w:val="en-IE"/>
              </w:rPr>
            </w:pPr>
            <w:r>
              <w:rPr>
                <w:b/>
                <w:noProof/>
                <w:sz w:val="22"/>
                <w:lang w:val="en-IE"/>
              </w:rPr>
              <w:t>Alternative Fuels Infrastructure</w:t>
            </w:r>
          </w:p>
        </w:tc>
        <w:tc>
          <w:tcPr>
            <w:tcW w:w="3287" w:type="dxa"/>
          </w:tcPr>
          <w:p w:rsidR="00DA7543" w:rsidRDefault="007C073D">
            <w:pPr>
              <w:rPr>
                <w:b/>
                <w:noProof/>
                <w:sz w:val="22"/>
                <w:lang w:val="en-IE"/>
              </w:rPr>
            </w:pPr>
            <w:r>
              <w:rPr>
                <w:b/>
                <w:noProof/>
                <w:sz w:val="22"/>
                <w:lang w:val="en-IE"/>
              </w:rPr>
              <w:t>Alternative Fuels Vehicles</w:t>
            </w:r>
          </w:p>
        </w:tc>
      </w:tr>
      <w:tr w:rsidR="00DA7543">
        <w:trPr>
          <w:trHeight w:val="1337"/>
          <w:jc w:val="center"/>
        </w:trPr>
        <w:tc>
          <w:tcPr>
            <w:tcW w:w="2552" w:type="dxa"/>
          </w:tcPr>
          <w:p w:rsidR="00DA7543" w:rsidRDefault="007C073D">
            <w:pPr>
              <w:rPr>
                <w:b/>
                <w:noProof/>
                <w:sz w:val="22"/>
                <w:lang w:val="en-IE"/>
              </w:rPr>
            </w:pPr>
            <w:r>
              <w:rPr>
                <w:b/>
                <w:noProof/>
                <w:sz w:val="22"/>
                <w:lang w:val="en-IE"/>
              </w:rPr>
              <w:t>Coverage</w:t>
            </w:r>
          </w:p>
        </w:tc>
        <w:tc>
          <w:tcPr>
            <w:tcW w:w="2945" w:type="dxa"/>
          </w:tcPr>
          <w:p w:rsidR="00DA7543" w:rsidRDefault="007C073D">
            <w:pPr>
              <w:rPr>
                <w:noProof/>
                <w:sz w:val="22"/>
                <w:lang w:val="en-IE"/>
              </w:rPr>
            </w:pPr>
            <w:r>
              <w:rPr>
                <w:noProof/>
                <w:sz w:val="22"/>
                <w:lang w:val="en-IE"/>
              </w:rPr>
              <w:t xml:space="preserve">Number of eligible recharging/refuelling points versus </w:t>
            </w:r>
            <w:r>
              <w:rPr>
                <w:noProof/>
                <w:sz w:val="22"/>
                <w:lang w:val="en-IE"/>
              </w:rPr>
              <w:t>the total AFI target foreseen in the period of the application of the measure</w:t>
            </w:r>
          </w:p>
        </w:tc>
        <w:tc>
          <w:tcPr>
            <w:tcW w:w="3287" w:type="dxa"/>
          </w:tcPr>
          <w:p w:rsidR="00DA7543" w:rsidRDefault="007C073D">
            <w:pPr>
              <w:rPr>
                <w:noProof/>
                <w:sz w:val="22"/>
                <w:lang w:val="en-IE"/>
              </w:rPr>
            </w:pPr>
            <w:r>
              <w:rPr>
                <w:noProof/>
                <w:sz w:val="22"/>
                <w:lang w:val="en-IE"/>
              </w:rPr>
              <w:t>Number/share of eligible vehicles versus the total AFV estimate foreseen in the period of the application of the measure</w:t>
            </w:r>
          </w:p>
        </w:tc>
      </w:tr>
      <w:tr w:rsidR="00DA7543">
        <w:trPr>
          <w:jc w:val="center"/>
        </w:trPr>
        <w:tc>
          <w:tcPr>
            <w:tcW w:w="2552" w:type="dxa"/>
          </w:tcPr>
          <w:p w:rsidR="00DA7543" w:rsidRDefault="007C073D">
            <w:pPr>
              <w:rPr>
                <w:b/>
                <w:noProof/>
                <w:sz w:val="22"/>
                <w:lang w:val="en-IE"/>
              </w:rPr>
            </w:pPr>
            <w:r>
              <w:rPr>
                <w:b/>
                <w:noProof/>
                <w:sz w:val="22"/>
                <w:lang w:val="en-IE"/>
              </w:rPr>
              <w:t>Effect (Financial Measures)</w:t>
            </w:r>
          </w:p>
        </w:tc>
        <w:tc>
          <w:tcPr>
            <w:tcW w:w="2945" w:type="dxa"/>
          </w:tcPr>
          <w:p w:rsidR="00DA7543" w:rsidRDefault="007C073D">
            <w:pPr>
              <w:rPr>
                <w:noProof/>
                <w:sz w:val="22"/>
                <w:lang w:val="en-IE"/>
              </w:rPr>
            </w:pPr>
            <w:r>
              <w:rPr>
                <w:noProof/>
                <w:sz w:val="22"/>
                <w:lang w:val="en-IE"/>
              </w:rPr>
              <w:t>Investment Cost Difference v</w:t>
            </w:r>
            <w:r>
              <w:rPr>
                <w:noProof/>
                <w:sz w:val="22"/>
                <w:lang w:val="en-IE"/>
              </w:rPr>
              <w:t>ersus no-measure case</w:t>
            </w:r>
          </w:p>
        </w:tc>
        <w:tc>
          <w:tcPr>
            <w:tcW w:w="3287" w:type="dxa"/>
          </w:tcPr>
          <w:p w:rsidR="00DA7543" w:rsidRDefault="007C073D">
            <w:pPr>
              <w:rPr>
                <w:noProof/>
                <w:sz w:val="22"/>
                <w:lang w:val="en-IE"/>
              </w:rPr>
            </w:pPr>
            <w:r>
              <w:rPr>
                <w:noProof/>
                <w:sz w:val="22"/>
                <w:lang w:val="en-IE"/>
              </w:rPr>
              <w:t>Purchase Price Difference or Total Cost of Ownership (TCO) versus no-measure case</w:t>
            </w:r>
          </w:p>
        </w:tc>
      </w:tr>
      <w:tr w:rsidR="00DA7543">
        <w:trPr>
          <w:jc w:val="center"/>
        </w:trPr>
        <w:tc>
          <w:tcPr>
            <w:tcW w:w="2552" w:type="dxa"/>
          </w:tcPr>
          <w:p w:rsidR="00DA7543" w:rsidRDefault="007C073D">
            <w:pPr>
              <w:rPr>
                <w:b/>
                <w:noProof/>
                <w:sz w:val="22"/>
                <w:lang w:val="en-IE"/>
              </w:rPr>
            </w:pPr>
            <w:r>
              <w:rPr>
                <w:b/>
                <w:noProof/>
                <w:sz w:val="22"/>
                <w:lang w:val="en-IE"/>
              </w:rPr>
              <w:t>Effect (Non-financial Measures)</w:t>
            </w:r>
          </w:p>
        </w:tc>
        <w:tc>
          <w:tcPr>
            <w:tcW w:w="2945" w:type="dxa"/>
          </w:tcPr>
          <w:p w:rsidR="00DA7543" w:rsidRDefault="007C073D">
            <w:pPr>
              <w:rPr>
                <w:noProof/>
                <w:sz w:val="22"/>
                <w:lang w:val="en-IE"/>
              </w:rPr>
            </w:pPr>
            <w:r>
              <w:rPr>
                <w:noProof/>
                <w:sz w:val="22"/>
                <w:lang w:val="en-IE"/>
              </w:rPr>
              <w:t>Qualitative</w:t>
            </w:r>
          </w:p>
        </w:tc>
        <w:tc>
          <w:tcPr>
            <w:tcW w:w="3287" w:type="dxa"/>
          </w:tcPr>
          <w:p w:rsidR="00DA7543" w:rsidRDefault="007C073D">
            <w:pPr>
              <w:rPr>
                <w:noProof/>
                <w:sz w:val="22"/>
                <w:lang w:val="en-IE"/>
              </w:rPr>
            </w:pPr>
            <w:r>
              <w:rPr>
                <w:noProof/>
                <w:sz w:val="22"/>
                <w:lang w:val="en-IE"/>
              </w:rPr>
              <w:t>Qualitative</w:t>
            </w:r>
          </w:p>
        </w:tc>
      </w:tr>
    </w:tbl>
    <w:p w:rsidR="00DA7543" w:rsidRDefault="007C073D">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Coverage</w:t>
      </w:r>
    </w:p>
    <w:p w:rsidR="00DA7543" w:rsidRDefault="007C073D">
      <w:pPr>
        <w:pStyle w:val="Caption"/>
        <w:jc w:val="both"/>
        <w:rPr>
          <w:rFonts w:ascii="Times New Roman" w:hAnsi="Times New Roman" w:cs="Times New Roman"/>
          <w:b w:val="0"/>
          <w:noProof/>
          <w:sz w:val="24"/>
          <w:lang w:val="en-IE"/>
        </w:rPr>
      </w:pPr>
      <w:r>
        <w:rPr>
          <w:rFonts w:ascii="Times New Roman" w:hAnsi="Times New Roman" w:cs="Times New Roman"/>
          <w:b w:val="0"/>
          <w:noProof/>
          <w:sz w:val="24"/>
          <w:lang w:val="en-IE"/>
        </w:rPr>
        <w:t xml:space="preserve">Coverage is an indicator of the number or share of vehicles or refuelling/recharging </w:t>
      </w:r>
      <w:r>
        <w:rPr>
          <w:rFonts w:ascii="Times New Roman" w:hAnsi="Times New Roman" w:cs="Times New Roman"/>
          <w:b w:val="0"/>
          <w:noProof/>
          <w:sz w:val="24"/>
          <w:lang w:val="en-IE"/>
        </w:rPr>
        <w:t>points eligible to benefit from the measure</w:t>
      </w:r>
      <w:r>
        <w:rPr>
          <w:rFonts w:ascii="Times New Roman" w:hAnsi="Times New Roman" w:cs="Times New Roman"/>
          <w:noProof/>
          <w:sz w:val="24"/>
          <w:lang w:val="en-IE"/>
        </w:rPr>
        <w:t xml:space="preserve">. </w:t>
      </w:r>
      <w:r>
        <w:rPr>
          <w:rFonts w:ascii="Times New Roman" w:hAnsi="Times New Roman" w:cs="Times New Roman"/>
          <w:b w:val="0"/>
          <w:noProof/>
          <w:sz w:val="24"/>
          <w:lang w:val="en-IE"/>
        </w:rPr>
        <w:t>For coverage, the assessment is performed based on the ratio between the maximum number of vehicles or refuelling/recharging points that can benefit from the measure versus the total number of vehicles or AFI po</w:t>
      </w:r>
      <w:r>
        <w:rPr>
          <w:rFonts w:ascii="Times New Roman" w:hAnsi="Times New Roman" w:cs="Times New Roman"/>
          <w:b w:val="0"/>
          <w:noProof/>
          <w:sz w:val="24"/>
          <w:lang w:val="en-IE"/>
        </w:rPr>
        <w:t>ints that are foreseen by the Member States’ NIR AFV estimates or AFI targets during the period when the measure is applied. Depending on this ratio of vehicles or refuelling/recharging points in scope for a measure, three categories for coverage have been</w:t>
      </w:r>
      <w:r>
        <w:rPr>
          <w:rFonts w:ascii="Times New Roman" w:hAnsi="Times New Roman" w:cs="Times New Roman"/>
          <w:b w:val="0"/>
          <w:noProof/>
          <w:sz w:val="24"/>
          <w:lang w:val="en-IE"/>
        </w:rPr>
        <w:t xml:space="preserve"> defined as follows:</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Low (L): share covered by the measure is &lt; 10%,</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Medium (M): share covered by the measure is in between 10% and 50%,</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High (H): share covered by the measure is &gt; 50%.</w:t>
      </w:r>
    </w:p>
    <w:p w:rsidR="00DA7543" w:rsidRDefault="007C073D">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Effect</w:t>
      </w:r>
    </w:p>
    <w:p w:rsidR="00DA7543" w:rsidRDefault="007C073D">
      <w:pPr>
        <w:pStyle w:val="Caption"/>
        <w:jc w:val="both"/>
        <w:rPr>
          <w:rFonts w:ascii="Times New Roman" w:hAnsi="Times New Roman" w:cs="Times New Roman"/>
          <w:b w:val="0"/>
          <w:noProof/>
          <w:sz w:val="24"/>
          <w:lang w:val="en-IE"/>
        </w:rPr>
      </w:pPr>
      <w:r>
        <w:rPr>
          <w:rFonts w:ascii="Times New Roman" w:hAnsi="Times New Roman" w:cs="Times New Roman"/>
          <w:b w:val="0"/>
          <w:noProof/>
          <w:sz w:val="24"/>
          <w:lang w:val="en-IE"/>
        </w:rPr>
        <w:t xml:space="preserve">Effect is an indicator of how much a measure could influence </w:t>
      </w:r>
      <w:r>
        <w:rPr>
          <w:rFonts w:ascii="Times New Roman" w:hAnsi="Times New Roman" w:cs="Times New Roman"/>
          <w:b w:val="0"/>
          <w:noProof/>
          <w:sz w:val="24"/>
          <w:lang w:val="en-IE"/>
        </w:rPr>
        <w:t>the purchase or investment decision for a given alternative fuels vehicle or refuelling/recharging point. Effect is calculated in quantitative terms for financial measures only and is assessed qualitatively for non-financial measures. In the case of financ</w:t>
      </w:r>
      <w:r>
        <w:rPr>
          <w:rFonts w:ascii="Times New Roman" w:hAnsi="Times New Roman" w:cs="Times New Roman"/>
          <w:b w:val="0"/>
          <w:noProof/>
          <w:sz w:val="24"/>
          <w:lang w:val="en-IE"/>
        </w:rPr>
        <w:t>ial measures, two different calculations are made for AF vehicles and for recharging/refuelling infrastructure. For AF vehicles, the effect level is assessed by calculating the amount covered by the measure with respect to the price difference (or TCO diff</w:t>
      </w:r>
      <w:r>
        <w:rPr>
          <w:rFonts w:ascii="Times New Roman" w:hAnsi="Times New Roman" w:cs="Times New Roman"/>
          <w:b w:val="0"/>
          <w:noProof/>
          <w:sz w:val="24"/>
          <w:lang w:val="en-IE"/>
        </w:rPr>
        <w:t>erence, depending on the availability of data) between conventional and AF vehicles. In the second case, the</w:t>
      </w:r>
      <w:r>
        <w:rPr>
          <w:rFonts w:ascii="Times New Roman" w:hAnsi="Times New Roman" w:cs="Times New Roman"/>
          <w:noProof/>
          <w:sz w:val="24"/>
          <w:lang w:val="en-IE"/>
        </w:rPr>
        <w:t xml:space="preserve"> </w:t>
      </w:r>
      <w:r>
        <w:rPr>
          <w:rFonts w:ascii="Times New Roman" w:hAnsi="Times New Roman" w:cs="Times New Roman"/>
          <w:b w:val="0"/>
          <w:noProof/>
          <w:sz w:val="24"/>
          <w:lang w:val="en-IE"/>
        </w:rPr>
        <w:t>effect level is assessed by calculating the amount of the investment cost of each single recharging/refuelling point covered by the measure.</w:t>
      </w:r>
    </w:p>
    <w:p w:rsidR="00DA7543" w:rsidRDefault="007C073D">
      <w:pPr>
        <w:pStyle w:val="Caption"/>
        <w:jc w:val="both"/>
        <w:rPr>
          <w:rFonts w:ascii="Times New Roman" w:hAnsi="Times New Roman" w:cs="Times New Roman"/>
          <w:b w:val="0"/>
          <w:noProof/>
          <w:sz w:val="24"/>
          <w:lang w:val="en-IE"/>
        </w:rPr>
      </w:pPr>
      <w:r>
        <w:rPr>
          <w:rFonts w:ascii="Times New Roman" w:hAnsi="Times New Roman" w:cs="Times New Roman"/>
          <w:b w:val="0"/>
          <w:noProof/>
          <w:sz w:val="24"/>
          <w:lang w:val="en-IE"/>
        </w:rPr>
        <w:t>The li</w:t>
      </w:r>
      <w:r>
        <w:rPr>
          <w:rFonts w:ascii="Times New Roman" w:hAnsi="Times New Roman" w:cs="Times New Roman"/>
          <w:b w:val="0"/>
          <w:noProof/>
          <w:sz w:val="24"/>
          <w:lang w:val="en-IE"/>
        </w:rPr>
        <w:t xml:space="preserve">kely effect on deployment or development decisions by market actors has been classified in three categories depending on the amount covered by the measure: </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Low (L): amount covered by the measure is &lt; 10%,</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Medium (M): amount covered by the measure is in be</w:t>
      </w:r>
      <w:r>
        <w:rPr>
          <w:rFonts w:ascii="Times New Roman" w:hAnsi="Times New Roman" w:cs="Times New Roman"/>
          <w:noProof/>
          <w:sz w:val="24"/>
          <w:lang w:val="en-IE"/>
        </w:rPr>
        <w:t>tween 10% and 50%,</w:t>
      </w:r>
    </w:p>
    <w:p w:rsidR="00DA7543" w:rsidRDefault="007C073D">
      <w:pPr>
        <w:pStyle w:val="ListParagraph"/>
        <w:numPr>
          <w:ilvl w:val="0"/>
          <w:numId w:val="2"/>
        </w:numPr>
        <w:spacing w:after="0"/>
        <w:rPr>
          <w:rFonts w:ascii="Times New Roman" w:hAnsi="Times New Roman" w:cs="Times New Roman"/>
          <w:noProof/>
          <w:sz w:val="24"/>
          <w:lang w:val="en-IE"/>
        </w:rPr>
      </w:pPr>
      <w:r>
        <w:rPr>
          <w:rFonts w:ascii="Times New Roman" w:hAnsi="Times New Roman" w:cs="Times New Roman"/>
          <w:noProof/>
          <w:sz w:val="24"/>
          <w:lang w:val="en-IE"/>
        </w:rPr>
        <w:t>High (H): amount covered by the measure is &gt; 50%.</w:t>
      </w:r>
    </w:p>
    <w:p w:rsidR="00DA7543" w:rsidRDefault="007C073D">
      <w:pPr>
        <w:pStyle w:val="Heading6"/>
        <w:numPr>
          <w:ilvl w:val="0"/>
          <w:numId w:val="0"/>
        </w:numPr>
        <w:ind w:left="1152" w:hanging="1152"/>
        <w:rPr>
          <w:rFonts w:ascii="Times New Roman" w:hAnsi="Times New Roman" w:cs="Times New Roman"/>
          <w:b/>
          <w:noProof/>
          <w:sz w:val="24"/>
          <w:lang w:val="en-IE"/>
        </w:rPr>
      </w:pPr>
      <w:r>
        <w:rPr>
          <w:rFonts w:ascii="Times New Roman" w:hAnsi="Times New Roman" w:cs="Times New Roman"/>
          <w:b/>
          <w:noProof/>
          <w:sz w:val="24"/>
          <w:lang w:val="en-IE"/>
        </w:rPr>
        <w:t>Overall Score of a single measure</w:t>
      </w:r>
    </w:p>
    <w:p w:rsidR="00DA7543" w:rsidRDefault="007C073D">
      <w:pPr>
        <w:spacing w:after="0"/>
        <w:jc w:val="both"/>
        <w:rPr>
          <w:rFonts w:ascii="Times New Roman" w:hAnsi="Times New Roman" w:cs="Times New Roman"/>
          <w:noProof/>
          <w:sz w:val="24"/>
          <w:lang w:val="en-IE"/>
        </w:rPr>
      </w:pPr>
      <w:r>
        <w:rPr>
          <w:rFonts w:ascii="Times New Roman" w:hAnsi="Times New Roman" w:cs="Times New Roman"/>
          <w:noProof/>
          <w:sz w:val="24"/>
          <w:lang w:val="en-IE"/>
        </w:rPr>
        <w:t xml:space="preserve">For each measure where a score could be assigned to status, coverage and effect, its overall score is assessed based on these three evaluations, as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_Ref48745957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2.2.6</w:t>
      </w:r>
      <w:r>
        <w:rPr>
          <w:rFonts w:ascii="Times New Roman" w:hAnsi="Times New Roman" w:cs="Times New Roman"/>
          <w:noProof/>
          <w:sz w:val="24"/>
          <w:lang w:val="en-IE"/>
        </w:rPr>
        <w:noBreakHyphen/>
        <w:t>2</w:t>
      </w:r>
      <w:r>
        <w:rPr>
          <w:rFonts w:ascii="Times New Roman" w:hAnsi="Times New Roman" w:cs="Times New Roman"/>
          <w:noProof/>
          <w:sz w:val="24"/>
          <w:lang w:val="en-IE"/>
        </w:rPr>
        <w:fldChar w:fldCharType="end"/>
      </w:r>
      <w:r>
        <w:rPr>
          <w:rFonts w:ascii="Times New Roman" w:hAnsi="Times New Roman" w:cs="Times New Roman"/>
          <w:noProof/>
          <w:sz w:val="24"/>
          <w:lang w:val="en-IE"/>
        </w:rPr>
        <w:t>. Following the precautionary principle, the overall measure score is determined by the lowest evaluation the measure has received regarding its three attributes of status, coverage and effect. For example, if the measure has a high (H) co</w:t>
      </w:r>
      <w:r>
        <w:rPr>
          <w:rFonts w:ascii="Times New Roman" w:hAnsi="Times New Roman" w:cs="Times New Roman"/>
          <w:noProof/>
          <w:sz w:val="24"/>
          <w:lang w:val="en-IE"/>
        </w:rPr>
        <w:t xml:space="preserve">verage and effect but is only under consideration (thus low (L) adoption status), the overall measure assessment score will be low (L) because it cannot be guaranteed that it will ever come into effect. Likewise, if its status is H (measure in effect) but </w:t>
      </w:r>
      <w:r>
        <w:rPr>
          <w:rFonts w:ascii="Times New Roman" w:hAnsi="Times New Roman" w:cs="Times New Roman"/>
          <w:noProof/>
          <w:sz w:val="24"/>
          <w:lang w:val="en-IE"/>
        </w:rPr>
        <w:t>the measure covers only few infrastructure items or has a low effect, its overall assessment score will also be low. The overall measure assessment score will be H only if all three attributes are evaluated as high.</w:t>
      </w:r>
    </w:p>
    <w:p w:rsidR="00DA7543" w:rsidRDefault="007C073D">
      <w:pPr>
        <w:pStyle w:val="Caption"/>
        <w:rPr>
          <w:rFonts w:ascii="Times New Roman" w:hAnsi="Times New Roman" w:cs="Times New Roman"/>
          <w:b w:val="0"/>
          <w:noProof/>
          <w:sz w:val="20"/>
          <w:szCs w:val="18"/>
          <w:lang w:val="en-IE"/>
        </w:rPr>
      </w:pPr>
      <w:bookmarkStart w:id="74" w:name="_Ref48745957"/>
      <w:r>
        <w:rPr>
          <w:rFonts w:ascii="Times New Roman" w:hAnsi="Times New Roman" w:cs="Times New Roman"/>
          <w:b w:val="0"/>
          <w:noProof/>
          <w:sz w:val="20"/>
          <w:szCs w:val="18"/>
          <w:lang w:val="en-IE"/>
        </w:rPr>
        <w:t xml:space="preserve">Table </w:t>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STYLEREF 3 \s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2.2.6</w:t>
      </w:r>
      <w:r>
        <w:rPr>
          <w:rFonts w:ascii="Times New Roman" w:hAnsi="Times New Roman" w:cs="Times New Roman"/>
          <w:b w:val="0"/>
          <w:noProof/>
          <w:sz w:val="20"/>
          <w:szCs w:val="18"/>
          <w:lang w:val="en-IE"/>
        </w:rPr>
        <w:fldChar w:fldCharType="end"/>
      </w:r>
      <w:r>
        <w:rPr>
          <w:rFonts w:ascii="Times New Roman" w:hAnsi="Times New Roman" w:cs="Times New Roman"/>
          <w:b w:val="0"/>
          <w:noProof/>
          <w:sz w:val="20"/>
          <w:szCs w:val="18"/>
          <w:lang w:val="en-IE"/>
        </w:rPr>
        <w:noBreakHyphen/>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SEQ Table</w:instrText>
      </w:r>
      <w:r>
        <w:rPr>
          <w:rFonts w:ascii="Times New Roman" w:hAnsi="Times New Roman" w:cs="Times New Roman"/>
          <w:b w:val="0"/>
          <w:noProof/>
          <w:sz w:val="20"/>
          <w:szCs w:val="18"/>
          <w:lang w:val="en-IE"/>
        </w:rPr>
        <w:instrText xml:space="preserve"> \* ARABIC \s 3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2</w:t>
      </w:r>
      <w:r>
        <w:rPr>
          <w:rFonts w:ascii="Times New Roman" w:hAnsi="Times New Roman" w:cs="Times New Roman"/>
          <w:b w:val="0"/>
          <w:noProof/>
          <w:sz w:val="20"/>
          <w:szCs w:val="18"/>
          <w:lang w:val="en-IE"/>
        </w:rPr>
        <w:fldChar w:fldCharType="end"/>
      </w:r>
      <w:bookmarkEnd w:id="74"/>
      <w:r>
        <w:rPr>
          <w:rFonts w:ascii="Times New Roman" w:hAnsi="Times New Roman" w:cs="Times New Roman"/>
          <w:b w:val="0"/>
          <w:noProof/>
          <w:sz w:val="20"/>
          <w:szCs w:val="18"/>
          <w:lang w:val="en-IE"/>
        </w:rPr>
        <w:t xml:space="preserve"> Assessment of Overall Measure Score</w:t>
      </w:r>
    </w:p>
    <w:tbl>
      <w:tblPr>
        <w:tblStyle w:val="TableGrid"/>
        <w:tblW w:w="4552" w:type="pct"/>
        <w:tblInd w:w="392" w:type="dxa"/>
        <w:tblLook w:val="04A0" w:firstRow="1" w:lastRow="0" w:firstColumn="1" w:lastColumn="0" w:noHBand="0" w:noVBand="1"/>
      </w:tblPr>
      <w:tblGrid>
        <w:gridCol w:w="1340"/>
        <w:gridCol w:w="1192"/>
        <w:gridCol w:w="1454"/>
        <w:gridCol w:w="1529"/>
        <w:gridCol w:w="2941"/>
      </w:tblGrid>
      <w:tr w:rsidR="00DA7543">
        <w:tc>
          <w:tcPr>
            <w:tcW w:w="792" w:type="pct"/>
            <w:vMerge w:val="restart"/>
          </w:tcPr>
          <w:p w:rsidR="00DA7543" w:rsidRDefault="007C073D">
            <w:pPr>
              <w:rPr>
                <w:b/>
                <w:noProof/>
                <w:sz w:val="22"/>
                <w:lang w:val="en-IE"/>
              </w:rPr>
            </w:pPr>
            <w:r>
              <w:rPr>
                <w:b/>
                <w:noProof/>
                <w:sz w:val="22"/>
                <w:lang w:val="en-IE"/>
              </w:rPr>
              <w:t>Measure</w:t>
            </w:r>
          </w:p>
        </w:tc>
        <w:tc>
          <w:tcPr>
            <w:tcW w:w="705" w:type="pct"/>
            <w:vMerge w:val="restart"/>
          </w:tcPr>
          <w:p w:rsidR="00DA7543" w:rsidRDefault="007C073D">
            <w:pPr>
              <w:jc w:val="center"/>
              <w:rPr>
                <w:b/>
                <w:noProof/>
                <w:sz w:val="22"/>
                <w:lang w:val="en-IE"/>
              </w:rPr>
            </w:pPr>
            <w:r>
              <w:rPr>
                <w:b/>
                <w:noProof/>
                <w:sz w:val="22"/>
                <w:lang w:val="en-IE"/>
              </w:rPr>
              <w:t>Status</w:t>
            </w:r>
          </w:p>
        </w:tc>
        <w:tc>
          <w:tcPr>
            <w:tcW w:w="1764" w:type="pct"/>
            <w:gridSpan w:val="2"/>
          </w:tcPr>
          <w:p w:rsidR="00DA7543" w:rsidRDefault="007C073D">
            <w:pPr>
              <w:jc w:val="center"/>
              <w:rPr>
                <w:b/>
                <w:noProof/>
                <w:sz w:val="22"/>
                <w:lang w:val="en-IE"/>
              </w:rPr>
            </w:pPr>
            <w:r>
              <w:rPr>
                <w:b/>
                <w:noProof/>
                <w:sz w:val="22"/>
                <w:lang w:val="en-IE"/>
              </w:rPr>
              <w:t>Scope</w:t>
            </w:r>
          </w:p>
        </w:tc>
        <w:tc>
          <w:tcPr>
            <w:tcW w:w="1739" w:type="pct"/>
            <w:vMerge w:val="restart"/>
          </w:tcPr>
          <w:p w:rsidR="00DA7543" w:rsidRDefault="007C073D">
            <w:pPr>
              <w:jc w:val="center"/>
              <w:rPr>
                <w:b/>
                <w:noProof/>
                <w:sz w:val="22"/>
                <w:lang w:val="en-IE"/>
              </w:rPr>
            </w:pPr>
            <w:r>
              <w:rPr>
                <w:b/>
                <w:noProof/>
                <w:sz w:val="22"/>
                <w:lang w:val="en-IE"/>
              </w:rPr>
              <w:t>Overall Measure Score</w:t>
            </w:r>
          </w:p>
        </w:tc>
      </w:tr>
      <w:tr w:rsidR="00DA7543">
        <w:tc>
          <w:tcPr>
            <w:tcW w:w="792" w:type="pct"/>
            <w:vMerge/>
          </w:tcPr>
          <w:p w:rsidR="00DA7543" w:rsidRDefault="00DA7543">
            <w:pPr>
              <w:rPr>
                <w:b/>
                <w:noProof/>
                <w:sz w:val="22"/>
                <w:lang w:val="en-IE"/>
              </w:rPr>
            </w:pPr>
          </w:p>
        </w:tc>
        <w:tc>
          <w:tcPr>
            <w:tcW w:w="705" w:type="pct"/>
            <w:vMerge/>
          </w:tcPr>
          <w:p w:rsidR="00DA7543" w:rsidRDefault="00DA7543">
            <w:pPr>
              <w:rPr>
                <w:b/>
                <w:noProof/>
                <w:sz w:val="22"/>
                <w:lang w:val="en-IE"/>
              </w:rPr>
            </w:pPr>
          </w:p>
        </w:tc>
        <w:tc>
          <w:tcPr>
            <w:tcW w:w="860" w:type="pct"/>
          </w:tcPr>
          <w:p w:rsidR="00DA7543" w:rsidRDefault="007C073D">
            <w:pPr>
              <w:jc w:val="center"/>
              <w:rPr>
                <w:b/>
                <w:noProof/>
                <w:sz w:val="22"/>
                <w:lang w:val="en-IE"/>
              </w:rPr>
            </w:pPr>
            <w:r>
              <w:rPr>
                <w:b/>
                <w:noProof/>
                <w:sz w:val="22"/>
                <w:lang w:val="en-IE"/>
              </w:rPr>
              <w:t>Coverage</w:t>
            </w:r>
          </w:p>
        </w:tc>
        <w:tc>
          <w:tcPr>
            <w:tcW w:w="904" w:type="pct"/>
          </w:tcPr>
          <w:p w:rsidR="00DA7543" w:rsidRDefault="007C073D">
            <w:pPr>
              <w:jc w:val="center"/>
              <w:rPr>
                <w:b/>
                <w:noProof/>
                <w:sz w:val="22"/>
                <w:lang w:val="en-IE"/>
              </w:rPr>
            </w:pPr>
            <w:r>
              <w:rPr>
                <w:b/>
                <w:noProof/>
                <w:sz w:val="22"/>
                <w:lang w:val="en-IE"/>
              </w:rPr>
              <w:t>Effect</w:t>
            </w:r>
          </w:p>
        </w:tc>
        <w:tc>
          <w:tcPr>
            <w:tcW w:w="1739" w:type="pct"/>
            <w:vMerge/>
          </w:tcPr>
          <w:p w:rsidR="00DA7543" w:rsidRDefault="00DA7543">
            <w:pPr>
              <w:rPr>
                <w:noProof/>
                <w:sz w:val="22"/>
                <w:lang w:val="en-IE"/>
              </w:rPr>
            </w:pPr>
          </w:p>
        </w:tc>
      </w:tr>
      <w:tr w:rsidR="00DA7543">
        <w:tc>
          <w:tcPr>
            <w:tcW w:w="792" w:type="pct"/>
          </w:tcPr>
          <w:p w:rsidR="00DA7543" w:rsidRDefault="007C073D">
            <w:pPr>
              <w:rPr>
                <w:noProof/>
                <w:sz w:val="22"/>
                <w:lang w:val="en-IE"/>
              </w:rPr>
            </w:pPr>
            <w:r>
              <w:rPr>
                <w:noProof/>
                <w:sz w:val="22"/>
                <w:lang w:val="en-IE"/>
              </w:rPr>
              <w:t>Measure x</w:t>
            </w:r>
          </w:p>
        </w:tc>
        <w:tc>
          <w:tcPr>
            <w:tcW w:w="705" w:type="pct"/>
          </w:tcPr>
          <w:p w:rsidR="00DA7543" w:rsidRDefault="007C073D">
            <w:pPr>
              <w:jc w:val="center"/>
              <w:rPr>
                <w:noProof/>
                <w:sz w:val="22"/>
                <w:lang w:val="en-IE"/>
              </w:rPr>
            </w:pPr>
            <w:r>
              <w:rPr>
                <w:noProof/>
                <w:sz w:val="22"/>
                <w:lang w:val="en-IE"/>
              </w:rPr>
              <w:t>H</w:t>
            </w:r>
          </w:p>
        </w:tc>
        <w:tc>
          <w:tcPr>
            <w:tcW w:w="860" w:type="pct"/>
          </w:tcPr>
          <w:p w:rsidR="00DA7543" w:rsidRDefault="007C073D">
            <w:pPr>
              <w:jc w:val="center"/>
              <w:rPr>
                <w:noProof/>
                <w:sz w:val="22"/>
                <w:lang w:val="en-IE"/>
              </w:rPr>
            </w:pPr>
            <w:r>
              <w:rPr>
                <w:noProof/>
                <w:sz w:val="22"/>
                <w:lang w:val="en-IE"/>
              </w:rPr>
              <w:t>H</w:t>
            </w:r>
          </w:p>
        </w:tc>
        <w:tc>
          <w:tcPr>
            <w:tcW w:w="904" w:type="pct"/>
          </w:tcPr>
          <w:p w:rsidR="00DA7543" w:rsidRDefault="007C073D">
            <w:pPr>
              <w:jc w:val="center"/>
              <w:rPr>
                <w:noProof/>
                <w:sz w:val="22"/>
                <w:lang w:val="en-IE"/>
              </w:rPr>
            </w:pPr>
            <w:r>
              <w:rPr>
                <w:noProof/>
                <w:sz w:val="22"/>
                <w:lang w:val="en-IE"/>
              </w:rPr>
              <w:t>H</w:t>
            </w:r>
          </w:p>
        </w:tc>
        <w:tc>
          <w:tcPr>
            <w:tcW w:w="1739" w:type="pct"/>
          </w:tcPr>
          <w:p w:rsidR="00DA7543" w:rsidRDefault="007C073D">
            <w:pPr>
              <w:jc w:val="center"/>
              <w:rPr>
                <w:noProof/>
                <w:sz w:val="22"/>
                <w:lang w:val="en-IE"/>
              </w:rPr>
            </w:pPr>
            <w:r>
              <w:rPr>
                <w:noProof/>
                <w:sz w:val="22"/>
                <w:lang w:val="en-IE"/>
              </w:rPr>
              <w:t>H</w:t>
            </w:r>
          </w:p>
        </w:tc>
      </w:tr>
      <w:tr w:rsidR="00DA7543">
        <w:tc>
          <w:tcPr>
            <w:tcW w:w="792" w:type="pct"/>
          </w:tcPr>
          <w:p w:rsidR="00DA7543" w:rsidRDefault="007C073D">
            <w:pPr>
              <w:rPr>
                <w:noProof/>
                <w:sz w:val="22"/>
                <w:lang w:val="en-IE"/>
              </w:rPr>
            </w:pPr>
            <w:r>
              <w:rPr>
                <w:noProof/>
                <w:sz w:val="22"/>
                <w:lang w:val="en-IE"/>
              </w:rPr>
              <w:t>Measure x</w:t>
            </w:r>
          </w:p>
        </w:tc>
        <w:tc>
          <w:tcPr>
            <w:tcW w:w="705" w:type="pct"/>
          </w:tcPr>
          <w:p w:rsidR="00DA7543" w:rsidRDefault="007C073D">
            <w:pPr>
              <w:jc w:val="center"/>
              <w:rPr>
                <w:noProof/>
                <w:sz w:val="22"/>
                <w:lang w:val="en-IE"/>
              </w:rPr>
            </w:pPr>
            <w:r>
              <w:rPr>
                <w:noProof/>
                <w:sz w:val="22"/>
                <w:lang w:val="en-IE"/>
              </w:rPr>
              <w:t>M</w:t>
            </w:r>
          </w:p>
        </w:tc>
        <w:tc>
          <w:tcPr>
            <w:tcW w:w="860" w:type="pct"/>
          </w:tcPr>
          <w:p w:rsidR="00DA7543" w:rsidRDefault="007C073D">
            <w:pPr>
              <w:jc w:val="center"/>
              <w:rPr>
                <w:noProof/>
                <w:sz w:val="22"/>
                <w:lang w:val="en-IE"/>
              </w:rPr>
            </w:pPr>
            <w:r>
              <w:rPr>
                <w:noProof/>
                <w:sz w:val="22"/>
                <w:lang w:val="en-IE"/>
              </w:rPr>
              <w:t>H or M</w:t>
            </w:r>
          </w:p>
        </w:tc>
        <w:tc>
          <w:tcPr>
            <w:tcW w:w="904" w:type="pct"/>
          </w:tcPr>
          <w:p w:rsidR="00DA7543" w:rsidRDefault="007C073D">
            <w:pPr>
              <w:jc w:val="center"/>
              <w:rPr>
                <w:noProof/>
                <w:sz w:val="22"/>
                <w:lang w:val="en-IE"/>
              </w:rPr>
            </w:pPr>
            <w:r>
              <w:rPr>
                <w:noProof/>
                <w:sz w:val="22"/>
                <w:lang w:val="en-IE"/>
              </w:rPr>
              <w:t>H or M</w:t>
            </w:r>
          </w:p>
        </w:tc>
        <w:tc>
          <w:tcPr>
            <w:tcW w:w="1739" w:type="pct"/>
          </w:tcPr>
          <w:p w:rsidR="00DA7543" w:rsidRDefault="007C073D">
            <w:pPr>
              <w:jc w:val="center"/>
              <w:rPr>
                <w:noProof/>
                <w:sz w:val="22"/>
                <w:lang w:val="en-IE"/>
              </w:rPr>
            </w:pPr>
            <w:r>
              <w:rPr>
                <w:noProof/>
                <w:sz w:val="22"/>
                <w:lang w:val="en-IE"/>
              </w:rPr>
              <w:t>M</w:t>
            </w:r>
          </w:p>
        </w:tc>
      </w:tr>
      <w:tr w:rsidR="00DA7543">
        <w:tc>
          <w:tcPr>
            <w:tcW w:w="792" w:type="pct"/>
          </w:tcPr>
          <w:p w:rsidR="00DA7543" w:rsidRDefault="007C073D">
            <w:pPr>
              <w:rPr>
                <w:noProof/>
                <w:sz w:val="22"/>
                <w:lang w:val="en-IE"/>
              </w:rPr>
            </w:pPr>
            <w:r>
              <w:rPr>
                <w:noProof/>
                <w:sz w:val="22"/>
                <w:lang w:val="en-IE"/>
              </w:rPr>
              <w:t>Measure x</w:t>
            </w:r>
          </w:p>
        </w:tc>
        <w:tc>
          <w:tcPr>
            <w:tcW w:w="705" w:type="pct"/>
          </w:tcPr>
          <w:p w:rsidR="00DA7543" w:rsidRDefault="007C073D">
            <w:pPr>
              <w:jc w:val="center"/>
              <w:rPr>
                <w:noProof/>
                <w:sz w:val="22"/>
                <w:lang w:val="en-IE"/>
              </w:rPr>
            </w:pPr>
            <w:r>
              <w:rPr>
                <w:noProof/>
                <w:sz w:val="22"/>
                <w:lang w:val="en-IE"/>
              </w:rPr>
              <w:t>H or M</w:t>
            </w:r>
          </w:p>
        </w:tc>
        <w:tc>
          <w:tcPr>
            <w:tcW w:w="860" w:type="pct"/>
          </w:tcPr>
          <w:p w:rsidR="00DA7543" w:rsidRDefault="007C073D">
            <w:pPr>
              <w:jc w:val="center"/>
              <w:rPr>
                <w:noProof/>
                <w:sz w:val="22"/>
                <w:lang w:val="en-IE"/>
              </w:rPr>
            </w:pPr>
            <w:r>
              <w:rPr>
                <w:noProof/>
                <w:sz w:val="22"/>
                <w:lang w:val="en-IE"/>
              </w:rPr>
              <w:t>M</w:t>
            </w:r>
          </w:p>
        </w:tc>
        <w:tc>
          <w:tcPr>
            <w:tcW w:w="904" w:type="pct"/>
          </w:tcPr>
          <w:p w:rsidR="00DA7543" w:rsidRDefault="007C073D">
            <w:pPr>
              <w:jc w:val="center"/>
              <w:rPr>
                <w:noProof/>
                <w:sz w:val="22"/>
                <w:lang w:val="en-IE"/>
              </w:rPr>
            </w:pPr>
            <w:r>
              <w:rPr>
                <w:noProof/>
                <w:sz w:val="22"/>
                <w:lang w:val="en-IE"/>
              </w:rPr>
              <w:t>H or M</w:t>
            </w:r>
          </w:p>
        </w:tc>
        <w:tc>
          <w:tcPr>
            <w:tcW w:w="1739" w:type="pct"/>
          </w:tcPr>
          <w:p w:rsidR="00DA7543" w:rsidRDefault="007C073D">
            <w:pPr>
              <w:jc w:val="center"/>
              <w:rPr>
                <w:noProof/>
                <w:sz w:val="22"/>
                <w:lang w:val="en-IE"/>
              </w:rPr>
            </w:pPr>
            <w:r>
              <w:rPr>
                <w:noProof/>
                <w:sz w:val="22"/>
                <w:lang w:val="en-IE"/>
              </w:rPr>
              <w:t>M</w:t>
            </w:r>
          </w:p>
        </w:tc>
      </w:tr>
      <w:tr w:rsidR="00DA7543">
        <w:tc>
          <w:tcPr>
            <w:tcW w:w="792" w:type="pct"/>
          </w:tcPr>
          <w:p w:rsidR="00DA7543" w:rsidRDefault="007C073D">
            <w:pPr>
              <w:rPr>
                <w:noProof/>
                <w:sz w:val="22"/>
                <w:lang w:val="en-IE"/>
              </w:rPr>
            </w:pPr>
            <w:r>
              <w:rPr>
                <w:noProof/>
                <w:sz w:val="22"/>
                <w:lang w:val="en-IE"/>
              </w:rPr>
              <w:t>Measure x</w:t>
            </w:r>
          </w:p>
        </w:tc>
        <w:tc>
          <w:tcPr>
            <w:tcW w:w="705" w:type="pct"/>
          </w:tcPr>
          <w:p w:rsidR="00DA7543" w:rsidRDefault="007C073D">
            <w:pPr>
              <w:jc w:val="center"/>
              <w:rPr>
                <w:noProof/>
                <w:sz w:val="22"/>
                <w:lang w:val="en-IE"/>
              </w:rPr>
            </w:pPr>
            <w:r>
              <w:rPr>
                <w:noProof/>
                <w:sz w:val="22"/>
                <w:lang w:val="en-IE"/>
              </w:rPr>
              <w:t>H or M</w:t>
            </w:r>
          </w:p>
        </w:tc>
        <w:tc>
          <w:tcPr>
            <w:tcW w:w="860" w:type="pct"/>
          </w:tcPr>
          <w:p w:rsidR="00DA7543" w:rsidRDefault="007C073D">
            <w:pPr>
              <w:jc w:val="center"/>
              <w:rPr>
                <w:noProof/>
                <w:sz w:val="22"/>
                <w:lang w:val="en-IE"/>
              </w:rPr>
            </w:pPr>
            <w:r>
              <w:rPr>
                <w:noProof/>
                <w:sz w:val="22"/>
                <w:lang w:val="en-IE"/>
              </w:rPr>
              <w:t>H or M</w:t>
            </w:r>
          </w:p>
        </w:tc>
        <w:tc>
          <w:tcPr>
            <w:tcW w:w="904" w:type="pct"/>
          </w:tcPr>
          <w:p w:rsidR="00DA7543" w:rsidRDefault="007C073D">
            <w:pPr>
              <w:jc w:val="center"/>
              <w:rPr>
                <w:noProof/>
                <w:sz w:val="22"/>
                <w:lang w:val="en-IE"/>
              </w:rPr>
            </w:pPr>
            <w:r>
              <w:rPr>
                <w:noProof/>
                <w:sz w:val="22"/>
                <w:lang w:val="en-IE"/>
              </w:rPr>
              <w:t>M</w:t>
            </w:r>
          </w:p>
        </w:tc>
        <w:tc>
          <w:tcPr>
            <w:tcW w:w="1739" w:type="pct"/>
          </w:tcPr>
          <w:p w:rsidR="00DA7543" w:rsidRDefault="007C073D">
            <w:pPr>
              <w:jc w:val="center"/>
              <w:rPr>
                <w:noProof/>
                <w:sz w:val="22"/>
                <w:lang w:val="en-IE"/>
              </w:rPr>
            </w:pPr>
            <w:r>
              <w:rPr>
                <w:noProof/>
                <w:sz w:val="22"/>
                <w:lang w:val="en-IE"/>
              </w:rPr>
              <w:t>M</w:t>
            </w:r>
          </w:p>
        </w:tc>
      </w:tr>
      <w:tr w:rsidR="00DA7543">
        <w:tc>
          <w:tcPr>
            <w:tcW w:w="792" w:type="pct"/>
          </w:tcPr>
          <w:p w:rsidR="00DA7543" w:rsidRDefault="007C073D">
            <w:pPr>
              <w:rPr>
                <w:noProof/>
                <w:sz w:val="22"/>
                <w:lang w:val="en-IE"/>
              </w:rPr>
            </w:pPr>
            <w:r>
              <w:rPr>
                <w:noProof/>
                <w:sz w:val="22"/>
                <w:lang w:val="en-IE"/>
              </w:rPr>
              <w:t>Measure x</w:t>
            </w:r>
          </w:p>
        </w:tc>
        <w:tc>
          <w:tcPr>
            <w:tcW w:w="705" w:type="pct"/>
          </w:tcPr>
          <w:p w:rsidR="00DA7543" w:rsidRDefault="007C073D">
            <w:pPr>
              <w:jc w:val="center"/>
              <w:rPr>
                <w:noProof/>
                <w:sz w:val="22"/>
                <w:lang w:val="en-IE"/>
              </w:rPr>
            </w:pPr>
            <w:r>
              <w:rPr>
                <w:noProof/>
                <w:sz w:val="22"/>
                <w:lang w:val="en-IE"/>
              </w:rPr>
              <w:t>L</w:t>
            </w:r>
          </w:p>
        </w:tc>
        <w:tc>
          <w:tcPr>
            <w:tcW w:w="860" w:type="pct"/>
          </w:tcPr>
          <w:p w:rsidR="00DA7543" w:rsidRDefault="007C073D">
            <w:pPr>
              <w:jc w:val="center"/>
              <w:rPr>
                <w:noProof/>
                <w:sz w:val="22"/>
                <w:lang w:val="en-IE"/>
              </w:rPr>
            </w:pPr>
            <w:r>
              <w:rPr>
                <w:noProof/>
                <w:sz w:val="22"/>
                <w:lang w:val="en-IE"/>
              </w:rPr>
              <w:t>any</w:t>
            </w:r>
          </w:p>
        </w:tc>
        <w:tc>
          <w:tcPr>
            <w:tcW w:w="904" w:type="pct"/>
          </w:tcPr>
          <w:p w:rsidR="00DA7543" w:rsidRDefault="007C073D">
            <w:pPr>
              <w:jc w:val="center"/>
              <w:rPr>
                <w:noProof/>
                <w:sz w:val="22"/>
                <w:lang w:val="en-IE"/>
              </w:rPr>
            </w:pPr>
            <w:r>
              <w:rPr>
                <w:noProof/>
                <w:sz w:val="22"/>
                <w:lang w:val="en-IE"/>
              </w:rPr>
              <w:t>any</w:t>
            </w:r>
          </w:p>
        </w:tc>
        <w:tc>
          <w:tcPr>
            <w:tcW w:w="1739" w:type="pct"/>
          </w:tcPr>
          <w:p w:rsidR="00DA7543" w:rsidRDefault="007C073D">
            <w:pPr>
              <w:jc w:val="center"/>
              <w:rPr>
                <w:noProof/>
                <w:sz w:val="22"/>
                <w:lang w:val="en-IE"/>
              </w:rPr>
            </w:pPr>
            <w:r>
              <w:rPr>
                <w:noProof/>
                <w:sz w:val="22"/>
                <w:lang w:val="en-IE"/>
              </w:rPr>
              <w:t>L</w:t>
            </w:r>
          </w:p>
        </w:tc>
      </w:tr>
      <w:tr w:rsidR="00DA7543">
        <w:tc>
          <w:tcPr>
            <w:tcW w:w="792" w:type="pct"/>
          </w:tcPr>
          <w:p w:rsidR="00DA7543" w:rsidRDefault="007C073D">
            <w:pPr>
              <w:rPr>
                <w:noProof/>
                <w:sz w:val="22"/>
                <w:lang w:val="en-IE"/>
              </w:rPr>
            </w:pPr>
            <w:r>
              <w:rPr>
                <w:noProof/>
                <w:sz w:val="22"/>
                <w:lang w:val="en-IE"/>
              </w:rPr>
              <w:t>Measure x</w:t>
            </w:r>
          </w:p>
        </w:tc>
        <w:tc>
          <w:tcPr>
            <w:tcW w:w="705" w:type="pct"/>
          </w:tcPr>
          <w:p w:rsidR="00DA7543" w:rsidRDefault="007C073D">
            <w:pPr>
              <w:jc w:val="center"/>
              <w:rPr>
                <w:noProof/>
                <w:sz w:val="22"/>
                <w:lang w:val="en-IE"/>
              </w:rPr>
            </w:pPr>
            <w:r>
              <w:rPr>
                <w:noProof/>
                <w:sz w:val="22"/>
                <w:lang w:val="en-IE"/>
              </w:rPr>
              <w:t>any</w:t>
            </w:r>
          </w:p>
        </w:tc>
        <w:tc>
          <w:tcPr>
            <w:tcW w:w="860" w:type="pct"/>
          </w:tcPr>
          <w:p w:rsidR="00DA7543" w:rsidRDefault="007C073D">
            <w:pPr>
              <w:jc w:val="center"/>
              <w:rPr>
                <w:noProof/>
                <w:sz w:val="22"/>
                <w:lang w:val="en-IE"/>
              </w:rPr>
            </w:pPr>
            <w:r>
              <w:rPr>
                <w:noProof/>
                <w:sz w:val="22"/>
                <w:lang w:val="en-IE"/>
              </w:rPr>
              <w:t>L</w:t>
            </w:r>
          </w:p>
        </w:tc>
        <w:tc>
          <w:tcPr>
            <w:tcW w:w="904" w:type="pct"/>
          </w:tcPr>
          <w:p w:rsidR="00DA7543" w:rsidRDefault="007C073D">
            <w:pPr>
              <w:jc w:val="center"/>
              <w:rPr>
                <w:noProof/>
                <w:sz w:val="22"/>
                <w:lang w:val="en-IE"/>
              </w:rPr>
            </w:pPr>
            <w:r>
              <w:rPr>
                <w:noProof/>
                <w:sz w:val="22"/>
                <w:lang w:val="en-IE"/>
              </w:rPr>
              <w:t>any</w:t>
            </w:r>
          </w:p>
        </w:tc>
        <w:tc>
          <w:tcPr>
            <w:tcW w:w="1739" w:type="pct"/>
          </w:tcPr>
          <w:p w:rsidR="00DA7543" w:rsidRDefault="007C073D">
            <w:pPr>
              <w:jc w:val="center"/>
              <w:rPr>
                <w:noProof/>
                <w:sz w:val="22"/>
                <w:lang w:val="en-IE"/>
              </w:rPr>
            </w:pPr>
            <w:r>
              <w:rPr>
                <w:noProof/>
                <w:sz w:val="22"/>
                <w:lang w:val="en-IE"/>
              </w:rPr>
              <w:t>L</w:t>
            </w:r>
          </w:p>
        </w:tc>
      </w:tr>
      <w:tr w:rsidR="00DA7543">
        <w:tc>
          <w:tcPr>
            <w:tcW w:w="792" w:type="pct"/>
          </w:tcPr>
          <w:p w:rsidR="00DA7543" w:rsidRDefault="007C073D">
            <w:pPr>
              <w:rPr>
                <w:noProof/>
                <w:sz w:val="22"/>
                <w:lang w:val="en-IE"/>
              </w:rPr>
            </w:pPr>
            <w:r>
              <w:rPr>
                <w:noProof/>
                <w:sz w:val="22"/>
                <w:lang w:val="en-IE"/>
              </w:rPr>
              <w:t>Measure x</w:t>
            </w:r>
          </w:p>
        </w:tc>
        <w:tc>
          <w:tcPr>
            <w:tcW w:w="705" w:type="pct"/>
          </w:tcPr>
          <w:p w:rsidR="00DA7543" w:rsidRDefault="007C073D">
            <w:pPr>
              <w:jc w:val="center"/>
              <w:rPr>
                <w:noProof/>
                <w:sz w:val="22"/>
                <w:lang w:val="en-IE"/>
              </w:rPr>
            </w:pPr>
            <w:r>
              <w:rPr>
                <w:noProof/>
                <w:sz w:val="22"/>
                <w:lang w:val="en-IE"/>
              </w:rPr>
              <w:t>any</w:t>
            </w:r>
          </w:p>
        </w:tc>
        <w:tc>
          <w:tcPr>
            <w:tcW w:w="860" w:type="pct"/>
          </w:tcPr>
          <w:p w:rsidR="00DA7543" w:rsidRDefault="007C073D">
            <w:pPr>
              <w:jc w:val="center"/>
              <w:rPr>
                <w:noProof/>
                <w:sz w:val="22"/>
                <w:lang w:val="en-IE"/>
              </w:rPr>
            </w:pPr>
            <w:r>
              <w:rPr>
                <w:noProof/>
                <w:sz w:val="22"/>
                <w:lang w:val="en-IE"/>
              </w:rPr>
              <w:t>any</w:t>
            </w:r>
          </w:p>
        </w:tc>
        <w:tc>
          <w:tcPr>
            <w:tcW w:w="904" w:type="pct"/>
          </w:tcPr>
          <w:p w:rsidR="00DA7543" w:rsidRDefault="007C073D">
            <w:pPr>
              <w:jc w:val="center"/>
              <w:rPr>
                <w:noProof/>
                <w:sz w:val="22"/>
                <w:lang w:val="en-IE"/>
              </w:rPr>
            </w:pPr>
            <w:r>
              <w:rPr>
                <w:noProof/>
                <w:sz w:val="22"/>
                <w:lang w:val="en-IE"/>
              </w:rPr>
              <w:t>L</w:t>
            </w:r>
          </w:p>
        </w:tc>
        <w:tc>
          <w:tcPr>
            <w:tcW w:w="1739" w:type="pct"/>
          </w:tcPr>
          <w:p w:rsidR="00DA7543" w:rsidRDefault="007C073D">
            <w:pPr>
              <w:jc w:val="center"/>
              <w:rPr>
                <w:noProof/>
                <w:sz w:val="22"/>
                <w:lang w:val="en-IE"/>
              </w:rPr>
            </w:pPr>
            <w:r>
              <w:rPr>
                <w:noProof/>
                <w:sz w:val="22"/>
                <w:lang w:val="en-IE"/>
              </w:rPr>
              <w:t>L</w:t>
            </w:r>
          </w:p>
        </w:tc>
      </w:tr>
    </w:tbl>
    <w:p w:rsidR="00DA7543" w:rsidRDefault="00DA7543">
      <w:pPr>
        <w:rPr>
          <w:rFonts w:ascii="Times New Roman" w:hAnsi="Times New Roman" w:cs="Times New Roman"/>
          <w:noProof/>
          <w:sz w:val="24"/>
          <w:lang w:val="en-IE"/>
        </w:rPr>
      </w:pPr>
    </w:p>
    <w:p w:rsidR="00DA7543" w:rsidRDefault="007C073D">
      <w:pPr>
        <w:pStyle w:val="Heading3"/>
        <w:rPr>
          <w:rFonts w:ascii="Times New Roman" w:hAnsi="Times New Roman" w:cs="Times New Roman"/>
          <w:noProof/>
          <w:sz w:val="24"/>
          <w:lang w:val="en-IE"/>
        </w:rPr>
      </w:pPr>
      <w:bookmarkStart w:id="75" w:name="_Toc55301694"/>
      <w:bookmarkStart w:id="76" w:name="_Toc65241949"/>
      <w:r>
        <w:rPr>
          <w:rFonts w:ascii="Times New Roman" w:hAnsi="Times New Roman" w:cs="Times New Roman"/>
          <w:noProof/>
          <w:sz w:val="24"/>
          <w:lang w:val="en-IE"/>
        </w:rPr>
        <w:t>Assessment methodology</w:t>
      </w:r>
      <w:bookmarkEnd w:id="64"/>
      <w:bookmarkEnd w:id="65"/>
      <w:r>
        <w:rPr>
          <w:rFonts w:ascii="Times New Roman" w:hAnsi="Times New Roman" w:cs="Times New Roman"/>
          <w:noProof/>
          <w:sz w:val="24"/>
          <w:lang w:val="en-IE"/>
        </w:rPr>
        <w:t xml:space="preserve"> at alternative fuel / transport mode pairs level</w:t>
      </w:r>
      <w:bookmarkEnd w:id="75"/>
      <w:bookmarkEnd w:id="76"/>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The assessment of the policy measures and AFI deployment and manufacturing support measures includes also an analysis of whether these existing or planned support actions or measures seem sufficient and are coherent with the vehicle estimates and infrastru</w:t>
      </w:r>
      <w:r>
        <w:rPr>
          <w:rFonts w:ascii="Times New Roman" w:hAnsi="Times New Roman" w:cs="Times New Roman"/>
          <w:noProof/>
          <w:sz w:val="24"/>
          <w:lang w:val="en-IE"/>
        </w:rPr>
        <w:t xml:space="preserve">cture targets. </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These measures, defined by a Member State in its NIR, are assessed individually in terms of their adoption status, coverage and effect and they receive a score (as described in subsection 2.2.6.5). </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For a given fuel/transport mode pair, all</w:t>
      </w:r>
      <w:r>
        <w:rPr>
          <w:rFonts w:ascii="Times New Roman" w:hAnsi="Times New Roman" w:cs="Times New Roman"/>
          <w:noProof/>
          <w:sz w:val="24"/>
          <w:lang w:val="en-IE"/>
        </w:rPr>
        <w:t xml:space="preserve"> the relevant measures are clustered and the resulting cluster receives an overall assessment regarding its score, comprehensiveness, and on its impact to support the uptake of the AFV-estimates / AFI-targets as presented in the NPF and revised in the NIR.</w:t>
      </w:r>
      <w:r>
        <w:rPr>
          <w:rFonts w:ascii="Times New Roman" w:hAnsi="Times New Roman" w:cs="Times New Roman"/>
          <w:noProof/>
          <w:sz w:val="24"/>
          <w:lang w:val="en-IE"/>
        </w:rPr>
        <w:t xml:space="preserve"> The cluster’s impact can be low, medium or high based on the score and comprehensiveness, as explained below. </w:t>
      </w:r>
    </w:p>
    <w:p w:rsidR="00DA7543" w:rsidRDefault="007C073D">
      <w:pPr>
        <w:pStyle w:val="Heading4"/>
        <w:spacing w:after="0"/>
        <w:rPr>
          <w:rFonts w:ascii="Times New Roman" w:hAnsi="Times New Roman" w:cs="Times New Roman"/>
          <w:noProof/>
          <w:sz w:val="24"/>
          <w:lang w:val="en-IE"/>
        </w:rPr>
      </w:pPr>
      <w:r>
        <w:rPr>
          <w:rFonts w:ascii="Times New Roman" w:hAnsi="Times New Roman" w:cs="Times New Roman"/>
          <w:noProof/>
          <w:sz w:val="24"/>
          <w:lang w:val="en-IE"/>
        </w:rPr>
        <w:t>Cluster’s score</w:t>
      </w:r>
    </w:p>
    <w:p w:rsidR="00DA7543" w:rsidRDefault="007C073D">
      <w:pPr>
        <w:spacing w:after="240"/>
        <w:jc w:val="both"/>
        <w:rPr>
          <w:rFonts w:ascii="Times New Roman" w:hAnsi="Times New Roman" w:cs="Times New Roman"/>
          <w:noProof/>
          <w:sz w:val="24"/>
          <w:lang w:val="en-IE"/>
        </w:rPr>
      </w:pPr>
      <w:r>
        <w:rPr>
          <w:rFonts w:ascii="Times New Roman" w:hAnsi="Times New Roman" w:cs="Times New Roman"/>
          <w:noProof/>
          <w:sz w:val="24"/>
          <w:lang w:val="en-IE"/>
        </w:rPr>
        <w:t>For each cluster, the general rule is that the maximum score from all individual measure scores is taken as the cluster score. C</w:t>
      </w:r>
      <w:r>
        <w:rPr>
          <w:rFonts w:ascii="Times New Roman" w:hAnsi="Times New Roman" w:cs="Times New Roman"/>
          <w:noProof/>
          <w:sz w:val="24"/>
          <w:lang w:val="en-IE"/>
        </w:rPr>
        <w:t>onsequently, if a Member State has defined for a given fuel/transport mode cluster at least one measure with a high adoption status, high coverage, and high effect, the total score for the cluster would also be high.</w:t>
      </w:r>
    </w:p>
    <w:p w:rsidR="00DA7543" w:rsidRDefault="007C073D">
      <w:pPr>
        <w:pStyle w:val="Heading4"/>
        <w:spacing w:after="0"/>
        <w:rPr>
          <w:rFonts w:ascii="Times New Roman" w:hAnsi="Times New Roman" w:cs="Times New Roman"/>
          <w:noProof/>
          <w:sz w:val="24"/>
          <w:lang w:val="en-IE"/>
        </w:rPr>
      </w:pPr>
      <w:r>
        <w:rPr>
          <w:rFonts w:ascii="Times New Roman" w:hAnsi="Times New Roman" w:cs="Times New Roman"/>
          <w:noProof/>
          <w:sz w:val="24"/>
          <w:lang w:val="en-IE"/>
        </w:rPr>
        <w:t>Comprehensiveness</w:t>
      </w:r>
    </w:p>
    <w:p w:rsidR="00DA7543" w:rsidRDefault="007C073D">
      <w:pPr>
        <w:spacing w:after="240"/>
        <w:jc w:val="both"/>
        <w:rPr>
          <w:rFonts w:ascii="Times New Roman" w:hAnsi="Times New Roman" w:cs="Times New Roman"/>
          <w:noProof/>
          <w:sz w:val="24"/>
          <w:lang w:val="en-IE"/>
        </w:rPr>
      </w:pPr>
      <w:r>
        <w:rPr>
          <w:rFonts w:ascii="Times New Roman" w:hAnsi="Times New Roman" w:cs="Times New Roman"/>
          <w:noProof/>
          <w:sz w:val="24"/>
          <w:lang w:val="en-IE"/>
        </w:rPr>
        <w:t>Comprehensiveness ind</w:t>
      </w:r>
      <w:r>
        <w:rPr>
          <w:rFonts w:ascii="Times New Roman" w:hAnsi="Times New Roman" w:cs="Times New Roman"/>
          <w:noProof/>
          <w:sz w:val="24"/>
          <w:lang w:val="en-IE"/>
        </w:rPr>
        <w:t>icates to which extent the totality of measures for a given fuel and transport mode addresses various deployment barriers. It will take into account whether both infrastructure and vehicles are addressed or just one of them, what part of the vehicle popula</w:t>
      </w:r>
      <w:r>
        <w:rPr>
          <w:rFonts w:ascii="Times New Roman" w:hAnsi="Times New Roman" w:cs="Times New Roman"/>
          <w:noProof/>
          <w:sz w:val="24"/>
          <w:lang w:val="en-IE"/>
        </w:rPr>
        <w:t>tion is addressed (e.g. for vehicles, whether private cars, company cars, light commercial vehicles or several groups are subject to measures), and if financial as well as nonfinancial incentives are provided within a cluster. The score for comprehensivene</w:t>
      </w:r>
      <w:r>
        <w:rPr>
          <w:rFonts w:ascii="Times New Roman" w:hAnsi="Times New Roman" w:cs="Times New Roman"/>
          <w:noProof/>
          <w:sz w:val="24"/>
          <w:lang w:val="en-IE"/>
        </w:rPr>
        <w:t>ss is binary: comprehensive/not comprehensive. The comprehensiveness assessment is independent of the measure score.</w:t>
      </w:r>
    </w:p>
    <w:p w:rsidR="00DA7543" w:rsidRDefault="007C073D">
      <w:pPr>
        <w:pStyle w:val="Heading4"/>
        <w:spacing w:after="0"/>
        <w:ind w:left="1146" w:hanging="862"/>
        <w:rPr>
          <w:rFonts w:ascii="Times New Roman" w:hAnsi="Times New Roman" w:cs="Times New Roman"/>
          <w:noProof/>
          <w:sz w:val="24"/>
          <w:lang w:val="en-IE"/>
        </w:rPr>
      </w:pPr>
      <w:r>
        <w:rPr>
          <w:rFonts w:ascii="Times New Roman" w:hAnsi="Times New Roman" w:cs="Times New Roman"/>
          <w:noProof/>
          <w:sz w:val="24"/>
          <w:lang w:val="en-IE"/>
        </w:rPr>
        <w:t>Impact</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Once the cluster’s score and comprehensiveness have been assigned, the expected impact to support the uptake of the AFV-estimates / </w:t>
      </w:r>
      <w:r>
        <w:rPr>
          <w:rFonts w:ascii="Times New Roman" w:hAnsi="Times New Roman" w:cs="Times New Roman"/>
          <w:noProof/>
          <w:sz w:val="24"/>
          <w:lang w:val="en-IE"/>
        </w:rPr>
        <w:t>AFI-targets as presented in the NPF and revised in the NIR is calculated. If the cluster of measures for a given pair has a high score and is comprehensive, then the impact is considered high. In all other cases, the impact is considered either medium or l</w:t>
      </w:r>
      <w:r>
        <w:rPr>
          <w:rFonts w:ascii="Times New Roman" w:hAnsi="Times New Roman" w:cs="Times New Roman"/>
          <w:noProof/>
          <w:sz w:val="24"/>
          <w:lang w:val="en-IE"/>
        </w:rPr>
        <w:t xml:space="preserve">ow, as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_Ref48756535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2.2.7</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p>
    <w:p w:rsidR="00DA7543" w:rsidRDefault="00DA7543">
      <w:pPr>
        <w:jc w:val="both"/>
        <w:rPr>
          <w:rFonts w:ascii="Times New Roman" w:hAnsi="Times New Roman" w:cs="Times New Roman"/>
          <w:noProof/>
          <w:sz w:val="24"/>
          <w:lang w:val="en-IE"/>
        </w:rPr>
      </w:pPr>
    </w:p>
    <w:p w:rsidR="00DA7543" w:rsidRDefault="007C073D">
      <w:pPr>
        <w:pStyle w:val="Caption"/>
        <w:rPr>
          <w:rFonts w:ascii="Times New Roman" w:hAnsi="Times New Roman" w:cs="Times New Roman"/>
          <w:b w:val="0"/>
          <w:noProof/>
          <w:sz w:val="20"/>
          <w:szCs w:val="18"/>
          <w:lang w:val="en-IE"/>
        </w:rPr>
      </w:pPr>
      <w:bookmarkStart w:id="77" w:name="_Ref48756535"/>
      <w:bookmarkStart w:id="78" w:name="_Ref48756530"/>
      <w:r>
        <w:rPr>
          <w:rFonts w:ascii="Times New Roman" w:hAnsi="Times New Roman" w:cs="Times New Roman"/>
          <w:b w:val="0"/>
          <w:noProof/>
          <w:sz w:val="20"/>
          <w:szCs w:val="18"/>
          <w:lang w:val="en-IE"/>
        </w:rPr>
        <w:t xml:space="preserve">Table </w:t>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STYLEREF 3 \s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2.2.7</w:t>
      </w:r>
      <w:r>
        <w:rPr>
          <w:rFonts w:ascii="Times New Roman" w:hAnsi="Times New Roman" w:cs="Times New Roman"/>
          <w:b w:val="0"/>
          <w:noProof/>
          <w:sz w:val="20"/>
          <w:szCs w:val="18"/>
          <w:lang w:val="en-IE"/>
        </w:rPr>
        <w:fldChar w:fldCharType="end"/>
      </w:r>
      <w:r>
        <w:rPr>
          <w:rFonts w:ascii="Times New Roman" w:hAnsi="Times New Roman" w:cs="Times New Roman"/>
          <w:b w:val="0"/>
          <w:noProof/>
          <w:sz w:val="20"/>
          <w:szCs w:val="18"/>
          <w:lang w:val="en-IE"/>
        </w:rPr>
        <w:noBreakHyphen/>
      </w:r>
      <w:r>
        <w:rPr>
          <w:rFonts w:ascii="Times New Roman" w:hAnsi="Times New Roman" w:cs="Times New Roman"/>
          <w:b w:val="0"/>
          <w:noProof/>
          <w:sz w:val="20"/>
          <w:szCs w:val="18"/>
          <w:lang w:val="en-IE"/>
        </w:rPr>
        <w:fldChar w:fldCharType="begin"/>
      </w:r>
      <w:r>
        <w:rPr>
          <w:rFonts w:ascii="Times New Roman" w:hAnsi="Times New Roman" w:cs="Times New Roman"/>
          <w:b w:val="0"/>
          <w:noProof/>
          <w:sz w:val="20"/>
          <w:szCs w:val="18"/>
          <w:lang w:val="en-IE"/>
        </w:rPr>
        <w:instrText xml:space="preserve"> SEQ Table \* ARABIC \s 3 </w:instrText>
      </w:r>
      <w:r>
        <w:rPr>
          <w:rFonts w:ascii="Times New Roman" w:hAnsi="Times New Roman" w:cs="Times New Roman"/>
          <w:b w:val="0"/>
          <w:noProof/>
          <w:sz w:val="20"/>
          <w:szCs w:val="18"/>
          <w:lang w:val="en-IE"/>
        </w:rPr>
        <w:fldChar w:fldCharType="separate"/>
      </w:r>
      <w:r>
        <w:rPr>
          <w:rFonts w:ascii="Times New Roman" w:hAnsi="Times New Roman" w:cs="Times New Roman"/>
          <w:b w:val="0"/>
          <w:noProof/>
          <w:sz w:val="20"/>
          <w:szCs w:val="18"/>
          <w:lang w:val="en-IE"/>
        </w:rPr>
        <w:t>1</w:t>
      </w:r>
      <w:r>
        <w:rPr>
          <w:rFonts w:ascii="Times New Roman" w:hAnsi="Times New Roman" w:cs="Times New Roman"/>
          <w:b w:val="0"/>
          <w:noProof/>
          <w:sz w:val="20"/>
          <w:szCs w:val="18"/>
          <w:lang w:val="en-IE"/>
        </w:rPr>
        <w:fldChar w:fldCharType="end"/>
      </w:r>
      <w:bookmarkEnd w:id="77"/>
      <w:r>
        <w:rPr>
          <w:rFonts w:ascii="Times New Roman" w:hAnsi="Times New Roman" w:cs="Times New Roman"/>
          <w:b w:val="0"/>
          <w:noProof/>
          <w:sz w:val="20"/>
          <w:szCs w:val="18"/>
          <w:lang w:val="en-IE"/>
        </w:rPr>
        <w:t xml:space="preserve"> Assessment of the impact of the measures from an AF/transpo</w:t>
      </w:r>
      <w:r>
        <w:rPr>
          <w:rFonts w:ascii="Times New Roman" w:hAnsi="Times New Roman" w:cs="Times New Roman"/>
          <w:b w:val="0"/>
          <w:noProof/>
          <w:sz w:val="20"/>
          <w:szCs w:val="18"/>
          <w:lang w:val="en-IE"/>
        </w:rPr>
        <w:t>rt mode pair</w:t>
      </w:r>
      <w:bookmarkEnd w:id="78"/>
    </w:p>
    <w:tbl>
      <w:tblPr>
        <w:tblStyle w:val="TableGrid"/>
        <w:tblW w:w="4789" w:type="pct"/>
        <w:jc w:val="center"/>
        <w:tblLook w:val="04A0" w:firstRow="1" w:lastRow="0" w:firstColumn="1" w:lastColumn="0" w:noHBand="0" w:noVBand="1"/>
      </w:tblPr>
      <w:tblGrid>
        <w:gridCol w:w="2063"/>
        <w:gridCol w:w="2035"/>
        <w:gridCol w:w="2327"/>
        <w:gridCol w:w="2471"/>
      </w:tblGrid>
      <w:tr w:rsidR="00DA7543">
        <w:trPr>
          <w:trHeight w:val="713"/>
          <w:jc w:val="center"/>
        </w:trPr>
        <w:tc>
          <w:tcPr>
            <w:tcW w:w="1159" w:type="pct"/>
            <w:tcBorders>
              <w:top w:val="single" w:sz="8" w:space="0" w:color="auto"/>
              <w:left w:val="single" w:sz="8" w:space="0" w:color="auto"/>
              <w:bottom w:val="single" w:sz="8" w:space="0" w:color="auto"/>
            </w:tcBorders>
            <w:vAlign w:val="center"/>
          </w:tcPr>
          <w:p w:rsidR="00DA7543" w:rsidRDefault="00DA7543">
            <w:pPr>
              <w:jc w:val="center"/>
              <w:rPr>
                <w:b/>
                <w:noProof/>
                <w:sz w:val="22"/>
                <w:lang w:val="en-IE"/>
              </w:rPr>
            </w:pPr>
          </w:p>
          <w:p w:rsidR="00DA7543" w:rsidRDefault="00DA7543">
            <w:pPr>
              <w:jc w:val="center"/>
              <w:rPr>
                <w:b/>
                <w:noProof/>
                <w:sz w:val="24"/>
                <w:lang w:val="en-IE"/>
              </w:rPr>
            </w:pPr>
          </w:p>
        </w:tc>
        <w:tc>
          <w:tcPr>
            <w:tcW w:w="1144" w:type="pct"/>
            <w:tcBorders>
              <w:top w:val="single" w:sz="8" w:space="0" w:color="auto"/>
              <w:bottom w:val="single" w:sz="8" w:space="0" w:color="auto"/>
            </w:tcBorders>
            <w:vAlign w:val="center"/>
          </w:tcPr>
          <w:p w:rsidR="00DA7543" w:rsidRDefault="007C073D">
            <w:pPr>
              <w:jc w:val="center"/>
              <w:rPr>
                <w:b/>
                <w:noProof/>
                <w:sz w:val="24"/>
                <w:lang w:val="en-IE"/>
              </w:rPr>
            </w:pPr>
            <w:r>
              <w:rPr>
                <w:b/>
                <w:noProof/>
                <w:sz w:val="22"/>
                <w:lang w:val="en-IE"/>
              </w:rPr>
              <w:t>Score</w:t>
            </w:r>
          </w:p>
        </w:tc>
        <w:tc>
          <w:tcPr>
            <w:tcW w:w="1308" w:type="pct"/>
            <w:tcBorders>
              <w:top w:val="single" w:sz="8" w:space="0" w:color="auto"/>
              <w:bottom w:val="single" w:sz="8" w:space="0" w:color="auto"/>
              <w:right w:val="single" w:sz="8" w:space="0" w:color="auto"/>
            </w:tcBorders>
            <w:vAlign w:val="center"/>
          </w:tcPr>
          <w:p w:rsidR="00DA7543" w:rsidRDefault="007C073D">
            <w:pPr>
              <w:jc w:val="center"/>
              <w:rPr>
                <w:b/>
                <w:noProof/>
                <w:sz w:val="24"/>
                <w:lang w:val="en-IE"/>
              </w:rPr>
            </w:pPr>
            <w:r>
              <w:rPr>
                <w:b/>
                <w:noProof/>
                <w:sz w:val="22"/>
                <w:lang w:val="en-IE"/>
              </w:rPr>
              <w:t>Comprehensiveness</w:t>
            </w:r>
          </w:p>
        </w:tc>
        <w:tc>
          <w:tcPr>
            <w:tcW w:w="1389" w:type="pct"/>
            <w:tcBorders>
              <w:top w:val="single" w:sz="8" w:space="0" w:color="auto"/>
              <w:left w:val="single" w:sz="8" w:space="0" w:color="auto"/>
              <w:bottom w:val="single" w:sz="8" w:space="0" w:color="auto"/>
              <w:right w:val="single" w:sz="8" w:space="0" w:color="auto"/>
            </w:tcBorders>
            <w:vAlign w:val="center"/>
          </w:tcPr>
          <w:p w:rsidR="00DA7543" w:rsidRDefault="007C073D">
            <w:pPr>
              <w:jc w:val="center"/>
              <w:rPr>
                <w:b/>
                <w:noProof/>
                <w:sz w:val="24"/>
                <w:lang w:val="en-IE"/>
              </w:rPr>
            </w:pPr>
            <w:r>
              <w:rPr>
                <w:b/>
                <w:noProof/>
                <w:sz w:val="22"/>
                <w:lang w:val="en-IE"/>
              </w:rPr>
              <w:t>Impact</w:t>
            </w:r>
          </w:p>
        </w:tc>
      </w:tr>
      <w:tr w:rsidR="00DA7543">
        <w:trPr>
          <w:trHeight w:val="244"/>
          <w:jc w:val="center"/>
        </w:trPr>
        <w:tc>
          <w:tcPr>
            <w:tcW w:w="1159" w:type="pct"/>
            <w:tcBorders>
              <w:top w:val="single" w:sz="8" w:space="0" w:color="auto"/>
              <w:left w:val="single" w:sz="8" w:space="0" w:color="auto"/>
              <w:bottom w:val="single" w:sz="8" w:space="0" w:color="auto"/>
              <w:right w:val="single" w:sz="4" w:space="0" w:color="auto"/>
            </w:tcBorders>
          </w:tcPr>
          <w:p w:rsidR="00DA7543" w:rsidRDefault="007C073D">
            <w:pPr>
              <w:jc w:val="center"/>
              <w:rPr>
                <w:noProof/>
                <w:sz w:val="24"/>
                <w:lang w:val="en-IE"/>
              </w:rPr>
            </w:pPr>
            <w:r>
              <w:rPr>
                <w:noProof/>
                <w:sz w:val="22"/>
                <w:lang w:val="en-IE"/>
              </w:rPr>
              <w:t>AF/TM 1</w:t>
            </w:r>
          </w:p>
        </w:tc>
        <w:tc>
          <w:tcPr>
            <w:tcW w:w="1144" w:type="pct"/>
            <w:tcBorders>
              <w:top w:val="single" w:sz="8" w:space="0" w:color="auto"/>
              <w:left w:val="single" w:sz="4" w:space="0" w:color="auto"/>
              <w:bottom w:val="single" w:sz="8" w:space="0" w:color="auto"/>
              <w:right w:val="single" w:sz="4" w:space="0" w:color="auto"/>
            </w:tcBorders>
          </w:tcPr>
          <w:p w:rsidR="00DA7543" w:rsidRDefault="007C073D">
            <w:pPr>
              <w:jc w:val="center"/>
              <w:rPr>
                <w:noProof/>
                <w:sz w:val="24"/>
                <w:lang w:val="en-IE"/>
              </w:rPr>
            </w:pPr>
            <w:r>
              <w:rPr>
                <w:noProof/>
                <w:sz w:val="22"/>
                <w:lang w:val="en-IE"/>
              </w:rPr>
              <w:t>H</w:t>
            </w:r>
          </w:p>
        </w:tc>
        <w:tc>
          <w:tcPr>
            <w:tcW w:w="1308" w:type="pct"/>
            <w:tcBorders>
              <w:top w:val="single" w:sz="8" w:space="0" w:color="auto"/>
              <w:left w:val="single" w:sz="4" w:space="0" w:color="auto"/>
              <w:bottom w:val="single" w:sz="8" w:space="0" w:color="auto"/>
              <w:right w:val="single" w:sz="8" w:space="0" w:color="auto"/>
            </w:tcBorders>
          </w:tcPr>
          <w:p w:rsidR="00DA7543" w:rsidRDefault="007C073D">
            <w:pPr>
              <w:jc w:val="center"/>
              <w:rPr>
                <w:noProof/>
                <w:sz w:val="24"/>
                <w:lang w:val="en-IE"/>
              </w:rPr>
            </w:pPr>
            <w:r>
              <w:rPr>
                <w:noProof/>
                <w:sz w:val="22"/>
                <w:lang w:val="en-IE"/>
              </w:rPr>
              <w:t>C</w:t>
            </w:r>
          </w:p>
        </w:tc>
        <w:tc>
          <w:tcPr>
            <w:tcW w:w="1389" w:type="pct"/>
            <w:tcBorders>
              <w:top w:val="single" w:sz="8" w:space="0" w:color="auto"/>
              <w:left w:val="single" w:sz="8" w:space="0" w:color="auto"/>
              <w:bottom w:val="single" w:sz="8" w:space="0" w:color="auto"/>
              <w:right w:val="single" w:sz="8" w:space="0" w:color="auto"/>
            </w:tcBorders>
          </w:tcPr>
          <w:p w:rsidR="00DA7543" w:rsidRDefault="007C073D">
            <w:pPr>
              <w:jc w:val="center"/>
              <w:rPr>
                <w:b/>
                <w:noProof/>
                <w:sz w:val="24"/>
                <w:lang w:val="en-IE"/>
              </w:rPr>
            </w:pPr>
            <w:r>
              <w:rPr>
                <w:b/>
                <w:noProof/>
                <w:sz w:val="22"/>
                <w:lang w:val="en-IE"/>
              </w:rPr>
              <w:t>H</w:t>
            </w:r>
          </w:p>
        </w:tc>
      </w:tr>
      <w:tr w:rsidR="00DA7543">
        <w:trPr>
          <w:trHeight w:val="234"/>
          <w:jc w:val="center"/>
        </w:trPr>
        <w:tc>
          <w:tcPr>
            <w:tcW w:w="1159" w:type="pct"/>
            <w:tcBorders>
              <w:top w:val="single" w:sz="8" w:space="0" w:color="auto"/>
              <w:left w:val="single" w:sz="8" w:space="0" w:color="auto"/>
            </w:tcBorders>
          </w:tcPr>
          <w:p w:rsidR="00DA7543" w:rsidRDefault="007C073D">
            <w:pPr>
              <w:jc w:val="center"/>
              <w:rPr>
                <w:noProof/>
                <w:sz w:val="24"/>
                <w:lang w:val="en-IE"/>
              </w:rPr>
            </w:pPr>
            <w:r>
              <w:rPr>
                <w:noProof/>
                <w:sz w:val="22"/>
                <w:lang w:val="en-IE"/>
              </w:rPr>
              <w:t>AF/TM 2</w:t>
            </w:r>
          </w:p>
        </w:tc>
        <w:tc>
          <w:tcPr>
            <w:tcW w:w="1144" w:type="pct"/>
            <w:tcBorders>
              <w:top w:val="single" w:sz="8" w:space="0" w:color="auto"/>
            </w:tcBorders>
          </w:tcPr>
          <w:p w:rsidR="00DA7543" w:rsidRDefault="007C073D">
            <w:pPr>
              <w:jc w:val="center"/>
              <w:rPr>
                <w:noProof/>
                <w:sz w:val="24"/>
                <w:lang w:val="en-IE"/>
              </w:rPr>
            </w:pPr>
            <w:r>
              <w:rPr>
                <w:noProof/>
                <w:sz w:val="22"/>
                <w:lang w:val="en-IE"/>
              </w:rPr>
              <w:t>M</w:t>
            </w:r>
          </w:p>
        </w:tc>
        <w:tc>
          <w:tcPr>
            <w:tcW w:w="1308" w:type="pct"/>
            <w:tcBorders>
              <w:top w:val="single" w:sz="8" w:space="0" w:color="auto"/>
              <w:right w:val="single" w:sz="8" w:space="0" w:color="auto"/>
            </w:tcBorders>
          </w:tcPr>
          <w:p w:rsidR="00DA7543" w:rsidRDefault="007C073D">
            <w:pPr>
              <w:jc w:val="center"/>
              <w:rPr>
                <w:noProof/>
                <w:sz w:val="24"/>
                <w:lang w:val="en-IE"/>
              </w:rPr>
            </w:pPr>
            <w:r>
              <w:rPr>
                <w:noProof/>
                <w:sz w:val="22"/>
                <w:lang w:val="en-IE"/>
              </w:rPr>
              <w:t>C</w:t>
            </w:r>
          </w:p>
        </w:tc>
        <w:tc>
          <w:tcPr>
            <w:tcW w:w="1389" w:type="pct"/>
            <w:vMerge w:val="restart"/>
            <w:tcBorders>
              <w:top w:val="single" w:sz="8" w:space="0" w:color="auto"/>
              <w:left w:val="single" w:sz="8" w:space="0" w:color="auto"/>
              <w:bottom w:val="single" w:sz="8" w:space="0" w:color="auto"/>
              <w:right w:val="single" w:sz="8" w:space="0" w:color="auto"/>
            </w:tcBorders>
            <w:vAlign w:val="center"/>
          </w:tcPr>
          <w:p w:rsidR="00DA7543" w:rsidRDefault="007C073D">
            <w:pPr>
              <w:jc w:val="center"/>
              <w:rPr>
                <w:b/>
                <w:noProof/>
                <w:sz w:val="24"/>
                <w:lang w:val="en-IE"/>
              </w:rPr>
            </w:pPr>
            <w:r>
              <w:rPr>
                <w:b/>
                <w:noProof/>
                <w:sz w:val="22"/>
                <w:lang w:val="en-IE"/>
              </w:rPr>
              <w:t>M</w:t>
            </w:r>
          </w:p>
        </w:tc>
      </w:tr>
      <w:tr w:rsidR="00DA7543">
        <w:trPr>
          <w:trHeight w:val="234"/>
          <w:jc w:val="center"/>
        </w:trPr>
        <w:tc>
          <w:tcPr>
            <w:tcW w:w="1159" w:type="pct"/>
            <w:tcBorders>
              <w:left w:val="single" w:sz="8" w:space="0" w:color="auto"/>
              <w:bottom w:val="single" w:sz="8" w:space="0" w:color="auto"/>
            </w:tcBorders>
          </w:tcPr>
          <w:p w:rsidR="00DA7543" w:rsidRDefault="007C073D">
            <w:pPr>
              <w:jc w:val="center"/>
              <w:rPr>
                <w:noProof/>
                <w:sz w:val="24"/>
                <w:lang w:val="en-IE"/>
              </w:rPr>
            </w:pPr>
            <w:r>
              <w:rPr>
                <w:noProof/>
                <w:sz w:val="22"/>
                <w:lang w:val="en-IE"/>
              </w:rPr>
              <w:t>AF/TM 3</w:t>
            </w:r>
          </w:p>
        </w:tc>
        <w:tc>
          <w:tcPr>
            <w:tcW w:w="1144" w:type="pct"/>
            <w:tcBorders>
              <w:bottom w:val="single" w:sz="8" w:space="0" w:color="auto"/>
            </w:tcBorders>
          </w:tcPr>
          <w:p w:rsidR="00DA7543" w:rsidRDefault="007C073D">
            <w:pPr>
              <w:jc w:val="center"/>
              <w:rPr>
                <w:noProof/>
                <w:sz w:val="24"/>
                <w:lang w:val="en-IE"/>
              </w:rPr>
            </w:pPr>
            <w:r>
              <w:rPr>
                <w:noProof/>
                <w:sz w:val="22"/>
                <w:lang w:val="en-IE"/>
              </w:rPr>
              <w:t>H</w:t>
            </w:r>
          </w:p>
        </w:tc>
        <w:tc>
          <w:tcPr>
            <w:tcW w:w="1308" w:type="pct"/>
            <w:tcBorders>
              <w:bottom w:val="single" w:sz="8" w:space="0" w:color="auto"/>
              <w:right w:val="single" w:sz="8" w:space="0" w:color="auto"/>
            </w:tcBorders>
          </w:tcPr>
          <w:p w:rsidR="00DA7543" w:rsidRDefault="007C073D">
            <w:pPr>
              <w:jc w:val="center"/>
              <w:rPr>
                <w:noProof/>
                <w:sz w:val="24"/>
                <w:lang w:val="en-IE"/>
              </w:rPr>
            </w:pPr>
            <w:r>
              <w:rPr>
                <w:noProof/>
                <w:sz w:val="22"/>
                <w:lang w:val="en-IE"/>
              </w:rPr>
              <w:t>N</w:t>
            </w:r>
          </w:p>
        </w:tc>
        <w:tc>
          <w:tcPr>
            <w:tcW w:w="1389" w:type="pct"/>
            <w:vMerge/>
            <w:tcBorders>
              <w:top w:val="single" w:sz="8" w:space="0" w:color="auto"/>
              <w:left w:val="single" w:sz="8" w:space="0" w:color="auto"/>
              <w:bottom w:val="single" w:sz="8" w:space="0" w:color="auto"/>
              <w:right w:val="single" w:sz="8" w:space="0" w:color="auto"/>
            </w:tcBorders>
          </w:tcPr>
          <w:p w:rsidR="00DA7543" w:rsidRDefault="00DA7543">
            <w:pPr>
              <w:jc w:val="center"/>
              <w:rPr>
                <w:b/>
                <w:noProof/>
                <w:sz w:val="24"/>
                <w:lang w:val="en-IE"/>
              </w:rPr>
            </w:pPr>
          </w:p>
        </w:tc>
      </w:tr>
      <w:tr w:rsidR="00DA7543">
        <w:trPr>
          <w:trHeight w:val="244"/>
          <w:jc w:val="center"/>
        </w:trPr>
        <w:tc>
          <w:tcPr>
            <w:tcW w:w="1159" w:type="pct"/>
            <w:tcBorders>
              <w:top w:val="single" w:sz="8" w:space="0" w:color="auto"/>
              <w:left w:val="single" w:sz="8" w:space="0" w:color="auto"/>
            </w:tcBorders>
          </w:tcPr>
          <w:p w:rsidR="00DA7543" w:rsidRDefault="007C073D">
            <w:pPr>
              <w:jc w:val="center"/>
              <w:rPr>
                <w:noProof/>
                <w:sz w:val="24"/>
                <w:lang w:val="en-IE"/>
              </w:rPr>
            </w:pPr>
            <w:r>
              <w:rPr>
                <w:noProof/>
                <w:sz w:val="22"/>
                <w:lang w:val="en-IE"/>
              </w:rPr>
              <w:t>AF/TM 4</w:t>
            </w:r>
          </w:p>
        </w:tc>
        <w:tc>
          <w:tcPr>
            <w:tcW w:w="1144" w:type="pct"/>
            <w:tcBorders>
              <w:top w:val="single" w:sz="8" w:space="0" w:color="auto"/>
            </w:tcBorders>
          </w:tcPr>
          <w:p w:rsidR="00DA7543" w:rsidRDefault="007C073D">
            <w:pPr>
              <w:jc w:val="center"/>
              <w:rPr>
                <w:noProof/>
                <w:sz w:val="24"/>
                <w:lang w:val="en-IE"/>
              </w:rPr>
            </w:pPr>
            <w:r>
              <w:rPr>
                <w:noProof/>
                <w:sz w:val="22"/>
                <w:lang w:val="en-IE"/>
              </w:rPr>
              <w:t>M</w:t>
            </w:r>
          </w:p>
        </w:tc>
        <w:tc>
          <w:tcPr>
            <w:tcW w:w="1308" w:type="pct"/>
            <w:tcBorders>
              <w:top w:val="single" w:sz="8" w:space="0" w:color="auto"/>
              <w:bottom w:val="single" w:sz="4" w:space="0" w:color="auto"/>
              <w:right w:val="single" w:sz="8" w:space="0" w:color="auto"/>
            </w:tcBorders>
          </w:tcPr>
          <w:p w:rsidR="00DA7543" w:rsidRDefault="007C073D">
            <w:pPr>
              <w:jc w:val="center"/>
              <w:rPr>
                <w:noProof/>
                <w:sz w:val="24"/>
                <w:lang w:val="en-IE"/>
              </w:rPr>
            </w:pPr>
            <w:r>
              <w:rPr>
                <w:noProof/>
                <w:sz w:val="22"/>
                <w:lang w:val="en-IE"/>
              </w:rPr>
              <w:t>N</w:t>
            </w:r>
          </w:p>
        </w:tc>
        <w:tc>
          <w:tcPr>
            <w:tcW w:w="1389" w:type="pct"/>
            <w:vMerge w:val="restart"/>
            <w:tcBorders>
              <w:top w:val="single" w:sz="8" w:space="0" w:color="auto"/>
              <w:left w:val="single" w:sz="8" w:space="0" w:color="auto"/>
              <w:bottom w:val="single" w:sz="8" w:space="0" w:color="auto"/>
              <w:right w:val="single" w:sz="8" w:space="0" w:color="auto"/>
            </w:tcBorders>
          </w:tcPr>
          <w:p w:rsidR="00DA7543" w:rsidRDefault="00DA7543">
            <w:pPr>
              <w:jc w:val="center"/>
              <w:rPr>
                <w:b/>
                <w:noProof/>
                <w:sz w:val="24"/>
                <w:lang w:val="en-IE"/>
              </w:rPr>
            </w:pPr>
          </w:p>
          <w:p w:rsidR="00DA7543" w:rsidRDefault="007C073D">
            <w:pPr>
              <w:jc w:val="center"/>
              <w:rPr>
                <w:b/>
                <w:noProof/>
                <w:sz w:val="24"/>
                <w:lang w:val="en-IE"/>
              </w:rPr>
            </w:pPr>
            <w:r>
              <w:rPr>
                <w:b/>
                <w:noProof/>
                <w:sz w:val="22"/>
                <w:lang w:val="en-IE"/>
              </w:rPr>
              <w:t>L</w:t>
            </w:r>
          </w:p>
        </w:tc>
      </w:tr>
      <w:tr w:rsidR="00DA7543">
        <w:trPr>
          <w:trHeight w:val="234"/>
          <w:jc w:val="center"/>
        </w:trPr>
        <w:tc>
          <w:tcPr>
            <w:tcW w:w="1159" w:type="pct"/>
            <w:tcBorders>
              <w:left w:val="single" w:sz="8" w:space="0" w:color="auto"/>
            </w:tcBorders>
          </w:tcPr>
          <w:p w:rsidR="00DA7543" w:rsidRDefault="007C073D">
            <w:pPr>
              <w:jc w:val="center"/>
              <w:rPr>
                <w:noProof/>
                <w:sz w:val="24"/>
                <w:lang w:val="en-IE"/>
              </w:rPr>
            </w:pPr>
            <w:r>
              <w:rPr>
                <w:noProof/>
                <w:sz w:val="22"/>
                <w:lang w:val="en-IE"/>
              </w:rPr>
              <w:t>AF/TM 5</w:t>
            </w:r>
          </w:p>
        </w:tc>
        <w:tc>
          <w:tcPr>
            <w:tcW w:w="1144" w:type="pct"/>
            <w:tcBorders>
              <w:right w:val="single" w:sz="4" w:space="0" w:color="auto"/>
            </w:tcBorders>
          </w:tcPr>
          <w:p w:rsidR="00DA7543" w:rsidRDefault="007C073D">
            <w:pPr>
              <w:jc w:val="center"/>
              <w:rPr>
                <w:noProof/>
                <w:sz w:val="24"/>
                <w:lang w:val="en-IE"/>
              </w:rPr>
            </w:pPr>
            <w:r>
              <w:rPr>
                <w:noProof/>
                <w:sz w:val="22"/>
                <w:lang w:val="en-IE"/>
              </w:rPr>
              <w:t>L</w:t>
            </w:r>
          </w:p>
        </w:tc>
        <w:tc>
          <w:tcPr>
            <w:tcW w:w="1308" w:type="pct"/>
            <w:tcBorders>
              <w:top w:val="single" w:sz="4" w:space="0" w:color="auto"/>
              <w:left w:val="single" w:sz="4" w:space="0" w:color="auto"/>
              <w:bottom w:val="single" w:sz="4" w:space="0" w:color="auto"/>
              <w:right w:val="single" w:sz="8" w:space="0" w:color="auto"/>
            </w:tcBorders>
          </w:tcPr>
          <w:p w:rsidR="00DA7543" w:rsidRDefault="007C073D">
            <w:pPr>
              <w:jc w:val="center"/>
              <w:rPr>
                <w:noProof/>
                <w:sz w:val="24"/>
                <w:lang w:val="en-IE"/>
              </w:rPr>
            </w:pPr>
            <w:r>
              <w:rPr>
                <w:noProof/>
                <w:sz w:val="22"/>
                <w:lang w:val="en-IE"/>
              </w:rPr>
              <w:t>C</w:t>
            </w:r>
          </w:p>
        </w:tc>
        <w:tc>
          <w:tcPr>
            <w:tcW w:w="1389" w:type="pct"/>
            <w:vMerge/>
            <w:tcBorders>
              <w:top w:val="single" w:sz="8" w:space="0" w:color="auto"/>
              <w:left w:val="single" w:sz="8" w:space="0" w:color="auto"/>
              <w:bottom w:val="single" w:sz="8" w:space="0" w:color="auto"/>
              <w:right w:val="single" w:sz="8" w:space="0" w:color="auto"/>
            </w:tcBorders>
          </w:tcPr>
          <w:p w:rsidR="00DA7543" w:rsidRDefault="00DA7543">
            <w:pPr>
              <w:jc w:val="center"/>
              <w:rPr>
                <w:noProof/>
                <w:sz w:val="24"/>
                <w:lang w:val="en-IE"/>
              </w:rPr>
            </w:pPr>
          </w:p>
        </w:tc>
      </w:tr>
      <w:tr w:rsidR="00DA7543">
        <w:trPr>
          <w:trHeight w:val="244"/>
          <w:jc w:val="center"/>
        </w:trPr>
        <w:tc>
          <w:tcPr>
            <w:tcW w:w="1159" w:type="pct"/>
            <w:tcBorders>
              <w:left w:val="single" w:sz="8" w:space="0" w:color="auto"/>
              <w:bottom w:val="single" w:sz="8" w:space="0" w:color="auto"/>
            </w:tcBorders>
          </w:tcPr>
          <w:p w:rsidR="00DA7543" w:rsidRDefault="007C073D">
            <w:pPr>
              <w:jc w:val="center"/>
              <w:rPr>
                <w:noProof/>
                <w:sz w:val="24"/>
                <w:lang w:val="en-IE"/>
              </w:rPr>
            </w:pPr>
            <w:r>
              <w:rPr>
                <w:noProof/>
                <w:sz w:val="22"/>
                <w:lang w:val="en-IE"/>
              </w:rPr>
              <w:t>AF/TM 6</w:t>
            </w:r>
          </w:p>
        </w:tc>
        <w:tc>
          <w:tcPr>
            <w:tcW w:w="1144" w:type="pct"/>
            <w:tcBorders>
              <w:bottom w:val="single" w:sz="8" w:space="0" w:color="auto"/>
            </w:tcBorders>
          </w:tcPr>
          <w:p w:rsidR="00DA7543" w:rsidRDefault="007C073D">
            <w:pPr>
              <w:jc w:val="center"/>
              <w:rPr>
                <w:noProof/>
                <w:sz w:val="24"/>
                <w:lang w:val="en-IE"/>
              </w:rPr>
            </w:pPr>
            <w:r>
              <w:rPr>
                <w:noProof/>
                <w:sz w:val="22"/>
                <w:lang w:val="en-IE"/>
              </w:rPr>
              <w:t>L</w:t>
            </w:r>
          </w:p>
        </w:tc>
        <w:tc>
          <w:tcPr>
            <w:tcW w:w="1308" w:type="pct"/>
            <w:tcBorders>
              <w:top w:val="single" w:sz="4" w:space="0" w:color="auto"/>
              <w:bottom w:val="single" w:sz="8" w:space="0" w:color="auto"/>
              <w:right w:val="single" w:sz="8" w:space="0" w:color="auto"/>
            </w:tcBorders>
          </w:tcPr>
          <w:p w:rsidR="00DA7543" w:rsidRDefault="007C073D">
            <w:pPr>
              <w:jc w:val="center"/>
              <w:rPr>
                <w:noProof/>
                <w:sz w:val="24"/>
                <w:lang w:val="en-IE"/>
              </w:rPr>
            </w:pPr>
            <w:r>
              <w:rPr>
                <w:noProof/>
                <w:sz w:val="22"/>
                <w:lang w:val="en-IE"/>
              </w:rPr>
              <w:t>N</w:t>
            </w:r>
          </w:p>
        </w:tc>
        <w:tc>
          <w:tcPr>
            <w:tcW w:w="1389" w:type="pct"/>
            <w:vMerge/>
            <w:tcBorders>
              <w:top w:val="single" w:sz="8" w:space="0" w:color="auto"/>
              <w:left w:val="single" w:sz="8" w:space="0" w:color="auto"/>
              <w:bottom w:val="single" w:sz="8" w:space="0" w:color="auto"/>
              <w:right w:val="single" w:sz="8" w:space="0" w:color="auto"/>
            </w:tcBorders>
          </w:tcPr>
          <w:p w:rsidR="00DA7543" w:rsidRDefault="00DA7543">
            <w:pPr>
              <w:jc w:val="center"/>
              <w:rPr>
                <w:noProof/>
                <w:sz w:val="24"/>
                <w:lang w:val="en-IE"/>
              </w:rPr>
            </w:pPr>
          </w:p>
        </w:tc>
      </w:tr>
    </w:tbl>
    <w:p w:rsidR="00DA7543" w:rsidRDefault="007C073D">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Comprehensiveness: C = comprehensive; N = Not comprehensive. </w:t>
      </w:r>
    </w:p>
    <w:p w:rsidR="00DA7543" w:rsidRDefault="00DA7543">
      <w:pPr>
        <w:jc w:val="both"/>
        <w:rPr>
          <w:rFonts w:ascii="Times New Roman" w:hAnsi="Times New Roman" w:cs="Times New Roman"/>
          <w:noProof/>
          <w:sz w:val="24"/>
          <w:lang w:val="en-IE"/>
        </w:rPr>
      </w:pP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For example, it is possible that a Member State defines a very comprehensive package of measures for a certain pair alternative fuel/transport mode, but this cluster has a low total score. In this case the resulting impact of the measures for this pair is </w:t>
      </w:r>
      <w:r>
        <w:rPr>
          <w:rFonts w:ascii="Times New Roman" w:hAnsi="Times New Roman" w:cs="Times New Roman"/>
          <w:noProof/>
          <w:sz w:val="24"/>
          <w:lang w:val="en-IE"/>
        </w:rPr>
        <w:t>assessed as low.</w:t>
      </w:r>
    </w:p>
    <w:p w:rsidR="00DA7543" w:rsidRDefault="00DA7543">
      <w:pPr>
        <w:jc w:val="both"/>
        <w:rPr>
          <w:rFonts w:ascii="Times New Roman" w:hAnsi="Times New Roman" w:cs="Times New Roman"/>
          <w:noProof/>
          <w:sz w:val="24"/>
          <w:lang w:val="en-IE"/>
        </w:rPr>
      </w:pPr>
    </w:p>
    <w:p w:rsidR="00DA7543" w:rsidRDefault="00DA7543">
      <w:pPr>
        <w:jc w:val="both"/>
        <w:rPr>
          <w:rFonts w:ascii="Times New Roman" w:hAnsi="Times New Roman" w:cs="Times New Roman"/>
          <w:noProof/>
          <w:sz w:val="24"/>
          <w:lang w:val="en-IE"/>
        </w:rPr>
      </w:pPr>
    </w:p>
    <w:p w:rsidR="00DA7543" w:rsidRDefault="007C073D">
      <w:pPr>
        <w:rPr>
          <w:rFonts w:ascii="Times New Roman" w:hAnsi="Times New Roman" w:cs="Times New Roman"/>
          <w:noProof/>
          <w:sz w:val="24"/>
          <w:lang w:val="en-IE"/>
        </w:rPr>
      </w:pPr>
      <w:r>
        <w:rPr>
          <w:rFonts w:ascii="Times New Roman" w:hAnsi="Times New Roman" w:cs="Times New Roman"/>
          <w:noProof/>
          <w:sz w:val="24"/>
          <w:lang w:val="en-IE"/>
        </w:rPr>
        <w:br w:type="page"/>
      </w:r>
    </w:p>
    <w:p w:rsidR="00DA7543" w:rsidRDefault="007C073D">
      <w:pPr>
        <w:pStyle w:val="Heading1"/>
        <w:rPr>
          <w:rFonts w:ascii="Times New Roman" w:hAnsi="Times New Roman"/>
          <w:noProof/>
          <w:sz w:val="24"/>
          <w:lang w:val="en-IE"/>
        </w:rPr>
      </w:pPr>
      <w:bookmarkStart w:id="79" w:name="_Toc55301695"/>
      <w:bookmarkStart w:id="80" w:name="_Toc55301696"/>
      <w:bookmarkStart w:id="81" w:name="_Toc55301697"/>
      <w:bookmarkStart w:id="82" w:name="_Toc477457901"/>
      <w:bookmarkStart w:id="83" w:name="_Toc496259414"/>
      <w:bookmarkStart w:id="84" w:name="_Toc55301698"/>
      <w:bookmarkStart w:id="85" w:name="_Toc65241950"/>
      <w:bookmarkEnd w:id="79"/>
      <w:bookmarkEnd w:id="80"/>
      <w:bookmarkEnd w:id="81"/>
      <w:r>
        <w:rPr>
          <w:rFonts w:ascii="Times New Roman" w:hAnsi="Times New Roman"/>
          <w:noProof/>
          <w:sz w:val="24"/>
          <w:lang w:val="en-IE"/>
        </w:rPr>
        <w:t>Overview of the main results of the assessment of all NIRs</w:t>
      </w:r>
      <w:bookmarkEnd w:id="82"/>
      <w:bookmarkEnd w:id="83"/>
      <w:bookmarkEnd w:id="84"/>
      <w:bookmarkEnd w:id="85"/>
      <w:r>
        <w:rPr>
          <w:rFonts w:ascii="Times New Roman" w:hAnsi="Times New Roman"/>
          <w:noProof/>
          <w:sz w:val="24"/>
          <w:lang w:val="en-IE"/>
        </w:rPr>
        <w:t xml:space="preserve"> </w:t>
      </w:r>
    </w:p>
    <w:p w:rsidR="00DA7543" w:rsidRDefault="007C073D">
      <w:pPr>
        <w:jc w:val="both"/>
        <w:rPr>
          <w:rFonts w:ascii="Times New Roman" w:hAnsi="Times New Roman" w:cs="Times New Roman"/>
          <w:i/>
          <w:noProof/>
          <w:color w:val="000000" w:themeColor="text1"/>
          <w:sz w:val="20"/>
          <w:szCs w:val="18"/>
          <w:lang w:val="en-IE"/>
        </w:rPr>
      </w:pPr>
      <w:r>
        <w:rPr>
          <w:rFonts w:ascii="Times New Roman" w:hAnsi="Times New Roman" w:cs="Times New Roman"/>
          <w:noProof/>
          <w:sz w:val="24"/>
          <w:lang w:val="en-IE"/>
        </w:rPr>
        <w:t>This section presents an overview of the outcome of the assessment of the 25 NIRs. When considering all these results together, it is necessary to keep in mind two important p</w:t>
      </w:r>
      <w:r>
        <w:rPr>
          <w:rFonts w:ascii="Times New Roman" w:hAnsi="Times New Roman" w:cs="Times New Roman"/>
          <w:noProof/>
          <w:sz w:val="24"/>
          <w:lang w:val="en-IE"/>
        </w:rPr>
        <w:t>oints. First, the amount and quality of data and information provided by the Member States for each alternative fuel/transport mode combination differ quite considerably. Second, for a given combination of alternative fuel/transport mode, there can be impo</w:t>
      </w:r>
      <w:r>
        <w:rPr>
          <w:rFonts w:ascii="Times New Roman" w:hAnsi="Times New Roman" w:cs="Times New Roman"/>
          <w:noProof/>
          <w:sz w:val="24"/>
          <w:lang w:val="en-IE"/>
        </w:rPr>
        <w:t>rtant differences among MS in terms of details and type of data (for example recharging/refuelling points versus recharging/refuelling stations). Therefore, although the results of the NIR assessments are shown here all together for the 25 MSs, they should</w:t>
      </w:r>
      <w:r>
        <w:rPr>
          <w:rFonts w:ascii="Times New Roman" w:hAnsi="Times New Roman" w:cs="Times New Roman"/>
          <w:noProof/>
          <w:sz w:val="24"/>
          <w:lang w:val="en-IE"/>
        </w:rPr>
        <w:t xml:space="preserve"> not be read and interpreted on a comparative basis, but more by single MS. The opposite could lead to wrong conclusions.</w:t>
      </w:r>
    </w:p>
    <w:p w:rsidR="00DA7543" w:rsidRDefault="007C073D">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For the most complete alternative fuel/transport mode pairs (i.e. electricity/road and CNG/road) there are tables showing the results </w:t>
      </w:r>
      <w:r>
        <w:rPr>
          <w:rFonts w:ascii="Times New Roman" w:hAnsi="Times New Roman" w:cs="Times New Roman"/>
          <w:noProof/>
          <w:color w:val="000000" w:themeColor="text1"/>
          <w:sz w:val="24"/>
          <w:lang w:val="en-IE"/>
        </w:rPr>
        <w:t xml:space="preserve">by AFV and AFI. In particular, for AFV: </w:t>
      </w:r>
    </w:p>
    <w:p w:rsidR="00DA7543" w:rsidRDefault="007C073D">
      <w:pPr>
        <w:pStyle w:val="ListParagraph"/>
        <w:numPr>
          <w:ilvl w:val="0"/>
          <w:numId w:val="16"/>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Changes between NIR and NPF for 2020, 2025 and 2030;</w:t>
      </w:r>
    </w:p>
    <w:p w:rsidR="00DA7543" w:rsidRDefault="007C073D">
      <w:pPr>
        <w:pStyle w:val="ListParagraph"/>
        <w:numPr>
          <w:ilvl w:val="0"/>
          <w:numId w:val="16"/>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Level of Attainment in 2018 with respect to the vehicle estimates for the years 2020, 2025 and 2030;</w:t>
      </w:r>
    </w:p>
    <w:p w:rsidR="00DA7543" w:rsidRDefault="007C073D">
      <w:pPr>
        <w:pStyle w:val="ListParagraph"/>
        <w:numPr>
          <w:ilvl w:val="0"/>
          <w:numId w:val="16"/>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Progress in 2018;</w:t>
      </w:r>
    </w:p>
    <w:p w:rsidR="00DA7543" w:rsidRDefault="007C073D">
      <w:pPr>
        <w:pStyle w:val="ListParagraph"/>
        <w:numPr>
          <w:ilvl w:val="0"/>
          <w:numId w:val="16"/>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Average annual growth rate (2016-2030);</w:t>
      </w:r>
    </w:p>
    <w:p w:rsidR="00DA7543" w:rsidRDefault="007C073D">
      <w:pPr>
        <w:pStyle w:val="ListParagraph"/>
        <w:numPr>
          <w:ilvl w:val="0"/>
          <w:numId w:val="16"/>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AFV</w:t>
      </w:r>
      <w:r>
        <w:rPr>
          <w:rFonts w:ascii="Times New Roman" w:hAnsi="Times New Roman" w:cs="Times New Roman"/>
          <w:noProof/>
          <w:color w:val="000000" w:themeColor="text1"/>
          <w:sz w:val="24"/>
          <w:lang w:val="en-IE"/>
        </w:rPr>
        <w:t>s shares in 2018, 2020, 2025 and 2030.</w:t>
      </w:r>
    </w:p>
    <w:p w:rsidR="00DA7543" w:rsidRDefault="007C073D">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For AFI:</w:t>
      </w:r>
    </w:p>
    <w:p w:rsidR="00DA7543" w:rsidRDefault="007C073D">
      <w:pPr>
        <w:pStyle w:val="ListParagraph"/>
        <w:numPr>
          <w:ilvl w:val="0"/>
          <w:numId w:val="16"/>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Changes between NIR and NPF for 2020, 2025 and 2030;</w:t>
      </w:r>
    </w:p>
    <w:p w:rsidR="00DA7543" w:rsidRDefault="007C073D">
      <w:pPr>
        <w:pStyle w:val="ListParagraph"/>
        <w:numPr>
          <w:ilvl w:val="0"/>
          <w:numId w:val="16"/>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Level of Attainment in 2018 with respect to the infrastructure targets for the years 2020, 2025 and 2030;</w:t>
      </w:r>
    </w:p>
    <w:p w:rsidR="00DA7543" w:rsidRDefault="007C073D">
      <w:pPr>
        <w:pStyle w:val="ListParagraph"/>
        <w:numPr>
          <w:ilvl w:val="0"/>
          <w:numId w:val="16"/>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Progress in 2018; </w:t>
      </w:r>
    </w:p>
    <w:p w:rsidR="00DA7543" w:rsidRDefault="007C073D">
      <w:pPr>
        <w:pStyle w:val="ListParagraph"/>
        <w:numPr>
          <w:ilvl w:val="0"/>
          <w:numId w:val="16"/>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Average annual growth rate </w:t>
      </w:r>
      <w:r>
        <w:rPr>
          <w:rFonts w:ascii="Times New Roman" w:hAnsi="Times New Roman" w:cs="Times New Roman"/>
          <w:noProof/>
          <w:color w:val="000000" w:themeColor="text1"/>
          <w:sz w:val="24"/>
          <w:lang w:val="en-IE"/>
        </w:rPr>
        <w:t>(2016-2030);</w:t>
      </w:r>
    </w:p>
    <w:p w:rsidR="00DA7543" w:rsidRDefault="007C073D">
      <w:pPr>
        <w:pStyle w:val="ListParagraph"/>
        <w:numPr>
          <w:ilvl w:val="0"/>
          <w:numId w:val="16"/>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Ratio between AFV and AFI (i.e. sufficiency index).</w:t>
      </w:r>
    </w:p>
    <w:p w:rsidR="00DA7543" w:rsidRDefault="007C073D">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After that, there is a table showing the summary of the measure assessments, i.e.:</w:t>
      </w:r>
    </w:p>
    <w:p w:rsidR="00DA7543" w:rsidRDefault="007C073D">
      <w:pPr>
        <w:pStyle w:val="ListParagraph"/>
        <w:numPr>
          <w:ilvl w:val="0"/>
          <w:numId w:val="17"/>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Change of ambition between NIR and NPF for the Legal measures;</w:t>
      </w:r>
    </w:p>
    <w:p w:rsidR="00DA7543" w:rsidRDefault="007C073D">
      <w:pPr>
        <w:pStyle w:val="ListParagraph"/>
        <w:numPr>
          <w:ilvl w:val="0"/>
          <w:numId w:val="17"/>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For the Policy and Deployment &amp; Manufacturing</w:t>
      </w:r>
      <w:r>
        <w:rPr>
          <w:rFonts w:ascii="Times New Roman" w:hAnsi="Times New Roman" w:cs="Times New Roman"/>
          <w:noProof/>
          <w:color w:val="000000" w:themeColor="text1"/>
          <w:sz w:val="24"/>
          <w:lang w:val="en-IE"/>
        </w:rPr>
        <w:t xml:space="preserve"> support measures:</w:t>
      </w:r>
    </w:p>
    <w:p w:rsidR="00DA7543" w:rsidRDefault="007C073D">
      <w:pPr>
        <w:pStyle w:val="ListParagraph"/>
        <w:numPr>
          <w:ilvl w:val="1"/>
          <w:numId w:val="17"/>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Overall score of the clusters of measures</w:t>
      </w:r>
    </w:p>
    <w:p w:rsidR="00DA7543" w:rsidRDefault="007C073D">
      <w:pPr>
        <w:pStyle w:val="ListParagraph"/>
        <w:numPr>
          <w:ilvl w:val="1"/>
          <w:numId w:val="17"/>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Comprehensiveness</w:t>
      </w:r>
    </w:p>
    <w:p w:rsidR="00DA7543" w:rsidRDefault="007C073D">
      <w:pPr>
        <w:pStyle w:val="ListParagraph"/>
        <w:numPr>
          <w:ilvl w:val="1"/>
          <w:numId w:val="17"/>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Impact</w:t>
      </w:r>
    </w:p>
    <w:p w:rsidR="00DA7543" w:rsidRDefault="007C073D">
      <w:pPr>
        <w:pStyle w:val="ListParagraph"/>
        <w:numPr>
          <w:ilvl w:val="1"/>
          <w:numId w:val="17"/>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Change of ambition between NIR and NPF</w:t>
      </w:r>
    </w:p>
    <w:p w:rsidR="00DA7543" w:rsidRDefault="007C073D">
      <w:pPr>
        <w:pStyle w:val="ListParagraph"/>
        <w:numPr>
          <w:ilvl w:val="0"/>
          <w:numId w:val="17"/>
        </w:num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Change of ambition between NIR and NPF for the RTD&amp;D measures.</w:t>
      </w:r>
    </w:p>
    <w:p w:rsidR="00DA7543" w:rsidRDefault="007C073D">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For the other combinations of alternative fuel/transport mode, only </w:t>
      </w:r>
      <w:r>
        <w:rPr>
          <w:rFonts w:ascii="Times New Roman" w:hAnsi="Times New Roman" w:cs="Times New Roman"/>
          <w:noProof/>
          <w:color w:val="000000" w:themeColor="text1"/>
          <w:sz w:val="24"/>
          <w:lang w:val="en-IE"/>
        </w:rPr>
        <w:t>some of the above results could be computed and are shown.</w:t>
      </w:r>
    </w:p>
    <w:p w:rsidR="00DA7543" w:rsidRDefault="007C073D">
      <w:pP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br w:type="page"/>
      </w:r>
    </w:p>
    <w:p w:rsidR="00DA7543" w:rsidRDefault="007C073D">
      <w:pPr>
        <w:pStyle w:val="Heading2"/>
        <w:rPr>
          <w:rFonts w:ascii="Times New Roman" w:hAnsi="Times New Roman" w:cs="Times New Roman"/>
          <w:noProof/>
          <w:sz w:val="24"/>
          <w:lang w:val="en-IE"/>
        </w:rPr>
      </w:pPr>
      <w:bookmarkStart w:id="86" w:name="_Toc65241951"/>
      <w:r>
        <w:rPr>
          <w:rFonts w:ascii="Times New Roman" w:hAnsi="Times New Roman" w:cs="Times New Roman"/>
          <w:noProof/>
          <w:sz w:val="24"/>
          <w:lang w:val="en-IE"/>
        </w:rPr>
        <w:t>Road transport</w:t>
      </w:r>
      <w:bookmarkEnd w:id="86"/>
    </w:p>
    <w:p w:rsidR="00DA7543" w:rsidRDefault="007C073D">
      <w:pPr>
        <w:pStyle w:val="Heading3"/>
        <w:rPr>
          <w:rFonts w:ascii="Times New Roman" w:hAnsi="Times New Roman" w:cs="Times New Roman"/>
          <w:noProof/>
          <w:sz w:val="24"/>
          <w:lang w:val="en-IE"/>
        </w:rPr>
      </w:pPr>
      <w:bookmarkStart w:id="87" w:name="_Toc65241952"/>
      <w:r>
        <w:rPr>
          <w:rFonts w:ascii="Times New Roman" w:hAnsi="Times New Roman" w:cs="Times New Roman"/>
          <w:noProof/>
          <w:sz w:val="24"/>
          <w:lang w:val="en-IE"/>
        </w:rPr>
        <w:t>Electricity (alternative fuels vehicles and infrastructure)</w:t>
      </w:r>
      <w:bookmarkEnd w:id="87"/>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_Ref54793901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3.1.1</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gives an overview of the results for electric vehicles in each country. When a cell is empty in the columns under Changes, it means that the NPF had not provided any estimate for that year. Ho</w:t>
      </w:r>
      <w:r>
        <w:rPr>
          <w:rFonts w:ascii="Times New Roman" w:hAnsi="Times New Roman" w:cs="Times New Roman"/>
          <w:noProof/>
          <w:sz w:val="24"/>
          <w:lang w:val="en-IE"/>
        </w:rPr>
        <w:t>wever, if the cell is highlighted in yellow, it indicates that the NIR has provided an estimate (but the Change could not be calculated). Overall, a good coverage in terms of assessable information can be seen for the large majority of the NIRs. Only for t</w:t>
      </w:r>
      <w:r>
        <w:rPr>
          <w:rFonts w:ascii="Times New Roman" w:hAnsi="Times New Roman" w:cs="Times New Roman"/>
          <w:noProof/>
          <w:sz w:val="24"/>
          <w:lang w:val="en-IE"/>
        </w:rPr>
        <w:t xml:space="preserve">wo of the assessed NIRs, due to the limited information provided, it was possible to compute only one parameter. </w:t>
      </w:r>
    </w:p>
    <w:p w:rsidR="00DA7543" w:rsidRDefault="00DA7543">
      <w:pPr>
        <w:jc w:val="both"/>
        <w:rPr>
          <w:rFonts w:ascii="Times New Roman" w:hAnsi="Times New Roman" w:cs="Times New Roman"/>
          <w:noProof/>
          <w:sz w:val="24"/>
          <w:highlight w:val="yellow"/>
          <w:lang w:val="en-IE"/>
        </w:rPr>
      </w:pPr>
    </w:p>
    <w:p w:rsidR="00DA7543" w:rsidRDefault="007C073D">
      <w:pPr>
        <w:rPr>
          <w:rFonts w:ascii="Times New Roman" w:hAnsi="Times New Roman" w:cs="Times New Roman"/>
          <w:noProof/>
          <w:sz w:val="24"/>
          <w:lang w:val="en-IE"/>
        </w:rPr>
      </w:pPr>
      <w:bookmarkStart w:id="88" w:name="_Ref54793901"/>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3.1.1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88"/>
      <w:r>
        <w:rPr>
          <w:rFonts w:ascii="Times New Roman" w:hAnsi="Times New Roman" w:cs="Times New Roman"/>
          <w:i/>
          <w:noProof/>
          <w:sz w:val="20"/>
          <w:lang w:val="en-IE"/>
        </w:rPr>
        <w:t xml:space="preserve"> Overview of electricity / road AFV</w:t>
      </w:r>
    </w:p>
    <w:p w:rsidR="00DA7543" w:rsidRDefault="007C073D">
      <w:pPr>
        <w:jc w:val="both"/>
        <w:rPr>
          <w:rFonts w:ascii="Times New Roman" w:hAnsi="Times New Roman" w:cs="Times New Roman"/>
          <w:noProof/>
          <w:sz w:val="24"/>
          <w:highlight w:val="yellow"/>
          <w:lang w:val="en-IE"/>
        </w:rPr>
      </w:pPr>
      <w:r>
        <w:rPr>
          <w:rFonts w:ascii="Times New Roman" w:hAnsi="Times New Roman" w:cs="Times New Roman"/>
          <w:noProof/>
          <w:sz w:val="24"/>
          <w:lang w:eastAsia="en-GB"/>
        </w:rPr>
        <w:drawing>
          <wp:inline distT="0" distB="0" distL="0" distR="0">
            <wp:extent cx="5760720" cy="5275494"/>
            <wp:effectExtent l="0" t="0" r="0" b="1905"/>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275494"/>
                    </a:xfrm>
                    <a:prstGeom prst="rect">
                      <a:avLst/>
                    </a:prstGeom>
                    <a:noFill/>
                  </pic:spPr>
                </pic:pic>
              </a:graphicData>
            </a:graphic>
          </wp:inline>
        </w:drawing>
      </w:r>
    </w:p>
    <w:p w:rsidR="00DA7543" w:rsidRDefault="007C073D">
      <w:pPr>
        <w:jc w:val="both"/>
        <w:rPr>
          <w:rFonts w:ascii="Times New Roman" w:hAnsi="Times New Roman" w:cs="Times New Roman"/>
          <w:noProof/>
          <w:sz w:val="24"/>
          <w:highlight w:val="yellow"/>
          <w:lang w:val="en-IE"/>
        </w:rPr>
      </w:pPr>
      <w:r>
        <w:rPr>
          <w:rFonts w:ascii="Times New Roman" w:hAnsi="Times New Roman" w:cs="Times New Roman"/>
          <w:noProof/>
          <w:sz w:val="24"/>
          <w:lang w:eastAsia="en-GB"/>
        </w:rPr>
        <w:drawing>
          <wp:inline distT="0" distB="0" distL="0" distR="0">
            <wp:extent cx="2235942" cy="463659"/>
            <wp:effectExtent l="0" t="0" r="0" b="0"/>
            <wp:docPr id="719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37"/>
                    <a:stretch>
                      <a:fillRect/>
                    </a:stretch>
                  </pic:blipFill>
                  <pic:spPr>
                    <a:xfrm>
                      <a:off x="0" y="0"/>
                      <a:ext cx="2399628" cy="497602"/>
                    </a:xfrm>
                    <a:prstGeom prst="rect">
                      <a:avLst/>
                    </a:prstGeom>
                  </pic:spPr>
                </pic:pic>
              </a:graphicData>
            </a:graphic>
          </wp:inline>
        </w:drawing>
      </w:r>
    </w:p>
    <w:p w:rsidR="00DA7543" w:rsidRDefault="007C073D">
      <w:pPr>
        <w:jc w:val="both"/>
        <w:rPr>
          <w:rFonts w:ascii="Times New Roman" w:hAnsi="Times New Roman" w:cs="Times New Roman"/>
          <w:b/>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_Ref54793957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3.1.1</w:t>
      </w:r>
      <w:r>
        <w:rPr>
          <w:rFonts w:ascii="Times New Roman" w:hAnsi="Times New Roman" w:cs="Times New Roman"/>
          <w:iCs/>
          <w:noProof/>
          <w:color w:val="000000" w:themeColor="text1"/>
          <w:sz w:val="24"/>
          <w:lang w:val="en-IE"/>
        </w:rPr>
        <w:noBreakHyphen/>
        <w:t>2</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gives an overview of the results for publicly accessible recharging points</w:t>
      </w:r>
      <w:r>
        <w:rPr>
          <w:rStyle w:val="FootnoteReference"/>
          <w:rFonts w:ascii="Times New Roman" w:hAnsi="Times New Roman" w:cs="Times New Roman"/>
          <w:noProof/>
          <w:sz w:val="24"/>
          <w:lang w:val="en-IE"/>
        </w:rPr>
        <w:footnoteReference w:id="12"/>
      </w:r>
      <w:r>
        <w:rPr>
          <w:rFonts w:ascii="Times New Roman" w:hAnsi="Times New Roman" w:cs="Times New Roman"/>
          <w:noProof/>
          <w:sz w:val="24"/>
          <w:lang w:val="en-IE"/>
        </w:rPr>
        <w:t xml:space="preserve"> in each country. Due to the limited information provided, for one of the assessed NIRs it was possib</w:t>
      </w:r>
      <w:r>
        <w:rPr>
          <w:rFonts w:ascii="Times New Roman" w:hAnsi="Times New Roman" w:cs="Times New Roman"/>
          <w:noProof/>
          <w:sz w:val="24"/>
          <w:lang w:val="en-IE"/>
        </w:rPr>
        <w:t>le to compute only one parameter.</w:t>
      </w:r>
    </w:p>
    <w:p w:rsidR="00DA7543" w:rsidRDefault="00DA7543">
      <w:pPr>
        <w:jc w:val="both"/>
        <w:rPr>
          <w:rFonts w:ascii="Times New Roman" w:hAnsi="Times New Roman" w:cs="Times New Roman"/>
          <w:noProof/>
          <w:sz w:val="24"/>
          <w:highlight w:val="yellow"/>
          <w:lang w:val="en-IE"/>
        </w:rPr>
      </w:pPr>
    </w:p>
    <w:p w:rsidR="00DA7543" w:rsidRDefault="007C073D">
      <w:pPr>
        <w:rPr>
          <w:rFonts w:ascii="Times New Roman" w:hAnsi="Times New Roman" w:cs="Times New Roman"/>
          <w:noProof/>
          <w:sz w:val="24"/>
          <w:lang w:val="en-IE"/>
        </w:rPr>
      </w:pPr>
      <w:bookmarkStart w:id="89" w:name="_Ref54793957"/>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3.1.1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2</w:t>
      </w:r>
      <w:r>
        <w:rPr>
          <w:rFonts w:ascii="Times New Roman" w:hAnsi="Times New Roman" w:cs="Times New Roman"/>
          <w:i/>
          <w:iCs/>
          <w:noProof/>
          <w:color w:val="000000" w:themeColor="text1"/>
          <w:sz w:val="20"/>
          <w:szCs w:val="18"/>
          <w:lang w:val="en-IE"/>
        </w:rPr>
        <w:fldChar w:fldCharType="end"/>
      </w:r>
      <w:bookmarkEnd w:id="89"/>
      <w:r>
        <w:rPr>
          <w:rFonts w:ascii="Times New Roman" w:hAnsi="Times New Roman" w:cs="Times New Roman"/>
          <w:i/>
          <w:noProof/>
          <w:sz w:val="20"/>
          <w:lang w:val="en-IE"/>
        </w:rPr>
        <w:t xml:space="preserve"> Overview of electricity / road AFI</w:t>
      </w:r>
    </w:p>
    <w:p w:rsidR="00DA7543" w:rsidRDefault="007C073D">
      <w:pPr>
        <w:jc w:val="both"/>
        <w:rPr>
          <w:rFonts w:ascii="Times New Roman" w:hAnsi="Times New Roman" w:cs="Times New Roman"/>
          <w:noProof/>
          <w:sz w:val="24"/>
          <w:highlight w:val="yellow"/>
          <w:lang w:val="en-IE"/>
        </w:rPr>
      </w:pPr>
      <w:r>
        <w:rPr>
          <w:rFonts w:ascii="Times New Roman" w:hAnsi="Times New Roman" w:cs="Times New Roman"/>
          <w:noProof/>
          <w:sz w:val="24"/>
          <w:lang w:eastAsia="en-GB"/>
        </w:rPr>
        <w:drawing>
          <wp:inline distT="0" distB="0" distL="0" distR="0">
            <wp:extent cx="5761355" cy="4798060"/>
            <wp:effectExtent l="0" t="0" r="0" b="2540"/>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4798060"/>
                    </a:xfrm>
                    <a:prstGeom prst="rect">
                      <a:avLst/>
                    </a:prstGeom>
                    <a:noFill/>
                  </pic:spPr>
                </pic:pic>
              </a:graphicData>
            </a:graphic>
          </wp:inline>
        </w:drawing>
      </w:r>
    </w:p>
    <w:p w:rsidR="00DA7543" w:rsidRDefault="007C073D">
      <w:pPr>
        <w:jc w:val="both"/>
        <w:rPr>
          <w:rFonts w:ascii="Times New Roman" w:hAnsi="Times New Roman" w:cs="Times New Roman"/>
          <w:noProof/>
          <w:sz w:val="24"/>
          <w:highlight w:val="yellow"/>
          <w:lang w:val="en-IE"/>
        </w:rPr>
      </w:pPr>
      <w:r>
        <w:rPr>
          <w:rFonts w:ascii="Times New Roman" w:hAnsi="Times New Roman" w:cs="Times New Roman"/>
          <w:noProof/>
          <w:sz w:val="24"/>
          <w:lang w:eastAsia="en-GB"/>
        </w:rPr>
        <w:drawing>
          <wp:inline distT="0" distB="0" distL="0" distR="0">
            <wp:extent cx="1962289" cy="406913"/>
            <wp:effectExtent l="0" t="0" r="0" b="0"/>
            <wp:docPr id="71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37"/>
                    <a:stretch>
                      <a:fillRect/>
                    </a:stretch>
                  </pic:blipFill>
                  <pic:spPr>
                    <a:xfrm>
                      <a:off x="0" y="0"/>
                      <a:ext cx="2143752" cy="444542"/>
                    </a:xfrm>
                    <a:prstGeom prst="rect">
                      <a:avLst/>
                    </a:prstGeom>
                  </pic:spPr>
                </pic:pic>
              </a:graphicData>
            </a:graphic>
          </wp:inline>
        </w:drawing>
      </w:r>
    </w:p>
    <w:p w:rsidR="00DA7543" w:rsidRDefault="00DA7543">
      <w:pPr>
        <w:jc w:val="both"/>
        <w:rPr>
          <w:rFonts w:ascii="Times New Roman" w:hAnsi="Times New Roman" w:cs="Times New Roman"/>
          <w:noProof/>
          <w:sz w:val="24"/>
          <w:highlight w:val="yellow"/>
          <w:lang w:val="en-IE"/>
        </w:rPr>
      </w:pPr>
    </w:p>
    <w:p w:rsidR="00DA7543" w:rsidRDefault="00DA7543">
      <w:pPr>
        <w:jc w:val="both"/>
        <w:rPr>
          <w:rFonts w:ascii="Times New Roman" w:hAnsi="Times New Roman" w:cs="Times New Roman"/>
          <w:noProof/>
          <w:sz w:val="24"/>
          <w:highlight w:val="yellow"/>
          <w:lang w:val="en-IE"/>
        </w:rPr>
      </w:pPr>
    </w:p>
    <w:p w:rsidR="00DA7543" w:rsidRDefault="00DA7543">
      <w:pPr>
        <w:jc w:val="both"/>
        <w:rPr>
          <w:rFonts w:ascii="Times New Roman" w:hAnsi="Times New Roman" w:cs="Times New Roman"/>
          <w:noProof/>
          <w:sz w:val="24"/>
          <w:highlight w:val="yellow"/>
          <w:lang w:val="en-IE"/>
        </w:rPr>
      </w:pPr>
    </w:p>
    <w:p w:rsidR="00DA7543" w:rsidRDefault="00DA7543">
      <w:pPr>
        <w:jc w:val="both"/>
        <w:rPr>
          <w:rFonts w:ascii="Times New Roman" w:hAnsi="Times New Roman" w:cs="Times New Roman"/>
          <w:noProof/>
          <w:sz w:val="24"/>
          <w:highlight w:val="yellow"/>
          <w:lang w:val="en-IE"/>
        </w:rPr>
      </w:pPr>
    </w:p>
    <w:p w:rsidR="00DA7543" w:rsidRDefault="00DA7543">
      <w:pPr>
        <w:jc w:val="both"/>
        <w:rPr>
          <w:rFonts w:ascii="Times New Roman" w:hAnsi="Times New Roman" w:cs="Times New Roman"/>
          <w:noProof/>
          <w:sz w:val="24"/>
          <w:lang w:val="en-IE"/>
        </w:rPr>
      </w:pPr>
    </w:p>
    <w:p w:rsidR="00DA7543" w:rsidRDefault="007C073D">
      <w:pPr>
        <w:pStyle w:val="Heading3"/>
        <w:rPr>
          <w:rFonts w:ascii="Times New Roman" w:hAnsi="Times New Roman" w:cs="Times New Roman"/>
          <w:noProof/>
          <w:sz w:val="24"/>
          <w:lang w:val="en-IE"/>
        </w:rPr>
      </w:pPr>
      <w:bookmarkStart w:id="90" w:name="_Toc65241953"/>
      <w:r>
        <w:rPr>
          <w:rFonts w:ascii="Times New Roman" w:hAnsi="Times New Roman" w:cs="Times New Roman"/>
          <w:noProof/>
          <w:sz w:val="24"/>
          <w:lang w:val="en-IE"/>
        </w:rPr>
        <w:t>CNG (alternative fuels vehicles and infrastructure)</w:t>
      </w:r>
      <w:bookmarkEnd w:id="90"/>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_Ref54795065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3.1.2</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gives an overview of the results for CNG vehicles in each country. Due to the limited information provided, for nine of the assessed NIRs it was possible to compute only one parameter. </w:t>
      </w:r>
    </w:p>
    <w:p w:rsidR="00DA7543" w:rsidRDefault="00DA7543">
      <w:pPr>
        <w:rPr>
          <w:rFonts w:ascii="Times New Roman" w:hAnsi="Times New Roman" w:cs="Times New Roman"/>
          <w:noProof/>
          <w:sz w:val="24"/>
          <w:lang w:val="en-IE"/>
        </w:rPr>
      </w:pPr>
    </w:p>
    <w:p w:rsidR="00DA7543" w:rsidRDefault="007C073D">
      <w:pPr>
        <w:rPr>
          <w:rFonts w:ascii="Times New Roman" w:hAnsi="Times New Roman" w:cs="Times New Roman"/>
          <w:noProof/>
          <w:sz w:val="24"/>
          <w:lang w:val="en-IE"/>
        </w:rPr>
      </w:pPr>
      <w:bookmarkStart w:id="91" w:name="_Ref54795065"/>
      <w:r>
        <w:rPr>
          <w:rFonts w:ascii="Times New Roman" w:hAnsi="Times New Roman" w:cs="Times New Roman"/>
          <w:i/>
          <w:iCs/>
          <w:noProof/>
          <w:color w:val="000000" w:themeColor="text1"/>
          <w:sz w:val="20"/>
          <w:szCs w:val="18"/>
          <w:lang w:val="en-IE"/>
        </w:rPr>
        <w:t>Table</w:t>
      </w:r>
      <w:r>
        <w:rPr>
          <w:rFonts w:ascii="Times New Roman" w:hAnsi="Times New Roman" w:cs="Times New Roman"/>
          <w:i/>
          <w:iCs/>
          <w:noProof/>
          <w:color w:val="000000" w:themeColor="text1"/>
          <w:sz w:val="20"/>
          <w:szCs w:val="18"/>
          <w:lang w:val="en-IE"/>
        </w:rPr>
        <w:t xml:space="preserv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3.1.2</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91"/>
      <w:r>
        <w:rPr>
          <w:rFonts w:ascii="Times New Roman" w:hAnsi="Times New Roman" w:cs="Times New Roman"/>
          <w:i/>
          <w:noProof/>
          <w:sz w:val="20"/>
          <w:lang w:val="en-IE"/>
        </w:rPr>
        <w:t xml:space="preserve"> Overview of CNG / road AFV</w:t>
      </w:r>
    </w:p>
    <w:p w:rsidR="00DA7543" w:rsidRDefault="007C073D">
      <w:pPr>
        <w:jc w:val="both"/>
        <w:rPr>
          <w:rFonts w:ascii="Times New Roman" w:hAnsi="Times New Roman" w:cs="Times New Roman"/>
          <w:noProof/>
          <w:sz w:val="24"/>
          <w:highlight w:val="yellow"/>
          <w:lang w:val="en-IE"/>
        </w:rPr>
      </w:pPr>
      <w:r>
        <w:rPr>
          <w:noProof/>
          <w:lang w:eastAsia="en-GB"/>
        </w:rPr>
        <w:drawing>
          <wp:inline distT="0" distB="0" distL="0" distR="0">
            <wp:extent cx="5760720" cy="496728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4967289"/>
                    </a:xfrm>
                    <a:prstGeom prst="rect">
                      <a:avLst/>
                    </a:prstGeom>
                    <a:noFill/>
                    <a:ln>
                      <a:noFill/>
                    </a:ln>
                  </pic:spPr>
                </pic:pic>
              </a:graphicData>
            </a:graphic>
          </wp:inline>
        </w:drawing>
      </w:r>
    </w:p>
    <w:p w:rsidR="00DA7543" w:rsidRDefault="00DA7543">
      <w:pPr>
        <w:jc w:val="both"/>
        <w:rPr>
          <w:rFonts w:ascii="Times New Roman" w:hAnsi="Times New Roman" w:cs="Times New Roman"/>
          <w:noProof/>
          <w:sz w:val="24"/>
          <w:highlight w:val="yellow"/>
          <w:lang w:val="en-IE"/>
        </w:rPr>
      </w:pPr>
    </w:p>
    <w:p w:rsidR="00DA7543" w:rsidRDefault="007C073D">
      <w:pPr>
        <w:jc w:val="both"/>
        <w:rPr>
          <w:rFonts w:ascii="Times New Roman" w:hAnsi="Times New Roman" w:cs="Times New Roman"/>
          <w:noProof/>
          <w:sz w:val="24"/>
          <w:highlight w:val="yellow"/>
          <w:lang w:val="en-IE"/>
        </w:rPr>
      </w:pPr>
      <w:r>
        <w:rPr>
          <w:rFonts w:ascii="Times New Roman" w:hAnsi="Times New Roman" w:cs="Times New Roman"/>
          <w:noProof/>
          <w:sz w:val="24"/>
          <w:lang w:eastAsia="en-GB"/>
        </w:rPr>
        <w:drawing>
          <wp:inline distT="0" distB="0" distL="0" distR="0">
            <wp:extent cx="1962289" cy="406913"/>
            <wp:effectExtent l="0" t="0" r="0" b="0"/>
            <wp:docPr id="720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37"/>
                    <a:stretch>
                      <a:fillRect/>
                    </a:stretch>
                  </pic:blipFill>
                  <pic:spPr>
                    <a:xfrm>
                      <a:off x="0" y="0"/>
                      <a:ext cx="2143752" cy="444542"/>
                    </a:xfrm>
                    <a:prstGeom prst="rect">
                      <a:avLst/>
                    </a:prstGeom>
                  </pic:spPr>
                </pic:pic>
              </a:graphicData>
            </a:graphic>
          </wp:inline>
        </w:drawing>
      </w:r>
    </w:p>
    <w:p w:rsidR="00DA7543" w:rsidRDefault="00DA7543">
      <w:pPr>
        <w:jc w:val="both"/>
        <w:rPr>
          <w:rFonts w:ascii="Times New Roman" w:hAnsi="Times New Roman" w:cs="Times New Roman"/>
          <w:noProof/>
          <w:sz w:val="24"/>
          <w:highlight w:val="yellow"/>
          <w:lang w:val="en-IE"/>
        </w:rPr>
      </w:pPr>
    </w:p>
    <w:p w:rsidR="00DA7543" w:rsidRDefault="00DA7543">
      <w:pPr>
        <w:jc w:val="both"/>
        <w:rPr>
          <w:rFonts w:ascii="Times New Roman" w:hAnsi="Times New Roman" w:cs="Times New Roman"/>
          <w:noProof/>
          <w:sz w:val="24"/>
          <w:highlight w:val="yellow"/>
          <w:lang w:val="en-IE"/>
        </w:rPr>
      </w:pPr>
    </w:p>
    <w:p w:rsidR="00DA7543" w:rsidRDefault="00DA7543">
      <w:pPr>
        <w:jc w:val="both"/>
        <w:rPr>
          <w:rFonts w:ascii="Times New Roman" w:hAnsi="Times New Roman" w:cs="Times New Roman"/>
          <w:noProof/>
          <w:sz w:val="24"/>
          <w:highlight w:val="yellow"/>
          <w:lang w:val="en-IE"/>
        </w:rPr>
      </w:pPr>
    </w:p>
    <w:p w:rsidR="00DA7543" w:rsidRDefault="00DA7543">
      <w:pPr>
        <w:jc w:val="both"/>
        <w:rPr>
          <w:rFonts w:ascii="Times New Roman" w:hAnsi="Times New Roman" w:cs="Times New Roman"/>
          <w:noProof/>
          <w:sz w:val="24"/>
          <w:highlight w:val="yellow"/>
          <w:lang w:val="en-IE"/>
        </w:rPr>
      </w:pPr>
    </w:p>
    <w:p w:rsidR="00DA7543" w:rsidRDefault="00DA7543">
      <w:pPr>
        <w:jc w:val="both"/>
        <w:rPr>
          <w:rFonts w:ascii="Times New Roman" w:hAnsi="Times New Roman" w:cs="Times New Roman"/>
          <w:noProof/>
          <w:sz w:val="24"/>
          <w:highlight w:val="yellow"/>
          <w:lang w:val="en-IE"/>
        </w:rPr>
      </w:pPr>
    </w:p>
    <w:p w:rsidR="00DA7543" w:rsidRDefault="007C073D">
      <w:pPr>
        <w:jc w:val="both"/>
        <w:rPr>
          <w:rFonts w:ascii="Times New Roman" w:hAnsi="Times New Roman" w:cs="Times New Roman"/>
          <w:b/>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_Ref54795242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3.1.2</w:t>
      </w:r>
      <w:r>
        <w:rPr>
          <w:rFonts w:ascii="Times New Roman" w:hAnsi="Times New Roman" w:cs="Times New Roman"/>
          <w:iCs/>
          <w:noProof/>
          <w:color w:val="000000" w:themeColor="text1"/>
          <w:sz w:val="24"/>
          <w:lang w:val="en-IE"/>
        </w:rPr>
        <w:noBreakHyphen/>
        <w:t>2</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gives an overview of the results for publicly accessible CNG refuelling points</w:t>
      </w:r>
      <w:r>
        <w:rPr>
          <w:rStyle w:val="FootnoteReference"/>
          <w:rFonts w:ascii="Times New Roman" w:hAnsi="Times New Roman" w:cs="Times New Roman"/>
          <w:noProof/>
          <w:sz w:val="24"/>
          <w:lang w:val="en-IE"/>
        </w:rPr>
        <w:footnoteReference w:id="13"/>
      </w:r>
      <w:r>
        <w:rPr>
          <w:rFonts w:ascii="Times New Roman" w:hAnsi="Times New Roman" w:cs="Times New Roman"/>
          <w:noProof/>
          <w:sz w:val="24"/>
          <w:lang w:val="en-IE"/>
        </w:rPr>
        <w:t xml:space="preserve"> in each country. Due to the limited information provided, it was not possible to compute several parameters for six of the assessed NIRs.</w:t>
      </w:r>
    </w:p>
    <w:p w:rsidR="00DA7543" w:rsidRDefault="00DA7543">
      <w:pPr>
        <w:rPr>
          <w:rFonts w:ascii="Times New Roman" w:hAnsi="Times New Roman" w:cs="Times New Roman"/>
          <w:b/>
          <w:noProof/>
          <w:sz w:val="24"/>
          <w:lang w:val="en-IE"/>
        </w:rPr>
      </w:pPr>
    </w:p>
    <w:p w:rsidR="00DA7543" w:rsidRDefault="007C073D">
      <w:pPr>
        <w:rPr>
          <w:rFonts w:ascii="Times New Roman" w:hAnsi="Times New Roman" w:cs="Times New Roman"/>
          <w:noProof/>
          <w:sz w:val="24"/>
          <w:lang w:val="en-IE"/>
        </w:rPr>
      </w:pPr>
      <w:bookmarkStart w:id="92" w:name="_Ref54795242"/>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3.1.2</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2</w:t>
      </w:r>
      <w:r>
        <w:rPr>
          <w:rFonts w:ascii="Times New Roman" w:hAnsi="Times New Roman" w:cs="Times New Roman"/>
          <w:i/>
          <w:iCs/>
          <w:noProof/>
          <w:color w:val="000000" w:themeColor="text1"/>
          <w:sz w:val="20"/>
          <w:szCs w:val="18"/>
          <w:lang w:val="en-IE"/>
        </w:rPr>
        <w:fldChar w:fldCharType="end"/>
      </w:r>
      <w:bookmarkEnd w:id="92"/>
      <w:r>
        <w:rPr>
          <w:rFonts w:ascii="Times New Roman" w:hAnsi="Times New Roman" w:cs="Times New Roman"/>
          <w:i/>
          <w:noProof/>
          <w:sz w:val="20"/>
          <w:lang w:val="en-IE"/>
        </w:rPr>
        <w:t xml:space="preserve"> Overview of CNG / road AFI</w:t>
      </w:r>
    </w:p>
    <w:p w:rsidR="00DA7543" w:rsidRDefault="007C073D">
      <w:pPr>
        <w:jc w:val="both"/>
        <w:rPr>
          <w:rFonts w:ascii="Times New Roman" w:hAnsi="Times New Roman" w:cs="Times New Roman"/>
          <w:noProof/>
          <w:sz w:val="24"/>
          <w:highlight w:val="yellow"/>
          <w:lang w:val="en-IE"/>
        </w:rPr>
      </w:pPr>
      <w:r>
        <w:rPr>
          <w:rFonts w:ascii="Times New Roman" w:hAnsi="Times New Roman" w:cs="Times New Roman"/>
          <w:noProof/>
          <w:sz w:val="24"/>
          <w:lang w:eastAsia="en-GB"/>
        </w:rPr>
        <w:drawing>
          <wp:inline distT="0" distB="0" distL="0" distR="0">
            <wp:extent cx="5760720" cy="5271770"/>
            <wp:effectExtent l="0" t="0" r="0" b="5080"/>
            <wp:docPr id="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pic:cNvPicPr>
                  </pic:nvPicPr>
                  <pic:blipFill>
                    <a:blip r:embed="rId40"/>
                    <a:stretch>
                      <a:fillRect/>
                    </a:stretch>
                  </pic:blipFill>
                  <pic:spPr>
                    <a:xfrm>
                      <a:off x="0" y="0"/>
                      <a:ext cx="5760720" cy="5271770"/>
                    </a:xfrm>
                    <a:prstGeom prst="rect">
                      <a:avLst/>
                    </a:prstGeom>
                  </pic:spPr>
                </pic:pic>
              </a:graphicData>
            </a:graphic>
          </wp:inline>
        </w:drawing>
      </w:r>
    </w:p>
    <w:p w:rsidR="00DA7543" w:rsidRDefault="007C073D">
      <w:pPr>
        <w:jc w:val="both"/>
        <w:rPr>
          <w:rFonts w:ascii="Times New Roman" w:hAnsi="Times New Roman" w:cs="Times New Roman"/>
          <w:noProof/>
          <w:sz w:val="24"/>
          <w:highlight w:val="yellow"/>
          <w:lang w:val="en-IE"/>
        </w:rPr>
      </w:pPr>
      <w:r>
        <w:rPr>
          <w:rFonts w:ascii="Times New Roman" w:hAnsi="Times New Roman" w:cs="Times New Roman"/>
          <w:noProof/>
          <w:sz w:val="24"/>
          <w:lang w:eastAsia="en-GB"/>
        </w:rPr>
        <w:drawing>
          <wp:inline distT="0" distB="0" distL="0" distR="0">
            <wp:extent cx="1962289" cy="406913"/>
            <wp:effectExtent l="0" t="0" r="0" b="0"/>
            <wp:docPr id="722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37"/>
                    <a:stretch>
                      <a:fillRect/>
                    </a:stretch>
                  </pic:blipFill>
                  <pic:spPr>
                    <a:xfrm>
                      <a:off x="0" y="0"/>
                      <a:ext cx="2143752" cy="444542"/>
                    </a:xfrm>
                    <a:prstGeom prst="rect">
                      <a:avLst/>
                    </a:prstGeom>
                  </pic:spPr>
                </pic:pic>
              </a:graphicData>
            </a:graphic>
          </wp:inline>
        </w:drawing>
      </w:r>
    </w:p>
    <w:p w:rsidR="00DA7543" w:rsidRDefault="00DA7543">
      <w:pPr>
        <w:jc w:val="both"/>
        <w:rPr>
          <w:rFonts w:ascii="Times New Roman" w:hAnsi="Times New Roman" w:cs="Times New Roman"/>
          <w:noProof/>
          <w:sz w:val="24"/>
          <w:highlight w:val="yellow"/>
          <w:lang w:val="en-IE"/>
        </w:rPr>
      </w:pPr>
    </w:p>
    <w:p w:rsidR="00DA7543" w:rsidRDefault="00DA7543">
      <w:pPr>
        <w:jc w:val="both"/>
        <w:rPr>
          <w:rFonts w:ascii="Times New Roman" w:hAnsi="Times New Roman" w:cs="Times New Roman"/>
          <w:noProof/>
          <w:sz w:val="24"/>
          <w:highlight w:val="yellow"/>
          <w:lang w:val="en-IE"/>
        </w:rPr>
      </w:pPr>
    </w:p>
    <w:p w:rsidR="00DA7543" w:rsidRDefault="00DA7543">
      <w:pPr>
        <w:jc w:val="both"/>
        <w:rPr>
          <w:rFonts w:ascii="Times New Roman" w:hAnsi="Times New Roman" w:cs="Times New Roman"/>
          <w:noProof/>
          <w:sz w:val="24"/>
          <w:highlight w:val="yellow"/>
          <w:lang w:val="en-IE"/>
        </w:rPr>
      </w:pPr>
    </w:p>
    <w:p w:rsidR="00DA7543" w:rsidRDefault="00DA7543">
      <w:pPr>
        <w:jc w:val="both"/>
        <w:rPr>
          <w:rFonts w:ascii="Times New Roman" w:hAnsi="Times New Roman" w:cs="Times New Roman"/>
          <w:noProof/>
          <w:sz w:val="24"/>
          <w:lang w:val="en-IE"/>
        </w:rPr>
      </w:pPr>
    </w:p>
    <w:p w:rsidR="00DA7543" w:rsidRDefault="007C073D">
      <w:pPr>
        <w:pStyle w:val="Heading3"/>
        <w:rPr>
          <w:rFonts w:ascii="Times New Roman" w:hAnsi="Times New Roman" w:cs="Times New Roman"/>
          <w:noProof/>
          <w:sz w:val="24"/>
          <w:lang w:val="en-IE"/>
        </w:rPr>
      </w:pPr>
      <w:bookmarkStart w:id="93" w:name="_Toc65241954"/>
      <w:r>
        <w:rPr>
          <w:rFonts w:ascii="Times New Roman" w:hAnsi="Times New Roman" w:cs="Times New Roman"/>
          <w:noProof/>
          <w:sz w:val="24"/>
          <w:lang w:val="en-IE"/>
        </w:rPr>
        <w:t xml:space="preserve">Measures </w:t>
      </w:r>
      <w:r>
        <w:rPr>
          <w:rFonts w:ascii="Times New Roman" w:hAnsi="Times New Roman" w:cs="Times New Roman"/>
          <w:noProof/>
          <w:sz w:val="24"/>
          <w:lang w:val="en-IE"/>
        </w:rPr>
        <w:t>(Electricity and CNG)</w:t>
      </w:r>
      <w:bookmarkEnd w:id="93"/>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_Ref54795361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3.1.3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provides an overview of the measure assessment results for the pairs electricity/road and CNG/road for each country. As it can be seen, for the latter pair it was not possible to compute the impact for three of the assessed NIRs, due to the limited inform</w:t>
      </w:r>
      <w:r>
        <w:rPr>
          <w:rFonts w:ascii="Times New Roman" w:hAnsi="Times New Roman" w:cs="Times New Roman"/>
          <w:noProof/>
          <w:sz w:val="24"/>
          <w:lang w:val="en-IE"/>
        </w:rPr>
        <w:t>ation provided.</w:t>
      </w:r>
    </w:p>
    <w:p w:rsidR="00DA7543" w:rsidRDefault="00DA7543">
      <w:pPr>
        <w:jc w:val="both"/>
        <w:rPr>
          <w:rFonts w:ascii="Times New Roman" w:hAnsi="Times New Roman" w:cs="Times New Roman"/>
          <w:noProof/>
          <w:sz w:val="24"/>
          <w:highlight w:val="yellow"/>
          <w:lang w:val="en-IE"/>
        </w:rPr>
      </w:pPr>
    </w:p>
    <w:p w:rsidR="00DA7543" w:rsidRDefault="007C073D">
      <w:pPr>
        <w:rPr>
          <w:rFonts w:ascii="Times New Roman" w:hAnsi="Times New Roman" w:cs="Times New Roman"/>
          <w:noProof/>
          <w:sz w:val="24"/>
          <w:highlight w:val="yellow"/>
          <w:lang w:val="en-IE"/>
        </w:rPr>
      </w:pPr>
      <w:bookmarkStart w:id="94" w:name="_Ref54795361"/>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3.1.3</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94"/>
      <w:r>
        <w:rPr>
          <w:rFonts w:ascii="Times New Roman" w:hAnsi="Times New Roman" w:cs="Times New Roman"/>
          <w:i/>
          <w:noProof/>
          <w:sz w:val="20"/>
          <w:lang w:val="en-IE"/>
        </w:rPr>
        <w:t xml:space="preserve"> Overview of the measure assessment results for electricity / road and CNG / road</w:t>
      </w:r>
    </w:p>
    <w:p w:rsidR="00DA7543" w:rsidRDefault="007C073D">
      <w:pPr>
        <w:jc w:val="both"/>
        <w:rPr>
          <w:rFonts w:ascii="Times New Roman" w:hAnsi="Times New Roman" w:cs="Times New Roman"/>
          <w:noProof/>
          <w:sz w:val="24"/>
          <w:highlight w:val="yellow"/>
          <w:lang w:val="en-IE"/>
        </w:rPr>
      </w:pPr>
      <w:r>
        <w:rPr>
          <w:rFonts w:ascii="Times New Roman" w:hAnsi="Times New Roman" w:cs="Times New Roman"/>
          <w:noProof/>
          <w:sz w:val="24"/>
          <w:lang w:eastAsia="en-GB"/>
        </w:rPr>
        <w:drawing>
          <wp:inline distT="0" distB="0" distL="0" distR="0">
            <wp:extent cx="5760720" cy="611191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6111919"/>
                    </a:xfrm>
                    <a:prstGeom prst="rect">
                      <a:avLst/>
                    </a:prstGeom>
                    <a:noFill/>
                    <a:ln>
                      <a:noFill/>
                    </a:ln>
                  </pic:spPr>
                </pic:pic>
              </a:graphicData>
            </a:graphic>
          </wp:inline>
        </w:drawing>
      </w:r>
    </w:p>
    <w:p w:rsidR="00DA7543" w:rsidRDefault="007C073D">
      <w:pPr>
        <w:jc w:val="both"/>
        <w:rPr>
          <w:rFonts w:ascii="Times New Roman" w:hAnsi="Times New Roman" w:cs="Times New Roman"/>
          <w:noProof/>
          <w:sz w:val="24"/>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w:t>
      </w:r>
      <w:r>
        <w:rPr>
          <w:rFonts w:ascii="Times New Roman" w:eastAsia="Calibri" w:hAnsi="Times New Roman" w:cs="Times New Roman"/>
          <w:noProof/>
          <w:sz w:val="20"/>
          <w:szCs w:val="18"/>
          <w:lang w:val="en-IE"/>
        </w:rPr>
        <w:t xml:space="preserve"> C = comprehensive; N = Not comprehensive. Ambition level: ‘+’ means ‘higher’; ‘=’ means ‘comparable’; ‘-‘ means ‘lower’.</w:t>
      </w:r>
    </w:p>
    <w:p w:rsidR="00DA7543" w:rsidRDefault="00DA7543">
      <w:pPr>
        <w:rPr>
          <w:rFonts w:ascii="Times New Roman" w:hAnsi="Times New Roman" w:cs="Times New Roman"/>
          <w:noProof/>
          <w:sz w:val="24"/>
          <w:lang w:val="en-IE"/>
        </w:rPr>
      </w:pPr>
    </w:p>
    <w:p w:rsidR="00DA7543" w:rsidRDefault="007C073D">
      <w:pPr>
        <w:pStyle w:val="Heading3"/>
        <w:rPr>
          <w:rFonts w:ascii="Times New Roman" w:hAnsi="Times New Roman" w:cs="Times New Roman"/>
          <w:noProof/>
          <w:sz w:val="24"/>
          <w:lang w:val="en-IE"/>
        </w:rPr>
      </w:pPr>
      <w:bookmarkStart w:id="95" w:name="_Toc65241955"/>
      <w:r>
        <w:rPr>
          <w:rFonts w:ascii="Times New Roman" w:hAnsi="Times New Roman" w:cs="Times New Roman"/>
          <w:noProof/>
          <w:sz w:val="24"/>
          <w:lang w:val="en-IE"/>
        </w:rPr>
        <w:t>LNG (alternative fuels vehicles and infrastructure)</w:t>
      </w:r>
      <w:bookmarkEnd w:id="95"/>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_Ref54795556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3.1.4</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gives an overview of the results for LNG vehicles and the corresponding publicly accessible refuelling points</w:t>
      </w:r>
      <w:r>
        <w:rPr>
          <w:rStyle w:val="FootnoteReference"/>
          <w:rFonts w:ascii="Times New Roman" w:hAnsi="Times New Roman" w:cs="Times New Roman"/>
          <w:noProof/>
          <w:sz w:val="24"/>
          <w:lang w:val="en-IE"/>
        </w:rPr>
        <w:footnoteReference w:id="14"/>
      </w:r>
      <w:r>
        <w:rPr>
          <w:rFonts w:ascii="Times New Roman" w:hAnsi="Times New Roman" w:cs="Times New Roman"/>
          <w:noProof/>
          <w:sz w:val="24"/>
          <w:lang w:val="en-IE"/>
        </w:rPr>
        <w:t xml:space="preserve"> in each country. As it can be seen, the level of coverage in terms of assessable </w:t>
      </w:r>
      <w:r>
        <w:rPr>
          <w:rFonts w:ascii="Times New Roman" w:hAnsi="Times New Roman" w:cs="Times New Roman"/>
          <w:noProof/>
          <w:sz w:val="24"/>
          <w:lang w:val="en-IE"/>
        </w:rPr>
        <w:t xml:space="preserve">information is quite sparse. </w:t>
      </w:r>
    </w:p>
    <w:p w:rsidR="00DA7543" w:rsidRDefault="00DA7543">
      <w:pPr>
        <w:rPr>
          <w:rFonts w:ascii="Times New Roman" w:hAnsi="Times New Roman" w:cs="Times New Roman"/>
          <w:b/>
          <w:noProof/>
          <w:sz w:val="24"/>
          <w:lang w:val="en-IE"/>
        </w:rPr>
      </w:pPr>
    </w:p>
    <w:p w:rsidR="00DA7543" w:rsidRDefault="007C073D">
      <w:pPr>
        <w:rPr>
          <w:rFonts w:ascii="Times New Roman" w:hAnsi="Times New Roman" w:cs="Times New Roman"/>
          <w:noProof/>
          <w:sz w:val="24"/>
          <w:highlight w:val="yellow"/>
          <w:lang w:val="en-IE"/>
        </w:rPr>
      </w:pPr>
      <w:bookmarkStart w:id="96" w:name="_Ref54795556"/>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3.1.4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96"/>
      <w:r>
        <w:rPr>
          <w:rFonts w:ascii="Times New Roman" w:hAnsi="Times New Roman" w:cs="Times New Roman"/>
          <w:i/>
          <w:noProof/>
          <w:sz w:val="20"/>
          <w:lang w:val="en-IE"/>
        </w:rPr>
        <w:t xml:space="preserve"> Overview of LNG / road</w:t>
      </w:r>
    </w:p>
    <w:p w:rsidR="00DA7543" w:rsidRDefault="007C073D">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60720" cy="4928235"/>
            <wp:effectExtent l="0" t="0" r="0" b="5715"/>
            <wp:docPr id="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42"/>
                    <a:stretch>
                      <a:fillRect/>
                    </a:stretch>
                  </pic:blipFill>
                  <pic:spPr>
                    <a:xfrm>
                      <a:off x="0" y="0"/>
                      <a:ext cx="5760720" cy="4928235"/>
                    </a:xfrm>
                    <a:prstGeom prst="rect">
                      <a:avLst/>
                    </a:prstGeom>
                  </pic:spPr>
                </pic:pic>
              </a:graphicData>
            </a:graphic>
          </wp:inline>
        </w:drawing>
      </w:r>
    </w:p>
    <w:p w:rsidR="00DA7543" w:rsidRDefault="007C073D">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1962289" cy="406913"/>
            <wp:effectExtent l="0" t="0" r="0" b="0"/>
            <wp:docPr id="722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37"/>
                    <a:stretch>
                      <a:fillRect/>
                    </a:stretch>
                  </pic:blipFill>
                  <pic:spPr>
                    <a:xfrm>
                      <a:off x="0" y="0"/>
                      <a:ext cx="2143752" cy="444542"/>
                    </a:xfrm>
                    <a:prstGeom prst="rect">
                      <a:avLst/>
                    </a:prstGeom>
                  </pic:spPr>
                </pic:pic>
              </a:graphicData>
            </a:graphic>
          </wp:inline>
        </w:drawing>
      </w:r>
    </w:p>
    <w:p w:rsidR="00DA7543" w:rsidRDefault="00DA7543">
      <w:pPr>
        <w:rPr>
          <w:rFonts w:ascii="Times New Roman" w:hAnsi="Times New Roman" w:cs="Times New Roman"/>
          <w:noProof/>
          <w:sz w:val="24"/>
          <w:lang w:val="en-IE"/>
        </w:rPr>
      </w:pPr>
    </w:p>
    <w:p w:rsidR="00DA7543" w:rsidRDefault="00DA7543">
      <w:pPr>
        <w:rPr>
          <w:rFonts w:ascii="Times New Roman" w:hAnsi="Times New Roman" w:cs="Times New Roman"/>
          <w:noProof/>
          <w:sz w:val="24"/>
          <w:lang w:val="en-IE"/>
        </w:rPr>
      </w:pPr>
    </w:p>
    <w:p w:rsidR="00DA7543" w:rsidRDefault="00DA7543">
      <w:pPr>
        <w:rPr>
          <w:rFonts w:ascii="Times New Roman" w:hAnsi="Times New Roman" w:cs="Times New Roman"/>
          <w:noProof/>
          <w:sz w:val="24"/>
          <w:lang w:val="en-IE"/>
        </w:rPr>
      </w:pPr>
    </w:p>
    <w:p w:rsidR="00DA7543" w:rsidRDefault="00DA7543">
      <w:pPr>
        <w:rPr>
          <w:rFonts w:ascii="Times New Roman" w:hAnsi="Times New Roman" w:cs="Times New Roman"/>
          <w:noProof/>
          <w:sz w:val="24"/>
          <w:lang w:val="en-IE"/>
        </w:rPr>
      </w:pPr>
    </w:p>
    <w:p w:rsidR="00DA7543" w:rsidRDefault="00DA7543">
      <w:pPr>
        <w:rPr>
          <w:rFonts w:ascii="Times New Roman" w:hAnsi="Times New Roman" w:cs="Times New Roman"/>
          <w:noProof/>
          <w:sz w:val="24"/>
          <w:lang w:val="en-IE"/>
        </w:rPr>
      </w:pPr>
    </w:p>
    <w:p w:rsidR="00DA7543" w:rsidRDefault="007C073D">
      <w:pPr>
        <w:pStyle w:val="Heading3"/>
        <w:rPr>
          <w:rFonts w:ascii="Times New Roman" w:hAnsi="Times New Roman" w:cs="Times New Roman"/>
          <w:noProof/>
          <w:sz w:val="24"/>
          <w:lang w:val="en-IE"/>
        </w:rPr>
      </w:pPr>
      <w:bookmarkStart w:id="97" w:name="_Toc65241956"/>
      <w:r>
        <w:rPr>
          <w:rFonts w:ascii="Times New Roman" w:hAnsi="Times New Roman" w:cs="Times New Roman"/>
          <w:noProof/>
          <w:sz w:val="24"/>
          <w:lang w:val="en-IE"/>
        </w:rPr>
        <w:t>Hydrogen (alternative fuels vehicles and infrastructure)</w:t>
      </w:r>
      <w:bookmarkEnd w:id="97"/>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_Ref54795924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3.1.5</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gives an overview of the results for hydrogen vehicles and the corresponding publicly accessible refuelling points</w:t>
      </w:r>
      <w:r>
        <w:rPr>
          <w:rStyle w:val="FootnoteReference"/>
          <w:rFonts w:ascii="Times New Roman" w:hAnsi="Times New Roman" w:cs="Times New Roman"/>
          <w:noProof/>
          <w:sz w:val="24"/>
          <w:lang w:val="en-IE"/>
        </w:rPr>
        <w:footnoteReference w:id="15"/>
      </w:r>
      <w:r>
        <w:rPr>
          <w:rFonts w:ascii="Times New Roman" w:hAnsi="Times New Roman" w:cs="Times New Roman"/>
          <w:noProof/>
          <w:sz w:val="24"/>
          <w:lang w:val="en-IE"/>
        </w:rPr>
        <w:t xml:space="preserve"> in each country. Also in this case the level of coverage is quite scarce, al</w:t>
      </w:r>
      <w:r>
        <w:rPr>
          <w:rFonts w:ascii="Times New Roman" w:hAnsi="Times New Roman" w:cs="Times New Roman"/>
          <w:noProof/>
          <w:sz w:val="24"/>
          <w:lang w:val="en-IE"/>
        </w:rPr>
        <w:t xml:space="preserve">though it is worth reminding that, according to the Directive, it was not compulsory to include hydrogen in the NPF (hence in the NIR). </w:t>
      </w:r>
    </w:p>
    <w:p w:rsidR="00DA7543" w:rsidRDefault="00DA7543">
      <w:pPr>
        <w:rPr>
          <w:rFonts w:ascii="Times New Roman" w:hAnsi="Times New Roman" w:cs="Times New Roman"/>
          <w:noProof/>
          <w:sz w:val="24"/>
          <w:lang w:val="en-IE"/>
        </w:rPr>
      </w:pPr>
    </w:p>
    <w:p w:rsidR="00DA7543" w:rsidRDefault="007C073D">
      <w:pPr>
        <w:rPr>
          <w:rFonts w:ascii="Times New Roman" w:hAnsi="Times New Roman" w:cs="Times New Roman"/>
          <w:noProof/>
          <w:sz w:val="24"/>
          <w:highlight w:val="yellow"/>
          <w:lang w:val="en-IE"/>
        </w:rPr>
      </w:pPr>
      <w:bookmarkStart w:id="98" w:name="_Ref54795924"/>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3.1.5</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98"/>
      <w:r>
        <w:rPr>
          <w:rFonts w:ascii="Times New Roman" w:hAnsi="Times New Roman" w:cs="Times New Roman"/>
          <w:i/>
          <w:noProof/>
          <w:sz w:val="20"/>
          <w:lang w:val="en-IE"/>
        </w:rPr>
        <w:t xml:space="preserve"> Overview of hydrogen / road</w:t>
      </w:r>
    </w:p>
    <w:p w:rsidR="00DA7543" w:rsidRDefault="007C073D">
      <w:pPr>
        <w:rPr>
          <w:rFonts w:ascii="Times New Roman" w:hAnsi="Times New Roman" w:cs="Times New Roman"/>
          <w:noProof/>
          <w:sz w:val="24"/>
          <w:lang w:val="en-IE"/>
        </w:rPr>
      </w:pPr>
      <w:r>
        <w:rPr>
          <w:noProof/>
          <w:lang w:eastAsia="en-GB"/>
        </w:rPr>
        <w:drawing>
          <wp:inline distT="0" distB="0" distL="0" distR="0">
            <wp:extent cx="5760720" cy="51247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5124766"/>
                    </a:xfrm>
                    <a:prstGeom prst="rect">
                      <a:avLst/>
                    </a:prstGeom>
                    <a:noFill/>
                    <a:ln>
                      <a:noFill/>
                    </a:ln>
                  </pic:spPr>
                </pic:pic>
              </a:graphicData>
            </a:graphic>
          </wp:inline>
        </w:drawing>
      </w:r>
    </w:p>
    <w:p w:rsidR="00DA7543" w:rsidRDefault="007C073D">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1962289" cy="406913"/>
            <wp:effectExtent l="0" t="0" r="0" b="0"/>
            <wp:docPr id="72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37"/>
                    <a:stretch>
                      <a:fillRect/>
                    </a:stretch>
                  </pic:blipFill>
                  <pic:spPr>
                    <a:xfrm>
                      <a:off x="0" y="0"/>
                      <a:ext cx="2143752" cy="444542"/>
                    </a:xfrm>
                    <a:prstGeom prst="rect">
                      <a:avLst/>
                    </a:prstGeom>
                  </pic:spPr>
                </pic:pic>
              </a:graphicData>
            </a:graphic>
          </wp:inline>
        </w:drawing>
      </w:r>
    </w:p>
    <w:p w:rsidR="00DA7543" w:rsidRDefault="00DA7543">
      <w:pPr>
        <w:rPr>
          <w:rFonts w:ascii="Times New Roman" w:hAnsi="Times New Roman" w:cs="Times New Roman"/>
          <w:noProof/>
          <w:sz w:val="24"/>
          <w:lang w:val="en-IE"/>
        </w:rPr>
      </w:pPr>
    </w:p>
    <w:p w:rsidR="00DA7543" w:rsidRDefault="00DA7543">
      <w:pPr>
        <w:rPr>
          <w:rFonts w:ascii="Times New Roman" w:hAnsi="Times New Roman" w:cs="Times New Roman"/>
          <w:noProof/>
          <w:sz w:val="24"/>
          <w:lang w:val="en-IE"/>
        </w:rPr>
      </w:pPr>
    </w:p>
    <w:p w:rsidR="00DA7543" w:rsidRDefault="00DA7543">
      <w:pPr>
        <w:rPr>
          <w:rFonts w:ascii="Times New Roman" w:hAnsi="Times New Roman" w:cs="Times New Roman"/>
          <w:noProof/>
          <w:sz w:val="24"/>
          <w:lang w:val="en-IE"/>
        </w:rPr>
      </w:pPr>
    </w:p>
    <w:p w:rsidR="00DA7543" w:rsidRDefault="007C073D">
      <w:pPr>
        <w:pStyle w:val="Heading3"/>
        <w:rPr>
          <w:rFonts w:ascii="Times New Roman" w:hAnsi="Times New Roman" w:cs="Times New Roman"/>
          <w:noProof/>
          <w:sz w:val="24"/>
          <w:lang w:val="en-IE"/>
        </w:rPr>
      </w:pPr>
      <w:bookmarkStart w:id="99" w:name="_Toc65241957"/>
      <w:r>
        <w:rPr>
          <w:rFonts w:ascii="Times New Roman" w:hAnsi="Times New Roman" w:cs="Times New Roman"/>
          <w:noProof/>
          <w:sz w:val="24"/>
          <w:lang w:val="en-IE"/>
        </w:rPr>
        <w:t xml:space="preserve">Measures (LNG and </w:t>
      </w:r>
      <w:r>
        <w:rPr>
          <w:rFonts w:ascii="Times New Roman" w:hAnsi="Times New Roman" w:cs="Times New Roman"/>
          <w:noProof/>
          <w:sz w:val="24"/>
          <w:lang w:val="en-IE"/>
        </w:rPr>
        <w:t>Hydrogen)</w:t>
      </w:r>
      <w:bookmarkEnd w:id="99"/>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_Ref54796437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3.1.6</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provides an overview of the measure assessment results for the pairs LNG/road and hydrogen/road for each country. As it can be seen and due to the limited information provided, it was not poss</w:t>
      </w:r>
      <w:r>
        <w:rPr>
          <w:rFonts w:ascii="Times New Roman" w:hAnsi="Times New Roman" w:cs="Times New Roman"/>
          <w:noProof/>
          <w:sz w:val="24"/>
          <w:lang w:val="en-IE"/>
        </w:rPr>
        <w:t>ible to compute the impact for eight of the assessed NIRs in the case of LNG/road and for four in the case of hydrogen/road.</w:t>
      </w:r>
    </w:p>
    <w:p w:rsidR="00DA7543" w:rsidRDefault="00DA7543">
      <w:pPr>
        <w:rPr>
          <w:rFonts w:ascii="Times New Roman" w:hAnsi="Times New Roman" w:cs="Times New Roman"/>
          <w:noProof/>
          <w:sz w:val="24"/>
          <w:lang w:val="en-IE"/>
        </w:rPr>
      </w:pPr>
    </w:p>
    <w:p w:rsidR="00DA7543" w:rsidRDefault="007C073D">
      <w:pPr>
        <w:rPr>
          <w:rFonts w:ascii="Times New Roman" w:hAnsi="Times New Roman" w:cs="Times New Roman"/>
          <w:noProof/>
          <w:sz w:val="24"/>
          <w:highlight w:val="yellow"/>
          <w:lang w:val="en-IE"/>
        </w:rPr>
      </w:pPr>
      <w:bookmarkStart w:id="100" w:name="_Ref54796437"/>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3.1.6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00"/>
      <w:r>
        <w:rPr>
          <w:rFonts w:ascii="Times New Roman" w:hAnsi="Times New Roman" w:cs="Times New Roman"/>
          <w:i/>
          <w:noProof/>
          <w:sz w:val="20"/>
          <w:lang w:val="en-IE"/>
        </w:rPr>
        <w:t xml:space="preserve"> Overview of the measure assessment results for LNG / road and hydrogen / road</w:t>
      </w:r>
    </w:p>
    <w:p w:rsidR="00DA7543" w:rsidRDefault="007C073D">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60720" cy="6110199"/>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6110199"/>
                    </a:xfrm>
                    <a:prstGeom prst="rect">
                      <a:avLst/>
                    </a:prstGeom>
                    <a:noFill/>
                    <a:ln>
                      <a:noFill/>
                    </a:ln>
                  </pic:spPr>
                </pic:pic>
              </a:graphicData>
            </a:graphic>
          </wp:inline>
        </w:drawing>
      </w:r>
    </w:p>
    <w:p w:rsidR="00DA7543" w:rsidRDefault="007C073D">
      <w:pPr>
        <w:jc w:val="both"/>
        <w:rPr>
          <w:rFonts w:ascii="Times New Roman" w:hAnsi="Times New Roman" w:cs="Times New Roman"/>
          <w:noProof/>
          <w:sz w:val="24"/>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w:t>
      </w:r>
      <w:r>
        <w:rPr>
          <w:rFonts w:ascii="Times New Roman" w:eastAsia="Calibri" w:hAnsi="Times New Roman" w:cs="Times New Roman"/>
          <w:noProof/>
          <w:sz w:val="20"/>
          <w:szCs w:val="18"/>
          <w:lang w:val="en-IE"/>
        </w:rPr>
        <w:t>=’ means ‘comparable’; ‘-‘ means ‘lower’.</w:t>
      </w:r>
    </w:p>
    <w:p w:rsidR="00DA7543" w:rsidRDefault="00DA7543">
      <w:pPr>
        <w:rPr>
          <w:rFonts w:ascii="Times New Roman" w:hAnsi="Times New Roman" w:cs="Times New Roman"/>
          <w:noProof/>
          <w:sz w:val="24"/>
          <w:lang w:val="en-IE"/>
        </w:rPr>
      </w:pPr>
    </w:p>
    <w:p w:rsidR="00DA7543" w:rsidRDefault="007C073D">
      <w:pPr>
        <w:pStyle w:val="Heading2"/>
        <w:rPr>
          <w:rFonts w:ascii="Times New Roman" w:hAnsi="Times New Roman" w:cs="Times New Roman"/>
          <w:noProof/>
          <w:sz w:val="24"/>
          <w:lang w:val="en-IE"/>
        </w:rPr>
      </w:pPr>
      <w:bookmarkStart w:id="101" w:name="_Toc65241958"/>
      <w:r>
        <w:rPr>
          <w:rFonts w:ascii="Times New Roman" w:hAnsi="Times New Roman" w:cs="Times New Roman"/>
          <w:noProof/>
          <w:sz w:val="24"/>
          <w:lang w:val="en-IE"/>
        </w:rPr>
        <w:t>Waterborne transport</w:t>
      </w:r>
      <w:bookmarkEnd w:id="101"/>
    </w:p>
    <w:p w:rsidR="00DA7543" w:rsidRDefault="007C073D">
      <w:pPr>
        <w:pStyle w:val="Heading3"/>
        <w:rPr>
          <w:rFonts w:ascii="Times New Roman" w:hAnsi="Times New Roman" w:cs="Times New Roman"/>
          <w:noProof/>
          <w:sz w:val="24"/>
          <w:lang w:val="en-IE"/>
        </w:rPr>
      </w:pPr>
      <w:bookmarkStart w:id="102" w:name="_Toc65241959"/>
      <w:r>
        <w:rPr>
          <w:rFonts w:ascii="Times New Roman" w:hAnsi="Times New Roman" w:cs="Times New Roman"/>
          <w:noProof/>
          <w:sz w:val="24"/>
          <w:lang w:val="en-IE"/>
        </w:rPr>
        <w:t>Inland waterborne transport</w:t>
      </w:r>
      <w:bookmarkEnd w:id="102"/>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The following tables give an overview of shore-side electricity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_Ref54797029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3.2.1</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and LNG supply</w:t>
      </w:r>
      <w:r>
        <w:rPr>
          <w:rStyle w:val="FootnoteReference"/>
          <w:rFonts w:ascii="Times New Roman" w:hAnsi="Times New Roman" w:cs="Times New Roman"/>
          <w:noProof/>
          <w:sz w:val="24"/>
          <w:lang w:val="en-IE"/>
        </w:rPr>
        <w:footnoteReference w:id="16"/>
      </w:r>
      <w:r>
        <w:rPr>
          <w:rFonts w:ascii="Times New Roman" w:hAnsi="Times New Roman" w:cs="Times New Roman"/>
          <w:noProof/>
          <w:sz w:val="24"/>
          <w:lang w:val="en-IE"/>
        </w:rPr>
        <w:t xml:space="preserv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_Ref54796908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3.2.1</w:t>
      </w:r>
      <w:r>
        <w:rPr>
          <w:rFonts w:ascii="Times New Roman" w:hAnsi="Times New Roman" w:cs="Times New Roman"/>
          <w:iCs/>
          <w:noProof/>
          <w:color w:val="000000" w:themeColor="text1"/>
          <w:sz w:val="24"/>
          <w:lang w:val="en-IE"/>
        </w:rPr>
        <w:noBreakHyphen/>
        <w:t>2</w:t>
      </w:r>
      <w:r>
        <w:rPr>
          <w:rFonts w:ascii="Times New Roman" w:hAnsi="Times New Roman" w:cs="Times New Roman"/>
          <w:noProof/>
          <w:sz w:val="24"/>
          <w:lang w:val="en-IE"/>
        </w:rPr>
        <w:fldChar w:fldCharType="end"/>
      </w:r>
      <w:r>
        <w:rPr>
          <w:rFonts w:ascii="Times New Roman" w:hAnsi="Times New Roman" w:cs="Times New Roman"/>
          <w:noProof/>
          <w:sz w:val="24"/>
          <w:lang w:val="en-IE"/>
        </w:rPr>
        <w:t>) for vessels in TEN-T Core inland ports in each country. For nine of the Member States, this requirement was not applicable since they have no TEN-T Core inland ports</w:t>
      </w:r>
      <w:r>
        <w:rPr>
          <w:rStyle w:val="FootnoteReference"/>
          <w:rFonts w:ascii="Times New Roman" w:hAnsi="Times New Roman" w:cs="Times New Roman"/>
          <w:noProof/>
          <w:sz w:val="24"/>
          <w:lang w:val="en-IE"/>
        </w:rPr>
        <w:footnoteReference w:id="17"/>
      </w:r>
      <w:r>
        <w:rPr>
          <w:rFonts w:ascii="Times New Roman" w:hAnsi="Times New Roman" w:cs="Times New Roman"/>
          <w:noProof/>
          <w:sz w:val="24"/>
          <w:lang w:val="en-IE"/>
        </w:rPr>
        <w:t>. The tables show the res</w:t>
      </w:r>
      <w:r>
        <w:rPr>
          <w:rFonts w:ascii="Times New Roman" w:hAnsi="Times New Roman" w:cs="Times New Roman"/>
          <w:noProof/>
          <w:sz w:val="24"/>
          <w:lang w:val="en-IE"/>
        </w:rPr>
        <w:t xml:space="preserve">ults of the assessable data provided in the NIRs in terms of Changes, Attainment, Progress and measures. </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_Ref54797029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3.2.1</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displays that some information o</w:t>
      </w:r>
      <w:r>
        <w:rPr>
          <w:rFonts w:ascii="Times New Roman" w:hAnsi="Times New Roman" w:cs="Times New Roman"/>
          <w:noProof/>
          <w:sz w:val="24"/>
          <w:lang w:val="en-IE"/>
        </w:rPr>
        <w:t>n shore-side electricity for vessels in inland ports to compute at least one of these metrics was available in only eight of the assessed NIRs. Due to the limited information provided, it was possible to compute the impact only for four of the assessed NIR</w:t>
      </w:r>
      <w:r>
        <w:rPr>
          <w:rFonts w:ascii="Times New Roman" w:hAnsi="Times New Roman" w:cs="Times New Roman"/>
          <w:noProof/>
          <w:sz w:val="24"/>
          <w:lang w:val="en-IE"/>
        </w:rPr>
        <w:t>s in the case of electricity/water (inland).</w:t>
      </w:r>
    </w:p>
    <w:p w:rsidR="00DA7543" w:rsidRDefault="007C073D">
      <w:pPr>
        <w:rPr>
          <w:rFonts w:ascii="Times New Roman" w:hAnsi="Times New Roman" w:cs="Times New Roman"/>
          <w:noProof/>
          <w:sz w:val="24"/>
          <w:lang w:val="en-IE"/>
        </w:rPr>
      </w:pPr>
      <w:bookmarkStart w:id="103" w:name="_Ref54797029"/>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3.2.1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03"/>
      <w:r>
        <w:rPr>
          <w:rFonts w:ascii="Times New Roman" w:hAnsi="Times New Roman" w:cs="Times New Roman"/>
          <w:i/>
          <w:noProof/>
          <w:sz w:val="20"/>
          <w:lang w:val="en-IE"/>
        </w:rPr>
        <w:t xml:space="preserve"> Overview of electricity / water (inland) </w:t>
      </w:r>
    </w:p>
    <w:p w:rsidR="00DA7543" w:rsidRDefault="007C073D">
      <w:pPr>
        <w:rPr>
          <w:rFonts w:ascii="Times New Roman" w:hAnsi="Times New Roman" w:cs="Times New Roman"/>
          <w:noProof/>
          <w:sz w:val="24"/>
          <w:lang w:val="en-IE"/>
        </w:rPr>
      </w:pPr>
      <w:r>
        <w:rPr>
          <w:noProof/>
          <w:lang w:eastAsia="en-GB"/>
        </w:rPr>
        <w:drawing>
          <wp:inline distT="0" distB="0" distL="0" distR="0">
            <wp:extent cx="5712838" cy="554455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12838" cy="5544551"/>
                    </a:xfrm>
                    <a:prstGeom prst="rect">
                      <a:avLst/>
                    </a:prstGeom>
                    <a:noFill/>
                    <a:ln>
                      <a:noFill/>
                    </a:ln>
                  </pic:spPr>
                </pic:pic>
              </a:graphicData>
            </a:graphic>
          </wp:inline>
        </w:drawing>
      </w:r>
      <w:r>
        <w:rPr>
          <w:noProof/>
        </w:rPr>
        <w:t xml:space="preserve"> </w:t>
      </w:r>
    </w:p>
    <w:p w:rsidR="00DA7543" w:rsidRDefault="007C073D">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149174" cy="342472"/>
            <wp:effectExtent l="0" t="0" r="3810" b="635"/>
            <wp:docPr id="79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46"/>
                    <a:stretch>
                      <a:fillRect/>
                    </a:stretch>
                  </pic:blipFill>
                  <pic:spPr>
                    <a:xfrm>
                      <a:off x="0" y="0"/>
                      <a:ext cx="2194680" cy="349723"/>
                    </a:xfrm>
                    <a:prstGeom prst="rect">
                      <a:avLst/>
                    </a:prstGeom>
                  </pic:spPr>
                </pic:pic>
              </a:graphicData>
            </a:graphic>
          </wp:inline>
        </w:drawing>
      </w:r>
      <w:r>
        <w:rPr>
          <w:rFonts w:ascii="Times New Roman" w:hAnsi="Times New Roman" w:cs="Times New Roman"/>
          <w:noProof/>
          <w:sz w:val="24"/>
          <w:lang w:eastAsia="en-GB"/>
        </w:rPr>
        <w:drawing>
          <wp:inline distT="0" distB="0" distL="0" distR="0">
            <wp:extent cx="1899020" cy="393793"/>
            <wp:effectExtent l="0" t="0" r="6350" b="6350"/>
            <wp:docPr id="72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37"/>
                    <a:stretch>
                      <a:fillRect/>
                    </a:stretch>
                  </pic:blipFill>
                  <pic:spPr>
                    <a:xfrm>
                      <a:off x="0" y="0"/>
                      <a:ext cx="2186280" cy="453361"/>
                    </a:xfrm>
                    <a:prstGeom prst="rect">
                      <a:avLst/>
                    </a:prstGeom>
                  </pic:spPr>
                </pic:pic>
              </a:graphicData>
            </a:graphic>
          </wp:inline>
        </w:drawing>
      </w:r>
    </w:p>
    <w:p w:rsidR="00DA7543" w:rsidRDefault="00DA7543">
      <w:pPr>
        <w:rPr>
          <w:rFonts w:ascii="Times New Roman" w:hAnsi="Times New Roman" w:cs="Times New Roman"/>
          <w:noProof/>
          <w:sz w:val="24"/>
          <w:lang w:val="en-IE"/>
        </w:rPr>
      </w:pPr>
    </w:p>
    <w:p w:rsidR="00DA7543" w:rsidRDefault="007C073D">
      <w:pPr>
        <w:jc w:val="both"/>
        <w:rPr>
          <w:rFonts w:ascii="Times New Roman" w:hAnsi="Times New Roman" w:cs="Times New Roman"/>
          <w:noProof/>
          <w:sz w:val="24"/>
          <w:lang w:val="en-IE"/>
        </w:rPr>
      </w:pPr>
      <w:r>
        <w:rPr>
          <w:rFonts w:ascii="Times New Roman" w:hAnsi="Times New Roman" w:cs="Times New Roman"/>
          <w:iCs/>
          <w:noProof/>
          <w:color w:val="000000" w:themeColor="text1"/>
          <w:sz w:val="24"/>
          <w:lang w:val="en-IE"/>
        </w:rPr>
        <w:fldChar w:fldCharType="begin"/>
      </w:r>
      <w:r>
        <w:rPr>
          <w:rFonts w:ascii="Times New Roman" w:hAnsi="Times New Roman" w:cs="Times New Roman"/>
          <w:iCs/>
          <w:noProof/>
          <w:color w:val="000000" w:themeColor="text1"/>
          <w:sz w:val="24"/>
          <w:lang w:val="en-IE"/>
        </w:rPr>
        <w:instrText xml:space="preserve"> REF _Ref54796908 \h  \* MERGEFORMAT </w:instrText>
      </w:r>
      <w:r>
        <w:rPr>
          <w:rFonts w:ascii="Times New Roman" w:hAnsi="Times New Roman" w:cs="Times New Roman"/>
          <w:iCs/>
          <w:noProof/>
          <w:color w:val="000000" w:themeColor="text1"/>
          <w:sz w:val="24"/>
          <w:lang w:val="en-IE"/>
        </w:rPr>
      </w:r>
      <w:r>
        <w:rPr>
          <w:rFonts w:ascii="Times New Roman" w:hAnsi="Times New Roman" w:cs="Times New Roman"/>
          <w:iCs/>
          <w:noProof/>
          <w:color w:val="000000" w:themeColor="text1"/>
          <w:sz w:val="24"/>
          <w:lang w:val="en-IE"/>
        </w:rPr>
        <w:fldChar w:fldCharType="separate"/>
      </w:r>
      <w:r>
        <w:rPr>
          <w:rFonts w:ascii="Times New Roman" w:hAnsi="Times New Roman" w:cs="Times New Roman"/>
          <w:iCs/>
          <w:noProof/>
          <w:color w:val="000000" w:themeColor="text1"/>
          <w:sz w:val="24"/>
          <w:lang w:val="en-IE"/>
        </w:rPr>
        <w:t>Table 3.2.1</w:t>
      </w:r>
      <w:r>
        <w:rPr>
          <w:rFonts w:ascii="Times New Roman" w:hAnsi="Times New Roman" w:cs="Times New Roman"/>
          <w:iCs/>
          <w:noProof/>
          <w:color w:val="000000" w:themeColor="text1"/>
          <w:sz w:val="24"/>
          <w:lang w:val="en-IE"/>
        </w:rPr>
        <w:noBreakHyphen/>
        <w:t>2</w:t>
      </w:r>
      <w:r>
        <w:rPr>
          <w:rFonts w:ascii="Times New Roman" w:hAnsi="Times New Roman" w:cs="Times New Roman"/>
          <w:iCs/>
          <w:noProof/>
          <w:color w:val="000000" w:themeColor="text1"/>
          <w:sz w:val="24"/>
          <w:lang w:val="en-IE"/>
        </w:rPr>
        <w:fldChar w:fldCharType="end"/>
      </w:r>
      <w:r>
        <w:rPr>
          <w:rFonts w:ascii="Times New Roman" w:hAnsi="Times New Roman" w:cs="Times New Roman"/>
          <w:iCs/>
          <w:noProof/>
          <w:color w:val="000000" w:themeColor="text1"/>
          <w:sz w:val="24"/>
          <w:lang w:val="en-IE"/>
        </w:rPr>
        <w:t xml:space="preserve"> displays that some </w:t>
      </w:r>
      <w:r>
        <w:rPr>
          <w:rFonts w:ascii="Times New Roman" w:hAnsi="Times New Roman" w:cs="Times New Roman"/>
          <w:noProof/>
          <w:sz w:val="24"/>
          <w:lang w:val="en-IE"/>
        </w:rPr>
        <w:t>information on LNG supply for vessels in inland ports to compute at least one of these metrics was available in only ten of the assessed NIRs. Due to the limited information</w:t>
      </w:r>
      <w:r>
        <w:rPr>
          <w:rFonts w:ascii="Times New Roman" w:hAnsi="Times New Roman" w:cs="Times New Roman"/>
          <w:noProof/>
          <w:sz w:val="24"/>
          <w:lang w:val="en-IE"/>
        </w:rPr>
        <w:t xml:space="preserve"> provided, it was possible to compute the impact only for five NIRs in the case of LNG/water (inland).</w:t>
      </w:r>
    </w:p>
    <w:p w:rsidR="00DA7543" w:rsidRDefault="007C073D">
      <w:pPr>
        <w:rPr>
          <w:rFonts w:ascii="Times New Roman" w:hAnsi="Times New Roman" w:cs="Times New Roman"/>
          <w:noProof/>
          <w:sz w:val="24"/>
          <w:lang w:val="en-IE"/>
        </w:rPr>
      </w:pPr>
      <w:r>
        <w:rPr>
          <w:rFonts w:ascii="Times New Roman" w:hAnsi="Times New Roman" w:cs="Times New Roman"/>
          <w:noProof/>
          <w:sz w:val="24"/>
          <w:lang w:val="en-IE"/>
        </w:rPr>
        <w:br w:type="page"/>
      </w:r>
    </w:p>
    <w:p w:rsidR="00DA7543" w:rsidRDefault="007C073D">
      <w:pPr>
        <w:rPr>
          <w:rFonts w:ascii="Times New Roman" w:hAnsi="Times New Roman" w:cs="Times New Roman"/>
          <w:noProof/>
          <w:sz w:val="24"/>
          <w:lang w:val="en-IE"/>
        </w:rPr>
      </w:pPr>
      <w:bookmarkStart w:id="104" w:name="_Ref54796908"/>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3.2.1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2</w:t>
      </w:r>
      <w:r>
        <w:rPr>
          <w:rFonts w:ascii="Times New Roman" w:hAnsi="Times New Roman" w:cs="Times New Roman"/>
          <w:i/>
          <w:iCs/>
          <w:noProof/>
          <w:color w:val="000000" w:themeColor="text1"/>
          <w:sz w:val="20"/>
          <w:szCs w:val="18"/>
          <w:lang w:val="en-IE"/>
        </w:rPr>
        <w:fldChar w:fldCharType="end"/>
      </w:r>
      <w:bookmarkEnd w:id="104"/>
      <w:r>
        <w:rPr>
          <w:rFonts w:ascii="Times New Roman" w:hAnsi="Times New Roman" w:cs="Times New Roman"/>
          <w:i/>
          <w:noProof/>
          <w:sz w:val="20"/>
          <w:lang w:val="en-IE"/>
        </w:rPr>
        <w:t xml:space="preserve"> Overview of LNG / water (inland) AFI</w:t>
      </w:r>
    </w:p>
    <w:p w:rsidR="00DA7543" w:rsidRDefault="007C073D">
      <w:pPr>
        <w:rPr>
          <w:rFonts w:ascii="Times New Roman" w:hAnsi="Times New Roman" w:cs="Times New Roman"/>
          <w:noProof/>
          <w:sz w:val="24"/>
          <w:lang w:val="en-IE"/>
        </w:rPr>
      </w:pPr>
      <w:r>
        <w:rPr>
          <w:noProof/>
          <w:lang w:eastAsia="en-GB"/>
        </w:rPr>
        <w:drawing>
          <wp:inline distT="0" distB="0" distL="0" distR="0">
            <wp:extent cx="5760720" cy="561258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5612587"/>
                    </a:xfrm>
                    <a:prstGeom prst="rect">
                      <a:avLst/>
                    </a:prstGeom>
                    <a:noFill/>
                    <a:ln>
                      <a:noFill/>
                    </a:ln>
                  </pic:spPr>
                </pic:pic>
              </a:graphicData>
            </a:graphic>
          </wp:inline>
        </w:drawing>
      </w:r>
      <w:r>
        <w:rPr>
          <w:noProof/>
        </w:rPr>
        <w:t xml:space="preserve"> </w:t>
      </w:r>
    </w:p>
    <w:p w:rsidR="00DA7543" w:rsidRDefault="007C073D">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368800" cy="377470"/>
            <wp:effectExtent l="0" t="0" r="0" b="3810"/>
            <wp:docPr id="79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46"/>
                    <a:stretch>
                      <a:fillRect/>
                    </a:stretch>
                  </pic:blipFill>
                  <pic:spPr>
                    <a:xfrm>
                      <a:off x="0" y="0"/>
                      <a:ext cx="2460289" cy="392049"/>
                    </a:xfrm>
                    <a:prstGeom prst="rect">
                      <a:avLst/>
                    </a:prstGeom>
                  </pic:spPr>
                </pic:pic>
              </a:graphicData>
            </a:graphic>
          </wp:inline>
        </w:drawing>
      </w:r>
      <w:r>
        <w:rPr>
          <w:rFonts w:ascii="Times New Roman" w:hAnsi="Times New Roman" w:cs="Times New Roman"/>
          <w:noProof/>
          <w:sz w:val="24"/>
          <w:lang w:eastAsia="en-GB"/>
        </w:rPr>
        <w:drawing>
          <wp:inline distT="0" distB="0" distL="0" distR="0">
            <wp:extent cx="1899020" cy="393793"/>
            <wp:effectExtent l="0" t="0" r="6350" b="6350"/>
            <wp:docPr id="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37"/>
                    <a:stretch>
                      <a:fillRect/>
                    </a:stretch>
                  </pic:blipFill>
                  <pic:spPr>
                    <a:xfrm>
                      <a:off x="0" y="0"/>
                      <a:ext cx="2186280" cy="453361"/>
                    </a:xfrm>
                    <a:prstGeom prst="rect">
                      <a:avLst/>
                    </a:prstGeom>
                  </pic:spPr>
                </pic:pic>
              </a:graphicData>
            </a:graphic>
          </wp:inline>
        </w:drawing>
      </w:r>
    </w:p>
    <w:p w:rsidR="00DA7543" w:rsidRDefault="007C073D">
      <w:pPr>
        <w:jc w:val="both"/>
        <w:rPr>
          <w:rFonts w:ascii="Times New Roman" w:hAnsi="Times New Roman" w:cs="Times New Roman"/>
          <w:noProof/>
          <w:sz w:val="24"/>
          <w:lang w:val="en-IE"/>
        </w:rPr>
      </w:pPr>
      <w:r>
        <w:rPr>
          <w:rFonts w:ascii="Times New Roman" w:eastAsia="Calibri" w:hAnsi="Times New Roman" w:cs="Times New Roman"/>
          <w:noProof/>
          <w:sz w:val="20"/>
          <w:szCs w:val="18"/>
          <w:lang w:val="en-IE"/>
        </w:rPr>
        <w:t xml:space="preserve">Score and Impact: H = high; M = medium; L = </w:t>
      </w:r>
      <w:r>
        <w:rPr>
          <w:rFonts w:ascii="Times New Roman" w:eastAsia="Calibri" w:hAnsi="Times New Roman" w:cs="Times New Roman"/>
          <w:noProof/>
          <w:sz w:val="20"/>
          <w:szCs w:val="18"/>
          <w:lang w:val="en-IE"/>
        </w:rPr>
        <w:t>low; X = not assessable. Comprehensiveness: C = comprehensive; N = Not comprehensive. Ambition level: ‘+’ means ‘higher’; ‘=’ means ‘comparable’; ‘-‘ means ‘lower’.</w:t>
      </w:r>
    </w:p>
    <w:p w:rsidR="00DA7543" w:rsidRDefault="007C073D">
      <w:pPr>
        <w:pStyle w:val="Heading3"/>
        <w:rPr>
          <w:rFonts w:ascii="Times New Roman" w:hAnsi="Times New Roman" w:cs="Times New Roman"/>
          <w:noProof/>
          <w:sz w:val="24"/>
          <w:lang w:val="en-IE"/>
        </w:rPr>
      </w:pPr>
      <w:bookmarkStart w:id="105" w:name="_Toc65241960"/>
      <w:r>
        <w:rPr>
          <w:rFonts w:ascii="Times New Roman" w:hAnsi="Times New Roman" w:cs="Times New Roman"/>
          <w:noProof/>
          <w:sz w:val="24"/>
          <w:lang w:val="en-IE"/>
        </w:rPr>
        <w:t>Maritime waterborne transport</w:t>
      </w:r>
      <w:bookmarkEnd w:id="105"/>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The following tables give an overview of shore-side electrici</w:t>
      </w:r>
      <w:r>
        <w:rPr>
          <w:rFonts w:ascii="Times New Roman" w:hAnsi="Times New Roman" w:cs="Times New Roman"/>
          <w:noProof/>
          <w:sz w:val="24"/>
          <w:lang w:val="en-IE"/>
        </w:rPr>
        <w:t>ty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_Ref54798158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3.2.2</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and LNG supply</w:t>
      </w:r>
      <w:r>
        <w:rPr>
          <w:rStyle w:val="FootnoteReference"/>
          <w:rFonts w:ascii="Times New Roman" w:hAnsi="Times New Roman" w:cs="Times New Roman"/>
          <w:noProof/>
          <w:sz w:val="24"/>
          <w:lang w:val="en-IE"/>
        </w:rPr>
        <w:footnoteReference w:id="18"/>
      </w:r>
      <w:r>
        <w:rPr>
          <w:rFonts w:ascii="Times New Roman" w:hAnsi="Times New Roman" w:cs="Times New Roman"/>
          <w:noProof/>
          <w:sz w:val="24"/>
          <w:lang w:val="en-IE"/>
        </w:rPr>
        <w:t xml:space="preserv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_Ref54798550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3.2.2</w:t>
      </w:r>
      <w:r>
        <w:rPr>
          <w:rFonts w:ascii="Times New Roman" w:hAnsi="Times New Roman" w:cs="Times New Roman"/>
          <w:noProof/>
          <w:sz w:val="24"/>
          <w:lang w:val="en-IE"/>
        </w:rPr>
        <w:noBreakHyphen/>
        <w:t>2</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for vessels in TEN-T Core maritime ports in each country. For five of the Member States, this requirement was not applicable since they have no TEN-T Core maritime ports. The tables show the </w:t>
      </w:r>
      <w:r>
        <w:rPr>
          <w:rFonts w:ascii="Times New Roman" w:hAnsi="Times New Roman" w:cs="Times New Roman"/>
          <w:noProof/>
          <w:sz w:val="24"/>
          <w:lang w:val="en-IE"/>
        </w:rPr>
        <w:t xml:space="preserve">results of the assessable data provided in the NIRs in terms of Changes, Attainment, Progress and measures. </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_Ref54798158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3.2.2</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displays that some information</w:t>
      </w:r>
      <w:r>
        <w:rPr>
          <w:rFonts w:ascii="Times New Roman" w:hAnsi="Times New Roman" w:cs="Times New Roman"/>
          <w:noProof/>
          <w:sz w:val="24"/>
          <w:lang w:val="en-IE"/>
        </w:rPr>
        <w:t xml:space="preserve"> on shore-side electricity for vessels in maritime ports to compute at least one of these metrics was available in fourteen of the assessed NIRs. Due to the limited information provided, it was possible to compute the impact only for seven of the assessed </w:t>
      </w:r>
      <w:r>
        <w:rPr>
          <w:rFonts w:ascii="Times New Roman" w:hAnsi="Times New Roman" w:cs="Times New Roman"/>
          <w:noProof/>
          <w:sz w:val="24"/>
          <w:lang w:val="en-IE"/>
        </w:rPr>
        <w:t>NIRs.</w:t>
      </w:r>
    </w:p>
    <w:p w:rsidR="00DA7543" w:rsidRDefault="007C073D">
      <w:pPr>
        <w:rPr>
          <w:rFonts w:ascii="Times New Roman" w:hAnsi="Times New Roman" w:cs="Times New Roman"/>
          <w:noProof/>
          <w:sz w:val="24"/>
          <w:lang w:val="en-IE"/>
        </w:rPr>
      </w:pPr>
      <w:bookmarkStart w:id="106" w:name="_Ref54798158"/>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3.2.2</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06"/>
      <w:r>
        <w:rPr>
          <w:rFonts w:ascii="Times New Roman" w:hAnsi="Times New Roman" w:cs="Times New Roman"/>
          <w:i/>
          <w:noProof/>
          <w:sz w:val="20"/>
          <w:lang w:val="en-IE"/>
        </w:rPr>
        <w:t xml:space="preserve"> Overview of electricity / water (maritime) </w:t>
      </w:r>
    </w:p>
    <w:p w:rsidR="00DA7543" w:rsidRDefault="007C073D">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53028" cy="5463246"/>
            <wp:effectExtent l="0" t="0" r="0" b="4445"/>
            <wp:docPr id="7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48"/>
                    <a:stretch>
                      <a:fillRect/>
                    </a:stretch>
                  </pic:blipFill>
                  <pic:spPr>
                    <a:xfrm>
                      <a:off x="0" y="0"/>
                      <a:ext cx="5463141" cy="5473378"/>
                    </a:xfrm>
                    <a:prstGeom prst="rect">
                      <a:avLst/>
                    </a:prstGeom>
                  </pic:spPr>
                </pic:pic>
              </a:graphicData>
            </a:graphic>
          </wp:inline>
        </w:drawing>
      </w:r>
    </w:p>
    <w:p w:rsidR="00DA7543" w:rsidRDefault="007C073D">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289600" cy="364849"/>
            <wp:effectExtent l="0" t="0" r="0" b="0"/>
            <wp:docPr id="79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49"/>
                    <a:stretch>
                      <a:fillRect/>
                    </a:stretch>
                  </pic:blipFill>
                  <pic:spPr>
                    <a:xfrm>
                      <a:off x="0" y="0"/>
                      <a:ext cx="2377876" cy="378916"/>
                    </a:xfrm>
                    <a:prstGeom prst="rect">
                      <a:avLst/>
                    </a:prstGeom>
                  </pic:spPr>
                </pic:pic>
              </a:graphicData>
            </a:graphic>
          </wp:inline>
        </w:drawing>
      </w:r>
      <w:r>
        <w:rPr>
          <w:rFonts w:ascii="Times New Roman" w:hAnsi="Times New Roman" w:cs="Times New Roman"/>
          <w:noProof/>
          <w:sz w:val="24"/>
          <w:lang w:eastAsia="en-GB"/>
        </w:rPr>
        <w:drawing>
          <wp:inline distT="0" distB="0" distL="0" distR="0">
            <wp:extent cx="1899020" cy="393793"/>
            <wp:effectExtent l="0" t="0" r="6350" b="6350"/>
            <wp:docPr id="7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37"/>
                    <a:stretch>
                      <a:fillRect/>
                    </a:stretch>
                  </pic:blipFill>
                  <pic:spPr>
                    <a:xfrm>
                      <a:off x="0" y="0"/>
                      <a:ext cx="2186280" cy="453361"/>
                    </a:xfrm>
                    <a:prstGeom prst="rect">
                      <a:avLst/>
                    </a:prstGeom>
                  </pic:spPr>
                </pic:pic>
              </a:graphicData>
            </a:graphic>
          </wp:inline>
        </w:drawing>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_Ref54798550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3.2.2</w:t>
      </w:r>
      <w:r>
        <w:rPr>
          <w:rFonts w:ascii="Times New Roman" w:hAnsi="Times New Roman" w:cs="Times New Roman"/>
          <w:iCs/>
          <w:noProof/>
          <w:color w:val="000000" w:themeColor="text1"/>
          <w:sz w:val="24"/>
          <w:lang w:val="en-IE"/>
        </w:rPr>
        <w:noBreakHyphen/>
        <w:t>2</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displays that some information on LNG supply</w:t>
      </w:r>
      <w:r>
        <w:rPr>
          <w:rStyle w:val="FootnoteReference"/>
          <w:rFonts w:ascii="Times New Roman" w:hAnsi="Times New Roman" w:cs="Times New Roman"/>
          <w:noProof/>
          <w:sz w:val="24"/>
          <w:lang w:val="en-IE"/>
        </w:rPr>
        <w:footnoteReference w:id="19"/>
      </w:r>
      <w:r>
        <w:rPr>
          <w:rFonts w:ascii="Times New Roman" w:hAnsi="Times New Roman" w:cs="Times New Roman"/>
          <w:noProof/>
          <w:sz w:val="24"/>
          <w:lang w:val="en-IE"/>
        </w:rPr>
        <w:t xml:space="preserve"> for vessels in maritime ports to compute at least one of these metrics was available in sixteen of the assessed NIRs. Due to the limited informati</w:t>
      </w:r>
      <w:r>
        <w:rPr>
          <w:rFonts w:ascii="Times New Roman" w:hAnsi="Times New Roman" w:cs="Times New Roman"/>
          <w:noProof/>
          <w:sz w:val="24"/>
          <w:lang w:val="en-IE"/>
        </w:rPr>
        <w:t>on provided, it was possible to compute the impact only for nine of the assessed NIRs.</w:t>
      </w:r>
    </w:p>
    <w:p w:rsidR="00DA7543" w:rsidRDefault="007C073D">
      <w:pPr>
        <w:rPr>
          <w:rFonts w:ascii="Times New Roman" w:hAnsi="Times New Roman" w:cs="Times New Roman"/>
          <w:noProof/>
          <w:sz w:val="24"/>
          <w:lang w:val="en-IE"/>
        </w:rPr>
      </w:pPr>
      <w:bookmarkStart w:id="107" w:name="_Ref54798550"/>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3.2.2</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2</w:t>
      </w:r>
      <w:r>
        <w:rPr>
          <w:rFonts w:ascii="Times New Roman" w:hAnsi="Times New Roman" w:cs="Times New Roman"/>
          <w:i/>
          <w:iCs/>
          <w:noProof/>
          <w:color w:val="000000" w:themeColor="text1"/>
          <w:sz w:val="20"/>
          <w:szCs w:val="18"/>
          <w:lang w:val="en-IE"/>
        </w:rPr>
        <w:fldChar w:fldCharType="end"/>
      </w:r>
      <w:bookmarkEnd w:id="107"/>
      <w:r>
        <w:rPr>
          <w:rFonts w:ascii="Times New Roman" w:hAnsi="Times New Roman" w:cs="Times New Roman"/>
          <w:i/>
          <w:noProof/>
          <w:sz w:val="20"/>
          <w:lang w:val="en-IE"/>
        </w:rPr>
        <w:t xml:space="preserve"> Overview of LNG / water (maritime) </w:t>
      </w:r>
    </w:p>
    <w:p w:rsidR="00DA7543" w:rsidRDefault="007C073D">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60720" cy="5758815"/>
            <wp:effectExtent l="0" t="0" r="0" b="0"/>
            <wp:docPr id="7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50"/>
                    <a:stretch>
                      <a:fillRect/>
                    </a:stretch>
                  </pic:blipFill>
                  <pic:spPr>
                    <a:xfrm>
                      <a:off x="0" y="0"/>
                      <a:ext cx="5760720" cy="5758815"/>
                    </a:xfrm>
                    <a:prstGeom prst="rect">
                      <a:avLst/>
                    </a:prstGeom>
                  </pic:spPr>
                </pic:pic>
              </a:graphicData>
            </a:graphic>
          </wp:inline>
        </w:drawing>
      </w:r>
    </w:p>
    <w:p w:rsidR="00DA7543" w:rsidRDefault="007C073D">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462400" cy="392385"/>
            <wp:effectExtent l="0" t="0" r="0" b="8255"/>
            <wp:docPr id="79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49"/>
                    <a:stretch>
                      <a:fillRect/>
                    </a:stretch>
                  </pic:blipFill>
                  <pic:spPr>
                    <a:xfrm>
                      <a:off x="0" y="0"/>
                      <a:ext cx="2581562" cy="411374"/>
                    </a:xfrm>
                    <a:prstGeom prst="rect">
                      <a:avLst/>
                    </a:prstGeom>
                  </pic:spPr>
                </pic:pic>
              </a:graphicData>
            </a:graphic>
          </wp:inline>
        </w:drawing>
      </w:r>
      <w:r>
        <w:rPr>
          <w:rFonts w:ascii="Times New Roman" w:hAnsi="Times New Roman" w:cs="Times New Roman"/>
          <w:noProof/>
          <w:sz w:val="24"/>
          <w:lang w:eastAsia="en-GB"/>
        </w:rPr>
        <w:drawing>
          <wp:inline distT="0" distB="0" distL="0" distR="0">
            <wp:extent cx="1899020" cy="393793"/>
            <wp:effectExtent l="0" t="0" r="6350" b="6350"/>
            <wp:docPr id="7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37"/>
                    <a:stretch>
                      <a:fillRect/>
                    </a:stretch>
                  </pic:blipFill>
                  <pic:spPr>
                    <a:xfrm>
                      <a:off x="0" y="0"/>
                      <a:ext cx="2186280" cy="453361"/>
                    </a:xfrm>
                    <a:prstGeom prst="rect">
                      <a:avLst/>
                    </a:prstGeom>
                  </pic:spPr>
                </pic:pic>
              </a:graphicData>
            </a:graphic>
          </wp:inline>
        </w:drawing>
      </w:r>
    </w:p>
    <w:p w:rsidR="00DA7543" w:rsidRDefault="007C073D">
      <w:pPr>
        <w:jc w:val="both"/>
        <w:rPr>
          <w:rFonts w:ascii="Times New Roman" w:eastAsia="Calibri" w:hAnsi="Times New Roman" w:cs="Times New Roman"/>
          <w:noProof/>
          <w:sz w:val="20"/>
          <w:szCs w:val="18"/>
          <w:lang w:val="en-IE"/>
        </w:rPr>
      </w:pPr>
      <w:r>
        <w:rPr>
          <w:rFonts w:ascii="Times New Roman" w:eastAsia="Calibri" w:hAnsi="Times New Roman" w:cs="Times New Roman"/>
          <w:noProof/>
          <w:sz w:val="20"/>
          <w:szCs w:val="18"/>
          <w:lang w:val="en-IE"/>
        </w:rPr>
        <w:t xml:space="preserve">Score and Impact: H = high; M = medium; L = low; X = not </w:t>
      </w:r>
      <w:r>
        <w:rPr>
          <w:rFonts w:ascii="Times New Roman" w:eastAsia="Calibri" w:hAnsi="Times New Roman" w:cs="Times New Roman"/>
          <w:noProof/>
          <w:sz w:val="20"/>
          <w:szCs w:val="18"/>
          <w:lang w:val="en-IE"/>
        </w:rPr>
        <w:t>assessable. Comprehensiveness: C = comprehensive; N = Not comprehensive. Ambition level: ‘+’ means ‘higher’; ‘=’ means ‘comparable’; ‘-‘ means ‘lower’.</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br w:type="page"/>
      </w:r>
    </w:p>
    <w:p w:rsidR="00DA7543" w:rsidRDefault="007C073D">
      <w:pPr>
        <w:pStyle w:val="Heading1"/>
        <w:rPr>
          <w:rFonts w:ascii="Times New Roman" w:hAnsi="Times New Roman"/>
          <w:noProof/>
          <w:sz w:val="24"/>
          <w:lang w:val="en-IE"/>
        </w:rPr>
      </w:pPr>
      <w:bookmarkStart w:id="108" w:name="_Toc55301699"/>
      <w:bookmarkStart w:id="109" w:name="_Toc477457902"/>
      <w:bookmarkStart w:id="110" w:name="_Toc496259415"/>
      <w:bookmarkStart w:id="111" w:name="_Toc55301700"/>
      <w:bookmarkStart w:id="112" w:name="_Toc65241961"/>
      <w:bookmarkEnd w:id="108"/>
      <w:r>
        <w:rPr>
          <w:rFonts w:ascii="Times New Roman" w:hAnsi="Times New Roman"/>
          <w:noProof/>
          <w:sz w:val="24"/>
          <w:lang w:val="en-IE"/>
        </w:rPr>
        <w:t>Overall contribution of NIRs to EU policy targets</w:t>
      </w:r>
      <w:bookmarkEnd w:id="109"/>
      <w:bookmarkEnd w:id="110"/>
      <w:bookmarkEnd w:id="111"/>
      <w:bookmarkEnd w:id="112"/>
    </w:p>
    <w:p w:rsidR="00DA7543" w:rsidRDefault="007C073D">
      <w:pPr>
        <w:pStyle w:val="Heading2"/>
        <w:rPr>
          <w:rFonts w:ascii="Times New Roman" w:hAnsi="Times New Roman" w:cs="Times New Roman"/>
          <w:noProof/>
          <w:sz w:val="24"/>
          <w:lang w:val="en-IE"/>
        </w:rPr>
      </w:pPr>
      <w:bookmarkStart w:id="113" w:name="_Toc55301701"/>
      <w:bookmarkStart w:id="114" w:name="_Toc65241962"/>
      <w:r>
        <w:rPr>
          <w:rFonts w:ascii="Times New Roman" w:hAnsi="Times New Roman" w:cs="Times New Roman"/>
          <w:noProof/>
          <w:sz w:val="24"/>
          <w:lang w:val="en-IE"/>
        </w:rPr>
        <w:t>Deployment of alternative fuels infrastructure and t</w:t>
      </w:r>
      <w:r>
        <w:rPr>
          <w:rFonts w:ascii="Times New Roman" w:hAnsi="Times New Roman" w:cs="Times New Roman"/>
          <w:noProof/>
          <w:sz w:val="24"/>
          <w:lang w:val="en-IE"/>
        </w:rPr>
        <w:t>ransport systems</w:t>
      </w:r>
      <w:bookmarkEnd w:id="113"/>
      <w:bookmarkEnd w:id="114"/>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This section provides an EU-wide overview of the </w:t>
      </w:r>
      <w:r>
        <w:rPr>
          <w:rFonts w:ascii="Times New Roman" w:hAnsi="Times New Roman" w:cs="Times New Roman"/>
          <w:noProof/>
          <w:sz w:val="24"/>
          <w:lang w:val="en-IE" w:eastAsia="en-IE"/>
        </w:rPr>
        <w:t xml:space="preserve">AFV-estimates / AFI-targets </w:t>
      </w:r>
      <w:r>
        <w:rPr>
          <w:rFonts w:ascii="Times New Roman" w:hAnsi="Times New Roman" w:cs="Times New Roman"/>
          <w:noProof/>
          <w:sz w:val="24"/>
          <w:lang w:val="en-IE"/>
        </w:rPr>
        <w:t xml:space="preserve">and the results of the measure assessment for the most relevant alternative fuels and transport modes. </w:t>
      </w:r>
    </w:p>
    <w:p w:rsidR="00DA7543" w:rsidRDefault="007C073D">
      <w:pPr>
        <w:rPr>
          <w:rFonts w:ascii="Times New Roman" w:hAnsi="Times New Roman" w:cs="Times New Roman"/>
          <w:b/>
          <w:noProof/>
          <w:sz w:val="24"/>
          <w:lang w:val="en-IE"/>
        </w:rPr>
      </w:pPr>
      <w:r>
        <w:rPr>
          <w:rFonts w:ascii="Times New Roman" w:hAnsi="Times New Roman" w:cs="Times New Roman"/>
          <w:b/>
          <w:noProof/>
          <w:sz w:val="24"/>
          <w:lang w:val="en-IE" w:eastAsia="en-IE"/>
        </w:rPr>
        <w:t>AFV-estimates / AFI-targets</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For the two best-covered pairs</w:t>
      </w:r>
      <w:r>
        <w:rPr>
          <w:rFonts w:ascii="Times New Roman" w:hAnsi="Times New Roman" w:cs="Times New Roman"/>
          <w:noProof/>
          <w:sz w:val="24"/>
          <w:lang w:val="en-IE"/>
        </w:rPr>
        <w:t>, namely electricity/road and CNG/road, the results will be presented from two points of view. First, the numerical values of AFV/AFI in 2016 and 2018, and the objectives for 2020, 2025 and 2030 will be shown on diagrams including all the 25 Member States.</w:t>
      </w:r>
      <w:r>
        <w:rPr>
          <w:rFonts w:ascii="Times New Roman" w:hAnsi="Times New Roman" w:cs="Times New Roman"/>
          <w:noProof/>
          <w:sz w:val="24"/>
          <w:lang w:val="en-IE"/>
        </w:rPr>
        <w:t xml:space="preserve"> Then, in addition to the summary tables presented in Chapter 3, some considerations regarding “coverage”, “change NIR vs. NPF”, “attainment”, “progress”, “average growth rate” and “sufficiency index” will be provided, according to the results of the asses</w:t>
      </w:r>
      <w:r>
        <w:rPr>
          <w:rFonts w:ascii="Times New Roman" w:hAnsi="Times New Roman" w:cs="Times New Roman"/>
          <w:noProof/>
          <w:sz w:val="24"/>
          <w:lang w:val="en-IE"/>
        </w:rPr>
        <w:t>sment methodology described in Chapter 2. Finally, the calculated shares of electric vehicles and CNG vehicles in 2018, and the estimated shares in 2020, 2025 and 2030, will be shown in EU maps with the use of different colours.</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Secondly, an analysis and i</w:t>
      </w:r>
      <w:r>
        <w:rPr>
          <w:rFonts w:ascii="Times New Roman" w:hAnsi="Times New Roman" w:cs="Times New Roman"/>
          <w:noProof/>
          <w:sz w:val="24"/>
          <w:lang w:val="en-IE"/>
        </w:rPr>
        <w:t>nterpretation of data from an EU-wide perspective will be presented. Concerning numerical values that can be summed up, this will simply consist in adding the individual values from the MS to the total sum to represent the EU value (for example the total n</w:t>
      </w:r>
      <w:r>
        <w:rPr>
          <w:rFonts w:ascii="Times New Roman" w:hAnsi="Times New Roman" w:cs="Times New Roman"/>
          <w:noProof/>
          <w:sz w:val="24"/>
          <w:lang w:val="en-IE"/>
        </w:rPr>
        <w:t>umber of electric vehicles in 2018, 2020, 2025 and 2030, or the total number of recharging points). Instead, for those parameters that cannot be summed up (for example the “change NIR vs. NPF”), two averaged European values will be shown:</w:t>
      </w:r>
    </w:p>
    <w:p w:rsidR="00DA7543" w:rsidRDefault="007C073D">
      <w:pPr>
        <w:pStyle w:val="ListParagraph"/>
        <w:numPr>
          <w:ilvl w:val="0"/>
          <w:numId w:val="15"/>
        </w:numPr>
        <w:jc w:val="both"/>
        <w:rPr>
          <w:rFonts w:ascii="Times New Roman" w:hAnsi="Times New Roman" w:cs="Times New Roman"/>
          <w:noProof/>
          <w:sz w:val="24"/>
          <w:lang w:val="en-IE"/>
        </w:rPr>
      </w:pPr>
      <w:r>
        <w:rPr>
          <w:rFonts w:ascii="Times New Roman" w:hAnsi="Times New Roman" w:cs="Times New Roman"/>
          <w:noProof/>
          <w:sz w:val="24"/>
          <w:lang w:val="en-IE"/>
        </w:rPr>
        <w:t>an unweighted ave</w:t>
      </w:r>
      <w:r>
        <w:rPr>
          <w:rFonts w:ascii="Times New Roman" w:hAnsi="Times New Roman" w:cs="Times New Roman"/>
          <w:noProof/>
          <w:sz w:val="24"/>
          <w:lang w:val="en-IE"/>
        </w:rPr>
        <w:t>rage, where each MS counts one (UWA)</w:t>
      </w:r>
    </w:p>
    <w:p w:rsidR="00DA7543" w:rsidRDefault="007C073D">
      <w:pPr>
        <w:pStyle w:val="ListParagraph"/>
        <w:numPr>
          <w:ilvl w:val="0"/>
          <w:numId w:val="15"/>
        </w:numPr>
        <w:jc w:val="both"/>
        <w:rPr>
          <w:rFonts w:ascii="Times New Roman" w:hAnsi="Times New Roman" w:cs="Times New Roman"/>
          <w:noProof/>
          <w:sz w:val="24"/>
          <w:lang w:val="en-IE"/>
        </w:rPr>
      </w:pPr>
      <w:r>
        <w:rPr>
          <w:rFonts w:ascii="Times New Roman" w:hAnsi="Times New Roman" w:cs="Times New Roman"/>
          <w:noProof/>
          <w:sz w:val="24"/>
          <w:lang w:val="en-IE"/>
        </w:rPr>
        <w:t>a weighted average, based on the population of each MS (PWA)</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It is considered that both averages are important and indicative. The first gives a better vision of the average strategy of all the MSs and provides a more b</w:t>
      </w:r>
      <w:r>
        <w:rPr>
          <w:rFonts w:ascii="Times New Roman" w:hAnsi="Times New Roman" w:cs="Times New Roman"/>
          <w:noProof/>
          <w:sz w:val="24"/>
          <w:lang w:val="en-IE"/>
        </w:rPr>
        <w:t>alanced geographical representation of the situation. The second average provides holistic EU numbers, which are closer to the real situation from an EU-citizens point of view. The PWA can be used for example to check the current or foreseen EU state of pl</w:t>
      </w:r>
      <w:r>
        <w:rPr>
          <w:rFonts w:ascii="Times New Roman" w:hAnsi="Times New Roman" w:cs="Times New Roman"/>
          <w:noProof/>
          <w:sz w:val="24"/>
          <w:lang w:val="en-IE"/>
        </w:rPr>
        <w:t>ay versus the objectives of the Green Deal, or when comparing Europe to the other major actors in the field. There is however an important caveat when considering the PWA as representative of the whole EU situation. The sum of the populations of the 25 ass</w:t>
      </w:r>
      <w:r>
        <w:rPr>
          <w:rFonts w:ascii="Times New Roman" w:hAnsi="Times New Roman" w:cs="Times New Roman"/>
          <w:noProof/>
          <w:sz w:val="24"/>
          <w:lang w:val="en-IE"/>
        </w:rPr>
        <w:t xml:space="preserve">essed MSs is about 75% of the total EU-28 population. Thus, a PWA calculated from 25 MSs represents an approximation of the real EU population weighted average. This approximation deteriorates as the number of MSs becomes lower than 25. When the number of </w:t>
      </w:r>
      <w:r>
        <w:rPr>
          <w:rFonts w:ascii="Times New Roman" w:hAnsi="Times New Roman" w:cs="Times New Roman"/>
          <w:noProof/>
          <w:sz w:val="24"/>
          <w:lang w:val="en-IE"/>
        </w:rPr>
        <w:t>MSs was lower than 10, the EU-wide averages were not even calculated.</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For the other road-related fuels (LNG, hydrogen, LPG), only the diagrams with the individual numerical values of the MSs will be shown (both AFV and AFI), because the amount of available</w:t>
      </w:r>
      <w:r>
        <w:rPr>
          <w:rFonts w:ascii="Times New Roman" w:hAnsi="Times New Roman" w:cs="Times New Roman"/>
          <w:noProof/>
          <w:sz w:val="24"/>
          <w:lang w:val="en-IE"/>
        </w:rPr>
        <w:t xml:space="preserve"> data does not allow to calculate representative EU average results.</w:t>
      </w:r>
    </w:p>
    <w:p w:rsidR="00DA7543" w:rsidRDefault="007C073D" w:rsidP="007C073D">
      <w:pPr>
        <w:jc w:val="both"/>
        <w:rPr>
          <w:rFonts w:ascii="Times New Roman" w:hAnsi="Times New Roman" w:cs="Times New Roman"/>
          <w:b/>
          <w:noProof/>
          <w:sz w:val="24"/>
          <w:lang w:val="en-IE"/>
        </w:rPr>
      </w:pPr>
      <w:r>
        <w:rPr>
          <w:rFonts w:ascii="Times New Roman" w:hAnsi="Times New Roman" w:cs="Times New Roman"/>
          <w:noProof/>
          <w:sz w:val="24"/>
          <w:lang w:val="en-IE"/>
        </w:rPr>
        <w:t>For waterborne transport, only individual AFI data (shore-side supply points and LNG refuelling points) will be shown in diagrams, while for rail and air transport only a mention of the n</w:t>
      </w:r>
      <w:r>
        <w:rPr>
          <w:rFonts w:ascii="Times New Roman" w:hAnsi="Times New Roman" w:cs="Times New Roman"/>
          <w:noProof/>
          <w:sz w:val="24"/>
          <w:lang w:val="en-IE"/>
        </w:rPr>
        <w:t>umber of MSs that have delivered data will be provided.</w:t>
      </w:r>
      <w:bookmarkStart w:id="115" w:name="_GoBack"/>
      <w:bookmarkEnd w:id="115"/>
      <w:r>
        <w:rPr>
          <w:rFonts w:ascii="Times New Roman" w:hAnsi="Times New Roman" w:cs="Times New Roman"/>
          <w:b/>
          <w:noProof/>
          <w:sz w:val="24"/>
          <w:lang w:val="en-IE"/>
        </w:rPr>
        <w:br w:type="page"/>
      </w:r>
    </w:p>
    <w:p w:rsidR="00DA7543" w:rsidRDefault="007C073D">
      <w:pPr>
        <w:rPr>
          <w:rFonts w:ascii="Times New Roman" w:hAnsi="Times New Roman" w:cs="Times New Roman"/>
          <w:b/>
          <w:noProof/>
          <w:sz w:val="24"/>
          <w:lang w:val="en-IE"/>
        </w:rPr>
      </w:pPr>
      <w:r>
        <w:rPr>
          <w:rFonts w:ascii="Times New Roman" w:hAnsi="Times New Roman" w:cs="Times New Roman"/>
          <w:b/>
          <w:noProof/>
          <w:sz w:val="24"/>
          <w:lang w:val="en-IE"/>
        </w:rPr>
        <w:t>Measure assessment</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In addition to the analysis and assessment provided in each assessment report in Chapter 5 (where the measures for all the pairs AF/transport mode are presented), a paragraph summ</w:t>
      </w:r>
      <w:r>
        <w:rPr>
          <w:rFonts w:ascii="Times New Roman" w:hAnsi="Times New Roman" w:cs="Times New Roman"/>
          <w:noProof/>
          <w:sz w:val="24"/>
          <w:lang w:val="en-IE"/>
        </w:rPr>
        <w:t xml:space="preserve">arising the total EU-wide number of measures and their impact is also presented for road transport. </w:t>
      </w:r>
    </w:p>
    <w:p w:rsidR="00DA7543" w:rsidRDefault="007C073D">
      <w:pPr>
        <w:pStyle w:val="Heading3"/>
        <w:rPr>
          <w:rFonts w:ascii="Times New Roman" w:hAnsi="Times New Roman" w:cs="Times New Roman"/>
          <w:noProof/>
          <w:sz w:val="24"/>
          <w:lang w:val="en-IE"/>
        </w:rPr>
      </w:pPr>
      <w:bookmarkStart w:id="116" w:name="_Toc55301702"/>
      <w:bookmarkStart w:id="117" w:name="_Toc65241963"/>
      <w:r>
        <w:rPr>
          <w:rFonts w:ascii="Times New Roman" w:hAnsi="Times New Roman" w:cs="Times New Roman"/>
          <w:noProof/>
          <w:sz w:val="24"/>
          <w:lang w:val="en-IE"/>
        </w:rPr>
        <w:t>Road transport</w:t>
      </w:r>
      <w:bookmarkEnd w:id="116"/>
      <w:bookmarkEnd w:id="117"/>
    </w:p>
    <w:p w:rsidR="00DA7543" w:rsidRDefault="007C073D">
      <w:pPr>
        <w:pStyle w:val="Heading4"/>
        <w:rPr>
          <w:rFonts w:ascii="Times New Roman" w:hAnsi="Times New Roman" w:cs="Times New Roman"/>
          <w:noProof/>
          <w:sz w:val="24"/>
          <w:lang w:val="en-IE"/>
        </w:rPr>
      </w:pPr>
      <w:r>
        <w:rPr>
          <w:rFonts w:ascii="Times New Roman" w:hAnsi="Times New Roman" w:cs="Times New Roman"/>
          <w:noProof/>
          <w:sz w:val="24"/>
          <w:lang w:val="en-IE"/>
        </w:rPr>
        <w:t>Electricity</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Of all the alternative fuel and transport mode combinations, the pair electricity/road is the best covered as electro-mobility </w:t>
      </w:r>
      <w:r>
        <w:rPr>
          <w:rFonts w:ascii="Times New Roman" w:hAnsi="Times New Roman" w:cs="Times New Roman"/>
          <w:noProof/>
          <w:sz w:val="24"/>
          <w:lang w:val="en-IE"/>
        </w:rPr>
        <w:t>seems to be a priority for most Member States.</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Figure 4.1.1-1 summarises the information for the EV estimates and targeted publicly accessible recharging points as provided in the NIRs for the next decade as well as the 2016 and 2018 situation. It is worth</w:t>
      </w:r>
      <w:r>
        <w:rPr>
          <w:rFonts w:ascii="Times New Roman" w:hAnsi="Times New Roman" w:cs="Times New Roman"/>
          <w:noProof/>
          <w:sz w:val="24"/>
          <w:lang w:val="en-IE"/>
        </w:rPr>
        <w:t xml:space="preserve"> noting that a logarithmic scale is used for these diagrams, in order to have readable data for all MSs, however there are big absolute differences among them.</w:t>
      </w:r>
    </w:p>
    <w:p w:rsidR="00DA7543" w:rsidRDefault="007C073D">
      <w:pPr>
        <w:ind w:left="-142" w:right="-164"/>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33346" cy="289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1.1.1.jpg"/>
                    <pic:cNvPicPr/>
                  </pic:nvPicPr>
                  <pic:blipFill>
                    <a:blip r:embed="rId51">
                      <a:extLst>
                        <a:ext uri="{28A0092B-C50C-407E-A947-70E740481C1C}">
                          <a14:useLocalDpi xmlns:a14="http://schemas.microsoft.com/office/drawing/2010/main" val="0"/>
                        </a:ext>
                      </a:extLst>
                    </a:blip>
                    <a:stretch>
                      <a:fillRect/>
                    </a:stretch>
                  </pic:blipFill>
                  <pic:spPr>
                    <a:xfrm>
                      <a:off x="0" y="0"/>
                      <a:ext cx="5933346" cy="2898000"/>
                    </a:xfrm>
                    <a:prstGeom prst="rect">
                      <a:avLst/>
                    </a:prstGeom>
                  </pic:spPr>
                </pic:pic>
              </a:graphicData>
            </a:graphic>
          </wp:inline>
        </w:drawing>
      </w:r>
    </w:p>
    <w:p w:rsidR="00DA7543" w:rsidRDefault="007C073D">
      <w:pPr>
        <w:spacing w:before="120" w:after="120" w:line="276" w:lineRule="auto"/>
        <w:rPr>
          <w:rFonts w:ascii="Times New Roman" w:hAnsi="Times New Roman" w:cs="Times New Roman"/>
          <w:i/>
          <w:noProof/>
          <w:color w:val="000000" w:themeColor="text1"/>
          <w:sz w:val="20"/>
          <w:szCs w:val="18"/>
          <w:lang w:val="en-IE"/>
        </w:rPr>
      </w:pPr>
      <w:bookmarkStart w:id="118" w:name="_Ref55194307"/>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w:t>
      </w:r>
      <w:r>
        <w:rPr>
          <w:rFonts w:ascii="Times New Roman" w:hAnsi="Times New Roman" w:cs="Times New Roman"/>
          <w:i/>
          <w:noProof/>
          <w:color w:val="000000" w:themeColor="text1"/>
          <w:sz w:val="20"/>
          <w:szCs w:val="18"/>
          <w:lang w:val="en-IE"/>
        </w:rPr>
        <w:fldChar w:fldCharType="end"/>
      </w:r>
      <w:bookmarkEnd w:id="118"/>
      <w:r>
        <w:rPr>
          <w:rFonts w:ascii="Times New Roman" w:hAnsi="Times New Roman" w:cs="Times New Roman"/>
          <w:i/>
          <w:noProof/>
          <w:color w:val="000000" w:themeColor="text1"/>
          <w:sz w:val="20"/>
          <w:szCs w:val="18"/>
          <w:lang w:val="en-IE"/>
        </w:rPr>
        <w:t xml:space="preserve"> EV estimates and recharging poi</w:t>
      </w:r>
      <w:r>
        <w:rPr>
          <w:rFonts w:ascii="Times New Roman" w:hAnsi="Times New Roman" w:cs="Times New Roman"/>
          <w:i/>
          <w:noProof/>
          <w:color w:val="000000" w:themeColor="text1"/>
          <w:sz w:val="20"/>
          <w:szCs w:val="18"/>
          <w:lang w:val="en-IE"/>
        </w:rPr>
        <w:t xml:space="preserve">nts targets for 2020, 2025 and 2030 </w:t>
      </w:r>
    </w:p>
    <w:p w:rsidR="00DA7543" w:rsidRDefault="007C073D">
      <w:pPr>
        <w:jc w:val="both"/>
        <w:rPr>
          <w:rFonts w:ascii="Times New Roman" w:hAnsi="Times New Roman" w:cs="Times New Roman"/>
          <w:noProof/>
          <w:sz w:val="24"/>
          <w:lang w:val="en-IE"/>
        </w:rPr>
      </w:pPr>
      <w:r>
        <w:rPr>
          <w:rFonts w:ascii="Times New Roman" w:hAnsi="Times New Roman" w:cs="Times New Roman"/>
          <w:b/>
          <w:noProof/>
          <w:sz w:val="24"/>
          <w:lang w:val="en-IE"/>
        </w:rPr>
        <w:t>Electric Vehicles</w:t>
      </w:r>
    </w:p>
    <w:p w:rsidR="00DA7543" w:rsidRDefault="007C073D">
      <w:pPr>
        <w:numPr>
          <w:ilvl w:val="0"/>
          <w:numId w:val="10"/>
        </w:numPr>
        <w:spacing w:after="120" w:line="276" w:lineRule="auto"/>
        <w:ind w:left="709"/>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(Coverage) </w:t>
      </w:r>
      <w:r>
        <w:rPr>
          <w:rFonts w:ascii="Times New Roman" w:hAnsi="Times New Roman" w:cs="Times New Roman"/>
          <w:noProof/>
          <w:sz w:val="24"/>
          <w:lang w:val="en-IE"/>
        </w:rPr>
        <w:t>Twenty-three MSs NIRs out of the total 25 assessed (92%) have provided at least some historical data (2016-2018)</w:t>
      </w:r>
      <w:r>
        <w:rPr>
          <w:rFonts w:ascii="Times New Roman" w:hAnsi="Times New Roman" w:cs="Times New Roman"/>
          <w:noProof/>
          <w:sz w:val="24"/>
          <w:vertAlign w:val="superscript"/>
          <w:lang w:val="en-IE"/>
        </w:rPr>
        <w:footnoteReference w:id="20"/>
      </w:r>
      <w:r>
        <w:rPr>
          <w:rFonts w:ascii="Times New Roman" w:hAnsi="Times New Roman" w:cs="Times New Roman"/>
          <w:noProof/>
          <w:sz w:val="24"/>
          <w:lang w:val="en-IE"/>
        </w:rPr>
        <w:t xml:space="preserve"> and at least one estimate for the decade 2020-2030</w:t>
      </w:r>
      <w:r>
        <w:rPr>
          <w:rFonts w:ascii="Times New Roman" w:hAnsi="Times New Roman" w:cs="Times New Roman"/>
          <w:noProof/>
          <w:sz w:val="24"/>
          <w:vertAlign w:val="superscript"/>
          <w:lang w:val="en-IE"/>
        </w:rPr>
        <w:footnoteReference w:id="21"/>
      </w:r>
      <w:r>
        <w:rPr>
          <w:rFonts w:ascii="Times New Roman" w:hAnsi="Times New Roman" w:cs="Times New Roman"/>
          <w:noProof/>
          <w:sz w:val="24"/>
          <w:lang w:val="en-IE"/>
        </w:rPr>
        <w:t xml:space="preserve">. For the three years of </w:t>
      </w:r>
      <w:r>
        <w:rPr>
          <w:rFonts w:ascii="Times New Roman" w:hAnsi="Times New Roman" w:cs="Times New Roman"/>
          <w:noProof/>
          <w:sz w:val="24"/>
          <w:lang w:val="en-IE"/>
        </w:rPr>
        <w:t>the next decade when estimates were requested, the NIRs contained globally 24 more inputs than the NPFs, showing the improving MSs’ strategies regarding electro-mobility (in particular, one more estimate in 2020, 11 more estimates in 2025 and 12 more estim</w:t>
      </w:r>
      <w:r>
        <w:rPr>
          <w:rFonts w:ascii="Times New Roman" w:hAnsi="Times New Roman" w:cs="Times New Roman"/>
          <w:noProof/>
          <w:sz w:val="24"/>
          <w:lang w:val="en-IE"/>
        </w:rPr>
        <w:t>ates in 2030 compared to the NPF).</w:t>
      </w:r>
    </w:p>
    <w:p w:rsidR="00DA7543" w:rsidRDefault="007C073D">
      <w:pPr>
        <w:numPr>
          <w:ilvl w:val="0"/>
          <w:numId w:val="10"/>
        </w:numPr>
        <w:spacing w:after="120" w:line="276" w:lineRule="auto"/>
        <w:ind w:left="709" w:hanging="207"/>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(Change NIR vs NPF) </w:t>
      </w:r>
      <w:r>
        <w:rPr>
          <w:rFonts w:ascii="Times New Roman" w:hAnsi="Times New Roman" w:cs="Times New Roman"/>
          <w:noProof/>
          <w:sz w:val="24"/>
          <w:lang w:val="en-IE"/>
        </w:rPr>
        <w:t>Considering the 42 cases where a change could be computed (EV estimates provided both in the NPF and NIR), a decrease of ambition is noticeable in 11 cases, a similar ambition in 19 cases and an increa</w:t>
      </w:r>
      <w:r>
        <w:rPr>
          <w:rFonts w:ascii="Times New Roman" w:hAnsi="Times New Roman" w:cs="Times New Roman"/>
          <w:noProof/>
          <w:sz w:val="24"/>
          <w:lang w:val="en-IE"/>
        </w:rPr>
        <w:t xml:space="preserve">se of ambition in 12 cases. The changes range from -78.20% (Bulgaria) to +150.92% (Lithuania) in 2020; from -63.50% (Bulgaria) to +137.38 (Hungary) in 2025; from -49.08% (Bulgaria) to +1,823.08% (Spain) in 2030. In other 25 cases, an estimate was provided </w:t>
      </w:r>
      <w:r>
        <w:rPr>
          <w:rFonts w:ascii="Times New Roman" w:hAnsi="Times New Roman" w:cs="Times New Roman"/>
          <w:noProof/>
          <w:sz w:val="24"/>
          <w:lang w:val="en-IE"/>
        </w:rPr>
        <w:t>only in the NIR and the changes could not be computed.</w:t>
      </w:r>
    </w:p>
    <w:p w:rsidR="00DA7543" w:rsidRDefault="007C073D">
      <w:pPr>
        <w:spacing w:after="120"/>
        <w:ind w:left="708"/>
        <w:jc w:val="both"/>
        <w:rPr>
          <w:rFonts w:ascii="Times New Roman" w:hAnsi="Times New Roman" w:cs="Times New Roman"/>
          <w:noProof/>
          <w:sz w:val="24"/>
          <w:lang w:val="en-IE"/>
        </w:rPr>
      </w:pPr>
      <w:r>
        <w:rPr>
          <w:rFonts w:ascii="Times New Roman" w:hAnsi="Times New Roman" w:cs="Times New Roman"/>
          <w:noProof/>
          <w:sz w:val="24"/>
          <w:lang w:val="en-IE"/>
        </w:rPr>
        <w:t>Considering the changes from a EU-wide point of view, the unweighted average (UWA) and the population weighted average (PWA) are reported in the following table. As mentioned earlier, t</w:t>
      </w:r>
      <w:r>
        <w:rPr>
          <w:rFonts w:ascii="Times New Roman" w:hAnsi="Times New Roman" w:cs="Times New Roman"/>
          <w:noProof/>
          <w:sz w:val="24"/>
        </w:rPr>
        <w:t xml:space="preserve">he values shown </w:t>
      </w:r>
      <w:r>
        <w:rPr>
          <w:rFonts w:ascii="Times New Roman" w:hAnsi="Times New Roman" w:cs="Times New Roman"/>
          <w:noProof/>
          <w:sz w:val="24"/>
        </w:rPr>
        <w:t>for 2025 and 2030 should be considered with more caution (especially the latter), due to the limited numbers of MSs available to calculate the EU averages. To be noted that the 2020 change is small, even negative (estimates are decreasing in value in NIR v</w:t>
      </w:r>
      <w:r>
        <w:rPr>
          <w:rFonts w:ascii="Times New Roman" w:hAnsi="Times New Roman" w:cs="Times New Roman"/>
          <w:noProof/>
          <w:sz w:val="24"/>
        </w:rPr>
        <w:t xml:space="preserve">s NPF), and for 2025 and 2030, the estimations are increasing. The very high values for the EU-wide 2030 change are influenced by Spain’s significant change (1,823%), due to its EV estimation of 5,000,000 for 2030, and by the relevance of Spain population </w:t>
      </w:r>
      <w:r>
        <w:rPr>
          <w:rFonts w:ascii="Times New Roman" w:hAnsi="Times New Roman" w:cs="Times New Roman"/>
          <w:noProof/>
          <w:sz w:val="24"/>
        </w:rPr>
        <w:t>compared to the other ten MSs concurring to the 2030 averages</w:t>
      </w:r>
      <w:r>
        <w:rPr>
          <w:rFonts w:ascii="Times New Roman" w:hAnsi="Times New Roman" w:cs="Times New Roman"/>
          <w:noProof/>
          <w:sz w:val="24"/>
          <w:lang w:val="en-IE"/>
        </w:rPr>
        <w:t>.</w:t>
      </w:r>
    </w:p>
    <w:p w:rsidR="00DA7543" w:rsidRDefault="007C073D">
      <w:pPr>
        <w:spacing w:after="120"/>
        <w:ind w:left="708"/>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813050" cy="1099166"/>
            <wp:effectExtent l="0" t="0" r="6350" b="6350"/>
            <wp:docPr id="8017" name="Picture 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1526" cy="1118108"/>
                    </a:xfrm>
                    <a:prstGeom prst="rect">
                      <a:avLst/>
                    </a:prstGeom>
                    <a:noFill/>
                    <a:ln>
                      <a:noFill/>
                    </a:ln>
                  </pic:spPr>
                </pic:pic>
              </a:graphicData>
            </a:graphic>
          </wp:inline>
        </w:drawing>
      </w:r>
    </w:p>
    <w:p w:rsidR="00DA7543" w:rsidRDefault="007C073D">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(Attainment)</w:t>
      </w:r>
      <w:r>
        <w:rPr>
          <w:rFonts w:ascii="Times New Roman" w:hAnsi="Times New Roman" w:cs="Times New Roman"/>
          <w:noProof/>
          <w:sz w:val="24"/>
          <w:lang w:val="en-IE"/>
        </w:rPr>
        <w:t xml:space="preserve"> The 2018 attainment of the foreseen EV estimates ranges significantly across EU, from 4.34% (Poland) to 92.80% (Netherlands) for 2020, from 0.32% (Poland) to 57.15% (Romania) for</w:t>
      </w:r>
      <w:r>
        <w:rPr>
          <w:rFonts w:ascii="Times New Roman" w:hAnsi="Times New Roman" w:cs="Times New Roman"/>
          <w:noProof/>
          <w:sz w:val="24"/>
          <w:lang w:val="en-IE"/>
        </w:rPr>
        <w:t xml:space="preserve"> 2025, and from 0.18% (Poland) to 42.87% (Romania) for 2030. It is worth reminding that a low 2018 attainment could be due to either a slow uptake of EVs in 2018 and/or to a very ambitious estimate for the target year compared to 2018.</w:t>
      </w:r>
    </w:p>
    <w:p w:rsidR="00DA7543" w:rsidRDefault="007C073D">
      <w:pPr>
        <w:spacing w:after="120"/>
        <w:ind w:left="1416" w:hanging="565"/>
        <w:jc w:val="both"/>
        <w:rPr>
          <w:rFonts w:ascii="Times New Roman" w:hAnsi="Times New Roman" w:cs="Times New Roman"/>
          <w:noProof/>
          <w:sz w:val="24"/>
          <w:lang w:val="en-IE"/>
        </w:rPr>
      </w:pPr>
      <w:r>
        <w:rPr>
          <w:rFonts w:ascii="Times New Roman" w:hAnsi="Times New Roman" w:cs="Times New Roman"/>
          <w:noProof/>
          <w:sz w:val="24"/>
          <w:lang w:val="en-IE"/>
        </w:rPr>
        <w:t xml:space="preserve">The average </w:t>
      </w:r>
      <w:r>
        <w:rPr>
          <w:rFonts w:ascii="Times New Roman" w:hAnsi="Times New Roman" w:cs="Times New Roman"/>
          <w:noProof/>
          <w:sz w:val="24"/>
          <w:lang w:val="en-IE"/>
        </w:rPr>
        <w:t>situation from a EU-wide perspective is reported in the following table:</w:t>
      </w:r>
    </w:p>
    <w:p w:rsidR="00DA7543" w:rsidRDefault="007C073D">
      <w:pPr>
        <w:spacing w:after="120"/>
        <w:ind w:left="1416" w:hanging="708"/>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811213" cy="1269546"/>
            <wp:effectExtent l="0" t="0" r="8255" b="6985"/>
            <wp:docPr id="7985" name="Picture 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3125" cy="1279441"/>
                    </a:xfrm>
                    <a:prstGeom prst="rect">
                      <a:avLst/>
                    </a:prstGeom>
                    <a:noFill/>
                    <a:ln>
                      <a:noFill/>
                    </a:ln>
                  </pic:spPr>
                </pic:pic>
              </a:graphicData>
            </a:graphic>
          </wp:inline>
        </w:drawing>
      </w:r>
    </w:p>
    <w:p w:rsidR="00DA7543" w:rsidRDefault="007C073D">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(Progress)</w:t>
      </w:r>
      <w:r>
        <w:rPr>
          <w:rFonts w:ascii="Times New Roman" w:hAnsi="Times New Roman" w:cs="Times New Roman"/>
          <w:noProof/>
          <w:sz w:val="24"/>
          <w:lang w:val="en-IE"/>
        </w:rPr>
        <w:t xml:space="preserve"> Considering the 23 MSs that provided at least one estimate for the decade 2020-2030, and comparing the 2018 situation with their foreseen EV fleet evolution, 1 MS results</w:t>
      </w:r>
      <w:r>
        <w:rPr>
          <w:rFonts w:ascii="Times New Roman" w:hAnsi="Times New Roman" w:cs="Times New Roman"/>
          <w:noProof/>
          <w:sz w:val="24"/>
          <w:lang w:val="en-IE"/>
        </w:rPr>
        <w:t xml:space="preserve"> to progress fast, 20 adequately and 2 slowly. </w:t>
      </w:r>
    </w:p>
    <w:p w:rsidR="00DA7543" w:rsidRDefault="007C073D">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(Growth rate)</w:t>
      </w:r>
      <w:r>
        <w:rPr>
          <w:rFonts w:ascii="Times New Roman" w:hAnsi="Times New Roman" w:cs="Times New Roman"/>
          <w:noProof/>
          <w:sz w:val="24"/>
          <w:lang w:val="en-IE"/>
        </w:rPr>
        <w:t xml:space="preserve"> The average annual growth rate characterising the foreseen evolution of electric vehicles for the next decade ranges from 13% (Romania) to 96% (Czechia). Out of the 23 computed annual growth rat</w:t>
      </w:r>
      <w:r>
        <w:rPr>
          <w:rFonts w:ascii="Times New Roman" w:hAnsi="Times New Roman" w:cs="Times New Roman"/>
          <w:noProof/>
          <w:sz w:val="24"/>
          <w:lang w:val="en-IE"/>
        </w:rPr>
        <w:t>es, 1 is below 20%, 10 are in between 20% and 40%, 9 are in between 40% and 60% while 3 are above 60%.</w:t>
      </w:r>
    </w:p>
    <w:p w:rsidR="00DA7543" w:rsidRDefault="007C073D">
      <w:pPr>
        <w:spacing w:after="120"/>
        <w:ind w:left="862"/>
        <w:jc w:val="both"/>
        <w:rPr>
          <w:rFonts w:ascii="Times New Roman" w:hAnsi="Times New Roman" w:cs="Times New Roman"/>
          <w:noProof/>
          <w:sz w:val="24"/>
          <w:lang w:val="en-IE"/>
        </w:rPr>
      </w:pPr>
      <w:r>
        <w:rPr>
          <w:rFonts w:ascii="Times New Roman" w:hAnsi="Times New Roman" w:cs="Times New Roman"/>
          <w:noProof/>
          <w:sz w:val="24"/>
          <w:lang w:val="en-IE"/>
        </w:rPr>
        <w:t>The average situation from a EU-wide perspective is reported in the following table:</w:t>
      </w:r>
    </w:p>
    <w:p w:rsidR="00DA7543" w:rsidRDefault="007C073D">
      <w:pPr>
        <w:spacing w:after="120"/>
        <w:ind w:left="708"/>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818770" cy="1066641"/>
            <wp:effectExtent l="0" t="0" r="0" b="635"/>
            <wp:docPr id="7986" name="Picture 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5325" cy="1084258"/>
                    </a:xfrm>
                    <a:prstGeom prst="rect">
                      <a:avLst/>
                    </a:prstGeom>
                    <a:noFill/>
                    <a:ln>
                      <a:noFill/>
                    </a:ln>
                  </pic:spPr>
                </pic:pic>
              </a:graphicData>
            </a:graphic>
          </wp:inline>
        </w:drawing>
      </w:r>
    </w:p>
    <w:p w:rsidR="00DA7543" w:rsidRDefault="007C073D">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(EV share) </w:t>
      </w:r>
      <w:r>
        <w:rPr>
          <w:rFonts w:ascii="Times New Roman" w:hAnsi="Times New Roman" w:cs="Times New Roman"/>
          <w:noProof/>
          <w:sz w:val="24"/>
          <w:lang w:val="en-IE"/>
        </w:rPr>
        <w:t xml:space="preserve">The maps in Figure 4.1.1-2 and Figure 4.1.1-3 show the </w:t>
      </w:r>
      <w:r>
        <w:rPr>
          <w:rFonts w:ascii="Times New Roman" w:hAnsi="Times New Roman" w:cs="Times New Roman"/>
          <w:noProof/>
          <w:sz w:val="24"/>
          <w:lang w:val="en-IE"/>
        </w:rPr>
        <w:t xml:space="preserve">evolution of the shares of electric vehicles in 2018, 2020, 2025 and 2030 (according to the estimates provided in the NIRs), allowing a comparison among MSs since the absolute numbers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_Ref55194307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are normalised by the existing (2018) or estimated (2020, 2025 and 2030) total fleet</w:t>
      </w:r>
      <w:r>
        <w:rPr>
          <w:rFonts w:ascii="Times New Roman" w:hAnsi="Times New Roman" w:cs="Times New Roman"/>
          <w:noProof/>
          <w:sz w:val="24"/>
          <w:vertAlign w:val="superscript"/>
          <w:lang w:val="en-IE"/>
        </w:rPr>
        <w:footnoteReference w:id="22"/>
      </w:r>
      <w:r>
        <w:rPr>
          <w:rFonts w:ascii="Times New Roman" w:hAnsi="Times New Roman" w:cs="Times New Roman"/>
          <w:noProof/>
          <w:sz w:val="24"/>
          <w:lang w:val="en-IE"/>
        </w:rPr>
        <w:t xml:space="preserve"> of each MS in the reference year. The share of electric vehicles in the total vehicle fleet (excluding PTWs) varie</w:t>
      </w:r>
      <w:r>
        <w:rPr>
          <w:rFonts w:ascii="Times New Roman" w:hAnsi="Times New Roman" w:cs="Times New Roman"/>
          <w:noProof/>
          <w:sz w:val="24"/>
          <w:lang w:val="en-IE"/>
        </w:rPr>
        <w:t xml:space="preserve">s significantly across MSs ranging: </w:t>
      </w:r>
    </w:p>
    <w:p w:rsidR="00DA7543" w:rsidRDefault="007C073D">
      <w:pPr>
        <w:numPr>
          <w:ilvl w:val="1"/>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from less than 0.01% (Cyprus) to 1.53% (Netherlands) with 7 MSs above 0.5% share in 2018,</w:t>
      </w:r>
    </w:p>
    <w:p w:rsidR="00DA7543" w:rsidRDefault="007C073D">
      <w:pPr>
        <w:spacing w:after="120" w:line="276" w:lineRule="auto"/>
        <w:ind w:left="993"/>
        <w:contextualSpacing/>
        <w:jc w:val="both"/>
        <w:rPr>
          <w:rFonts w:ascii="Times New Roman" w:hAnsi="Times New Roman" w:cs="Times New Roman"/>
          <w:noProof/>
          <w:sz w:val="24"/>
          <w:lang w:val="en-IE"/>
        </w:rPr>
      </w:pPr>
      <w:r>
        <w:rPr>
          <w:rFonts w:ascii="Times New Roman" w:hAnsi="Times New Roman" w:cs="Times New Roman"/>
          <w:noProof/>
          <w:sz w:val="24"/>
          <w:lang w:val="en-IE"/>
        </w:rPr>
        <w:t xml:space="preserve">and is foreseen to vary also in the future </w:t>
      </w:r>
    </w:p>
    <w:p w:rsidR="00DA7543" w:rsidRDefault="007C073D">
      <w:pPr>
        <w:pStyle w:val="ListParagraph"/>
        <w:numPr>
          <w:ilvl w:val="1"/>
          <w:numId w:val="18"/>
        </w:numPr>
        <w:spacing w:after="120"/>
        <w:ind w:left="1560" w:hanging="284"/>
        <w:jc w:val="both"/>
        <w:rPr>
          <w:rFonts w:ascii="Times New Roman" w:hAnsi="Times New Roman" w:cs="Times New Roman"/>
          <w:noProof/>
          <w:sz w:val="24"/>
          <w:lang w:val="en-IE"/>
        </w:rPr>
      </w:pPr>
      <w:r>
        <w:rPr>
          <w:rFonts w:ascii="Times New Roman" w:hAnsi="Times New Roman" w:cs="Times New Roman"/>
          <w:noProof/>
          <w:sz w:val="24"/>
          <w:lang w:val="en-IE"/>
        </w:rPr>
        <w:t xml:space="preserve">from 0.01% (Cyprus) to 2.46% (Ireland) with 9 MSs above 1% share in 2020, </w:t>
      </w:r>
    </w:p>
    <w:p w:rsidR="00DA7543" w:rsidRDefault="007C073D">
      <w:pPr>
        <w:pStyle w:val="ListParagraph"/>
        <w:numPr>
          <w:ilvl w:val="1"/>
          <w:numId w:val="18"/>
        </w:numPr>
        <w:spacing w:after="120"/>
        <w:ind w:left="1560" w:hanging="284"/>
        <w:jc w:val="both"/>
        <w:rPr>
          <w:rFonts w:ascii="Times New Roman" w:hAnsi="Times New Roman" w:cs="Times New Roman"/>
          <w:noProof/>
          <w:sz w:val="24"/>
          <w:lang w:val="en-IE"/>
        </w:rPr>
      </w:pPr>
      <w:r>
        <w:rPr>
          <w:rFonts w:ascii="Times New Roman" w:hAnsi="Times New Roman" w:cs="Times New Roman"/>
          <w:noProof/>
          <w:sz w:val="24"/>
          <w:lang w:val="en-IE"/>
        </w:rPr>
        <w:t xml:space="preserve">from 0.02% (Cyprus) to 19.22% (Luxembourg) with 6 MSs above 5% share in 2025, and </w:t>
      </w:r>
    </w:p>
    <w:p w:rsidR="00DA7543" w:rsidRDefault="007C073D">
      <w:pPr>
        <w:pStyle w:val="ListParagraph"/>
        <w:numPr>
          <w:ilvl w:val="1"/>
          <w:numId w:val="18"/>
        </w:numPr>
        <w:spacing w:after="120"/>
        <w:ind w:left="1560" w:hanging="284"/>
        <w:jc w:val="both"/>
        <w:rPr>
          <w:rFonts w:ascii="Times New Roman" w:hAnsi="Times New Roman" w:cs="Times New Roman"/>
          <w:noProof/>
          <w:sz w:val="24"/>
          <w:lang w:val="en-IE"/>
        </w:rPr>
      </w:pPr>
      <w:r>
        <w:rPr>
          <w:rFonts w:ascii="Times New Roman" w:hAnsi="Times New Roman" w:cs="Times New Roman"/>
          <w:noProof/>
          <w:sz w:val="24"/>
          <w:lang w:val="en-IE"/>
        </w:rPr>
        <w:t xml:space="preserve">from 0.11% (Cyprus) to 34.36% (Luxembourg) with 11 MSs above 10% share in 2030. </w:t>
      </w:r>
    </w:p>
    <w:p w:rsidR="00DA7543" w:rsidRDefault="007C073D">
      <w:pPr>
        <w:tabs>
          <w:tab w:val="left" w:pos="0"/>
        </w:tabs>
        <w:spacing w:after="200" w:line="276" w:lineRule="auto"/>
        <w:contextualSpacing/>
        <w:rPr>
          <w:rFonts w:ascii="Times New Roman" w:hAnsi="Times New Roman" w:cs="Times New Roman"/>
          <w:noProof/>
          <w:sz w:val="24"/>
          <w:lang w:val="en-IE" w:eastAsia="en-IE"/>
        </w:rPr>
      </w:pPr>
      <w:r>
        <w:rPr>
          <w:rFonts w:ascii="Times New Roman" w:hAnsi="Times New Roman" w:cs="Times New Roman"/>
          <w:noProof/>
          <w:sz w:val="24"/>
          <w:lang w:eastAsia="en-GB"/>
        </w:rPr>
        <w:drawing>
          <wp:inline distT="0" distB="0" distL="0" distR="0">
            <wp:extent cx="5349396" cy="3729600"/>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1.1.2 jpg.jpg"/>
                    <pic:cNvPicPr/>
                  </pic:nvPicPr>
                  <pic:blipFill>
                    <a:blip r:embed="rId55">
                      <a:extLst>
                        <a:ext uri="{28A0092B-C50C-407E-A947-70E740481C1C}">
                          <a14:useLocalDpi xmlns:a14="http://schemas.microsoft.com/office/drawing/2010/main" val="0"/>
                        </a:ext>
                      </a:extLst>
                    </a:blip>
                    <a:stretch>
                      <a:fillRect/>
                    </a:stretch>
                  </pic:blipFill>
                  <pic:spPr>
                    <a:xfrm>
                      <a:off x="0" y="0"/>
                      <a:ext cx="5349396" cy="3729600"/>
                    </a:xfrm>
                    <a:prstGeom prst="rect">
                      <a:avLst/>
                    </a:prstGeom>
                  </pic:spPr>
                </pic:pic>
              </a:graphicData>
            </a:graphic>
          </wp:inline>
        </w:drawing>
      </w:r>
      <w:r>
        <w:rPr>
          <w:rFonts w:ascii="Times New Roman" w:hAnsi="Times New Roman" w:cs="Times New Roman"/>
          <w:noProof/>
          <w:sz w:val="24"/>
          <w:lang w:val="en-IE"/>
        </w:rPr>
        <w:t xml:space="preserve">  </w:t>
      </w:r>
      <w:r>
        <w:rPr>
          <w:rFonts w:ascii="Times New Roman" w:hAnsi="Times New Roman" w:cs="Times New Roman"/>
          <w:noProof/>
          <w:sz w:val="24"/>
          <w:lang w:val="en-IE" w:eastAsia="en-IE"/>
        </w:rPr>
        <w:t xml:space="preserve">  </w:t>
      </w:r>
    </w:p>
    <w:p w:rsidR="00DA7543" w:rsidRDefault="007C073D">
      <w:pPr>
        <w:spacing w:before="120" w:after="120" w:line="276" w:lineRule="auto"/>
        <w:rPr>
          <w:rFonts w:ascii="Times New Roman" w:hAnsi="Times New Roman" w:cs="Times New Roman"/>
          <w:i/>
          <w:noProof/>
          <w:color w:val="000000" w:themeColor="text1"/>
          <w:sz w:val="20"/>
          <w:szCs w:val="18"/>
          <w:lang w:val="en-IE"/>
        </w:rPr>
      </w:pPr>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2</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t xml:space="preserve"> Shares of electric vehicles in use in 2018 (left map) and estimated for 2020 (from the NIRs) (right map)</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297942" cy="36108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1.1.3 jpg.jpg"/>
                    <pic:cNvPicPr/>
                  </pic:nvPicPr>
                  <pic:blipFill>
                    <a:blip r:embed="rId56">
                      <a:extLst>
                        <a:ext uri="{28A0092B-C50C-407E-A947-70E740481C1C}">
                          <a14:useLocalDpi xmlns:a14="http://schemas.microsoft.com/office/drawing/2010/main" val="0"/>
                        </a:ext>
                      </a:extLst>
                    </a:blip>
                    <a:stretch>
                      <a:fillRect/>
                    </a:stretch>
                  </pic:blipFill>
                  <pic:spPr>
                    <a:xfrm>
                      <a:off x="0" y="0"/>
                      <a:ext cx="5297942" cy="3610800"/>
                    </a:xfrm>
                    <a:prstGeom prst="rect">
                      <a:avLst/>
                    </a:prstGeom>
                  </pic:spPr>
                </pic:pic>
              </a:graphicData>
            </a:graphic>
          </wp:inline>
        </w:drawing>
      </w:r>
      <w:r>
        <w:rPr>
          <w:rFonts w:ascii="Times New Roman" w:hAnsi="Times New Roman" w:cs="Times New Roman"/>
          <w:noProof/>
          <w:sz w:val="24"/>
          <w:lang w:val="en-IE"/>
        </w:rPr>
        <w:t xml:space="preserve">     </w:t>
      </w:r>
    </w:p>
    <w:p w:rsidR="00DA7543" w:rsidRDefault="007C073D">
      <w:pPr>
        <w:spacing w:before="120" w:after="120" w:line="276" w:lineRule="auto"/>
        <w:rPr>
          <w:rFonts w:ascii="Times New Roman" w:hAnsi="Times New Roman" w:cs="Times New Roman"/>
          <w:i/>
          <w:noProof/>
          <w:color w:val="000000" w:themeColor="text1"/>
          <w:sz w:val="20"/>
          <w:szCs w:val="18"/>
          <w:lang w:val="en-IE"/>
        </w:rPr>
      </w:pPr>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3</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t xml:space="preserve"> Shares of estimated electric vehicles (from the NIRs) in 2025 (left map) and in </w:t>
      </w:r>
      <w:r>
        <w:rPr>
          <w:rFonts w:ascii="Times New Roman" w:hAnsi="Times New Roman" w:cs="Times New Roman"/>
          <w:i/>
          <w:noProof/>
          <w:color w:val="000000" w:themeColor="text1"/>
          <w:sz w:val="20"/>
          <w:szCs w:val="18"/>
          <w:lang w:val="en-IE"/>
        </w:rPr>
        <w:t>2030 (right map)</w:t>
      </w:r>
    </w:p>
    <w:p w:rsidR="00DA7543" w:rsidRDefault="00DA7543">
      <w:pPr>
        <w:rPr>
          <w:rFonts w:ascii="Times New Roman" w:hAnsi="Times New Roman" w:cs="Times New Roman"/>
          <w:noProof/>
          <w:sz w:val="24"/>
          <w:lang w:val="en-IE"/>
        </w:rPr>
      </w:pPr>
    </w:p>
    <w:p w:rsidR="00DA7543" w:rsidRDefault="007C073D">
      <w:pPr>
        <w:spacing w:after="120"/>
        <w:jc w:val="both"/>
        <w:rPr>
          <w:rFonts w:ascii="Times New Roman" w:hAnsi="Times New Roman" w:cs="Times New Roman"/>
          <w:noProof/>
          <w:sz w:val="24"/>
          <w:lang w:val="en-IE"/>
        </w:rPr>
      </w:pPr>
      <w:r>
        <w:rPr>
          <w:rFonts w:ascii="Times New Roman" w:hAnsi="Times New Roman" w:cs="Times New Roman"/>
          <w:noProof/>
          <w:sz w:val="24"/>
          <w:lang w:val="en-IE"/>
        </w:rPr>
        <w:t>Also for the EV share, the EU-wide average situation is shown in the following table:</w:t>
      </w:r>
    </w:p>
    <w:p w:rsidR="00DA7543" w:rsidRDefault="007C073D">
      <w:pPr>
        <w:spacing w:after="120"/>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270250" cy="1043582"/>
            <wp:effectExtent l="0" t="0" r="6350" b="4445"/>
            <wp:docPr id="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pic:cNvPicPr>
                      <a:picLocks noChangeAspect="1"/>
                    </pic:cNvPicPr>
                  </pic:nvPicPr>
                  <pic:blipFill>
                    <a:blip r:embed="rId57"/>
                    <a:stretch>
                      <a:fillRect/>
                    </a:stretch>
                  </pic:blipFill>
                  <pic:spPr>
                    <a:xfrm>
                      <a:off x="0" y="0"/>
                      <a:ext cx="3319437" cy="1059278"/>
                    </a:xfrm>
                    <a:prstGeom prst="rect">
                      <a:avLst/>
                    </a:prstGeom>
                  </pic:spPr>
                </pic:pic>
              </a:graphicData>
            </a:graphic>
          </wp:inline>
        </w:drawing>
      </w:r>
    </w:p>
    <w:p w:rsidR="00DA7543" w:rsidRDefault="00DA7543">
      <w:pPr>
        <w:spacing w:after="120"/>
        <w:jc w:val="center"/>
        <w:rPr>
          <w:rFonts w:ascii="Times New Roman" w:hAnsi="Times New Roman" w:cs="Times New Roman"/>
          <w:noProof/>
          <w:sz w:val="24"/>
          <w:lang w:val="en-IE"/>
        </w:rPr>
      </w:pPr>
    </w:p>
    <w:p w:rsidR="00DA7543" w:rsidRDefault="007C073D">
      <w:pPr>
        <w:spacing w:after="120" w:line="276"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 xml:space="preserve">The maps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_Ref54945804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4</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and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_Ref54945</w:instrText>
      </w:r>
      <w:r>
        <w:rPr>
          <w:rFonts w:ascii="Times New Roman" w:hAnsi="Times New Roman" w:cs="Times New Roman"/>
          <w:noProof/>
          <w:sz w:val="24"/>
          <w:lang w:val="en-IE"/>
        </w:rPr>
        <w:instrText xml:space="preserve">828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5</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 the evolution of the shares of alternative fuels vehicles normalized by population (that can be named as AFV motorisation) per Member State in 2018, 2020, 2025 and 2030 (according to the estimates provided in the NIRs) for the pair electricity/road. </w:t>
      </w:r>
      <w:r>
        <w:rPr>
          <w:rFonts w:ascii="Times New Roman" w:hAnsi="Times New Roman" w:cs="Times New Roman"/>
          <w:noProof/>
          <w:sz w:val="24"/>
          <w:lang w:val="en-IE"/>
        </w:rPr>
        <w:t>In 2018, there were 5 MSs having more than 3 EVs per 1,000 inhabitants, and the leader is Netherlands with the value of 8.52 for this parameter. In 2020, there are 5 MSs foreseen to have more than 10 EVs per 1,000 inhabitants. In 2025, there are 8 MSs fore</w:t>
      </w:r>
      <w:r>
        <w:rPr>
          <w:rFonts w:ascii="Times New Roman" w:hAnsi="Times New Roman" w:cs="Times New Roman"/>
          <w:noProof/>
          <w:sz w:val="24"/>
          <w:lang w:val="en-IE"/>
        </w:rPr>
        <w:t xml:space="preserve">seen to have values above 30 EVs per 1,000 inhabitants, while in 2030, there are 8 MSs foreseen to exceed the value of 100 for this parameter. In all estimated future cases, Luxembourg leads with the values of 17 in 2020, 168 in 2025, and 337 in 2030. </w:t>
      </w:r>
    </w:p>
    <w:p w:rsidR="00DA7543" w:rsidRDefault="00DA7543">
      <w:pPr>
        <w:spacing w:after="120" w:line="276" w:lineRule="auto"/>
        <w:contextualSpacing/>
        <w:jc w:val="both"/>
        <w:rPr>
          <w:rFonts w:ascii="Times New Roman" w:hAnsi="Times New Roman" w:cs="Times New Roman"/>
          <w:noProof/>
          <w:sz w:val="24"/>
          <w:lang w:val="en-IE"/>
        </w:rPr>
      </w:pPr>
    </w:p>
    <w:p w:rsidR="00DA7543" w:rsidRDefault="007C073D">
      <w:pPr>
        <w:tabs>
          <w:tab w:val="left" w:pos="0"/>
        </w:tabs>
        <w:spacing w:after="200" w:line="276" w:lineRule="auto"/>
        <w:contextualSpacing/>
        <w:rPr>
          <w:rFonts w:ascii="Times New Roman" w:hAnsi="Times New Roman" w:cs="Times New Roman"/>
          <w:noProof/>
          <w:sz w:val="24"/>
          <w:lang w:val="en-IE" w:eastAsia="en-IE"/>
        </w:rPr>
      </w:pPr>
      <w:r>
        <w:rPr>
          <w:rFonts w:ascii="Times New Roman" w:hAnsi="Times New Roman" w:cs="Times New Roman"/>
          <w:noProof/>
          <w:sz w:val="24"/>
          <w:lang w:eastAsia="en-GB"/>
        </w:rPr>
        <w:drawing>
          <wp:inline distT="0" distB="0" distL="0" distR="0">
            <wp:extent cx="5543147" cy="382680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1.1.4 jpg.jpg"/>
                    <pic:cNvPicPr/>
                  </pic:nvPicPr>
                  <pic:blipFill>
                    <a:blip r:embed="rId58">
                      <a:extLst>
                        <a:ext uri="{28A0092B-C50C-407E-A947-70E740481C1C}">
                          <a14:useLocalDpi xmlns:a14="http://schemas.microsoft.com/office/drawing/2010/main" val="0"/>
                        </a:ext>
                      </a:extLst>
                    </a:blip>
                    <a:stretch>
                      <a:fillRect/>
                    </a:stretch>
                  </pic:blipFill>
                  <pic:spPr>
                    <a:xfrm>
                      <a:off x="0" y="0"/>
                      <a:ext cx="5543147" cy="3826800"/>
                    </a:xfrm>
                    <a:prstGeom prst="rect">
                      <a:avLst/>
                    </a:prstGeom>
                  </pic:spPr>
                </pic:pic>
              </a:graphicData>
            </a:graphic>
          </wp:inline>
        </w:drawing>
      </w:r>
      <w:r>
        <w:rPr>
          <w:rFonts w:ascii="Times New Roman" w:hAnsi="Times New Roman" w:cs="Times New Roman"/>
          <w:noProof/>
          <w:sz w:val="24"/>
          <w:lang w:val="en-IE"/>
        </w:rPr>
        <w:t xml:space="preserve"> </w:t>
      </w:r>
      <w:r>
        <w:rPr>
          <w:rFonts w:ascii="Times New Roman" w:hAnsi="Times New Roman" w:cs="Times New Roman"/>
          <w:noProof/>
          <w:sz w:val="24"/>
          <w:lang w:val="en-IE"/>
        </w:rPr>
        <w:t xml:space="preserve"> </w:t>
      </w:r>
      <w:r>
        <w:rPr>
          <w:rFonts w:ascii="Times New Roman" w:hAnsi="Times New Roman" w:cs="Times New Roman"/>
          <w:noProof/>
          <w:sz w:val="24"/>
          <w:lang w:val="en-IE" w:eastAsia="en-IE"/>
        </w:rPr>
        <w:t xml:space="preserve">  </w:t>
      </w:r>
    </w:p>
    <w:p w:rsidR="00DA7543" w:rsidRDefault="007C073D">
      <w:pPr>
        <w:spacing w:before="120" w:after="120" w:line="276" w:lineRule="auto"/>
        <w:rPr>
          <w:rFonts w:ascii="Times New Roman" w:hAnsi="Times New Roman" w:cs="Times New Roman"/>
          <w:i/>
          <w:noProof/>
          <w:color w:val="000000" w:themeColor="text1"/>
          <w:sz w:val="20"/>
          <w:szCs w:val="18"/>
          <w:lang w:val="en-IE"/>
        </w:rPr>
      </w:pPr>
      <w:bookmarkStart w:id="119" w:name="_Ref54945804"/>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w:t>
      </w:r>
      <w:r>
        <w:rPr>
          <w:rFonts w:ascii="Times New Roman" w:hAnsi="Times New Roman" w:cs="Times New Roman"/>
          <w:i/>
          <w:noProof/>
          <w:color w:val="000000" w:themeColor="text1"/>
          <w:sz w:val="20"/>
          <w:szCs w:val="18"/>
          <w:lang w:val="en-IE"/>
        </w:rPr>
        <w:fldChar w:fldCharType="end"/>
      </w:r>
      <w:bookmarkEnd w:id="119"/>
      <w:r>
        <w:rPr>
          <w:rFonts w:ascii="Times New Roman" w:hAnsi="Times New Roman" w:cs="Times New Roman"/>
          <w:i/>
          <w:noProof/>
          <w:color w:val="000000" w:themeColor="text1"/>
          <w:sz w:val="20"/>
          <w:szCs w:val="18"/>
          <w:lang w:val="en-IE"/>
        </w:rPr>
        <w:t xml:space="preserve"> Shares of electric vehicles normalized by population (EV motorisation) in 2018 (left map) and estimated for 2020 (from the NIRs) (right map)</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508341" cy="380520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1.1.5 jpg.jpg"/>
                    <pic:cNvPicPr/>
                  </pic:nvPicPr>
                  <pic:blipFill>
                    <a:blip r:embed="rId59">
                      <a:extLst>
                        <a:ext uri="{28A0092B-C50C-407E-A947-70E740481C1C}">
                          <a14:useLocalDpi xmlns:a14="http://schemas.microsoft.com/office/drawing/2010/main" val="0"/>
                        </a:ext>
                      </a:extLst>
                    </a:blip>
                    <a:stretch>
                      <a:fillRect/>
                    </a:stretch>
                  </pic:blipFill>
                  <pic:spPr>
                    <a:xfrm>
                      <a:off x="0" y="0"/>
                      <a:ext cx="5508341" cy="3805200"/>
                    </a:xfrm>
                    <a:prstGeom prst="rect">
                      <a:avLst/>
                    </a:prstGeom>
                  </pic:spPr>
                </pic:pic>
              </a:graphicData>
            </a:graphic>
          </wp:inline>
        </w:drawing>
      </w:r>
      <w:r>
        <w:rPr>
          <w:rFonts w:ascii="Times New Roman" w:hAnsi="Times New Roman" w:cs="Times New Roman"/>
          <w:noProof/>
          <w:sz w:val="24"/>
          <w:lang w:val="en-IE"/>
        </w:rPr>
        <w:t xml:space="preserve">     </w:t>
      </w:r>
    </w:p>
    <w:p w:rsidR="00DA7543" w:rsidRDefault="007C073D">
      <w:pPr>
        <w:spacing w:before="120" w:after="120" w:line="276" w:lineRule="auto"/>
        <w:rPr>
          <w:rFonts w:ascii="Times New Roman" w:hAnsi="Times New Roman" w:cs="Times New Roman"/>
          <w:i/>
          <w:noProof/>
          <w:color w:val="000000" w:themeColor="text1"/>
          <w:sz w:val="20"/>
          <w:szCs w:val="18"/>
          <w:lang w:val="en-IE"/>
        </w:rPr>
      </w:pPr>
      <w:bookmarkStart w:id="120" w:name="_Ref54945828"/>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5</w:t>
      </w:r>
      <w:r>
        <w:rPr>
          <w:rFonts w:ascii="Times New Roman" w:hAnsi="Times New Roman" w:cs="Times New Roman"/>
          <w:i/>
          <w:noProof/>
          <w:color w:val="000000" w:themeColor="text1"/>
          <w:sz w:val="20"/>
          <w:szCs w:val="18"/>
          <w:lang w:val="en-IE"/>
        </w:rPr>
        <w:fldChar w:fldCharType="end"/>
      </w:r>
      <w:bookmarkEnd w:id="120"/>
      <w:r>
        <w:rPr>
          <w:rFonts w:ascii="Times New Roman" w:hAnsi="Times New Roman" w:cs="Times New Roman"/>
          <w:i/>
          <w:noProof/>
          <w:color w:val="000000" w:themeColor="text1"/>
          <w:sz w:val="20"/>
          <w:szCs w:val="18"/>
          <w:lang w:val="en-IE"/>
        </w:rPr>
        <w:t xml:space="preserve"> Shares of estimated electric vehicles (from the NIRs) normalized by population (EV motorisation) in 2025 (left map) and in 2030 (right map)</w:t>
      </w:r>
    </w:p>
    <w:p w:rsidR="00DA7543" w:rsidRDefault="007C073D">
      <w:pPr>
        <w:spacing w:after="120"/>
        <w:jc w:val="both"/>
        <w:rPr>
          <w:rFonts w:ascii="Times New Roman" w:hAnsi="Times New Roman" w:cs="Times New Roman"/>
          <w:noProof/>
          <w:sz w:val="24"/>
          <w:lang w:val="en-IE"/>
        </w:rPr>
      </w:pPr>
      <w:r>
        <w:rPr>
          <w:rFonts w:ascii="Times New Roman" w:hAnsi="Times New Roman" w:cs="Times New Roman"/>
          <w:b/>
          <w:noProof/>
          <w:sz w:val="24"/>
          <w:lang w:val="en-IE"/>
        </w:rPr>
        <w:t>Recharging points (publicly accessible)</w:t>
      </w:r>
    </w:p>
    <w:p w:rsidR="00DA7543" w:rsidRDefault="007C073D">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(Coverage)</w:t>
      </w:r>
      <w:r>
        <w:rPr>
          <w:rFonts w:ascii="Times New Roman" w:hAnsi="Times New Roman" w:cs="Times New Roman"/>
          <w:noProof/>
          <w:sz w:val="24"/>
          <w:lang w:val="en-IE"/>
        </w:rPr>
        <w:t xml:space="preserve"> Twenty-four MSs NIRs out of the total 25 assessed (96%) have provided at least some historical data (2016-2018)</w:t>
      </w:r>
      <w:r>
        <w:rPr>
          <w:rFonts w:ascii="Times New Roman" w:hAnsi="Times New Roman" w:cs="Times New Roman"/>
          <w:noProof/>
          <w:sz w:val="24"/>
          <w:vertAlign w:val="superscript"/>
          <w:lang w:val="en-IE"/>
        </w:rPr>
        <w:footnoteReference w:id="23"/>
      </w:r>
      <w:r>
        <w:rPr>
          <w:rFonts w:ascii="Times New Roman" w:hAnsi="Times New Roman" w:cs="Times New Roman"/>
          <w:noProof/>
          <w:sz w:val="24"/>
          <w:lang w:val="en-IE"/>
        </w:rPr>
        <w:t xml:space="preserve"> and 22 at least one target for the decade 2020-2030. For the three years of the next decade when targets were requested, the number of provide</w:t>
      </w:r>
      <w:r>
        <w:rPr>
          <w:rFonts w:ascii="Times New Roman" w:hAnsi="Times New Roman" w:cs="Times New Roman"/>
          <w:noProof/>
          <w:sz w:val="24"/>
          <w:lang w:val="en-IE"/>
        </w:rPr>
        <w:t>d targets is higher in the NIRs than in the NPFs (49 vs 45).</w:t>
      </w:r>
    </w:p>
    <w:p w:rsidR="00DA7543" w:rsidRDefault="007C073D">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(Change NIR vs NPF)</w:t>
      </w:r>
      <w:r>
        <w:rPr>
          <w:rFonts w:ascii="Times New Roman" w:hAnsi="Times New Roman" w:cs="Times New Roman"/>
          <w:noProof/>
          <w:sz w:val="24"/>
          <w:lang w:val="en-IE"/>
        </w:rPr>
        <w:t xml:space="preserve"> Considering the 35 cases where a change could be computed (recharging infrastructure targets provided both in the NPF and NIR), a decrease of ambition is noticeable in 7 cases</w:t>
      </w:r>
      <w:r>
        <w:rPr>
          <w:rFonts w:ascii="Times New Roman" w:hAnsi="Times New Roman" w:cs="Times New Roman"/>
          <w:noProof/>
          <w:sz w:val="24"/>
          <w:lang w:val="en-IE"/>
        </w:rPr>
        <w:t>, a similar ambition in 18 cases and an increase of ambition in 10 cases. The changes range from -88.00% (Bulgaria) to +198.00% (Lithuania) in 2020; from -66.67% (Bulgaria) to +210.00% (Lithuania) in 2025; from -44.44% (Bulgaria) to +375.58% (Lithuania) in</w:t>
      </w:r>
      <w:r>
        <w:rPr>
          <w:rFonts w:ascii="Times New Roman" w:hAnsi="Times New Roman" w:cs="Times New Roman"/>
          <w:noProof/>
          <w:sz w:val="24"/>
          <w:lang w:val="en-IE"/>
        </w:rPr>
        <w:t xml:space="preserve"> 2030. In other 14 cases, a target was provided only in the NIR and the changes could not be computed.</w:t>
      </w:r>
    </w:p>
    <w:p w:rsidR="00DA7543" w:rsidRDefault="007C073D">
      <w:pPr>
        <w:spacing w:after="120"/>
        <w:ind w:left="862"/>
        <w:jc w:val="both"/>
        <w:rPr>
          <w:rFonts w:ascii="Times New Roman" w:hAnsi="Times New Roman" w:cs="Times New Roman"/>
          <w:noProof/>
          <w:sz w:val="24"/>
          <w:lang w:val="en-IE"/>
        </w:rPr>
      </w:pPr>
      <w:r>
        <w:rPr>
          <w:rFonts w:ascii="Times New Roman" w:hAnsi="Times New Roman" w:cs="Times New Roman"/>
          <w:noProof/>
          <w:sz w:val="24"/>
          <w:lang w:val="en-IE"/>
        </w:rPr>
        <w:t>The average situation from a EU-wide perspective is reported in the following table. In this case, only the 2020 averages have been computed as EU-wide r</w:t>
      </w:r>
      <w:r>
        <w:rPr>
          <w:rFonts w:ascii="Times New Roman" w:hAnsi="Times New Roman" w:cs="Times New Roman"/>
          <w:noProof/>
          <w:sz w:val="24"/>
          <w:lang w:val="en-IE"/>
        </w:rPr>
        <w:t>epresentative.</w:t>
      </w:r>
    </w:p>
    <w:p w:rsidR="00DA7543" w:rsidRDefault="007C073D">
      <w:pPr>
        <w:spacing w:after="120"/>
        <w:ind w:left="708"/>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678906" cy="1157792"/>
            <wp:effectExtent l="0" t="0" r="7620" b="0"/>
            <wp:docPr id="7988" name="Picture 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2033" cy="1172109"/>
                    </a:xfrm>
                    <a:prstGeom prst="rect">
                      <a:avLst/>
                    </a:prstGeom>
                    <a:noFill/>
                    <a:ln>
                      <a:noFill/>
                    </a:ln>
                  </pic:spPr>
                </pic:pic>
              </a:graphicData>
            </a:graphic>
          </wp:inline>
        </w:drawing>
      </w:r>
    </w:p>
    <w:p w:rsidR="00DA7543" w:rsidRDefault="007C073D">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(Attainment)</w:t>
      </w:r>
      <w:r>
        <w:rPr>
          <w:rFonts w:ascii="Times New Roman" w:hAnsi="Times New Roman" w:cs="Times New Roman"/>
          <w:noProof/>
          <w:sz w:val="24"/>
          <w:lang w:val="en-IE"/>
        </w:rPr>
        <w:t xml:space="preserve"> The 2018 attainment of the MSs foreseen recharging points targets ranges significantly across EU, from 6.57% (Greece) to 119.37% (Austria) for 2020, from 1.15% (Greece) to 73.27% (Ireland) for 2025, and from 0.46% (Greece) to </w:t>
      </w:r>
      <w:r>
        <w:rPr>
          <w:rFonts w:ascii="Times New Roman" w:hAnsi="Times New Roman" w:cs="Times New Roman"/>
          <w:noProof/>
          <w:sz w:val="24"/>
          <w:lang w:val="en-IE"/>
        </w:rPr>
        <w:t>92.54% (Romania) for 2030.</w:t>
      </w:r>
    </w:p>
    <w:p w:rsidR="00DA7543" w:rsidRDefault="007C073D">
      <w:pPr>
        <w:spacing w:after="120"/>
        <w:ind w:left="851"/>
        <w:jc w:val="both"/>
        <w:rPr>
          <w:rFonts w:ascii="Times New Roman" w:hAnsi="Times New Roman" w:cs="Times New Roman"/>
          <w:noProof/>
          <w:sz w:val="24"/>
          <w:lang w:val="en-IE"/>
        </w:rPr>
      </w:pPr>
      <w:r>
        <w:rPr>
          <w:rFonts w:ascii="Times New Roman" w:hAnsi="Times New Roman" w:cs="Times New Roman"/>
          <w:noProof/>
          <w:sz w:val="24"/>
          <w:lang w:val="en-IE"/>
        </w:rPr>
        <w:t>The average situation from a EU-wide perspective is reported in the following table:</w:t>
      </w:r>
    </w:p>
    <w:p w:rsidR="00DA7543" w:rsidRDefault="007C073D">
      <w:pPr>
        <w:spacing w:after="120"/>
        <w:ind w:left="708"/>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693194" cy="1262310"/>
            <wp:effectExtent l="0" t="0" r="0" b="0"/>
            <wp:docPr id="7989" name="Picture 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10466" cy="1270406"/>
                    </a:xfrm>
                    <a:prstGeom prst="rect">
                      <a:avLst/>
                    </a:prstGeom>
                    <a:noFill/>
                    <a:ln>
                      <a:noFill/>
                    </a:ln>
                  </pic:spPr>
                </pic:pic>
              </a:graphicData>
            </a:graphic>
          </wp:inline>
        </w:drawing>
      </w:r>
    </w:p>
    <w:p w:rsidR="00DA7543" w:rsidRDefault="007C073D">
      <w:pPr>
        <w:spacing w:after="120"/>
        <w:ind w:left="851"/>
        <w:jc w:val="both"/>
        <w:rPr>
          <w:rFonts w:ascii="Times New Roman" w:hAnsi="Times New Roman" w:cs="Times New Roman"/>
          <w:noProof/>
          <w:sz w:val="24"/>
          <w:lang w:val="en-IE"/>
        </w:rPr>
      </w:pPr>
      <w:r>
        <w:rPr>
          <w:rFonts w:ascii="Times New Roman" w:hAnsi="Times New Roman" w:cs="Times New Roman"/>
          <w:noProof/>
          <w:sz w:val="24"/>
          <w:lang w:val="en-IE"/>
        </w:rPr>
        <w:t>The values shown for 2025 and 2030 should be considered with more caution, due to the limited numbers of NIRs available to calculate the EU av</w:t>
      </w:r>
      <w:r>
        <w:rPr>
          <w:rFonts w:ascii="Times New Roman" w:hAnsi="Times New Roman" w:cs="Times New Roman"/>
          <w:noProof/>
          <w:sz w:val="24"/>
          <w:lang w:val="en-IE"/>
        </w:rPr>
        <w:t xml:space="preserve">erages. </w:t>
      </w:r>
    </w:p>
    <w:p w:rsidR="00DA7543" w:rsidRDefault="007C073D">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(Progress)</w:t>
      </w:r>
      <w:r>
        <w:rPr>
          <w:rFonts w:ascii="Times New Roman" w:hAnsi="Times New Roman" w:cs="Times New Roman"/>
          <w:noProof/>
          <w:sz w:val="24"/>
          <w:lang w:val="en-IE"/>
        </w:rPr>
        <w:t xml:space="preserve"> Considering the 24 MSs that provided at least one target for the 2020-2030 decade in their NIR or NPF, and comparing the 2018 situation with their foreseen recharging points infrastructure evolution, 6 MSs result to progress fast, 11 ad</w:t>
      </w:r>
      <w:r>
        <w:rPr>
          <w:rFonts w:ascii="Times New Roman" w:hAnsi="Times New Roman" w:cs="Times New Roman"/>
          <w:noProof/>
          <w:sz w:val="24"/>
          <w:lang w:val="en-IE"/>
        </w:rPr>
        <w:t xml:space="preserve">equately and 7 slowly. </w:t>
      </w:r>
    </w:p>
    <w:p w:rsidR="00DA7543" w:rsidRDefault="007C073D">
      <w:pPr>
        <w:numPr>
          <w:ilvl w:val="0"/>
          <w:numId w:val="10"/>
        </w:numPr>
        <w:spacing w:after="12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(Growth rate)</w:t>
      </w:r>
      <w:r>
        <w:rPr>
          <w:rFonts w:ascii="Times New Roman" w:hAnsi="Times New Roman" w:cs="Times New Roman"/>
          <w:noProof/>
          <w:sz w:val="24"/>
          <w:lang w:val="en-IE"/>
        </w:rPr>
        <w:t xml:space="preserve"> The average annual growth rate characterising the foreseen evolution of recharging points for the next decade ranges from 3% (Ireland) to 111% (Poland). Out of the 24 computed annual growth rates, 6 are below 20%, 10 a</w:t>
      </w:r>
      <w:r>
        <w:rPr>
          <w:rFonts w:ascii="Times New Roman" w:hAnsi="Times New Roman" w:cs="Times New Roman"/>
          <w:noProof/>
          <w:sz w:val="24"/>
          <w:lang w:val="en-IE"/>
        </w:rPr>
        <w:t>re in between 20% and 40%, 6 are in between 40% and 60% while 2 are above 60% (Lithuania and Poland).</w:t>
      </w:r>
    </w:p>
    <w:p w:rsidR="00DA7543" w:rsidRDefault="007C073D">
      <w:pPr>
        <w:spacing w:after="120"/>
        <w:ind w:left="851"/>
        <w:jc w:val="both"/>
        <w:rPr>
          <w:rFonts w:ascii="Times New Roman" w:hAnsi="Times New Roman" w:cs="Times New Roman"/>
          <w:noProof/>
          <w:sz w:val="24"/>
          <w:lang w:val="en-IE"/>
        </w:rPr>
      </w:pPr>
      <w:r>
        <w:rPr>
          <w:rFonts w:ascii="Times New Roman" w:hAnsi="Times New Roman" w:cs="Times New Roman"/>
          <w:noProof/>
          <w:sz w:val="24"/>
          <w:lang w:val="en-IE"/>
        </w:rPr>
        <w:t>The average situation from a EU-wide perspective is reported in the following table:</w:t>
      </w:r>
    </w:p>
    <w:p w:rsidR="00DA7543" w:rsidRDefault="007C073D">
      <w:pPr>
        <w:spacing w:after="120"/>
        <w:ind w:left="708"/>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2521743" cy="1107096"/>
            <wp:effectExtent l="0" t="0" r="0" b="0"/>
            <wp:docPr id="7990" name="Picture 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36277" cy="1113477"/>
                    </a:xfrm>
                    <a:prstGeom prst="rect">
                      <a:avLst/>
                    </a:prstGeom>
                    <a:noFill/>
                    <a:ln>
                      <a:noFill/>
                    </a:ln>
                  </pic:spPr>
                </pic:pic>
              </a:graphicData>
            </a:graphic>
          </wp:inline>
        </w:drawing>
      </w:r>
    </w:p>
    <w:p w:rsidR="00DA7543" w:rsidRDefault="00DA7543">
      <w:pPr>
        <w:spacing w:after="120"/>
        <w:ind w:left="851"/>
        <w:jc w:val="both"/>
        <w:rPr>
          <w:rFonts w:ascii="Times New Roman" w:hAnsi="Times New Roman" w:cs="Times New Roman"/>
          <w:noProof/>
          <w:sz w:val="24"/>
          <w:lang w:val="en-IE"/>
        </w:rPr>
      </w:pPr>
    </w:p>
    <w:p w:rsidR="00DA7543" w:rsidRDefault="007C073D">
      <w:pPr>
        <w:spacing w:after="120" w:line="276"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 xml:space="preserve">The maps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_Ref54946390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6</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and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_Ref54946401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7</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 the evolution of the density of publicly accessible recharging po</w:t>
      </w:r>
      <w:r>
        <w:rPr>
          <w:rFonts w:ascii="Times New Roman" w:hAnsi="Times New Roman" w:cs="Times New Roman"/>
          <w:noProof/>
          <w:sz w:val="24"/>
          <w:lang w:val="en-IE"/>
        </w:rPr>
        <w:t>ints (number of recharging points normalized by the total length of roads</w:t>
      </w:r>
      <w:r>
        <w:rPr>
          <w:rStyle w:val="FootnoteReference"/>
          <w:rFonts w:ascii="Times New Roman" w:hAnsi="Times New Roman" w:cs="Times New Roman"/>
          <w:noProof/>
          <w:sz w:val="24"/>
          <w:lang w:val="en-IE"/>
        </w:rPr>
        <w:footnoteReference w:id="24"/>
      </w:r>
      <w:r>
        <w:rPr>
          <w:rFonts w:ascii="Times New Roman" w:hAnsi="Times New Roman" w:cs="Times New Roman"/>
          <w:noProof/>
          <w:sz w:val="24"/>
          <w:lang w:val="en-IE"/>
        </w:rPr>
        <w:t>) per Member State in 2018, 2020, 2025 and in 2030 (according to the estimates provided in the NIRs). Also in this case, very big differences can be seen among MSs. To be noted</w:t>
      </w:r>
      <w:r>
        <w:rPr>
          <w:rFonts w:ascii="Times New Roman" w:hAnsi="Times New Roman" w:cs="Times New Roman"/>
          <w:noProof/>
          <w:sz w:val="24"/>
        </w:rPr>
        <w:t xml:space="preserve"> is </w:t>
      </w:r>
      <w:r>
        <w:rPr>
          <w:rFonts w:ascii="Times New Roman" w:hAnsi="Times New Roman" w:cs="Times New Roman"/>
          <w:noProof/>
          <w:sz w:val="24"/>
          <w:lang w:val="en-IE"/>
        </w:rPr>
        <w:t>the group of central European MSs (Belgium, Netherlands, Luxembourg and Germany). In 2018, their densities exceeded the value of 5 recharging points per 100 km. In 2020, their densities are foreseen to exceed the value of 10 for this parameter, while in 20</w:t>
      </w:r>
      <w:r>
        <w:rPr>
          <w:rFonts w:ascii="Times New Roman" w:hAnsi="Times New Roman" w:cs="Times New Roman"/>
          <w:noProof/>
          <w:sz w:val="24"/>
          <w:lang w:val="en-IE"/>
        </w:rPr>
        <w:t>30, their densities are foreseen to be well above 100 recharging points per 100 km (or more than 1 recharging point per km).</w:t>
      </w:r>
    </w:p>
    <w:p w:rsidR="00DA7543" w:rsidRDefault="00DA7543">
      <w:pPr>
        <w:spacing w:after="120" w:line="276" w:lineRule="auto"/>
        <w:contextualSpacing/>
        <w:jc w:val="both"/>
        <w:rPr>
          <w:rFonts w:ascii="Times New Roman" w:hAnsi="Times New Roman" w:cs="Times New Roman"/>
          <w:noProof/>
          <w:sz w:val="24"/>
          <w:lang w:val="en-IE"/>
        </w:rPr>
      </w:pPr>
    </w:p>
    <w:p w:rsidR="00DA7543" w:rsidRDefault="007C073D">
      <w:pPr>
        <w:tabs>
          <w:tab w:val="left" w:pos="0"/>
        </w:tabs>
        <w:spacing w:after="200" w:line="276" w:lineRule="auto"/>
        <w:contextualSpacing/>
        <w:rPr>
          <w:rFonts w:ascii="Times New Roman" w:hAnsi="Times New Roman" w:cs="Times New Roman"/>
          <w:noProof/>
          <w:sz w:val="24"/>
          <w:lang w:val="en-IE" w:eastAsia="en-IE"/>
        </w:rPr>
      </w:pPr>
      <w:r>
        <w:rPr>
          <w:rFonts w:ascii="Times New Roman" w:hAnsi="Times New Roman" w:cs="Times New Roman"/>
          <w:noProof/>
          <w:sz w:val="24"/>
          <w:lang w:eastAsia="en-GB"/>
        </w:rPr>
        <w:drawing>
          <wp:inline distT="0" distB="0" distL="0" distR="0">
            <wp:extent cx="5524623" cy="38268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1.1.6 jpg.jpg"/>
                    <pic:cNvPicPr/>
                  </pic:nvPicPr>
                  <pic:blipFill>
                    <a:blip r:embed="rId63">
                      <a:extLst>
                        <a:ext uri="{28A0092B-C50C-407E-A947-70E740481C1C}">
                          <a14:useLocalDpi xmlns:a14="http://schemas.microsoft.com/office/drawing/2010/main" val="0"/>
                        </a:ext>
                      </a:extLst>
                    </a:blip>
                    <a:stretch>
                      <a:fillRect/>
                    </a:stretch>
                  </pic:blipFill>
                  <pic:spPr>
                    <a:xfrm>
                      <a:off x="0" y="0"/>
                      <a:ext cx="5524623" cy="3826800"/>
                    </a:xfrm>
                    <a:prstGeom prst="rect">
                      <a:avLst/>
                    </a:prstGeom>
                  </pic:spPr>
                </pic:pic>
              </a:graphicData>
            </a:graphic>
          </wp:inline>
        </w:drawing>
      </w:r>
      <w:r>
        <w:rPr>
          <w:rFonts w:ascii="Times New Roman" w:hAnsi="Times New Roman" w:cs="Times New Roman"/>
          <w:noProof/>
          <w:sz w:val="24"/>
          <w:lang w:val="en-IE"/>
        </w:rPr>
        <w:t xml:space="preserve">  </w:t>
      </w:r>
      <w:r>
        <w:rPr>
          <w:rFonts w:ascii="Times New Roman" w:hAnsi="Times New Roman" w:cs="Times New Roman"/>
          <w:noProof/>
          <w:sz w:val="24"/>
          <w:lang w:val="en-IE" w:eastAsia="en-IE"/>
        </w:rPr>
        <w:t xml:space="preserve">  </w:t>
      </w:r>
    </w:p>
    <w:p w:rsidR="00DA7543" w:rsidRDefault="007C073D">
      <w:pPr>
        <w:spacing w:before="120" w:after="120" w:line="276" w:lineRule="auto"/>
        <w:rPr>
          <w:rFonts w:ascii="Times New Roman" w:hAnsi="Times New Roman" w:cs="Times New Roman"/>
          <w:i/>
          <w:noProof/>
          <w:color w:val="000000" w:themeColor="text1"/>
          <w:sz w:val="20"/>
          <w:szCs w:val="18"/>
          <w:lang w:val="en-IE"/>
        </w:rPr>
      </w:pPr>
      <w:bookmarkStart w:id="121" w:name="_Ref54946390"/>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6</w:t>
      </w:r>
      <w:r>
        <w:rPr>
          <w:rFonts w:ascii="Times New Roman" w:hAnsi="Times New Roman" w:cs="Times New Roman"/>
          <w:i/>
          <w:noProof/>
          <w:color w:val="000000" w:themeColor="text1"/>
          <w:sz w:val="20"/>
          <w:szCs w:val="18"/>
          <w:lang w:val="en-IE"/>
        </w:rPr>
        <w:fldChar w:fldCharType="end"/>
      </w:r>
      <w:bookmarkEnd w:id="121"/>
      <w:r>
        <w:rPr>
          <w:rFonts w:ascii="Times New Roman" w:hAnsi="Times New Roman" w:cs="Times New Roman"/>
          <w:i/>
          <w:noProof/>
          <w:color w:val="000000" w:themeColor="text1"/>
          <w:sz w:val="20"/>
          <w:szCs w:val="18"/>
          <w:lang w:val="en-IE"/>
        </w:rPr>
        <w:t xml:space="preserve"> Density of publicly accessible recharging points in 2018 (left map) </w:t>
      </w:r>
      <w:r>
        <w:rPr>
          <w:rFonts w:ascii="Times New Roman" w:hAnsi="Times New Roman" w:cs="Times New Roman"/>
          <w:i/>
          <w:noProof/>
          <w:color w:val="000000" w:themeColor="text1"/>
          <w:sz w:val="20"/>
          <w:szCs w:val="18"/>
          <w:lang w:val="en-US"/>
        </w:rPr>
        <w:t xml:space="preserve">and estimated for </w:t>
      </w:r>
      <w:r>
        <w:rPr>
          <w:rFonts w:ascii="Times New Roman" w:hAnsi="Times New Roman" w:cs="Times New Roman"/>
          <w:i/>
          <w:noProof/>
          <w:color w:val="000000" w:themeColor="text1"/>
          <w:sz w:val="20"/>
          <w:szCs w:val="18"/>
          <w:lang w:val="en-IE"/>
        </w:rPr>
        <w:t>2020 (from the NIRs) (right map)</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575060" cy="3805200"/>
            <wp:effectExtent l="0" t="0" r="698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1.1.7.jpg"/>
                    <pic:cNvPicPr/>
                  </pic:nvPicPr>
                  <pic:blipFill>
                    <a:blip r:embed="rId64">
                      <a:extLst>
                        <a:ext uri="{28A0092B-C50C-407E-A947-70E740481C1C}">
                          <a14:useLocalDpi xmlns:a14="http://schemas.microsoft.com/office/drawing/2010/main" val="0"/>
                        </a:ext>
                      </a:extLst>
                    </a:blip>
                    <a:stretch>
                      <a:fillRect/>
                    </a:stretch>
                  </pic:blipFill>
                  <pic:spPr>
                    <a:xfrm>
                      <a:off x="0" y="0"/>
                      <a:ext cx="5575060" cy="3805200"/>
                    </a:xfrm>
                    <a:prstGeom prst="rect">
                      <a:avLst/>
                    </a:prstGeom>
                  </pic:spPr>
                </pic:pic>
              </a:graphicData>
            </a:graphic>
          </wp:inline>
        </w:drawing>
      </w:r>
      <w:r>
        <w:rPr>
          <w:rFonts w:ascii="Times New Roman" w:hAnsi="Times New Roman" w:cs="Times New Roman"/>
          <w:noProof/>
          <w:sz w:val="24"/>
          <w:lang w:val="en-IE"/>
        </w:rPr>
        <w:t xml:space="preserve">     </w:t>
      </w:r>
    </w:p>
    <w:p w:rsidR="00DA7543" w:rsidRDefault="007C073D">
      <w:pPr>
        <w:spacing w:before="120" w:after="120" w:line="276" w:lineRule="auto"/>
        <w:rPr>
          <w:rFonts w:ascii="Times New Roman" w:hAnsi="Times New Roman" w:cs="Times New Roman"/>
          <w:i/>
          <w:noProof/>
          <w:color w:val="000000" w:themeColor="text1"/>
          <w:sz w:val="20"/>
          <w:szCs w:val="18"/>
          <w:lang w:val="en-IE"/>
        </w:rPr>
      </w:pPr>
      <w:bookmarkStart w:id="122" w:name="_Ref54946401"/>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7</w:t>
      </w:r>
      <w:r>
        <w:rPr>
          <w:rFonts w:ascii="Times New Roman" w:hAnsi="Times New Roman" w:cs="Times New Roman"/>
          <w:i/>
          <w:noProof/>
          <w:color w:val="000000" w:themeColor="text1"/>
          <w:sz w:val="20"/>
          <w:szCs w:val="18"/>
          <w:lang w:val="en-IE"/>
        </w:rPr>
        <w:fldChar w:fldCharType="end"/>
      </w:r>
      <w:bookmarkEnd w:id="122"/>
      <w:r>
        <w:rPr>
          <w:rFonts w:ascii="Times New Roman" w:hAnsi="Times New Roman" w:cs="Times New Roman"/>
          <w:i/>
          <w:noProof/>
          <w:color w:val="000000" w:themeColor="text1"/>
          <w:sz w:val="20"/>
          <w:szCs w:val="18"/>
          <w:lang w:val="en-IE"/>
        </w:rPr>
        <w:t xml:space="preserve"> Estimated density of publicly accessible recharging points (from the NIRs) in 2025 (left map) and in 2030 (right map)</w:t>
      </w:r>
    </w:p>
    <w:p w:rsidR="00DA7543" w:rsidRDefault="00DA7543">
      <w:pPr>
        <w:spacing w:before="120" w:after="120" w:line="276" w:lineRule="auto"/>
        <w:rPr>
          <w:rFonts w:ascii="Times New Roman" w:hAnsi="Times New Roman" w:cs="Times New Roman"/>
          <w:i/>
          <w:noProof/>
          <w:color w:val="000000" w:themeColor="text1"/>
          <w:sz w:val="20"/>
          <w:szCs w:val="18"/>
          <w:lang w:val="en-IE"/>
        </w:rPr>
      </w:pPr>
    </w:p>
    <w:p w:rsidR="00DA7543" w:rsidRDefault="007C073D">
      <w:pPr>
        <w:spacing w:after="120"/>
        <w:ind w:left="360"/>
        <w:jc w:val="both"/>
        <w:rPr>
          <w:rFonts w:ascii="Times New Roman" w:hAnsi="Times New Roman" w:cs="Times New Roman"/>
          <w:noProof/>
          <w:sz w:val="24"/>
          <w:lang w:val="en-IE"/>
        </w:rPr>
      </w:pPr>
      <w:r>
        <w:rPr>
          <w:rFonts w:ascii="Times New Roman" w:hAnsi="Times New Roman" w:cs="Times New Roman"/>
          <w:b/>
          <w:noProof/>
          <w:sz w:val="24"/>
          <w:lang w:val="en-IE"/>
        </w:rPr>
        <w:t>Sufficiency Index (Ratio AFV/AFI)</w:t>
      </w:r>
      <w:r>
        <w:rPr>
          <w:rFonts w:ascii="Times New Roman" w:hAnsi="Times New Roman" w:cs="Times New Roman"/>
          <w:noProof/>
          <w:sz w:val="24"/>
          <w:lang w:val="en-IE"/>
        </w:rPr>
        <w:t xml:space="preserve"> </w:t>
      </w:r>
    </w:p>
    <w:p w:rsidR="00DA7543" w:rsidRDefault="007C073D">
      <w:pPr>
        <w:spacing w:after="120"/>
        <w:jc w:val="both"/>
        <w:rPr>
          <w:rFonts w:ascii="Times New Roman" w:hAnsi="Times New Roman" w:cs="Times New Roman"/>
          <w:noProof/>
          <w:sz w:val="24"/>
          <w:lang w:val="en-IE"/>
        </w:rPr>
      </w:pPr>
      <w:r>
        <w:rPr>
          <w:rFonts w:ascii="Times New Roman" w:hAnsi="Times New Roman" w:cs="Times New Roman"/>
          <w:noProof/>
          <w:sz w:val="24"/>
          <w:lang w:val="en-IE"/>
        </w:rPr>
        <w:t>From NIR data, it is possible to compute the ratio (sufficiency index) of electric vehicles and publi</w:t>
      </w:r>
      <w:r>
        <w:rPr>
          <w:rFonts w:ascii="Times New Roman" w:hAnsi="Times New Roman" w:cs="Times New Roman"/>
          <w:noProof/>
          <w:sz w:val="24"/>
          <w:lang w:val="en-IE"/>
        </w:rPr>
        <w:t>cly accessible recharging points for 23 MSs (with the exception of Estonia and Croatia). Concerning the adequacy of this ratio (the Directive has indicated a value of 10), it has to be considered that there are other elements influencing it, which were not</w:t>
      </w:r>
      <w:r>
        <w:rPr>
          <w:rFonts w:ascii="Times New Roman" w:hAnsi="Times New Roman" w:cs="Times New Roman"/>
          <w:noProof/>
          <w:sz w:val="24"/>
          <w:lang w:val="en-IE"/>
        </w:rPr>
        <w:t xml:space="preserve"> included when setting the value of 10 (e.g. the share of high power (&gt;22kW) publicly accessible recharging points and the number of private recharging points). </w:t>
      </w:r>
    </w:p>
    <w:p w:rsidR="00DA7543" w:rsidRDefault="007C073D">
      <w:pPr>
        <w:spacing w:after="120"/>
        <w:jc w:val="both"/>
        <w:rPr>
          <w:rFonts w:ascii="Times New Roman" w:hAnsi="Times New Roman" w:cs="Times New Roman"/>
          <w:noProof/>
          <w:sz w:val="24"/>
          <w:lang w:val="en-IE"/>
        </w:rPr>
      </w:pPr>
      <w:r>
        <w:rPr>
          <w:rFonts w:ascii="Times New Roman" w:hAnsi="Times New Roman" w:cs="Times New Roman"/>
          <w:noProof/>
          <w:sz w:val="24"/>
          <w:lang w:val="en-IE"/>
        </w:rPr>
        <w:t xml:space="preserve">The maps in Figure 4.1.1-8 and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_Ref54942215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Figure 4.1.1</w:t>
      </w:r>
      <w:r>
        <w:rPr>
          <w:rFonts w:ascii="Times New Roman" w:hAnsi="Times New Roman" w:cs="Times New Roman"/>
          <w:noProof/>
          <w:sz w:val="24"/>
          <w:lang w:val="en-IE"/>
        </w:rPr>
        <w:noBreakHyphen/>
        <w:t>9</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 the evolution of the sufficiency index for electricity/road in 2018, 2020, 2025 and 2030 (according to the estimates provided in the NIRs). For the 2020-2030 decade, NIR data allows computing 53 </w:t>
      </w:r>
      <w:r>
        <w:rPr>
          <w:rFonts w:ascii="Times New Roman" w:hAnsi="Times New Roman" w:cs="Times New Roman"/>
          <w:noProof/>
          <w:sz w:val="24"/>
          <w:lang w:val="en-IE"/>
        </w:rPr>
        <w:t xml:space="preserve">ratios while NPF data had allowed computing only 30. For 2020, the ratio can be computed for 21 MSs and ranges from 1.69 (Cyprus) to </w:t>
      </w:r>
      <w:r>
        <w:rPr>
          <w:rFonts w:ascii="Times New Roman" w:hAnsi="Times New Roman" w:cs="Times New Roman"/>
          <w:noProof/>
          <w:color w:val="000000" w:themeColor="text1"/>
          <w:sz w:val="24"/>
          <w:lang w:val="en-IE"/>
        </w:rPr>
        <w:t xml:space="preserve">62.34 (Ireland), </w:t>
      </w:r>
      <w:r>
        <w:rPr>
          <w:rFonts w:ascii="Times New Roman" w:hAnsi="Times New Roman" w:cs="Times New Roman"/>
          <w:noProof/>
          <w:sz w:val="24"/>
          <w:lang w:val="en-IE"/>
        </w:rPr>
        <w:t>with 4 MSs situated below 5, 10 MSs in between 5 and 15, and 7 MSs above 15. For 2025, the ratio can be co</w:t>
      </w:r>
      <w:r>
        <w:rPr>
          <w:rFonts w:ascii="Times New Roman" w:hAnsi="Times New Roman" w:cs="Times New Roman"/>
          <w:noProof/>
          <w:sz w:val="24"/>
          <w:lang w:val="en-IE"/>
        </w:rPr>
        <w:t xml:space="preserve">mputed for 15 MSs and ranges from 1.73 (Cyprus) to 166.24 (Lithuania), with 2 MSs situated below 5, 8 MSs in between 5 and 15, and 5 MSs above 15. For 2030, the 15 computable ratios range from 1.50 (Greece) to 780.30 (Ireland), with 1 MS situated below 5, </w:t>
      </w:r>
      <w:r>
        <w:rPr>
          <w:rFonts w:ascii="Times New Roman" w:hAnsi="Times New Roman" w:cs="Times New Roman"/>
          <w:noProof/>
          <w:sz w:val="24"/>
          <w:lang w:val="en-IE"/>
        </w:rPr>
        <w:t>8 MSs in between 5 and 15, and 6 MSs above 15.</w:t>
      </w:r>
    </w:p>
    <w:p w:rsidR="00DA7543" w:rsidRDefault="007C073D">
      <w:pPr>
        <w:spacing w:after="120"/>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630180" cy="3902400"/>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4.1.1.8.jpg"/>
                    <pic:cNvPicPr/>
                  </pic:nvPicPr>
                  <pic:blipFill>
                    <a:blip r:embed="rId65">
                      <a:extLst>
                        <a:ext uri="{28A0092B-C50C-407E-A947-70E740481C1C}">
                          <a14:useLocalDpi xmlns:a14="http://schemas.microsoft.com/office/drawing/2010/main" val="0"/>
                        </a:ext>
                      </a:extLst>
                    </a:blip>
                    <a:stretch>
                      <a:fillRect/>
                    </a:stretch>
                  </pic:blipFill>
                  <pic:spPr>
                    <a:xfrm>
                      <a:off x="0" y="0"/>
                      <a:ext cx="5630180" cy="3902400"/>
                    </a:xfrm>
                    <a:prstGeom prst="rect">
                      <a:avLst/>
                    </a:prstGeom>
                  </pic:spPr>
                </pic:pic>
              </a:graphicData>
            </a:graphic>
          </wp:inline>
        </w:drawing>
      </w:r>
      <w:r>
        <w:rPr>
          <w:rFonts w:ascii="Times New Roman" w:hAnsi="Times New Roman" w:cs="Times New Roman"/>
          <w:noProof/>
          <w:sz w:val="24"/>
          <w:lang w:val="en-IE"/>
        </w:rPr>
        <w:t xml:space="preserve">   </w:t>
      </w:r>
    </w:p>
    <w:p w:rsidR="00DA7543" w:rsidRDefault="007C073D">
      <w:pPr>
        <w:spacing w:before="120" w:after="120" w:line="276" w:lineRule="auto"/>
        <w:rPr>
          <w:rFonts w:ascii="Times New Roman" w:hAnsi="Times New Roman" w:cs="Times New Roman"/>
          <w:i/>
          <w:noProof/>
          <w:color w:val="000000" w:themeColor="text1"/>
          <w:sz w:val="20"/>
          <w:szCs w:val="18"/>
          <w:lang w:val="en-IE"/>
        </w:rPr>
      </w:pPr>
      <w:bookmarkStart w:id="123" w:name="_Ref54942205"/>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8</w:t>
      </w:r>
      <w:r>
        <w:rPr>
          <w:rFonts w:ascii="Times New Roman" w:hAnsi="Times New Roman" w:cs="Times New Roman"/>
          <w:i/>
          <w:noProof/>
          <w:color w:val="000000" w:themeColor="text1"/>
          <w:sz w:val="20"/>
          <w:szCs w:val="18"/>
          <w:lang w:val="en-IE"/>
        </w:rPr>
        <w:fldChar w:fldCharType="end"/>
      </w:r>
      <w:bookmarkEnd w:id="123"/>
      <w:r>
        <w:rPr>
          <w:rFonts w:ascii="Times New Roman" w:hAnsi="Times New Roman" w:cs="Times New Roman"/>
          <w:i/>
          <w:noProof/>
          <w:color w:val="000000" w:themeColor="text1"/>
          <w:sz w:val="20"/>
          <w:szCs w:val="18"/>
          <w:lang w:val="en-IE"/>
        </w:rPr>
        <w:t xml:space="preserve"> Ratio AFV/AFI (sufficiency index) for electricity/road in 2018 (left map) and estimated for 2020 (from the NIRs) (right map)</w:t>
      </w:r>
    </w:p>
    <w:p w:rsidR="00DA7543" w:rsidRDefault="007C073D">
      <w:pPr>
        <w:spacing w:before="120" w:after="120" w:line="276" w:lineRule="auto"/>
        <w:rPr>
          <w:rFonts w:ascii="Times New Roman" w:hAnsi="Times New Roman" w:cs="Times New Roman"/>
          <w:b/>
          <w:noProof/>
          <w:sz w:val="24"/>
          <w:lang w:val="en-IE"/>
        </w:rPr>
      </w:pPr>
      <w:r>
        <w:rPr>
          <w:rFonts w:ascii="Times New Roman" w:hAnsi="Times New Roman" w:cs="Times New Roman"/>
          <w:b/>
          <w:noProof/>
          <w:sz w:val="24"/>
          <w:lang w:eastAsia="en-GB"/>
        </w:rPr>
        <w:drawing>
          <wp:inline distT="0" distB="0" distL="0" distR="0">
            <wp:extent cx="5531784" cy="38592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4.1.1.9.jpg"/>
                    <pic:cNvPicPr/>
                  </pic:nvPicPr>
                  <pic:blipFill>
                    <a:blip r:embed="rId66">
                      <a:extLst>
                        <a:ext uri="{28A0092B-C50C-407E-A947-70E740481C1C}">
                          <a14:useLocalDpi xmlns:a14="http://schemas.microsoft.com/office/drawing/2010/main" val="0"/>
                        </a:ext>
                      </a:extLst>
                    </a:blip>
                    <a:stretch>
                      <a:fillRect/>
                    </a:stretch>
                  </pic:blipFill>
                  <pic:spPr>
                    <a:xfrm>
                      <a:off x="0" y="0"/>
                      <a:ext cx="5531784" cy="3859200"/>
                    </a:xfrm>
                    <a:prstGeom prst="rect">
                      <a:avLst/>
                    </a:prstGeom>
                  </pic:spPr>
                </pic:pic>
              </a:graphicData>
            </a:graphic>
          </wp:inline>
        </w:drawing>
      </w:r>
      <w:r>
        <w:rPr>
          <w:rFonts w:ascii="Times New Roman" w:hAnsi="Times New Roman" w:cs="Times New Roman"/>
          <w:b/>
          <w:noProof/>
          <w:sz w:val="24"/>
          <w:lang w:val="en-IE"/>
        </w:rPr>
        <w:t xml:space="preserve">   </w:t>
      </w:r>
    </w:p>
    <w:p w:rsidR="00DA7543" w:rsidRDefault="007C073D">
      <w:pPr>
        <w:spacing w:before="120" w:after="120" w:line="276" w:lineRule="auto"/>
        <w:rPr>
          <w:rFonts w:ascii="Times New Roman" w:hAnsi="Times New Roman" w:cs="Times New Roman"/>
          <w:i/>
          <w:noProof/>
          <w:color w:val="000000" w:themeColor="text1"/>
          <w:sz w:val="20"/>
          <w:szCs w:val="18"/>
          <w:lang w:val="en-IE"/>
        </w:rPr>
      </w:pPr>
      <w:bookmarkStart w:id="124" w:name="_Ref54942215"/>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4.1.1</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9</w:t>
      </w:r>
      <w:r>
        <w:rPr>
          <w:rFonts w:ascii="Times New Roman" w:hAnsi="Times New Roman" w:cs="Times New Roman"/>
          <w:i/>
          <w:noProof/>
          <w:color w:val="000000" w:themeColor="text1"/>
          <w:sz w:val="20"/>
          <w:szCs w:val="18"/>
          <w:lang w:val="en-IE"/>
        </w:rPr>
        <w:fldChar w:fldCharType="end"/>
      </w:r>
      <w:bookmarkEnd w:id="124"/>
      <w:r>
        <w:rPr>
          <w:rFonts w:ascii="Times New Roman" w:hAnsi="Times New Roman" w:cs="Times New Roman"/>
          <w:i/>
          <w:noProof/>
          <w:color w:val="000000" w:themeColor="text1"/>
          <w:sz w:val="20"/>
          <w:szCs w:val="18"/>
          <w:lang w:val="en-IE"/>
        </w:rPr>
        <w:t xml:space="preserve"> Estimated ratio AFV/AFI (sufficiency index) for electricity/road (from the NIRs) for 2025 (left map) and for 2030 (right map)</w:t>
      </w:r>
    </w:p>
    <w:p w:rsidR="00DA7543" w:rsidRDefault="007C073D">
      <w:pPr>
        <w:spacing w:after="120"/>
        <w:jc w:val="both"/>
        <w:rPr>
          <w:rFonts w:ascii="Times New Roman" w:hAnsi="Times New Roman" w:cs="Times New Roman"/>
          <w:noProof/>
          <w:sz w:val="24"/>
          <w:lang w:val="en-IE"/>
        </w:rPr>
      </w:pPr>
      <w:r>
        <w:rPr>
          <w:rFonts w:ascii="Times New Roman" w:hAnsi="Times New Roman" w:cs="Times New Roman"/>
          <w:noProof/>
          <w:sz w:val="24"/>
          <w:lang w:val="en-IE"/>
        </w:rPr>
        <w:t xml:space="preserve">Looking at these data from an EU-wide point of view, the obtained results </w:t>
      </w:r>
      <w:r>
        <w:rPr>
          <w:rFonts w:ascii="Times New Roman" w:hAnsi="Times New Roman" w:cs="Times New Roman"/>
          <w:noProof/>
          <w:sz w:val="24"/>
          <w:lang w:val="en-IE"/>
        </w:rPr>
        <w:t>are shown in the following table:</w:t>
      </w:r>
    </w:p>
    <w:p w:rsidR="00DA7543" w:rsidRDefault="007C073D">
      <w:pPr>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566160" cy="977186"/>
            <wp:effectExtent l="0" t="0" r="0" b="0"/>
            <wp:docPr id="7991" name="Picture 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08360" cy="988750"/>
                    </a:xfrm>
                    <a:prstGeom prst="rect">
                      <a:avLst/>
                    </a:prstGeom>
                    <a:noFill/>
                    <a:ln>
                      <a:noFill/>
                    </a:ln>
                  </pic:spPr>
                </pic:pic>
              </a:graphicData>
            </a:graphic>
          </wp:inline>
        </w:drawing>
      </w:r>
    </w:p>
    <w:p w:rsidR="00DA7543" w:rsidRDefault="00DA7543">
      <w:pPr>
        <w:spacing w:after="120"/>
        <w:jc w:val="both"/>
        <w:rPr>
          <w:rFonts w:ascii="Times New Roman" w:hAnsi="Times New Roman" w:cs="Times New Roman"/>
          <w:noProof/>
          <w:sz w:val="24"/>
          <w:lang w:val="en-IE"/>
        </w:rPr>
      </w:pPr>
    </w:p>
    <w:p w:rsidR="00DA7543" w:rsidRDefault="007C073D">
      <w:pPr>
        <w:spacing w:after="120"/>
        <w:jc w:val="both"/>
        <w:rPr>
          <w:rFonts w:ascii="Times New Roman" w:hAnsi="Times New Roman" w:cs="Times New Roman"/>
          <w:b/>
          <w:noProof/>
          <w:sz w:val="24"/>
          <w:lang w:val="en-IE"/>
        </w:rPr>
      </w:pPr>
      <w:r>
        <w:rPr>
          <w:rFonts w:ascii="Times New Roman" w:hAnsi="Times New Roman" w:cs="Times New Roman"/>
          <w:noProof/>
          <w:sz w:val="24"/>
          <w:lang w:val="en-IE"/>
        </w:rPr>
        <w:t>From these average sufficiency indexes one would deduct that EU is clearly moving from an adequate balance between EV and recharging points in 2018 to a progressively increasing inadequate balance in 2030. However, it i</w:t>
      </w:r>
      <w:r>
        <w:rPr>
          <w:rFonts w:ascii="Times New Roman" w:hAnsi="Times New Roman" w:cs="Times New Roman"/>
          <w:noProof/>
          <w:sz w:val="24"/>
          <w:lang w:val="en-IE"/>
        </w:rPr>
        <w:t>s worth to note that, if the extreme MS (IE) is excluded, the EU averages are both below 12, which can be considered as an adequate sufficiency index.</w:t>
      </w:r>
    </w:p>
    <w:p w:rsidR="00DA7543" w:rsidRDefault="007C073D">
      <w:pPr>
        <w:spacing w:after="120"/>
        <w:jc w:val="both"/>
        <w:rPr>
          <w:rFonts w:ascii="Times New Roman" w:hAnsi="Times New Roman" w:cs="Times New Roman"/>
          <w:noProof/>
          <w:sz w:val="24"/>
          <w:lang w:val="en-IE"/>
        </w:rPr>
      </w:pPr>
      <w:r>
        <w:rPr>
          <w:rFonts w:ascii="Times New Roman" w:hAnsi="Times New Roman" w:cs="Times New Roman"/>
          <w:b/>
          <w:noProof/>
          <w:sz w:val="24"/>
          <w:lang w:val="en-IE"/>
        </w:rPr>
        <w:t>Measures</w:t>
      </w:r>
    </w:p>
    <w:p w:rsidR="00DA7543" w:rsidRDefault="007C073D">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pair electricity/road is the most numerous in terms of dedicated measures by the majority of MSs. </w:t>
      </w:r>
    </w:p>
    <w:p w:rsidR="00DA7543" w:rsidRDefault="007C073D">
      <w:pPr>
        <w:numPr>
          <w:ilvl w:val="0"/>
          <w:numId w:val="14"/>
        </w:numPr>
        <w:spacing w:after="200" w:line="276"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b/>
          <w:noProof/>
          <w:sz w:val="24"/>
          <w:lang w:val="en-IE"/>
        </w:rPr>
        <w:t>legal measures</w:t>
      </w:r>
      <w:r>
        <w:rPr>
          <w:rFonts w:ascii="Times New Roman" w:hAnsi="Times New Roman" w:cs="Times New Roman"/>
          <w:noProof/>
          <w:sz w:val="24"/>
          <w:lang w:val="en-IE"/>
        </w:rPr>
        <w:t>’ level of ambition in the NIRs vs. NPFs has increased for 21 MSs out of the 24 NIRs assessed</w:t>
      </w:r>
      <w:r>
        <w:rPr>
          <w:rFonts w:ascii="Times New Roman" w:hAnsi="Times New Roman" w:cs="Times New Roman"/>
          <w:noProof/>
          <w:sz w:val="24"/>
          <w:vertAlign w:val="superscript"/>
          <w:lang w:val="en-IE"/>
        </w:rPr>
        <w:footnoteReference w:id="25"/>
      </w:r>
      <w:r>
        <w:rPr>
          <w:rFonts w:ascii="Times New Roman" w:hAnsi="Times New Roman" w:cs="Times New Roman"/>
          <w:noProof/>
          <w:sz w:val="24"/>
          <w:lang w:val="en-IE"/>
        </w:rPr>
        <w:t xml:space="preserve">. </w:t>
      </w:r>
    </w:p>
    <w:p w:rsidR="00DA7543" w:rsidRDefault="007C073D">
      <w:pPr>
        <w:numPr>
          <w:ilvl w:val="0"/>
          <w:numId w:val="14"/>
        </w:numPr>
        <w:spacing w:after="200" w:line="276"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The importance given to this pair is r</w:t>
      </w:r>
      <w:r>
        <w:rPr>
          <w:rFonts w:ascii="Times New Roman" w:hAnsi="Times New Roman" w:cs="Times New Roman"/>
          <w:noProof/>
          <w:sz w:val="24"/>
          <w:lang w:val="en-IE"/>
        </w:rPr>
        <w:t xml:space="preserve">evealed also by its presence in all the 25 MSs NIRs assessed and the good score obtained for the assessment of the </w:t>
      </w:r>
      <w:r>
        <w:rPr>
          <w:rFonts w:ascii="Times New Roman" w:hAnsi="Times New Roman" w:cs="Times New Roman"/>
          <w:b/>
          <w:noProof/>
          <w:sz w:val="24"/>
          <w:lang w:val="en-IE"/>
        </w:rPr>
        <w:t>policy and deployment &amp; manufacturing support measures</w:t>
      </w:r>
      <w:r>
        <w:rPr>
          <w:rFonts w:ascii="Times New Roman" w:hAnsi="Times New Roman" w:cs="Times New Roman"/>
          <w:noProof/>
          <w:sz w:val="24"/>
          <w:lang w:val="en-IE"/>
        </w:rPr>
        <w:t xml:space="preserve"> in relation to reaching the MSs electro-mobility objectives (13 MSs sets of measures o</w:t>
      </w:r>
      <w:r>
        <w:rPr>
          <w:rFonts w:ascii="Times New Roman" w:hAnsi="Times New Roman" w:cs="Times New Roman"/>
          <w:noProof/>
          <w:sz w:val="24"/>
          <w:lang w:val="en-IE"/>
        </w:rPr>
        <w:t>btained a high score and the rest a medium score). Among the MSs with a high score, there are front-running countries in the field (e.g. DE, FR and LU, which are distinguished by the consistency of their policies in electro-mobility development) but also l</w:t>
      </w:r>
      <w:r>
        <w:rPr>
          <w:rFonts w:ascii="Times New Roman" w:hAnsi="Times New Roman" w:cs="Times New Roman"/>
          <w:noProof/>
          <w:sz w:val="24"/>
          <w:lang w:val="en-IE"/>
        </w:rPr>
        <w:t>ate-starting countries (e.g. HU and LT). An expression of the serious commitment in the deployment of electro-mobility is represented by the fact that 23 MSs have measure sets for this field that were assessed to be comprehensive. In terms of expected impa</w:t>
      </w:r>
      <w:r>
        <w:rPr>
          <w:rFonts w:ascii="Times New Roman" w:hAnsi="Times New Roman" w:cs="Times New Roman"/>
          <w:noProof/>
          <w:sz w:val="24"/>
          <w:lang w:val="en-IE"/>
        </w:rPr>
        <w:t>ct of these measures to support the realisation of the AFV/AFI objectives as presented in the NPF and revised in the NIR, 12 MSs are assessed having a high level impact (of which one medium/high) and 13 a medium level. Regarding the ambition in the NIR vs.</w:t>
      </w:r>
      <w:r>
        <w:rPr>
          <w:rFonts w:ascii="Times New Roman" w:hAnsi="Times New Roman" w:cs="Times New Roman"/>
          <w:noProof/>
          <w:sz w:val="24"/>
          <w:lang w:val="en-IE"/>
        </w:rPr>
        <w:t xml:space="preserve"> NPF, the measure sets of 21 MSs have an increased level and none a decreasing one. </w:t>
      </w:r>
    </w:p>
    <w:p w:rsidR="00DA7543" w:rsidRDefault="007C073D">
      <w:pPr>
        <w:numPr>
          <w:ilvl w:val="0"/>
          <w:numId w:val="14"/>
        </w:numPr>
        <w:spacing w:after="200" w:line="276" w:lineRule="auto"/>
        <w:contextualSpacing/>
        <w:jc w:val="both"/>
        <w:rPr>
          <w:rFonts w:ascii="Times New Roman" w:hAnsi="Times New Roman" w:cs="Times New Roman"/>
          <w:noProof/>
          <w:sz w:val="24"/>
          <w:lang w:val="en-IE"/>
        </w:rPr>
      </w:pPr>
      <w:r>
        <w:rPr>
          <w:rFonts w:ascii="Times New Roman" w:hAnsi="Times New Roman" w:cs="Times New Roman"/>
          <w:noProof/>
          <w:sz w:val="24"/>
          <w:lang w:val="en-IE"/>
        </w:rPr>
        <w:t xml:space="preserve">In twenty cases, the ambition of </w:t>
      </w:r>
      <w:r>
        <w:rPr>
          <w:rFonts w:ascii="Times New Roman" w:hAnsi="Times New Roman" w:cs="Times New Roman"/>
          <w:b/>
          <w:noProof/>
          <w:sz w:val="24"/>
          <w:lang w:val="en-IE"/>
        </w:rPr>
        <w:t>RTD&amp;D measures</w:t>
      </w:r>
      <w:r>
        <w:rPr>
          <w:rFonts w:ascii="Times New Roman" w:hAnsi="Times New Roman" w:cs="Times New Roman"/>
          <w:noProof/>
          <w:sz w:val="24"/>
          <w:lang w:val="en-IE"/>
        </w:rPr>
        <w:t xml:space="preserve"> targeting electro-mobility in the NIRs could be determined, and among these 18 measure sets show an increased ambition comp</w:t>
      </w:r>
      <w:r>
        <w:rPr>
          <w:rFonts w:ascii="Times New Roman" w:hAnsi="Times New Roman" w:cs="Times New Roman"/>
          <w:noProof/>
          <w:sz w:val="24"/>
          <w:lang w:val="en-IE"/>
        </w:rPr>
        <w:t>ared to the NPF situation.</w:t>
      </w:r>
    </w:p>
    <w:bookmarkEnd w:id="1"/>
    <w:p w:rsidR="00DA7543" w:rsidRDefault="00DA7543">
      <w:pPr>
        <w:rPr>
          <w:rFonts w:ascii="Times New Roman" w:hAnsi="Times New Roman" w:cs="Times New Roman"/>
          <w:noProof/>
          <w:lang w:val="en-IE"/>
        </w:rPr>
      </w:pPr>
    </w:p>
    <w:sectPr w:rsidR="00DA7543">
      <w:headerReference w:type="even" r:id="rId68"/>
      <w:headerReference w:type="default" r:id="rId69"/>
      <w:footerReference w:type="even" r:id="rId70"/>
      <w:footerReference w:type="default" r:id="rId71"/>
      <w:headerReference w:type="first" r:id="rId72"/>
      <w:footerReference w:type="first" r:id="rId7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543" w:rsidRDefault="007C073D">
      <w:pPr>
        <w:spacing w:after="0" w:line="240" w:lineRule="auto"/>
      </w:pPr>
      <w:r>
        <w:separator/>
      </w:r>
    </w:p>
  </w:endnote>
  <w:endnote w:type="continuationSeparator" w:id="0">
    <w:p w:rsidR="00DA7543" w:rsidRDefault="007C0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E7002EFF" w:usb1="D200FDFF" w:usb2="0A24602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43" w:rsidRDefault="00DA7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43" w:rsidRDefault="007C073D">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43" w:rsidRDefault="00DA7543">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43" w:rsidRDefault="00DA75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011112"/>
      <w:docPartObj>
        <w:docPartGallery w:val="Page Numbers (Bottom of Page)"/>
        <w:docPartUnique/>
      </w:docPartObj>
    </w:sdtPr>
    <w:sdtEndPr>
      <w:rPr>
        <w:noProof/>
      </w:rPr>
    </w:sdtEndPr>
    <w:sdtContent>
      <w:p w:rsidR="00DA7543" w:rsidRDefault="007C073D">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DA7543" w:rsidRDefault="00DA754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43" w:rsidRDefault="00DA7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543" w:rsidRDefault="007C073D">
      <w:pPr>
        <w:spacing w:after="0" w:line="240" w:lineRule="auto"/>
      </w:pPr>
      <w:r>
        <w:separator/>
      </w:r>
    </w:p>
  </w:footnote>
  <w:footnote w:type="continuationSeparator" w:id="0">
    <w:p w:rsidR="00DA7543" w:rsidRDefault="007C073D">
      <w:pPr>
        <w:spacing w:after="0" w:line="240" w:lineRule="auto"/>
      </w:pPr>
      <w:r>
        <w:continuationSeparator/>
      </w:r>
    </w:p>
  </w:footnote>
  <w:footnote w:id="1">
    <w:p w:rsidR="00DA7543" w:rsidRDefault="007C073D">
      <w:pPr>
        <w:pStyle w:val="CommentText"/>
        <w:spacing w:after="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The official date for the submission of the NIRs to the Commission was 18 November 2019. By that date only nine NIRs were delivered, by Belgium, Czechia, Germany, Ireland, Greece, Spain, Austria, Poland and Slovakia. Thus, it was decided to allow some addi</w:t>
      </w:r>
      <w:r>
        <w:rPr>
          <w:rFonts w:ascii="Times New Roman" w:hAnsi="Times New Roman" w:cs="Times New Roman"/>
          <w:sz w:val="18"/>
          <w:szCs w:val="18"/>
          <w:lang w:val="en-US"/>
        </w:rPr>
        <w:t xml:space="preserve">tional time to the remaining MS to submit their NIRs </w:t>
      </w:r>
      <w:r>
        <w:rPr>
          <w:rFonts w:ascii="Times New Roman" w:hAnsi="Times New Roman" w:cs="Times New Roman"/>
          <w:sz w:val="18"/>
          <w:szCs w:val="18"/>
        </w:rPr>
        <w:t>(i.e. 1 May 2020)</w:t>
      </w:r>
      <w:r>
        <w:rPr>
          <w:rFonts w:ascii="Times New Roman" w:hAnsi="Times New Roman" w:cs="Times New Roman"/>
          <w:sz w:val="18"/>
          <w:szCs w:val="18"/>
          <w:lang w:val="en-US"/>
        </w:rPr>
        <w:t xml:space="preserve">. </w:t>
      </w:r>
      <w:r>
        <w:rPr>
          <w:rFonts w:ascii="Times New Roman" w:hAnsi="Times New Roman" w:cs="Times New Roman"/>
          <w:sz w:val="18"/>
          <w:szCs w:val="18"/>
        </w:rPr>
        <w:t xml:space="preserve"> </w:t>
      </w:r>
    </w:p>
  </w:footnote>
  <w:footnote w:id="2">
    <w:p w:rsidR="00DA7543" w:rsidRDefault="007C073D">
      <w:pPr>
        <w:pStyle w:val="CommentText"/>
        <w:spacing w:after="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 xml:space="preserve">The previous simplified analysis and modeling of the economic and social impact of the Directive was carried out on the basis of the inputs provided by the MS in their NPFs. </w:t>
      </w:r>
      <w:r>
        <w:rPr>
          <w:rFonts w:ascii="Times New Roman" w:hAnsi="Times New Roman" w:cs="Times New Roman"/>
          <w:sz w:val="18"/>
          <w:szCs w:val="18"/>
        </w:rPr>
        <w:t xml:space="preserve"> </w:t>
      </w:r>
    </w:p>
  </w:footnote>
  <w:footnote w:id="3">
    <w:p w:rsidR="00DA7543" w:rsidRDefault="007C073D">
      <w:pPr>
        <w:pStyle w:val="CommentText"/>
        <w:spacing w:after="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Disclaimer: the evaluation of the impact is related only to the objectives set by the MS in the NIR/NPF, not to the absolute values of these objectives, nor to a comparison among member states. </w:t>
      </w:r>
    </w:p>
  </w:footnote>
  <w:footnote w:id="4">
    <w:p w:rsidR="00DA7543" w:rsidRDefault="007C073D">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EAFO. (2020). European Alternative Fuels Observatory (EAFO</w:t>
      </w:r>
      <w:r>
        <w:rPr>
          <w:rFonts w:ascii="Times New Roman" w:hAnsi="Times New Roman" w:cs="Times New Roman"/>
          <w:sz w:val="18"/>
          <w:szCs w:val="18"/>
        </w:rPr>
        <w:t>). European Commission (EC). Retrieved from https://www.eafo.eu on 01/02/2020.</w:t>
      </w:r>
    </w:p>
  </w:footnote>
  <w:footnote w:id="5">
    <w:p w:rsidR="00DA7543" w:rsidRDefault="007C073D">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If a MS did not provide a value for 2030, the exponential curve is built using the 2016 and the farthest available value (2020/2025).</w:t>
      </w:r>
    </w:p>
  </w:footnote>
  <w:footnote w:id="6">
    <w:p w:rsidR="00DA7543" w:rsidRDefault="007C073D">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If a MS did not provide a value for 203</w:t>
      </w:r>
      <w:r>
        <w:rPr>
          <w:rFonts w:ascii="Times New Roman" w:hAnsi="Times New Roman" w:cs="Times New Roman"/>
          <w:sz w:val="18"/>
          <w:szCs w:val="18"/>
        </w:rPr>
        <w:t>0, the straight line is built using the 2016 and the farthest available value (2020/2025).</w:t>
      </w:r>
    </w:p>
  </w:footnote>
  <w:footnote w:id="7">
    <w:p w:rsidR="00DA7543" w:rsidRDefault="007C073D">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The sufficiency index is also shown when the values of AFV and/or AFI are not available in the NIR but are available either in the NPF or in EAFO</w:t>
      </w:r>
      <w:r>
        <w:rPr>
          <w:rFonts w:ascii="Times New Roman" w:hAnsi="Times New Roman" w:cs="Times New Roman"/>
          <w:sz w:val="18"/>
          <w:szCs w:val="18"/>
        </w:rPr>
        <w:t>.</w:t>
      </w:r>
    </w:p>
  </w:footnote>
  <w:footnote w:id="8">
    <w:p w:rsidR="00DA7543" w:rsidRDefault="007C073D">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w:t>
      </w:r>
      <w:r>
        <w:rPr>
          <w:rFonts w:ascii="Times New Roman" w:hAnsi="Times New Roman" w:cs="Times New Roman"/>
          <w:sz w:val="18"/>
          <w:szCs w:val="18"/>
        </w:rPr>
        <w:t>As an indicat</w:t>
      </w:r>
      <w:r>
        <w:rPr>
          <w:rFonts w:ascii="Times New Roman" w:hAnsi="Times New Roman" w:cs="Times New Roman"/>
          <w:sz w:val="18"/>
          <w:szCs w:val="18"/>
        </w:rPr>
        <w:t>ion, the appropriate average number of recharging points should be equivalent to at least one recharging point per 10 cars”.</w:t>
      </w:r>
    </w:p>
  </w:footnote>
  <w:footnote w:id="9">
    <w:p w:rsidR="00DA7543" w:rsidRDefault="007C073D">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average ratio in Member States between conventional vehicles and gasoline/diesel refuelling points is 600 to one (one fuel st</w:t>
      </w:r>
      <w:r>
        <w:rPr>
          <w:rFonts w:ascii="Times New Roman" w:hAnsi="Times New Roman" w:cs="Times New Roman"/>
          <w:sz w:val="18"/>
          <w:szCs w:val="18"/>
        </w:rPr>
        <w:t>ation typically has several refuelling points).</w:t>
      </w:r>
    </w:p>
  </w:footnote>
  <w:footnote w:id="10">
    <w:p w:rsidR="00DA7543" w:rsidRDefault="007C073D">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proposed categorisation of legal measures is an adaptation of the “Better regulation toolbox” </w:t>
      </w:r>
      <w:sdt>
        <w:sdtPr>
          <w:rPr>
            <w:rFonts w:ascii="Times New Roman" w:hAnsi="Times New Roman" w:cs="Times New Roman"/>
            <w:sz w:val="18"/>
            <w:szCs w:val="18"/>
          </w:rPr>
          <w:id w:val="-1150824994"/>
          <w:citation/>
        </w:sdtPr>
        <w:sdtEndPr/>
        <w:sdtContent>
          <w:r>
            <w:rPr>
              <w:rFonts w:ascii="Times New Roman" w:hAnsi="Times New Roman" w:cs="Times New Roman"/>
              <w:sz w:val="18"/>
              <w:szCs w:val="18"/>
            </w:rPr>
            <w:fldChar w:fldCharType="begin"/>
          </w:r>
          <w:r>
            <w:rPr>
              <w:rFonts w:ascii="Times New Roman" w:hAnsi="Times New Roman" w:cs="Times New Roman"/>
              <w:sz w:val="18"/>
              <w:szCs w:val="18"/>
              <w:lang w:val="en-US"/>
            </w:rPr>
            <w:instrText xml:space="preserve"> CITATION Eur \l 1033 </w:instrText>
          </w:r>
          <w:r>
            <w:rPr>
              <w:rFonts w:ascii="Times New Roman" w:hAnsi="Times New Roman" w:cs="Times New Roman"/>
              <w:sz w:val="18"/>
              <w:szCs w:val="18"/>
            </w:rPr>
            <w:fldChar w:fldCharType="separate"/>
          </w:r>
          <w:r>
            <w:rPr>
              <w:rFonts w:ascii="Times New Roman" w:hAnsi="Times New Roman" w:cs="Times New Roman"/>
              <w:noProof/>
              <w:sz w:val="18"/>
              <w:szCs w:val="18"/>
              <w:lang w:val="en-US"/>
            </w:rPr>
            <w:t>(European Commission, n.d.)</w:t>
          </w:r>
          <w:r>
            <w:rPr>
              <w:rFonts w:ascii="Times New Roman" w:hAnsi="Times New Roman" w:cs="Times New Roman"/>
              <w:sz w:val="18"/>
              <w:szCs w:val="18"/>
            </w:rPr>
            <w:fldChar w:fldCharType="end"/>
          </w:r>
        </w:sdtContent>
      </w:sdt>
      <w:r>
        <w:rPr>
          <w:rFonts w:ascii="Times New Roman" w:hAnsi="Times New Roman" w:cs="Times New Roman"/>
          <w:sz w:val="18"/>
          <w:szCs w:val="18"/>
        </w:rPr>
        <w:t xml:space="preserve"> </w:t>
      </w:r>
    </w:p>
  </w:footnote>
  <w:footnote w:id="11">
    <w:p w:rsidR="00DA7543" w:rsidRDefault="007C073D">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categorisation of policy measures was used in</w:t>
      </w:r>
      <w:r>
        <w:rPr>
          <w:rFonts w:ascii="Times New Roman" w:hAnsi="Times New Roman" w:cs="Times New Roman"/>
          <w:sz w:val="18"/>
          <w:szCs w:val="18"/>
        </w:rPr>
        <w:t xml:space="preserve"> </w:t>
      </w:r>
      <w:sdt>
        <w:sdtPr>
          <w:rPr>
            <w:rFonts w:ascii="Times New Roman" w:hAnsi="Times New Roman" w:cs="Times New Roman"/>
            <w:sz w:val="18"/>
            <w:szCs w:val="18"/>
          </w:rPr>
          <w:id w:val="1938934375"/>
          <w:citation/>
        </w:sdtPr>
        <w:sdtEndPr/>
        <w:sdtContent>
          <w:r>
            <w:rPr>
              <w:rFonts w:ascii="Times New Roman" w:hAnsi="Times New Roman" w:cs="Times New Roman"/>
              <w:sz w:val="18"/>
              <w:szCs w:val="18"/>
            </w:rPr>
            <w:fldChar w:fldCharType="begin"/>
          </w:r>
          <w:r>
            <w:rPr>
              <w:rFonts w:ascii="Times New Roman" w:hAnsi="Times New Roman" w:cs="Times New Roman"/>
              <w:sz w:val="18"/>
              <w:szCs w:val="18"/>
              <w:lang w:val="en-US"/>
            </w:rPr>
            <w:instrText xml:space="preserve"> CITATION Eur19 \l 1033 </w:instrText>
          </w:r>
          <w:r>
            <w:rPr>
              <w:rFonts w:ascii="Times New Roman" w:hAnsi="Times New Roman" w:cs="Times New Roman"/>
              <w:sz w:val="18"/>
              <w:szCs w:val="18"/>
            </w:rPr>
            <w:fldChar w:fldCharType="separate"/>
          </w:r>
          <w:r>
            <w:rPr>
              <w:rFonts w:ascii="Times New Roman" w:hAnsi="Times New Roman" w:cs="Times New Roman"/>
              <w:noProof/>
              <w:sz w:val="18"/>
              <w:szCs w:val="18"/>
              <w:lang w:val="en-US"/>
            </w:rPr>
            <w:t>(European Commission, 2017)</w:t>
          </w:r>
          <w:r>
            <w:rPr>
              <w:rFonts w:ascii="Times New Roman" w:hAnsi="Times New Roman" w:cs="Times New Roman"/>
              <w:sz w:val="18"/>
              <w:szCs w:val="18"/>
            </w:rPr>
            <w:fldChar w:fldCharType="end"/>
          </w:r>
        </w:sdtContent>
      </w:sdt>
      <w:r>
        <w:rPr>
          <w:rFonts w:ascii="Times New Roman" w:hAnsi="Times New Roman" w:cs="Times New Roman"/>
          <w:sz w:val="18"/>
          <w:szCs w:val="18"/>
        </w:rPr>
        <w:t xml:space="preserve"> and </w:t>
      </w:r>
      <w:sdt>
        <w:sdtPr>
          <w:rPr>
            <w:rFonts w:ascii="Times New Roman" w:hAnsi="Times New Roman" w:cs="Times New Roman"/>
            <w:sz w:val="18"/>
            <w:szCs w:val="18"/>
          </w:rPr>
          <w:id w:val="1959071648"/>
          <w:citation/>
        </w:sdtPr>
        <w:sdtEndPr/>
        <w:sdtContent>
          <w:r>
            <w:rPr>
              <w:rFonts w:ascii="Times New Roman" w:hAnsi="Times New Roman" w:cs="Times New Roman"/>
              <w:sz w:val="18"/>
              <w:szCs w:val="18"/>
            </w:rPr>
            <w:fldChar w:fldCharType="begin"/>
          </w:r>
          <w:r>
            <w:rPr>
              <w:rFonts w:ascii="Times New Roman" w:hAnsi="Times New Roman" w:cs="Times New Roman"/>
              <w:sz w:val="18"/>
              <w:szCs w:val="18"/>
              <w:lang w:val="en-US"/>
            </w:rPr>
            <w:instrText xml:space="preserve"> CITATION Eur191 \l 1033 </w:instrText>
          </w:r>
          <w:r>
            <w:rPr>
              <w:rFonts w:ascii="Times New Roman" w:hAnsi="Times New Roman" w:cs="Times New Roman"/>
              <w:sz w:val="18"/>
              <w:szCs w:val="18"/>
            </w:rPr>
            <w:fldChar w:fldCharType="separate"/>
          </w:r>
          <w:r>
            <w:rPr>
              <w:rFonts w:ascii="Times New Roman" w:hAnsi="Times New Roman" w:cs="Times New Roman"/>
              <w:noProof/>
              <w:sz w:val="18"/>
              <w:szCs w:val="18"/>
              <w:lang w:val="en-US"/>
            </w:rPr>
            <w:t>(European Commission, 2019)</w:t>
          </w:r>
          <w:r>
            <w:rPr>
              <w:rFonts w:ascii="Times New Roman" w:hAnsi="Times New Roman" w:cs="Times New Roman"/>
              <w:sz w:val="18"/>
              <w:szCs w:val="18"/>
            </w:rPr>
            <w:fldChar w:fldCharType="end"/>
          </w:r>
        </w:sdtContent>
      </w:sdt>
      <w:r>
        <w:rPr>
          <w:rFonts w:ascii="Times New Roman" w:hAnsi="Times New Roman" w:cs="Times New Roman"/>
          <w:sz w:val="18"/>
          <w:szCs w:val="18"/>
        </w:rPr>
        <w:t>.</w:t>
      </w:r>
    </w:p>
  </w:footnote>
  <w:footnote w:id="12">
    <w:p w:rsidR="00DA7543" w:rsidRDefault="007C073D">
      <w:pPr>
        <w:pStyle w:val="FootnoteText"/>
        <w:spacing w:after="0" w:line="240" w:lineRule="auto"/>
        <w:rPr>
          <w:rFonts w:ascii="Times New Roman" w:hAnsi="Times New Roman" w:cs="Times New Roman"/>
          <w:sz w:val="18"/>
          <w:szCs w:val="16"/>
          <w:lang w:val="en-IE"/>
        </w:rPr>
      </w:pPr>
      <w:r>
        <w:rPr>
          <w:rStyle w:val="FootnoteReference"/>
          <w:rFonts w:ascii="Times New Roman" w:hAnsi="Times New Roman" w:cs="Times New Roman"/>
          <w:sz w:val="18"/>
          <w:szCs w:val="16"/>
        </w:rPr>
        <w:footnoteRef/>
      </w:r>
      <w:r>
        <w:rPr>
          <w:rFonts w:ascii="Times New Roman" w:hAnsi="Times New Roman" w:cs="Times New Roman"/>
          <w:sz w:val="18"/>
          <w:szCs w:val="16"/>
          <w:lang w:val="en-IE"/>
        </w:rPr>
        <w:t xml:space="preserve"> The meaning of publicly accessible recharging point, as reported in the NIR, may differ by country.</w:t>
      </w:r>
    </w:p>
  </w:footnote>
  <w:footnote w:id="13">
    <w:p w:rsidR="00DA7543" w:rsidRDefault="007C073D">
      <w:pPr>
        <w:pStyle w:val="FootnoteText"/>
        <w:spacing w:after="0" w:line="240" w:lineRule="auto"/>
        <w:rPr>
          <w:rFonts w:ascii="Times New Roman" w:hAnsi="Times New Roman" w:cs="Times New Roman"/>
          <w:sz w:val="18"/>
          <w:szCs w:val="16"/>
          <w:lang w:val="en-IE"/>
        </w:rPr>
      </w:pPr>
      <w:r>
        <w:rPr>
          <w:rStyle w:val="FootnoteReference"/>
          <w:rFonts w:ascii="Times New Roman" w:hAnsi="Times New Roman" w:cs="Times New Roman"/>
          <w:sz w:val="18"/>
          <w:szCs w:val="16"/>
        </w:rPr>
        <w:footnoteRef/>
      </w:r>
      <w:r>
        <w:rPr>
          <w:rFonts w:ascii="Times New Roman" w:hAnsi="Times New Roman" w:cs="Times New Roman"/>
          <w:sz w:val="18"/>
          <w:szCs w:val="16"/>
          <w:lang w:val="en-IE"/>
        </w:rPr>
        <w:t xml:space="preserve"> The meaning of publicly accessible refuelling point, as reported in the NIR, may differ by country.</w:t>
      </w:r>
    </w:p>
  </w:footnote>
  <w:footnote w:id="14">
    <w:p w:rsidR="00DA7543" w:rsidRDefault="007C073D">
      <w:pPr>
        <w:pStyle w:val="FootnoteText"/>
        <w:spacing w:after="0" w:line="240" w:lineRule="auto"/>
        <w:rPr>
          <w:rFonts w:ascii="Times New Roman" w:hAnsi="Times New Roman" w:cs="Times New Roman"/>
          <w:sz w:val="18"/>
          <w:szCs w:val="16"/>
          <w:lang w:val="en-IE"/>
        </w:rPr>
      </w:pPr>
      <w:r>
        <w:rPr>
          <w:rStyle w:val="FootnoteReference"/>
          <w:rFonts w:ascii="Times New Roman" w:hAnsi="Times New Roman" w:cs="Times New Roman"/>
          <w:sz w:val="18"/>
          <w:szCs w:val="16"/>
        </w:rPr>
        <w:footnoteRef/>
      </w:r>
      <w:r>
        <w:rPr>
          <w:rFonts w:ascii="Times New Roman" w:hAnsi="Times New Roman" w:cs="Times New Roman"/>
          <w:sz w:val="18"/>
          <w:szCs w:val="16"/>
          <w:lang w:val="en-IE"/>
        </w:rPr>
        <w:t xml:space="preserve"> The meaning of publicly accessible refuelling point, as reported in the NIR, may differ by country.</w:t>
      </w:r>
    </w:p>
  </w:footnote>
  <w:footnote w:id="15">
    <w:p w:rsidR="00DA7543" w:rsidRDefault="007C073D">
      <w:pPr>
        <w:pStyle w:val="FootnoteText"/>
        <w:spacing w:after="0" w:line="240" w:lineRule="auto"/>
        <w:rPr>
          <w:rFonts w:ascii="Times New Roman" w:hAnsi="Times New Roman" w:cs="Times New Roman"/>
          <w:sz w:val="18"/>
          <w:szCs w:val="16"/>
          <w:lang w:val="en-IE"/>
        </w:rPr>
      </w:pPr>
      <w:r>
        <w:rPr>
          <w:rStyle w:val="FootnoteReference"/>
          <w:rFonts w:ascii="Times New Roman" w:hAnsi="Times New Roman" w:cs="Times New Roman"/>
          <w:sz w:val="18"/>
          <w:szCs w:val="16"/>
        </w:rPr>
        <w:footnoteRef/>
      </w:r>
      <w:r>
        <w:rPr>
          <w:rFonts w:ascii="Times New Roman" w:hAnsi="Times New Roman" w:cs="Times New Roman"/>
          <w:sz w:val="18"/>
          <w:szCs w:val="16"/>
          <w:lang w:val="en-IE"/>
        </w:rPr>
        <w:t xml:space="preserve"> The meaning of publicly accessible refuelling point, as reported in the NIR, may differ by country.</w:t>
      </w:r>
    </w:p>
  </w:footnote>
  <w:footnote w:id="16">
    <w:p w:rsidR="00DA7543" w:rsidRDefault="007C073D">
      <w:pPr>
        <w:pStyle w:val="FootnoteText"/>
        <w:spacing w:after="0" w:line="240" w:lineRule="auto"/>
        <w:ind w:left="0" w:firstLine="0"/>
        <w:jc w:val="both"/>
        <w:rPr>
          <w:rFonts w:ascii="Times New Roman" w:hAnsi="Times New Roman" w:cs="Times New Roman"/>
          <w:sz w:val="18"/>
          <w:szCs w:val="16"/>
          <w:lang w:val="en-IE"/>
        </w:rPr>
      </w:pPr>
      <w:r>
        <w:rPr>
          <w:rStyle w:val="FootnoteReference"/>
          <w:rFonts w:ascii="Times New Roman" w:hAnsi="Times New Roman" w:cs="Times New Roman"/>
          <w:sz w:val="18"/>
          <w:szCs w:val="16"/>
        </w:rPr>
        <w:footnoteRef/>
      </w:r>
      <w:r>
        <w:rPr>
          <w:rFonts w:ascii="Times New Roman" w:hAnsi="Times New Roman" w:cs="Times New Roman"/>
          <w:sz w:val="18"/>
          <w:szCs w:val="16"/>
          <w:lang w:val="en-IE"/>
        </w:rPr>
        <w:t xml:space="preserve"> The meaning of alternative fuel supply in waterborne transport, as reported in the NIR, may differ by country. It is not always clear whether the value r</w:t>
      </w:r>
      <w:r>
        <w:rPr>
          <w:rFonts w:ascii="Times New Roman" w:hAnsi="Times New Roman" w:cs="Times New Roman"/>
          <w:sz w:val="18"/>
          <w:szCs w:val="16"/>
          <w:lang w:val="en-IE"/>
        </w:rPr>
        <w:t>eported refers to maritime or inland, to a port or another location along the waterway/shore, to a station or a refuelling point.</w:t>
      </w:r>
    </w:p>
  </w:footnote>
  <w:footnote w:id="17">
    <w:p w:rsidR="00DA7543" w:rsidRDefault="007C073D">
      <w:pPr>
        <w:pStyle w:val="FootnoteText"/>
        <w:rPr>
          <w:rFonts w:ascii="Times New Roman" w:hAnsi="Times New Roman" w:cs="Times New Roman"/>
          <w:sz w:val="18"/>
          <w:szCs w:val="16"/>
          <w:lang w:val="en-IE"/>
        </w:rPr>
      </w:pPr>
      <w:r>
        <w:rPr>
          <w:rStyle w:val="FootnoteReference"/>
        </w:rPr>
        <w:footnoteRef/>
      </w:r>
      <w:r>
        <w:t xml:space="preserve"> </w:t>
      </w:r>
      <w:r>
        <w:rPr>
          <w:rFonts w:ascii="Times New Roman" w:hAnsi="Times New Roman" w:cs="Times New Roman"/>
          <w:sz w:val="18"/>
          <w:szCs w:val="16"/>
          <w:lang w:val="en-IE"/>
        </w:rPr>
        <w:t>Finland has not TEN-T Core inland ports but included an AFI target and measures for LNG supply in inland ports.</w:t>
      </w:r>
    </w:p>
  </w:footnote>
  <w:footnote w:id="18">
    <w:p w:rsidR="00DA7543" w:rsidRDefault="007C073D">
      <w:pPr>
        <w:pStyle w:val="FootnoteText"/>
        <w:spacing w:after="0" w:line="240" w:lineRule="auto"/>
        <w:ind w:left="0" w:firstLine="0"/>
        <w:jc w:val="both"/>
        <w:rPr>
          <w:rFonts w:ascii="Times New Roman" w:hAnsi="Times New Roman" w:cs="Times New Roman"/>
          <w:sz w:val="16"/>
          <w:szCs w:val="16"/>
          <w:lang w:val="en-IE"/>
        </w:rPr>
      </w:pPr>
      <w:r>
        <w:rPr>
          <w:rStyle w:val="FootnoteReference"/>
          <w:rFonts w:ascii="Times New Roman" w:hAnsi="Times New Roman" w:cs="Times New Roman"/>
          <w:sz w:val="16"/>
          <w:szCs w:val="16"/>
        </w:rPr>
        <w:footnoteRef/>
      </w:r>
      <w:r>
        <w:rPr>
          <w:rFonts w:ascii="Times New Roman" w:hAnsi="Times New Roman" w:cs="Times New Roman"/>
          <w:sz w:val="16"/>
          <w:szCs w:val="16"/>
          <w:lang w:val="en-IE"/>
        </w:rPr>
        <w:t xml:space="preserve"> The meanin</w:t>
      </w:r>
      <w:r>
        <w:rPr>
          <w:rFonts w:ascii="Times New Roman" w:hAnsi="Times New Roman" w:cs="Times New Roman"/>
          <w:sz w:val="16"/>
          <w:szCs w:val="16"/>
          <w:lang w:val="en-IE"/>
        </w:rPr>
        <w:t>g of alternative fuel supply in waterborne transport, as reported in the NIR, may differ by country. It is not always clear whether the value reported refers to maritime or inland, to a port or another location along the waterway/shore, to a station or a r</w:t>
      </w:r>
      <w:r>
        <w:rPr>
          <w:rFonts w:ascii="Times New Roman" w:hAnsi="Times New Roman" w:cs="Times New Roman"/>
          <w:sz w:val="16"/>
          <w:szCs w:val="16"/>
          <w:lang w:val="en-IE"/>
        </w:rPr>
        <w:t>efuelling point.</w:t>
      </w:r>
    </w:p>
  </w:footnote>
  <w:footnote w:id="19">
    <w:p w:rsidR="00DA7543" w:rsidRDefault="007C073D">
      <w:pPr>
        <w:pStyle w:val="FootnoteText"/>
        <w:spacing w:after="0" w:line="240" w:lineRule="auto"/>
        <w:ind w:left="0" w:firstLine="0"/>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The meaning of alternative fuel supply in waterborne transport, as reported in the NIR, may differ by country. It is not always clear whether the value reported refers to maritime or inland, to a port or another location along the waterw</w:t>
      </w:r>
      <w:r>
        <w:rPr>
          <w:rFonts w:ascii="Times New Roman" w:hAnsi="Times New Roman" w:cs="Times New Roman"/>
          <w:sz w:val="18"/>
          <w:szCs w:val="18"/>
          <w:lang w:val="en-IE"/>
        </w:rPr>
        <w:t>ay/shore, to a station or a refuelling point.</w:t>
      </w:r>
    </w:p>
  </w:footnote>
  <w:footnote w:id="20">
    <w:p w:rsidR="00DA7543" w:rsidRDefault="007C073D">
      <w:pPr>
        <w:pStyle w:val="FootnoteText"/>
        <w:spacing w:after="0" w:line="240" w:lineRule="auto"/>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With the exception of Czechia and Estonia</w:t>
      </w:r>
    </w:p>
  </w:footnote>
  <w:footnote w:id="21">
    <w:p w:rsidR="00DA7543" w:rsidRDefault="007C073D">
      <w:pPr>
        <w:pStyle w:val="FootnoteText"/>
        <w:spacing w:after="0" w:line="240" w:lineRule="auto"/>
        <w:rPr>
          <w:rFonts w:ascii="Times New Roman" w:hAnsi="Times New Roman" w:cs="Times New Roman"/>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With the exception of Estonia and Croatia</w:t>
      </w:r>
    </w:p>
  </w:footnote>
  <w:footnote w:id="22">
    <w:p w:rsidR="00DA7543" w:rsidRDefault="007C073D">
      <w:pPr>
        <w:autoSpaceDE w:val="0"/>
        <w:autoSpaceDN w:val="0"/>
        <w:adjustRightInd w:val="0"/>
        <w:spacing w:after="0" w:line="240" w:lineRule="auto"/>
        <w:jc w:val="both"/>
        <w:rPr>
          <w:rFonts w:ascii="Times New Roman" w:hAnsi="Times New Roman" w:cs="Times New Roman"/>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Similarly to the NPF assessment, the future total vehicle fleets are based </w:t>
      </w:r>
      <w:r>
        <w:rPr>
          <w:rFonts w:ascii="Times New Roman" w:hAnsi="Times New Roman" w:cs="Times New Roman"/>
          <w:sz w:val="18"/>
          <w:szCs w:val="18"/>
          <w:lang w:val="en-IE"/>
        </w:rPr>
        <w:t xml:space="preserve">on the Baseline scenario of the Impact </w:t>
      </w:r>
      <w:r>
        <w:rPr>
          <w:rFonts w:ascii="Times New Roman" w:hAnsi="Times New Roman" w:cs="Times New Roman"/>
          <w:sz w:val="18"/>
          <w:szCs w:val="18"/>
          <w:lang w:val="en-IE"/>
        </w:rPr>
        <w:t>Assessment accompanying the Proposal for a Directive amending Directive 1999/62/EC on the charging of heavy goods vehicles for the use of certain infrastructures (SWD (2017) 180), and thus on the EU Reference scenario 2016, but excluding the incentives for</w:t>
      </w:r>
      <w:r>
        <w:rPr>
          <w:rFonts w:ascii="Times New Roman" w:hAnsi="Times New Roman" w:cs="Times New Roman"/>
          <w:sz w:val="18"/>
          <w:szCs w:val="18"/>
          <w:lang w:val="en-IE"/>
        </w:rPr>
        <w:t xml:space="preserve"> alternative fuels provided at the Member State level. It has been developed with the PRIMES-TREMOVE model (i.e. the same model used for the EU Reference scenario 2016) by ICCS-E3MLab.</w:t>
      </w:r>
    </w:p>
  </w:footnote>
  <w:footnote w:id="23">
    <w:p w:rsidR="00DA7543" w:rsidRDefault="007C073D">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With the exception of Estonia</w:t>
      </w:r>
    </w:p>
  </w:footnote>
  <w:footnote w:id="24">
    <w:p w:rsidR="00DA7543" w:rsidRDefault="007C073D">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Including motorways, main/national an</w:t>
      </w:r>
      <w:r>
        <w:rPr>
          <w:rFonts w:ascii="Times New Roman" w:hAnsi="Times New Roman" w:cs="Times New Roman"/>
          <w:sz w:val="18"/>
          <w:szCs w:val="18"/>
          <w:lang w:val="en-US"/>
        </w:rPr>
        <w:t>d secondary/regional roads</w:t>
      </w:r>
    </w:p>
  </w:footnote>
  <w:footnote w:id="25">
    <w:p w:rsidR="00DA7543" w:rsidRDefault="007C073D">
      <w:pPr>
        <w:pStyle w:val="FootnoteText"/>
        <w:rPr>
          <w:rFonts w:ascii="Times New Roman" w:hAnsi="Times New Roman" w:cs="Times New Roman"/>
          <w:sz w:val="18"/>
          <w:lang w:val="en-US"/>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lang w:val="en-US"/>
        </w:rPr>
        <w:t>For Czechia this assessment was not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43" w:rsidRDefault="00DA7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43" w:rsidRDefault="00DA7543">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43" w:rsidRDefault="00DA7543">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43" w:rsidRDefault="00DA75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43" w:rsidRDefault="00DA75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43" w:rsidRDefault="00DA75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25FD"/>
    <w:multiLevelType w:val="hybridMultilevel"/>
    <w:tmpl w:val="2C6A69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76583"/>
    <w:multiLevelType w:val="hybridMultilevel"/>
    <w:tmpl w:val="39FAA61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12C25115"/>
    <w:multiLevelType w:val="hybridMultilevel"/>
    <w:tmpl w:val="B22E439C"/>
    <w:lvl w:ilvl="0" w:tplc="70665DCA">
      <w:start w:val="1"/>
      <w:numFmt w:val="bullet"/>
      <w:lvlText w:val="•"/>
      <w:lvlJc w:val="left"/>
      <w:pPr>
        <w:tabs>
          <w:tab w:val="num" w:pos="1440"/>
        </w:tabs>
        <w:ind w:left="144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33A4ACC"/>
    <w:multiLevelType w:val="hybridMultilevel"/>
    <w:tmpl w:val="8278C042"/>
    <w:lvl w:ilvl="0" w:tplc="04090001">
      <w:start w:val="1"/>
      <w:numFmt w:val="bullet"/>
      <w:lvlText w:val=""/>
      <w:lvlJc w:val="left"/>
      <w:pPr>
        <w:ind w:left="243" w:hanging="360"/>
      </w:pPr>
      <w:rPr>
        <w:rFonts w:ascii="Symbol" w:hAnsi="Symbol" w:hint="default"/>
      </w:rPr>
    </w:lvl>
    <w:lvl w:ilvl="1" w:tplc="18090003">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4" w15:restartNumberingAfterBreak="0">
    <w:nsid w:val="1F734306"/>
    <w:multiLevelType w:val="multilevel"/>
    <w:tmpl w:val="22E64788"/>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288" w:hanging="720"/>
      </w:pPr>
      <w:rPr>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06" w:hanging="864"/>
      </w:pPr>
      <w:rPr>
        <w:rFonts w:hint="default"/>
        <w:i w:val="0"/>
        <w:sz w:val="22"/>
        <w:szCs w:val="22"/>
      </w:rPr>
    </w:lvl>
    <w:lvl w:ilvl="4">
      <w:start w:val="1"/>
      <w:numFmt w:val="decimal"/>
      <w:pStyle w:val="Heading5"/>
      <w:lvlText w:val="%1.%2.%3.%4.%5"/>
      <w:lvlJc w:val="left"/>
      <w:pPr>
        <w:ind w:left="1718" w:hanging="100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429"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20B45603"/>
    <w:multiLevelType w:val="hybridMultilevel"/>
    <w:tmpl w:val="4836B5AE"/>
    <w:lvl w:ilvl="0" w:tplc="1512A722">
      <w:start w:val="1"/>
      <w:numFmt w:val="upperLetter"/>
      <w:lvlText w:val="%1)"/>
      <w:lvlJc w:val="left"/>
      <w:pPr>
        <w:ind w:left="360" w:hanging="360"/>
      </w:pPr>
      <w:rPr>
        <w:rFonts w:eastAsia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8212B22"/>
    <w:multiLevelType w:val="hybridMultilevel"/>
    <w:tmpl w:val="03760F74"/>
    <w:lvl w:ilvl="0" w:tplc="1809000F">
      <w:start w:val="1"/>
      <w:numFmt w:val="decimal"/>
      <w:lvlText w:val="%1."/>
      <w:lvlJc w:val="left"/>
      <w:pPr>
        <w:ind w:left="502" w:hanging="360"/>
      </w:p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7" w15:restartNumberingAfterBreak="0">
    <w:nsid w:val="2A8A1AC9"/>
    <w:multiLevelType w:val="hybridMultilevel"/>
    <w:tmpl w:val="B26EA56E"/>
    <w:lvl w:ilvl="0" w:tplc="03B0C934">
      <w:start w:val="1"/>
      <w:numFmt w:val="bullet"/>
      <w:lvlText w:val="•"/>
      <w:lvlJc w:val="left"/>
      <w:pPr>
        <w:tabs>
          <w:tab w:val="num" w:pos="720"/>
        </w:tabs>
        <w:ind w:left="720" w:hanging="360"/>
      </w:pPr>
      <w:rPr>
        <w:rFonts w:ascii="Arial" w:hAnsi="Arial" w:hint="default"/>
      </w:rPr>
    </w:lvl>
    <w:lvl w:ilvl="1" w:tplc="6570E986">
      <w:start w:val="1"/>
      <w:numFmt w:val="bullet"/>
      <w:lvlText w:val="•"/>
      <w:lvlJc w:val="left"/>
      <w:pPr>
        <w:tabs>
          <w:tab w:val="num" w:pos="1440"/>
        </w:tabs>
        <w:ind w:left="1440" w:hanging="360"/>
      </w:pPr>
      <w:rPr>
        <w:rFonts w:ascii="Arial" w:hAnsi="Arial" w:hint="default"/>
      </w:rPr>
    </w:lvl>
    <w:lvl w:ilvl="2" w:tplc="3FE223BC">
      <w:start w:val="1"/>
      <w:numFmt w:val="bullet"/>
      <w:lvlText w:val="•"/>
      <w:lvlJc w:val="left"/>
      <w:pPr>
        <w:tabs>
          <w:tab w:val="num" w:pos="644"/>
        </w:tabs>
        <w:ind w:left="644" w:hanging="360"/>
      </w:pPr>
      <w:rPr>
        <w:rFonts w:ascii="Arial" w:hAnsi="Arial" w:hint="default"/>
      </w:rPr>
    </w:lvl>
    <w:lvl w:ilvl="3" w:tplc="64AEFCE4" w:tentative="1">
      <w:start w:val="1"/>
      <w:numFmt w:val="bullet"/>
      <w:lvlText w:val="•"/>
      <w:lvlJc w:val="left"/>
      <w:pPr>
        <w:tabs>
          <w:tab w:val="num" w:pos="2880"/>
        </w:tabs>
        <w:ind w:left="2880" w:hanging="360"/>
      </w:pPr>
      <w:rPr>
        <w:rFonts w:ascii="Arial" w:hAnsi="Arial" w:hint="default"/>
      </w:rPr>
    </w:lvl>
    <w:lvl w:ilvl="4" w:tplc="7E724C06" w:tentative="1">
      <w:start w:val="1"/>
      <w:numFmt w:val="bullet"/>
      <w:lvlText w:val="•"/>
      <w:lvlJc w:val="left"/>
      <w:pPr>
        <w:tabs>
          <w:tab w:val="num" w:pos="3600"/>
        </w:tabs>
        <w:ind w:left="3600" w:hanging="360"/>
      </w:pPr>
      <w:rPr>
        <w:rFonts w:ascii="Arial" w:hAnsi="Arial" w:hint="default"/>
      </w:rPr>
    </w:lvl>
    <w:lvl w:ilvl="5" w:tplc="F4561FC4" w:tentative="1">
      <w:start w:val="1"/>
      <w:numFmt w:val="bullet"/>
      <w:lvlText w:val="•"/>
      <w:lvlJc w:val="left"/>
      <w:pPr>
        <w:tabs>
          <w:tab w:val="num" w:pos="4320"/>
        </w:tabs>
        <w:ind w:left="4320" w:hanging="360"/>
      </w:pPr>
      <w:rPr>
        <w:rFonts w:ascii="Arial" w:hAnsi="Arial" w:hint="default"/>
      </w:rPr>
    </w:lvl>
    <w:lvl w:ilvl="6" w:tplc="EF24F538" w:tentative="1">
      <w:start w:val="1"/>
      <w:numFmt w:val="bullet"/>
      <w:lvlText w:val="•"/>
      <w:lvlJc w:val="left"/>
      <w:pPr>
        <w:tabs>
          <w:tab w:val="num" w:pos="5040"/>
        </w:tabs>
        <w:ind w:left="5040" w:hanging="360"/>
      </w:pPr>
      <w:rPr>
        <w:rFonts w:ascii="Arial" w:hAnsi="Arial" w:hint="default"/>
      </w:rPr>
    </w:lvl>
    <w:lvl w:ilvl="7" w:tplc="20FCCBE0" w:tentative="1">
      <w:start w:val="1"/>
      <w:numFmt w:val="bullet"/>
      <w:lvlText w:val="•"/>
      <w:lvlJc w:val="left"/>
      <w:pPr>
        <w:tabs>
          <w:tab w:val="num" w:pos="5760"/>
        </w:tabs>
        <w:ind w:left="5760" w:hanging="360"/>
      </w:pPr>
      <w:rPr>
        <w:rFonts w:ascii="Arial" w:hAnsi="Arial" w:hint="default"/>
      </w:rPr>
    </w:lvl>
    <w:lvl w:ilvl="8" w:tplc="D6AAB1C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4470E0"/>
    <w:multiLevelType w:val="hybridMultilevel"/>
    <w:tmpl w:val="C41A9DC6"/>
    <w:lvl w:ilvl="0" w:tplc="529C9790">
      <w:start w:val="1"/>
      <w:numFmt w:val="bullet"/>
      <w:lvlText w:val="-"/>
      <w:lvlJc w:val="left"/>
      <w:pPr>
        <w:ind w:left="862" w:hanging="360"/>
      </w:pPr>
      <w:rPr>
        <w:rFonts w:ascii="Calibri" w:eastAsiaTheme="minorHAnsi" w:hAnsi="Calibri" w:cstheme="minorBidi" w:hint="default"/>
      </w:rPr>
    </w:lvl>
    <w:lvl w:ilvl="1" w:tplc="18090003">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9" w15:restartNumberingAfterBreak="0">
    <w:nsid w:val="306E33E8"/>
    <w:multiLevelType w:val="hybridMultilevel"/>
    <w:tmpl w:val="F9DCEE5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11" w15:restartNumberingAfterBreak="0">
    <w:nsid w:val="426B42BC"/>
    <w:multiLevelType w:val="hybridMultilevel"/>
    <w:tmpl w:val="B65C7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C94257"/>
    <w:multiLevelType w:val="hybridMultilevel"/>
    <w:tmpl w:val="25663582"/>
    <w:lvl w:ilvl="0" w:tplc="86DE56CA">
      <w:start w:val="1"/>
      <w:numFmt w:val="bullet"/>
      <w:lvlText w:val="•"/>
      <w:lvlJc w:val="left"/>
      <w:pPr>
        <w:tabs>
          <w:tab w:val="num" w:pos="720"/>
        </w:tabs>
        <w:ind w:left="720" w:hanging="360"/>
      </w:pPr>
      <w:rPr>
        <w:rFonts w:ascii="Arial" w:hAnsi="Arial" w:hint="default"/>
      </w:rPr>
    </w:lvl>
    <w:lvl w:ilvl="1" w:tplc="F216BC92" w:tentative="1">
      <w:start w:val="1"/>
      <w:numFmt w:val="bullet"/>
      <w:lvlText w:val="•"/>
      <w:lvlJc w:val="left"/>
      <w:pPr>
        <w:tabs>
          <w:tab w:val="num" w:pos="1440"/>
        </w:tabs>
        <w:ind w:left="1440" w:hanging="360"/>
      </w:pPr>
      <w:rPr>
        <w:rFonts w:ascii="Arial" w:hAnsi="Arial" w:hint="default"/>
      </w:rPr>
    </w:lvl>
    <w:lvl w:ilvl="2" w:tplc="318C39D2">
      <w:start w:val="1"/>
      <w:numFmt w:val="bullet"/>
      <w:lvlText w:val="•"/>
      <w:lvlJc w:val="left"/>
      <w:pPr>
        <w:tabs>
          <w:tab w:val="num" w:pos="928"/>
        </w:tabs>
        <w:ind w:left="928" w:hanging="360"/>
      </w:pPr>
      <w:rPr>
        <w:rFonts w:ascii="Arial" w:hAnsi="Arial" w:hint="default"/>
        <w:color w:val="0070C0"/>
      </w:rPr>
    </w:lvl>
    <w:lvl w:ilvl="3" w:tplc="7FC050D4" w:tentative="1">
      <w:start w:val="1"/>
      <w:numFmt w:val="bullet"/>
      <w:lvlText w:val="•"/>
      <w:lvlJc w:val="left"/>
      <w:pPr>
        <w:tabs>
          <w:tab w:val="num" w:pos="2880"/>
        </w:tabs>
        <w:ind w:left="2880" w:hanging="360"/>
      </w:pPr>
      <w:rPr>
        <w:rFonts w:ascii="Arial" w:hAnsi="Arial" w:hint="default"/>
      </w:rPr>
    </w:lvl>
    <w:lvl w:ilvl="4" w:tplc="54B61E28" w:tentative="1">
      <w:start w:val="1"/>
      <w:numFmt w:val="bullet"/>
      <w:lvlText w:val="•"/>
      <w:lvlJc w:val="left"/>
      <w:pPr>
        <w:tabs>
          <w:tab w:val="num" w:pos="3600"/>
        </w:tabs>
        <w:ind w:left="3600" w:hanging="360"/>
      </w:pPr>
      <w:rPr>
        <w:rFonts w:ascii="Arial" w:hAnsi="Arial" w:hint="default"/>
      </w:rPr>
    </w:lvl>
    <w:lvl w:ilvl="5" w:tplc="590A3674" w:tentative="1">
      <w:start w:val="1"/>
      <w:numFmt w:val="bullet"/>
      <w:lvlText w:val="•"/>
      <w:lvlJc w:val="left"/>
      <w:pPr>
        <w:tabs>
          <w:tab w:val="num" w:pos="4320"/>
        </w:tabs>
        <w:ind w:left="4320" w:hanging="360"/>
      </w:pPr>
      <w:rPr>
        <w:rFonts w:ascii="Arial" w:hAnsi="Arial" w:hint="default"/>
      </w:rPr>
    </w:lvl>
    <w:lvl w:ilvl="6" w:tplc="79A88270" w:tentative="1">
      <w:start w:val="1"/>
      <w:numFmt w:val="bullet"/>
      <w:lvlText w:val="•"/>
      <w:lvlJc w:val="left"/>
      <w:pPr>
        <w:tabs>
          <w:tab w:val="num" w:pos="5040"/>
        </w:tabs>
        <w:ind w:left="5040" w:hanging="360"/>
      </w:pPr>
      <w:rPr>
        <w:rFonts w:ascii="Arial" w:hAnsi="Arial" w:hint="default"/>
      </w:rPr>
    </w:lvl>
    <w:lvl w:ilvl="7" w:tplc="9C54C41A" w:tentative="1">
      <w:start w:val="1"/>
      <w:numFmt w:val="bullet"/>
      <w:lvlText w:val="•"/>
      <w:lvlJc w:val="left"/>
      <w:pPr>
        <w:tabs>
          <w:tab w:val="num" w:pos="5760"/>
        </w:tabs>
        <w:ind w:left="5760" w:hanging="360"/>
      </w:pPr>
      <w:rPr>
        <w:rFonts w:ascii="Arial" w:hAnsi="Arial" w:hint="default"/>
      </w:rPr>
    </w:lvl>
    <w:lvl w:ilvl="8" w:tplc="9CE8EDC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C27528"/>
    <w:multiLevelType w:val="hybridMultilevel"/>
    <w:tmpl w:val="B62E9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CF14AC4"/>
    <w:multiLevelType w:val="hybridMultilevel"/>
    <w:tmpl w:val="D4C874E8"/>
    <w:lvl w:ilvl="0" w:tplc="708414FC">
      <w:start w:val="1"/>
      <w:numFmt w:val="bullet"/>
      <w:lvlText w:val="•"/>
      <w:lvlJc w:val="left"/>
      <w:pPr>
        <w:tabs>
          <w:tab w:val="num" w:pos="720"/>
        </w:tabs>
        <w:ind w:left="720" w:hanging="360"/>
      </w:pPr>
      <w:rPr>
        <w:rFonts w:ascii="Arial" w:hAnsi="Arial" w:hint="default"/>
      </w:rPr>
    </w:lvl>
    <w:lvl w:ilvl="1" w:tplc="70665DCA">
      <w:start w:val="1"/>
      <w:numFmt w:val="bullet"/>
      <w:lvlText w:val="•"/>
      <w:lvlJc w:val="left"/>
      <w:pPr>
        <w:tabs>
          <w:tab w:val="num" w:pos="1440"/>
        </w:tabs>
        <w:ind w:left="1440" w:hanging="360"/>
      </w:pPr>
      <w:rPr>
        <w:rFonts w:ascii="Arial" w:hAnsi="Arial" w:hint="default"/>
      </w:rPr>
    </w:lvl>
    <w:lvl w:ilvl="2" w:tplc="7DE2B53E">
      <w:start w:val="1"/>
      <w:numFmt w:val="bullet"/>
      <w:lvlText w:val="•"/>
      <w:lvlJc w:val="left"/>
      <w:pPr>
        <w:tabs>
          <w:tab w:val="num" w:pos="2160"/>
        </w:tabs>
        <w:ind w:left="2160" w:hanging="360"/>
      </w:pPr>
      <w:rPr>
        <w:rFonts w:ascii="Arial" w:hAnsi="Arial" w:hint="default"/>
      </w:rPr>
    </w:lvl>
    <w:lvl w:ilvl="3" w:tplc="B1FA51D6">
      <w:start w:val="53"/>
      <w:numFmt w:val="bullet"/>
      <w:lvlText w:val="•"/>
      <w:lvlJc w:val="left"/>
      <w:pPr>
        <w:tabs>
          <w:tab w:val="num" w:pos="2880"/>
        </w:tabs>
        <w:ind w:left="2880" w:hanging="360"/>
      </w:pPr>
      <w:rPr>
        <w:rFonts w:ascii="Arial" w:hAnsi="Arial" w:hint="default"/>
      </w:rPr>
    </w:lvl>
    <w:lvl w:ilvl="4" w:tplc="AB124A68">
      <w:start w:val="1"/>
      <w:numFmt w:val="bullet"/>
      <w:lvlText w:val="-"/>
      <w:lvlJc w:val="left"/>
      <w:pPr>
        <w:ind w:left="3600" w:hanging="360"/>
      </w:pPr>
      <w:rPr>
        <w:rFonts w:ascii="Calibri" w:eastAsiaTheme="minorHAnsi" w:hAnsi="Calibri" w:cstheme="minorBidi" w:hint="default"/>
        <w:b w:val="0"/>
      </w:rPr>
    </w:lvl>
    <w:lvl w:ilvl="5" w:tplc="57B2C33E" w:tentative="1">
      <w:start w:val="1"/>
      <w:numFmt w:val="bullet"/>
      <w:lvlText w:val="•"/>
      <w:lvlJc w:val="left"/>
      <w:pPr>
        <w:tabs>
          <w:tab w:val="num" w:pos="4320"/>
        </w:tabs>
        <w:ind w:left="4320" w:hanging="360"/>
      </w:pPr>
      <w:rPr>
        <w:rFonts w:ascii="Arial" w:hAnsi="Arial" w:hint="default"/>
      </w:rPr>
    </w:lvl>
    <w:lvl w:ilvl="6" w:tplc="DCA0669A" w:tentative="1">
      <w:start w:val="1"/>
      <w:numFmt w:val="bullet"/>
      <w:lvlText w:val="•"/>
      <w:lvlJc w:val="left"/>
      <w:pPr>
        <w:tabs>
          <w:tab w:val="num" w:pos="5040"/>
        </w:tabs>
        <w:ind w:left="5040" w:hanging="360"/>
      </w:pPr>
      <w:rPr>
        <w:rFonts w:ascii="Arial" w:hAnsi="Arial" w:hint="default"/>
      </w:rPr>
    </w:lvl>
    <w:lvl w:ilvl="7" w:tplc="BF42D86A" w:tentative="1">
      <w:start w:val="1"/>
      <w:numFmt w:val="bullet"/>
      <w:lvlText w:val="•"/>
      <w:lvlJc w:val="left"/>
      <w:pPr>
        <w:tabs>
          <w:tab w:val="num" w:pos="5760"/>
        </w:tabs>
        <w:ind w:left="5760" w:hanging="360"/>
      </w:pPr>
      <w:rPr>
        <w:rFonts w:ascii="Arial" w:hAnsi="Arial" w:hint="default"/>
      </w:rPr>
    </w:lvl>
    <w:lvl w:ilvl="8" w:tplc="D84206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2150305"/>
    <w:multiLevelType w:val="hybridMultilevel"/>
    <w:tmpl w:val="234E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CB062B"/>
    <w:multiLevelType w:val="hybridMultilevel"/>
    <w:tmpl w:val="BD24B8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7CA936FA"/>
    <w:multiLevelType w:val="hybridMultilevel"/>
    <w:tmpl w:val="B14AFA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7F7217BC"/>
    <w:multiLevelType w:val="hybridMultilevel"/>
    <w:tmpl w:val="7F5A3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2"/>
  </w:num>
  <w:num w:numId="4">
    <w:abstractNumId w:val="14"/>
  </w:num>
  <w:num w:numId="5">
    <w:abstractNumId w:val="7"/>
  </w:num>
  <w:num w:numId="6">
    <w:abstractNumId w:val="2"/>
  </w:num>
  <w:num w:numId="7">
    <w:abstractNumId w:val="6"/>
  </w:num>
  <w:num w:numId="8">
    <w:abstractNumId w:val="17"/>
  </w:num>
  <w:num w:numId="9">
    <w:abstractNumId w:val="16"/>
  </w:num>
  <w:num w:numId="10">
    <w:abstractNumId w:val="8"/>
  </w:num>
  <w:num w:numId="11">
    <w:abstractNumId w:val="5"/>
  </w:num>
  <w:num w:numId="12">
    <w:abstractNumId w:val="18"/>
  </w:num>
  <w:num w:numId="13">
    <w:abstractNumId w:val="10"/>
  </w:num>
  <w:num w:numId="14">
    <w:abstractNumId w:val="13"/>
  </w:num>
  <w:num w:numId="15">
    <w:abstractNumId w:val="15"/>
  </w:num>
  <w:num w:numId="16">
    <w:abstractNumId w:val="0"/>
  </w:num>
  <w:num w:numId="17">
    <w:abstractNumId w:val="9"/>
  </w:num>
  <w:num w:numId="18">
    <w:abstractNumId w:val="3"/>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hideSpellingErrors/>
  <w:hideGrammaticalError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6FE0383-ED60-4434-9074-1B44F74A9E20"/>
    <w:docVar w:name="LW_COVERPAGE_TYPE" w:val="1"/>
    <w:docVar w:name="LW_CROSSREFERENCE" w:val="{COM(2021) 103 final}"/>
    <w:docVar w:name="LW_DocType" w:val="NORMAL"/>
    <w:docVar w:name="LW_EMISSION" w:val="8.3.2021"/>
    <w:docVar w:name="LW_EMISSION_ISODATE" w:val="2021-03-08"/>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lt;FMT:Bold&gt;on the application of Directive 2014/94/EU on the deployment of alternative fuels infrastructure&lt;/FMT&gt;"/>
    <w:docVar w:name="LW_PART_NBR" w:val="1"/>
    <w:docVar w:name="LW_PART_NBR_TOTAL" w:val="4"/>
    <w:docVar w:name="LW_REF.INST.NEW" w:val="SWD"/>
    <w:docVar w:name="LW_REF.INST.NEW_ADOPTED" w:val="final"/>
    <w:docVar w:name="LW_REF.INST.NEW_TEXT" w:val="(2021) 4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Detailed Assessment of the Member States Implementation Reports on the National Policy Frameworks for the development of the market as regards alternative fuels in the transport sector and the deployment of the relevant infrastructure. Implementation of &lt;/FMT&gt;&lt;FMT:Highlight=7,Bold&gt;Art 10 (3)&lt;/FMT&gt;&lt;FMT:Bold&gt; of Directive 2014/94/EU  &lt;/FMT&gt;"/>
    <w:docVar w:name="LW_TYPE.DOC.CP" w:val="COMMISSION STAFF WORKING DOCUMENT"/>
    <w:docVar w:name="LW_TYPEACTEPRINCIPAL.CP" w:val="REPORT FROM THE COMMISSION TO THE EUROPEAN PARLIAMENT AND THE COUNCIL"/>
  </w:docVars>
  <w:rsids>
    <w:rsidRoot w:val="00DA7543"/>
    <w:rsid w:val="007C073D"/>
    <w:rsid w:val="00DA754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32E8881-B1CA-4652-AD0E-B50D75E80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numPr>
        <w:numId w:val="1"/>
      </w:numPr>
      <w:spacing w:before="240" w:after="200" w:line="276" w:lineRule="auto"/>
      <w:outlineLvl w:val="0"/>
    </w:pPr>
    <w:rPr>
      <w:rFonts w:cs="Times New Roman"/>
      <w:b/>
      <w:smallCaps/>
    </w:rPr>
  </w:style>
  <w:style w:type="paragraph" w:styleId="Heading2">
    <w:name w:val="heading 2"/>
    <w:basedOn w:val="Normal"/>
    <w:next w:val="Normal"/>
    <w:link w:val="Heading2Char"/>
    <w:uiPriority w:val="9"/>
    <w:qFormat/>
    <w:pPr>
      <w:keepNext/>
      <w:numPr>
        <w:ilvl w:val="1"/>
        <w:numId w:val="1"/>
      </w:numPr>
      <w:spacing w:after="200" w:line="276" w:lineRule="auto"/>
      <w:outlineLvl w:val="1"/>
    </w:pPr>
    <w:rPr>
      <w:b/>
    </w:rPr>
  </w:style>
  <w:style w:type="paragraph" w:styleId="Heading3">
    <w:name w:val="heading 3"/>
    <w:basedOn w:val="Normal"/>
    <w:next w:val="Normal"/>
    <w:link w:val="Heading3Char"/>
    <w:uiPriority w:val="9"/>
    <w:qFormat/>
    <w:pPr>
      <w:keepNext/>
      <w:numPr>
        <w:ilvl w:val="2"/>
        <w:numId w:val="1"/>
      </w:numPr>
      <w:spacing w:after="200" w:line="276" w:lineRule="auto"/>
      <w:ind w:left="720"/>
      <w:outlineLvl w:val="2"/>
    </w:pPr>
    <w:rPr>
      <w:b/>
      <w:i/>
    </w:rPr>
  </w:style>
  <w:style w:type="paragraph" w:styleId="Heading4">
    <w:name w:val="heading 4"/>
    <w:basedOn w:val="Normal"/>
    <w:next w:val="Normal"/>
    <w:link w:val="Heading4Char"/>
    <w:uiPriority w:val="9"/>
    <w:qFormat/>
    <w:pPr>
      <w:keepNext/>
      <w:numPr>
        <w:ilvl w:val="3"/>
        <w:numId w:val="1"/>
      </w:numPr>
      <w:spacing w:after="200" w:line="276" w:lineRule="auto"/>
      <w:outlineLvl w:val="3"/>
    </w:pPr>
  </w:style>
  <w:style w:type="paragraph" w:styleId="Heading5">
    <w:name w:val="heading 5"/>
    <w:basedOn w:val="Normal"/>
    <w:next w:val="Normal"/>
    <w:link w:val="Heading5Char"/>
    <w:uiPriority w:val="9"/>
    <w:qFormat/>
    <w:pPr>
      <w:numPr>
        <w:ilvl w:val="4"/>
        <w:numId w:val="1"/>
      </w:numPr>
      <w:spacing w:before="240" w:after="60" w:line="276" w:lineRule="auto"/>
      <w:outlineLvl w:val="4"/>
    </w:pPr>
  </w:style>
  <w:style w:type="paragraph" w:styleId="Heading6">
    <w:name w:val="heading 6"/>
    <w:basedOn w:val="Normal"/>
    <w:next w:val="Normal"/>
    <w:link w:val="Heading6Char"/>
    <w:uiPriority w:val="9"/>
    <w:qFormat/>
    <w:pPr>
      <w:numPr>
        <w:ilvl w:val="5"/>
        <w:numId w:val="1"/>
      </w:numPr>
      <w:spacing w:before="240" w:after="60" w:line="276" w:lineRule="auto"/>
      <w:outlineLvl w:val="5"/>
    </w:pPr>
    <w:rPr>
      <w:i/>
    </w:rPr>
  </w:style>
  <w:style w:type="paragraph" w:styleId="Heading7">
    <w:name w:val="heading 7"/>
    <w:basedOn w:val="Normal"/>
    <w:next w:val="Normal"/>
    <w:link w:val="Heading7Char"/>
    <w:qFormat/>
    <w:pPr>
      <w:numPr>
        <w:ilvl w:val="6"/>
        <w:numId w:val="1"/>
      </w:numPr>
      <w:spacing w:before="240" w:after="60" w:line="276" w:lineRule="auto"/>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line="276" w:lineRule="auto"/>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line="276" w:lineRule="auto"/>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cs="Times New Roman"/>
      <w:b/>
      <w:smallCaps/>
      <w:lang w:val="en-GB"/>
    </w:rPr>
  </w:style>
  <w:style w:type="character" w:customStyle="1" w:styleId="Heading2Char">
    <w:name w:val="Heading 2 Char"/>
    <w:basedOn w:val="DefaultParagraphFont"/>
    <w:link w:val="Heading2"/>
    <w:uiPriority w:val="9"/>
    <w:rPr>
      <w:b/>
      <w:lang w:val="en-GB"/>
    </w:rPr>
  </w:style>
  <w:style w:type="character" w:customStyle="1" w:styleId="Heading3Char">
    <w:name w:val="Heading 3 Char"/>
    <w:basedOn w:val="DefaultParagraphFont"/>
    <w:link w:val="Heading3"/>
    <w:uiPriority w:val="9"/>
    <w:rPr>
      <w:b/>
      <w:i/>
      <w:lang w:val="en-GB"/>
    </w:rPr>
  </w:style>
  <w:style w:type="character" w:customStyle="1" w:styleId="Heading4Char">
    <w:name w:val="Heading 4 Char"/>
    <w:basedOn w:val="DefaultParagraphFont"/>
    <w:link w:val="Heading4"/>
    <w:uiPriority w:val="9"/>
    <w:rPr>
      <w:lang w:val="en-GB"/>
    </w:rPr>
  </w:style>
  <w:style w:type="character" w:customStyle="1" w:styleId="Heading5Char">
    <w:name w:val="Heading 5 Char"/>
    <w:basedOn w:val="DefaultParagraphFont"/>
    <w:link w:val="Heading5"/>
    <w:uiPriority w:val="9"/>
    <w:rPr>
      <w:lang w:val="en-GB"/>
    </w:rPr>
  </w:style>
  <w:style w:type="character" w:customStyle="1" w:styleId="Heading6Char">
    <w:name w:val="Heading 6 Char"/>
    <w:basedOn w:val="DefaultParagraphFont"/>
    <w:link w:val="Heading6"/>
    <w:uiPriority w:val="9"/>
    <w:rPr>
      <w:i/>
      <w:lang w:val="en-GB"/>
    </w:rPr>
  </w:style>
  <w:style w:type="character" w:customStyle="1" w:styleId="Heading7Char">
    <w:name w:val="Heading 7 Char"/>
    <w:basedOn w:val="DefaultParagraphFont"/>
    <w:link w:val="Heading7"/>
    <w:rPr>
      <w:rFonts w:ascii="Arial" w:hAnsi="Arial"/>
      <w:sz w:val="20"/>
      <w:lang w:val="en-GB"/>
    </w:rPr>
  </w:style>
  <w:style w:type="character" w:customStyle="1" w:styleId="Heading8Char">
    <w:name w:val="Heading 8 Char"/>
    <w:basedOn w:val="DefaultParagraphFont"/>
    <w:link w:val="Heading8"/>
    <w:rPr>
      <w:rFonts w:ascii="Arial" w:hAnsi="Arial"/>
      <w:i/>
      <w:sz w:val="20"/>
      <w:lang w:val="en-GB"/>
    </w:rPr>
  </w:style>
  <w:style w:type="character" w:customStyle="1" w:styleId="Heading9Char">
    <w:name w:val="Heading 9 Char"/>
    <w:basedOn w:val="DefaultParagraphFont"/>
    <w:link w:val="Heading9"/>
    <w:rPr>
      <w:rFonts w:ascii="Arial" w:hAnsi="Arial"/>
      <w:i/>
      <w:sz w:val="18"/>
      <w:lang w:val="en-GB"/>
    </w:rPr>
  </w:style>
  <w:style w:type="paragraph" w:styleId="Caption">
    <w:name w:val="caption"/>
    <w:aliases w:val="table"/>
    <w:basedOn w:val="Normal"/>
    <w:next w:val="Normal"/>
    <w:link w:val="CaptionChar"/>
    <w:uiPriority w:val="35"/>
    <w:qFormat/>
    <w:pPr>
      <w:spacing w:before="120" w:after="120" w:line="276" w:lineRule="auto"/>
    </w:pPr>
    <w:rPr>
      <w:b/>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foot note tex,Car,9"/>
    <w:basedOn w:val="Normal"/>
    <w:link w:val="FootnoteTextChar"/>
    <w:uiPriority w:val="99"/>
    <w:qFormat/>
    <w:pPr>
      <w:spacing w:after="200" w:line="276" w:lineRule="auto"/>
      <w:ind w:left="357" w:hanging="357"/>
    </w:pPr>
    <w:rPr>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lang w:val="en-GB"/>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olorful List Accent 1,Dot pt,F5 List Paragraph,List Paragraph1,No Spacing1,List Paragraph Char Char Char,Indicator Text,Numbered Para 1,Bullet 1,Bullet Points,Párrafo de lista,MAIN CONTENT,Recommendation,List Paragraph2,Normal numbere"/>
    <w:basedOn w:val="Normal"/>
    <w:link w:val="ListParagraphChar"/>
    <w:uiPriority w:val="34"/>
    <w:qFormat/>
    <w:pPr>
      <w:spacing w:after="200" w:line="276" w:lineRule="auto"/>
      <w:ind w:left="720"/>
      <w:contextualSpacing/>
    </w:pPr>
  </w:style>
  <w:style w:type="character" w:styleId="FootnoteReference">
    <w:name w:val="footnote reference"/>
    <w:aliases w:val="SUPERS,Footnote symbol,Times 10 Point,Exposant 3 Point,Footnote,BVI fnr,number,-E Fußnotenzeichen,Footnote reference number,note TESI,EN Footnote Reference,Footnote Reference/,Footnote Reference Number,styl, Exposant 3 Point, BVI fnr"/>
    <w:basedOn w:val="DefaultParagraphFont"/>
    <w:link w:val="Footnotenumber"/>
    <w:uiPriority w:val="99"/>
    <w:unhideWhenUsed/>
    <w:qFormat/>
    <w:rPr>
      <w:vertAlign w:val="superscript"/>
    </w:rPr>
  </w:style>
  <w:style w:type="paragraph" w:customStyle="1" w:styleId="Footnotenumber">
    <w:name w:val="Footnote number"/>
    <w:aliases w:val="fr"/>
    <w:basedOn w:val="Normal"/>
    <w:link w:val="FootnoteReference"/>
    <w:uiPriority w:val="99"/>
    <w:pPr>
      <w:spacing w:line="240" w:lineRule="exact"/>
    </w:pPr>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Paragraph">
    <w:name w:val="Paragraph"/>
    <w:basedOn w:val="Normal"/>
    <w:link w:val="ParagraphChar"/>
    <w:pPr>
      <w:tabs>
        <w:tab w:val="left" w:pos="851"/>
      </w:tabs>
      <w:spacing w:before="120" w:after="120" w:line="240" w:lineRule="auto"/>
      <w:ind w:left="851"/>
      <w:jc w:val="both"/>
    </w:pPr>
    <w:rPr>
      <w:rFonts w:ascii="Verdana" w:eastAsia="Times New Roman" w:hAnsi="Verdana" w:cs="Times New Roman"/>
      <w:color w:val="333333"/>
      <w:sz w:val="20"/>
      <w:szCs w:val="24"/>
      <w:lang w:val="it-IT" w:eastAsia="it-IT"/>
    </w:rPr>
  </w:style>
  <w:style w:type="character" w:customStyle="1" w:styleId="ParagraphChar">
    <w:name w:val="Paragraph Char"/>
    <w:basedOn w:val="DefaultParagraphFont"/>
    <w:link w:val="Paragraph"/>
    <w:rPr>
      <w:rFonts w:ascii="Verdana" w:eastAsia="Times New Roman" w:hAnsi="Verdana" w:cs="Times New Roman"/>
      <w:color w:val="333333"/>
      <w:sz w:val="20"/>
      <w:szCs w:val="24"/>
      <w:lang w:val="it-IT" w:eastAsia="it-IT"/>
    </w:rPr>
  </w:style>
  <w:style w:type="character" w:customStyle="1" w:styleId="CaptionChar">
    <w:name w:val="Caption Char"/>
    <w:aliases w:val="table Char"/>
    <w:link w:val="Caption"/>
    <w:locked/>
    <w:rPr>
      <w:b/>
      <w:lang w:val="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Text1">
    <w:name w:val="Text 1"/>
    <w:basedOn w:val="Normal"/>
    <w:pPr>
      <w:spacing w:after="200" w:line="276" w:lineRule="auto"/>
      <w:ind w:left="482"/>
    </w:pPr>
  </w:style>
  <w:style w:type="paragraph" w:styleId="NoSpacing">
    <w:name w:val="No Spacing"/>
    <w:uiPriority w:val="1"/>
    <w:qFormat/>
    <w:pPr>
      <w:spacing w:after="0" w:line="240" w:lineRule="auto"/>
    </w:pPr>
    <w:rPr>
      <w:lang w:val="en-GB"/>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TOCHeading">
    <w:name w:val="TOC Heading"/>
    <w:basedOn w:val="Heading1"/>
    <w:next w:val="Normal"/>
    <w:uiPriority w:val="39"/>
    <w:unhideWhenUsed/>
    <w:qFormat/>
    <w:pPr>
      <w:keepLines/>
      <w:numPr>
        <w:numId w:val="0"/>
      </w:numPr>
      <w:spacing w:after="0" w:line="259" w:lineRule="auto"/>
      <w:outlineLvl w:val="9"/>
    </w:pPr>
    <w:rPr>
      <w:rFonts w:asciiTheme="majorHAnsi" w:eastAsiaTheme="majorEastAsia" w:hAnsiTheme="majorHAnsi" w:cstheme="majorBidi"/>
      <w:b w:val="0"/>
      <w:smallCaps w:val="0"/>
      <w:color w:val="2E74B5" w:themeColor="accent1" w:themeShade="BF"/>
      <w:sz w:val="32"/>
      <w:szCs w:val="32"/>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customStyle="1" w:styleId="Default">
    <w:name w:val="Default"/>
    <w:pPr>
      <w:autoSpaceDE w:val="0"/>
      <w:autoSpaceDN w:val="0"/>
      <w:adjustRightInd w:val="0"/>
      <w:spacing w:after="0" w:line="240" w:lineRule="auto"/>
    </w:pPr>
    <w:rPr>
      <w:rFonts w:ascii="Times New Roman" w:eastAsia="Arial" w:hAnsi="Times New Roman" w:cs="Times New Roman"/>
      <w:color w:val="000000"/>
      <w:sz w:val="24"/>
      <w:szCs w:val="24"/>
      <w:lang w:val="en-GB" w:eastAsia="en-GB"/>
    </w:rPr>
  </w:style>
  <w:style w:type="paragraph" w:customStyle="1" w:styleId="Text2">
    <w:name w:val="Text 2"/>
    <w:basedOn w:val="Normal"/>
    <w:pPr>
      <w:tabs>
        <w:tab w:val="left" w:pos="2160"/>
      </w:tabs>
      <w:spacing w:after="200" w:line="276" w:lineRule="auto"/>
      <w:ind w:left="1077"/>
    </w:p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character" w:styleId="Strong">
    <w:name w:val="Strong"/>
    <w:basedOn w:val="DefaultParagraphFont"/>
    <w:uiPriority w:val="22"/>
    <w:qFormat/>
    <w:rPr>
      <w:b/>
      <w:bCs/>
    </w:rPr>
  </w:style>
  <w:style w:type="character" w:customStyle="1" w:styleId="tlid-translation">
    <w:name w:val="tlid-translation"/>
    <w:basedOn w:val="DefaultParagraphFont"/>
  </w:style>
  <w:style w:type="paragraph" w:styleId="TOC4">
    <w:name w:val="toc 4"/>
    <w:basedOn w:val="Normal"/>
    <w:next w:val="Normal"/>
    <w:autoRedefine/>
    <w:uiPriority w:val="39"/>
    <w:unhideWhenUsed/>
    <w:pPr>
      <w:spacing w:after="100"/>
      <w:ind w:left="660"/>
    </w:pPr>
    <w:rPr>
      <w:rFonts w:eastAsiaTheme="minorEastAsia"/>
      <w:lang w:val="en-IE" w:eastAsia="en-IE"/>
    </w:rPr>
  </w:style>
  <w:style w:type="paragraph" w:styleId="TOC5">
    <w:name w:val="toc 5"/>
    <w:basedOn w:val="Normal"/>
    <w:next w:val="Normal"/>
    <w:autoRedefine/>
    <w:uiPriority w:val="39"/>
    <w:unhideWhenUsed/>
    <w:pPr>
      <w:spacing w:after="100"/>
      <w:ind w:left="880"/>
    </w:pPr>
    <w:rPr>
      <w:rFonts w:eastAsiaTheme="minorEastAsia"/>
      <w:lang w:val="en-IE" w:eastAsia="en-IE"/>
    </w:rPr>
  </w:style>
  <w:style w:type="paragraph" w:styleId="TOC6">
    <w:name w:val="toc 6"/>
    <w:basedOn w:val="Normal"/>
    <w:next w:val="Normal"/>
    <w:autoRedefine/>
    <w:uiPriority w:val="39"/>
    <w:unhideWhenUsed/>
    <w:pPr>
      <w:spacing w:after="100"/>
      <w:ind w:left="1100"/>
    </w:pPr>
    <w:rPr>
      <w:rFonts w:eastAsiaTheme="minorEastAsia"/>
      <w:lang w:val="en-IE" w:eastAsia="en-IE"/>
    </w:rPr>
  </w:style>
  <w:style w:type="paragraph" w:styleId="TOC7">
    <w:name w:val="toc 7"/>
    <w:basedOn w:val="Normal"/>
    <w:next w:val="Normal"/>
    <w:autoRedefine/>
    <w:uiPriority w:val="39"/>
    <w:unhideWhenUsed/>
    <w:pPr>
      <w:spacing w:after="100"/>
      <w:ind w:left="1320"/>
    </w:pPr>
    <w:rPr>
      <w:rFonts w:eastAsiaTheme="minorEastAsia"/>
      <w:lang w:val="en-IE" w:eastAsia="en-IE"/>
    </w:rPr>
  </w:style>
  <w:style w:type="paragraph" w:styleId="TOC8">
    <w:name w:val="toc 8"/>
    <w:basedOn w:val="Normal"/>
    <w:next w:val="Normal"/>
    <w:autoRedefine/>
    <w:uiPriority w:val="39"/>
    <w:unhideWhenUsed/>
    <w:pPr>
      <w:spacing w:after="100"/>
      <w:ind w:left="1540"/>
    </w:pPr>
    <w:rPr>
      <w:rFonts w:eastAsiaTheme="minorEastAsia"/>
      <w:lang w:val="en-IE" w:eastAsia="en-IE"/>
    </w:rPr>
  </w:style>
  <w:style w:type="paragraph" w:styleId="TOC9">
    <w:name w:val="toc 9"/>
    <w:basedOn w:val="Normal"/>
    <w:next w:val="Normal"/>
    <w:autoRedefine/>
    <w:uiPriority w:val="39"/>
    <w:unhideWhenUsed/>
    <w:pPr>
      <w:spacing w:after="100"/>
      <w:ind w:left="1760"/>
    </w:pPr>
    <w:rPr>
      <w:rFonts w:eastAsiaTheme="minorEastAsia"/>
      <w:lang w:val="en-IE" w:eastAsia="en-IE"/>
    </w:rPr>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PlaceholderText">
    <w:name w:val="Placeholder Text"/>
    <w:basedOn w:val="DefaultParagraphFont"/>
    <w:uiPriority w:val="99"/>
    <w:semiHidden/>
    <w:rPr>
      <w:color w:val="808080"/>
    </w:rPr>
  </w:style>
  <w:style w:type="paragraph" w:styleId="Bibliography">
    <w:name w:val="Bibliography"/>
    <w:basedOn w:val="Normal"/>
    <w:next w:val="Normal"/>
    <w:uiPriority w:val="37"/>
    <w:unhideWhenUsed/>
    <w:pPr>
      <w:spacing w:after="200" w:line="276" w:lineRule="auto"/>
    </w:pPr>
  </w:style>
  <w:style w:type="paragraph" w:customStyle="1" w:styleId="44">
    <w:name w:val="44"/>
    <w:basedOn w:val="Normal"/>
    <w:pPr>
      <w:keepNext/>
      <w:keepLines/>
      <w:spacing w:before="40" w:after="0"/>
      <w:jc w:val="both"/>
      <w:outlineLvl w:val="1"/>
    </w:pPr>
    <w:rPr>
      <w:rFonts w:ascii="Calibri Light" w:eastAsia="SimSun" w:hAnsi="Calibri Light" w:cs="Times New Roman"/>
      <w:color w:val="2E74B5"/>
      <w:sz w:val="26"/>
      <w:szCs w:val="26"/>
      <w:lang w:val="en-I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val="en-GB" w:eastAsia="en-GB"/>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en-GB"/>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en-GB"/>
    </w:rPr>
  </w:style>
  <w:style w:type="character" w:customStyle="1" w:styleId="ind">
    <w:name w:val="ind"/>
    <w:basedOn w:val="DefaultParagraphFont"/>
  </w:style>
  <w:style w:type="paragraph" w:customStyle="1" w:styleId="western">
    <w:name w:val="western"/>
    <w:basedOn w:val="Normal"/>
    <w:pPr>
      <w:spacing w:before="100" w:beforeAutospacing="1" w:after="142" w:line="276" w:lineRule="auto"/>
      <w:jc w:val="both"/>
    </w:pPr>
    <w:rPr>
      <w:rFonts w:ascii="Verdana" w:eastAsia="Times New Roman" w:hAnsi="Verdana" w:cs="Times New Roman"/>
      <w:color w:val="333333"/>
      <w:sz w:val="24"/>
      <w:szCs w:val="24"/>
      <w:lang w:val="it-IT" w:eastAsia="it-IT"/>
    </w:rPr>
  </w:style>
  <w:style w:type="paragraph" w:customStyle="1" w:styleId="sdfootnote-western">
    <w:name w:val="sdfootnote-western"/>
    <w:basedOn w:val="Normal"/>
    <w:pPr>
      <w:spacing w:before="100" w:beforeAutospacing="1" w:after="0" w:line="240" w:lineRule="auto"/>
      <w:ind w:left="284" w:hanging="284"/>
      <w:jc w:val="both"/>
    </w:pPr>
    <w:rPr>
      <w:rFonts w:ascii="Verdana" w:eastAsia="Times New Roman" w:hAnsi="Verdana" w:cs="Times New Roman"/>
      <w:color w:val="333333"/>
      <w:sz w:val="18"/>
      <w:szCs w:val="18"/>
      <w:lang w:val="it-IT" w:eastAsia="it-I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Standardmalta">
    <w:name w:val="Standard malta"/>
    <w:basedOn w:val="Normal"/>
    <w:qFormat/>
    <w:pPr>
      <w:tabs>
        <w:tab w:val="left" w:pos="142"/>
      </w:tabs>
      <w:spacing w:before="120" w:after="120" w:line="240" w:lineRule="auto"/>
      <w:jc w:val="both"/>
    </w:pPr>
    <w:rPr>
      <w:rFonts w:ascii="Calibri" w:eastAsia="Times New Roman" w:hAnsi="Calibri" w:cs="Arial"/>
      <w:sz w:val="24"/>
      <w:szCs w:val="24"/>
      <w:lang w:eastAsia="it-IT"/>
    </w:rPr>
  </w:style>
  <w:style w:type="character" w:customStyle="1" w:styleId="ListParagraphChar">
    <w:name w:val="List Paragraph Char"/>
    <w:aliases w:val="Colorful List Accent 1 Char,Dot pt Char,F5 List Paragraph Char,List Paragraph1 Char,No Spacing1 Char,List Paragraph Char Char Char Char,Indicator Text Char,Numbered Para 1 Char,Bullet 1 Char,Bullet Points Char,Párrafo de lista Char"/>
    <w:basedOn w:val="DefaultParagraphFont"/>
    <w:link w:val="ListParagraph"/>
    <w:uiPriority w:val="34"/>
    <w:rPr>
      <w:lang w:val="en-GB"/>
    </w:rPr>
  </w:style>
  <w:style w:type="paragraph" w:customStyle="1" w:styleId="Lijstalinea1">
    <w:name w:val="Lijstalinea1"/>
    <w:basedOn w:val="Normal"/>
    <w:semiHidden/>
    <w:pPr>
      <w:numPr>
        <w:numId w:val="13"/>
      </w:numPr>
      <w:spacing w:after="0" w:line="240" w:lineRule="atLeast"/>
    </w:pPr>
    <w:rPr>
      <w:rFonts w:ascii="Verdana" w:eastAsia="DejaVu Sans" w:hAnsi="Verdana" w:cs="Times New Roman"/>
      <w:sz w:val="18"/>
      <w:szCs w:val="24"/>
      <w:lang w:val="nl-NL" w:eastAsia="nl-NL"/>
    </w:rPr>
  </w:style>
  <w:style w:type="character" w:customStyle="1" w:styleId="xmsofootnotereference">
    <w:name w:val="x_msofootnotereference"/>
    <w:basedOn w:val="DefaultParagraphFont"/>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msofootnotetext">
    <w:name w:val="x_msofootnotetex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gkelc">
    <w:name w:val="hgkelc"/>
    <w:basedOn w:val="DefaultParagraphFont"/>
  </w:style>
  <w:style w:type="character" w:customStyle="1" w:styleId="Date1">
    <w:name w:val="Date1"/>
    <w:basedOn w:val="DefaultParagraphFont"/>
  </w:style>
  <w:style w:type="paragraph" w:styleId="BodyText">
    <w:name w:val="Body Text"/>
    <w:basedOn w:val="Normal"/>
    <w:link w:val="BodyTextChar"/>
    <w:uiPriority w:val="1"/>
    <w:qFormat/>
    <w:pPr>
      <w:widowControl w:val="0"/>
      <w:spacing w:after="0" w:line="240" w:lineRule="auto"/>
    </w:pPr>
    <w:rPr>
      <w:rFonts w:ascii="Arial" w:eastAsia="Arial" w:hAnsi="Arial"/>
      <w:sz w:val="19"/>
      <w:szCs w:val="19"/>
      <w:lang w:eastAsia="en-GB" w:bidi="en-GB"/>
    </w:rPr>
  </w:style>
  <w:style w:type="character" w:customStyle="1" w:styleId="BodyTextChar">
    <w:name w:val="Body Text Char"/>
    <w:basedOn w:val="DefaultParagraphFont"/>
    <w:link w:val="BodyText"/>
    <w:uiPriority w:val="1"/>
    <w:rPr>
      <w:rFonts w:ascii="Arial" w:eastAsia="Arial" w:hAnsi="Arial"/>
      <w:sz w:val="19"/>
      <w:szCs w:val="19"/>
      <w:lang w:val="en-GB" w:eastAsia="en-GB" w:bidi="en-GB"/>
    </w:rPr>
  </w:style>
  <w:style w:type="paragraph" w:customStyle="1" w:styleId="ALeip1kappale">
    <w:name w:val="A_Leipä 1. kappale"/>
    <w:basedOn w:val="Normal"/>
    <w:qFormat/>
    <w:pPr>
      <w:spacing w:before="240" w:after="320" w:line="290" w:lineRule="atLeast"/>
    </w:pPr>
    <w:rPr>
      <w:rFonts w:ascii="Arial" w:eastAsia="Times New Roman" w:hAnsi="Arial" w:cs="Myriad Pro"/>
      <w:spacing w:val="1"/>
      <w:sz w:val="20"/>
      <w:szCs w:val="20"/>
      <w:lang w:eastAsia="fi-FI"/>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lang w:val="en-GB"/>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lang w:val="en-GB"/>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26763">
      <w:bodyDiv w:val="1"/>
      <w:marLeft w:val="0"/>
      <w:marRight w:val="0"/>
      <w:marTop w:val="0"/>
      <w:marBottom w:val="0"/>
      <w:divBdr>
        <w:top w:val="none" w:sz="0" w:space="0" w:color="auto"/>
        <w:left w:val="none" w:sz="0" w:space="0" w:color="auto"/>
        <w:bottom w:val="none" w:sz="0" w:space="0" w:color="auto"/>
        <w:right w:val="none" w:sz="0" w:space="0" w:color="auto"/>
      </w:divBdr>
    </w:div>
    <w:div w:id="136773783">
      <w:bodyDiv w:val="1"/>
      <w:marLeft w:val="0"/>
      <w:marRight w:val="0"/>
      <w:marTop w:val="0"/>
      <w:marBottom w:val="0"/>
      <w:divBdr>
        <w:top w:val="none" w:sz="0" w:space="0" w:color="auto"/>
        <w:left w:val="none" w:sz="0" w:space="0" w:color="auto"/>
        <w:bottom w:val="none" w:sz="0" w:space="0" w:color="auto"/>
        <w:right w:val="none" w:sz="0" w:space="0" w:color="auto"/>
      </w:divBdr>
    </w:div>
    <w:div w:id="181014905">
      <w:bodyDiv w:val="1"/>
      <w:marLeft w:val="0"/>
      <w:marRight w:val="0"/>
      <w:marTop w:val="0"/>
      <w:marBottom w:val="0"/>
      <w:divBdr>
        <w:top w:val="none" w:sz="0" w:space="0" w:color="auto"/>
        <w:left w:val="none" w:sz="0" w:space="0" w:color="auto"/>
        <w:bottom w:val="none" w:sz="0" w:space="0" w:color="auto"/>
        <w:right w:val="none" w:sz="0" w:space="0" w:color="auto"/>
      </w:divBdr>
    </w:div>
    <w:div w:id="258146316">
      <w:bodyDiv w:val="1"/>
      <w:marLeft w:val="0"/>
      <w:marRight w:val="0"/>
      <w:marTop w:val="0"/>
      <w:marBottom w:val="0"/>
      <w:divBdr>
        <w:top w:val="none" w:sz="0" w:space="0" w:color="auto"/>
        <w:left w:val="none" w:sz="0" w:space="0" w:color="auto"/>
        <w:bottom w:val="none" w:sz="0" w:space="0" w:color="auto"/>
        <w:right w:val="none" w:sz="0" w:space="0" w:color="auto"/>
      </w:divBdr>
      <w:divsChild>
        <w:div w:id="123694014">
          <w:marLeft w:val="360"/>
          <w:marRight w:val="0"/>
          <w:marTop w:val="200"/>
          <w:marBottom w:val="0"/>
          <w:divBdr>
            <w:top w:val="none" w:sz="0" w:space="0" w:color="auto"/>
            <w:left w:val="none" w:sz="0" w:space="0" w:color="auto"/>
            <w:bottom w:val="none" w:sz="0" w:space="0" w:color="auto"/>
            <w:right w:val="none" w:sz="0" w:space="0" w:color="auto"/>
          </w:divBdr>
        </w:div>
        <w:div w:id="1408117614">
          <w:marLeft w:val="1800"/>
          <w:marRight w:val="0"/>
          <w:marTop w:val="100"/>
          <w:marBottom w:val="0"/>
          <w:divBdr>
            <w:top w:val="none" w:sz="0" w:space="0" w:color="auto"/>
            <w:left w:val="none" w:sz="0" w:space="0" w:color="auto"/>
            <w:bottom w:val="none" w:sz="0" w:space="0" w:color="auto"/>
            <w:right w:val="none" w:sz="0" w:space="0" w:color="auto"/>
          </w:divBdr>
        </w:div>
        <w:div w:id="1025406872">
          <w:marLeft w:val="1800"/>
          <w:marRight w:val="0"/>
          <w:marTop w:val="100"/>
          <w:marBottom w:val="0"/>
          <w:divBdr>
            <w:top w:val="none" w:sz="0" w:space="0" w:color="auto"/>
            <w:left w:val="none" w:sz="0" w:space="0" w:color="auto"/>
            <w:bottom w:val="none" w:sz="0" w:space="0" w:color="auto"/>
            <w:right w:val="none" w:sz="0" w:space="0" w:color="auto"/>
          </w:divBdr>
        </w:div>
        <w:div w:id="1327778958">
          <w:marLeft w:val="1800"/>
          <w:marRight w:val="0"/>
          <w:marTop w:val="100"/>
          <w:marBottom w:val="0"/>
          <w:divBdr>
            <w:top w:val="none" w:sz="0" w:space="0" w:color="auto"/>
            <w:left w:val="none" w:sz="0" w:space="0" w:color="auto"/>
            <w:bottom w:val="none" w:sz="0" w:space="0" w:color="auto"/>
            <w:right w:val="none" w:sz="0" w:space="0" w:color="auto"/>
          </w:divBdr>
        </w:div>
      </w:divsChild>
    </w:div>
    <w:div w:id="286475847">
      <w:bodyDiv w:val="1"/>
      <w:marLeft w:val="0"/>
      <w:marRight w:val="0"/>
      <w:marTop w:val="0"/>
      <w:marBottom w:val="0"/>
      <w:divBdr>
        <w:top w:val="none" w:sz="0" w:space="0" w:color="auto"/>
        <w:left w:val="none" w:sz="0" w:space="0" w:color="auto"/>
        <w:bottom w:val="none" w:sz="0" w:space="0" w:color="auto"/>
        <w:right w:val="none" w:sz="0" w:space="0" w:color="auto"/>
      </w:divBdr>
    </w:div>
    <w:div w:id="309403034">
      <w:bodyDiv w:val="1"/>
      <w:marLeft w:val="0"/>
      <w:marRight w:val="0"/>
      <w:marTop w:val="0"/>
      <w:marBottom w:val="0"/>
      <w:divBdr>
        <w:top w:val="none" w:sz="0" w:space="0" w:color="auto"/>
        <w:left w:val="none" w:sz="0" w:space="0" w:color="auto"/>
        <w:bottom w:val="none" w:sz="0" w:space="0" w:color="auto"/>
        <w:right w:val="none" w:sz="0" w:space="0" w:color="auto"/>
      </w:divBdr>
    </w:div>
    <w:div w:id="481431408">
      <w:bodyDiv w:val="1"/>
      <w:marLeft w:val="0"/>
      <w:marRight w:val="0"/>
      <w:marTop w:val="0"/>
      <w:marBottom w:val="0"/>
      <w:divBdr>
        <w:top w:val="none" w:sz="0" w:space="0" w:color="auto"/>
        <w:left w:val="none" w:sz="0" w:space="0" w:color="auto"/>
        <w:bottom w:val="none" w:sz="0" w:space="0" w:color="auto"/>
        <w:right w:val="none" w:sz="0" w:space="0" w:color="auto"/>
      </w:divBdr>
    </w:div>
    <w:div w:id="529269379">
      <w:bodyDiv w:val="1"/>
      <w:marLeft w:val="0"/>
      <w:marRight w:val="0"/>
      <w:marTop w:val="0"/>
      <w:marBottom w:val="0"/>
      <w:divBdr>
        <w:top w:val="none" w:sz="0" w:space="0" w:color="auto"/>
        <w:left w:val="none" w:sz="0" w:space="0" w:color="auto"/>
        <w:bottom w:val="none" w:sz="0" w:space="0" w:color="auto"/>
        <w:right w:val="none" w:sz="0" w:space="0" w:color="auto"/>
      </w:divBdr>
    </w:div>
    <w:div w:id="573052860">
      <w:bodyDiv w:val="1"/>
      <w:marLeft w:val="0"/>
      <w:marRight w:val="0"/>
      <w:marTop w:val="0"/>
      <w:marBottom w:val="0"/>
      <w:divBdr>
        <w:top w:val="none" w:sz="0" w:space="0" w:color="auto"/>
        <w:left w:val="none" w:sz="0" w:space="0" w:color="auto"/>
        <w:bottom w:val="none" w:sz="0" w:space="0" w:color="auto"/>
        <w:right w:val="none" w:sz="0" w:space="0" w:color="auto"/>
      </w:divBdr>
    </w:div>
    <w:div w:id="599022978">
      <w:bodyDiv w:val="1"/>
      <w:marLeft w:val="0"/>
      <w:marRight w:val="0"/>
      <w:marTop w:val="0"/>
      <w:marBottom w:val="0"/>
      <w:divBdr>
        <w:top w:val="none" w:sz="0" w:space="0" w:color="auto"/>
        <w:left w:val="none" w:sz="0" w:space="0" w:color="auto"/>
        <w:bottom w:val="none" w:sz="0" w:space="0" w:color="auto"/>
        <w:right w:val="none" w:sz="0" w:space="0" w:color="auto"/>
      </w:divBdr>
    </w:div>
    <w:div w:id="723869871">
      <w:bodyDiv w:val="1"/>
      <w:marLeft w:val="0"/>
      <w:marRight w:val="0"/>
      <w:marTop w:val="0"/>
      <w:marBottom w:val="0"/>
      <w:divBdr>
        <w:top w:val="none" w:sz="0" w:space="0" w:color="auto"/>
        <w:left w:val="none" w:sz="0" w:space="0" w:color="auto"/>
        <w:bottom w:val="none" w:sz="0" w:space="0" w:color="auto"/>
        <w:right w:val="none" w:sz="0" w:space="0" w:color="auto"/>
      </w:divBdr>
    </w:div>
    <w:div w:id="746851226">
      <w:bodyDiv w:val="1"/>
      <w:marLeft w:val="0"/>
      <w:marRight w:val="0"/>
      <w:marTop w:val="0"/>
      <w:marBottom w:val="0"/>
      <w:divBdr>
        <w:top w:val="none" w:sz="0" w:space="0" w:color="auto"/>
        <w:left w:val="none" w:sz="0" w:space="0" w:color="auto"/>
        <w:bottom w:val="none" w:sz="0" w:space="0" w:color="auto"/>
        <w:right w:val="none" w:sz="0" w:space="0" w:color="auto"/>
      </w:divBdr>
    </w:div>
    <w:div w:id="794367551">
      <w:bodyDiv w:val="1"/>
      <w:marLeft w:val="0"/>
      <w:marRight w:val="0"/>
      <w:marTop w:val="0"/>
      <w:marBottom w:val="0"/>
      <w:divBdr>
        <w:top w:val="none" w:sz="0" w:space="0" w:color="auto"/>
        <w:left w:val="none" w:sz="0" w:space="0" w:color="auto"/>
        <w:bottom w:val="none" w:sz="0" w:space="0" w:color="auto"/>
        <w:right w:val="none" w:sz="0" w:space="0" w:color="auto"/>
      </w:divBdr>
    </w:div>
    <w:div w:id="931545234">
      <w:bodyDiv w:val="1"/>
      <w:marLeft w:val="0"/>
      <w:marRight w:val="0"/>
      <w:marTop w:val="0"/>
      <w:marBottom w:val="0"/>
      <w:divBdr>
        <w:top w:val="none" w:sz="0" w:space="0" w:color="auto"/>
        <w:left w:val="none" w:sz="0" w:space="0" w:color="auto"/>
        <w:bottom w:val="none" w:sz="0" w:space="0" w:color="auto"/>
        <w:right w:val="none" w:sz="0" w:space="0" w:color="auto"/>
      </w:divBdr>
    </w:div>
    <w:div w:id="945506061">
      <w:bodyDiv w:val="1"/>
      <w:marLeft w:val="0"/>
      <w:marRight w:val="0"/>
      <w:marTop w:val="0"/>
      <w:marBottom w:val="0"/>
      <w:divBdr>
        <w:top w:val="none" w:sz="0" w:space="0" w:color="auto"/>
        <w:left w:val="none" w:sz="0" w:space="0" w:color="auto"/>
        <w:bottom w:val="none" w:sz="0" w:space="0" w:color="auto"/>
        <w:right w:val="none" w:sz="0" w:space="0" w:color="auto"/>
      </w:divBdr>
    </w:div>
    <w:div w:id="969824053">
      <w:bodyDiv w:val="1"/>
      <w:marLeft w:val="0"/>
      <w:marRight w:val="0"/>
      <w:marTop w:val="0"/>
      <w:marBottom w:val="0"/>
      <w:divBdr>
        <w:top w:val="none" w:sz="0" w:space="0" w:color="auto"/>
        <w:left w:val="none" w:sz="0" w:space="0" w:color="auto"/>
        <w:bottom w:val="none" w:sz="0" w:space="0" w:color="auto"/>
        <w:right w:val="none" w:sz="0" w:space="0" w:color="auto"/>
      </w:divBdr>
    </w:div>
    <w:div w:id="1116749820">
      <w:bodyDiv w:val="1"/>
      <w:marLeft w:val="0"/>
      <w:marRight w:val="0"/>
      <w:marTop w:val="0"/>
      <w:marBottom w:val="0"/>
      <w:divBdr>
        <w:top w:val="none" w:sz="0" w:space="0" w:color="auto"/>
        <w:left w:val="none" w:sz="0" w:space="0" w:color="auto"/>
        <w:bottom w:val="none" w:sz="0" w:space="0" w:color="auto"/>
        <w:right w:val="none" w:sz="0" w:space="0" w:color="auto"/>
      </w:divBdr>
    </w:div>
    <w:div w:id="1411581709">
      <w:bodyDiv w:val="1"/>
      <w:marLeft w:val="0"/>
      <w:marRight w:val="0"/>
      <w:marTop w:val="0"/>
      <w:marBottom w:val="0"/>
      <w:divBdr>
        <w:top w:val="none" w:sz="0" w:space="0" w:color="auto"/>
        <w:left w:val="none" w:sz="0" w:space="0" w:color="auto"/>
        <w:bottom w:val="none" w:sz="0" w:space="0" w:color="auto"/>
        <w:right w:val="none" w:sz="0" w:space="0" w:color="auto"/>
      </w:divBdr>
    </w:div>
    <w:div w:id="1418752054">
      <w:bodyDiv w:val="1"/>
      <w:marLeft w:val="0"/>
      <w:marRight w:val="0"/>
      <w:marTop w:val="0"/>
      <w:marBottom w:val="0"/>
      <w:divBdr>
        <w:top w:val="none" w:sz="0" w:space="0" w:color="auto"/>
        <w:left w:val="none" w:sz="0" w:space="0" w:color="auto"/>
        <w:bottom w:val="none" w:sz="0" w:space="0" w:color="auto"/>
        <w:right w:val="none" w:sz="0" w:space="0" w:color="auto"/>
      </w:divBdr>
      <w:divsChild>
        <w:div w:id="534463679">
          <w:marLeft w:val="360"/>
          <w:marRight w:val="0"/>
          <w:marTop w:val="200"/>
          <w:marBottom w:val="0"/>
          <w:divBdr>
            <w:top w:val="none" w:sz="0" w:space="0" w:color="auto"/>
            <w:left w:val="none" w:sz="0" w:space="0" w:color="auto"/>
            <w:bottom w:val="none" w:sz="0" w:space="0" w:color="auto"/>
            <w:right w:val="none" w:sz="0" w:space="0" w:color="auto"/>
          </w:divBdr>
        </w:div>
        <w:div w:id="1012679618">
          <w:marLeft w:val="1800"/>
          <w:marRight w:val="0"/>
          <w:marTop w:val="100"/>
          <w:marBottom w:val="0"/>
          <w:divBdr>
            <w:top w:val="none" w:sz="0" w:space="0" w:color="auto"/>
            <w:left w:val="none" w:sz="0" w:space="0" w:color="auto"/>
            <w:bottom w:val="none" w:sz="0" w:space="0" w:color="auto"/>
            <w:right w:val="none" w:sz="0" w:space="0" w:color="auto"/>
          </w:divBdr>
        </w:div>
        <w:div w:id="766999666">
          <w:marLeft w:val="1800"/>
          <w:marRight w:val="0"/>
          <w:marTop w:val="100"/>
          <w:marBottom w:val="0"/>
          <w:divBdr>
            <w:top w:val="none" w:sz="0" w:space="0" w:color="auto"/>
            <w:left w:val="none" w:sz="0" w:space="0" w:color="auto"/>
            <w:bottom w:val="none" w:sz="0" w:space="0" w:color="auto"/>
            <w:right w:val="none" w:sz="0" w:space="0" w:color="auto"/>
          </w:divBdr>
        </w:div>
        <w:div w:id="1138957036">
          <w:marLeft w:val="1800"/>
          <w:marRight w:val="0"/>
          <w:marTop w:val="100"/>
          <w:marBottom w:val="0"/>
          <w:divBdr>
            <w:top w:val="none" w:sz="0" w:space="0" w:color="auto"/>
            <w:left w:val="none" w:sz="0" w:space="0" w:color="auto"/>
            <w:bottom w:val="none" w:sz="0" w:space="0" w:color="auto"/>
            <w:right w:val="none" w:sz="0" w:space="0" w:color="auto"/>
          </w:divBdr>
        </w:div>
      </w:divsChild>
    </w:div>
    <w:div w:id="1449621907">
      <w:bodyDiv w:val="1"/>
      <w:marLeft w:val="0"/>
      <w:marRight w:val="0"/>
      <w:marTop w:val="0"/>
      <w:marBottom w:val="0"/>
      <w:divBdr>
        <w:top w:val="none" w:sz="0" w:space="0" w:color="auto"/>
        <w:left w:val="none" w:sz="0" w:space="0" w:color="auto"/>
        <w:bottom w:val="none" w:sz="0" w:space="0" w:color="auto"/>
        <w:right w:val="none" w:sz="0" w:space="0" w:color="auto"/>
      </w:divBdr>
      <w:divsChild>
        <w:div w:id="975643496">
          <w:marLeft w:val="547"/>
          <w:marRight w:val="0"/>
          <w:marTop w:val="0"/>
          <w:marBottom w:val="0"/>
          <w:divBdr>
            <w:top w:val="none" w:sz="0" w:space="0" w:color="auto"/>
            <w:left w:val="none" w:sz="0" w:space="0" w:color="auto"/>
            <w:bottom w:val="none" w:sz="0" w:space="0" w:color="auto"/>
            <w:right w:val="none" w:sz="0" w:space="0" w:color="auto"/>
          </w:divBdr>
        </w:div>
      </w:divsChild>
    </w:div>
    <w:div w:id="1504590137">
      <w:bodyDiv w:val="1"/>
      <w:marLeft w:val="0"/>
      <w:marRight w:val="0"/>
      <w:marTop w:val="0"/>
      <w:marBottom w:val="0"/>
      <w:divBdr>
        <w:top w:val="none" w:sz="0" w:space="0" w:color="auto"/>
        <w:left w:val="none" w:sz="0" w:space="0" w:color="auto"/>
        <w:bottom w:val="none" w:sz="0" w:space="0" w:color="auto"/>
        <w:right w:val="none" w:sz="0" w:space="0" w:color="auto"/>
      </w:divBdr>
    </w:div>
    <w:div w:id="1536116797">
      <w:bodyDiv w:val="1"/>
      <w:marLeft w:val="0"/>
      <w:marRight w:val="0"/>
      <w:marTop w:val="0"/>
      <w:marBottom w:val="0"/>
      <w:divBdr>
        <w:top w:val="none" w:sz="0" w:space="0" w:color="auto"/>
        <w:left w:val="none" w:sz="0" w:space="0" w:color="auto"/>
        <w:bottom w:val="none" w:sz="0" w:space="0" w:color="auto"/>
        <w:right w:val="none" w:sz="0" w:space="0" w:color="auto"/>
      </w:divBdr>
    </w:div>
    <w:div w:id="1584874823">
      <w:bodyDiv w:val="1"/>
      <w:marLeft w:val="0"/>
      <w:marRight w:val="0"/>
      <w:marTop w:val="0"/>
      <w:marBottom w:val="0"/>
      <w:divBdr>
        <w:top w:val="none" w:sz="0" w:space="0" w:color="auto"/>
        <w:left w:val="none" w:sz="0" w:space="0" w:color="auto"/>
        <w:bottom w:val="none" w:sz="0" w:space="0" w:color="auto"/>
        <w:right w:val="none" w:sz="0" w:space="0" w:color="auto"/>
      </w:divBdr>
    </w:div>
    <w:div w:id="1647709255">
      <w:bodyDiv w:val="1"/>
      <w:marLeft w:val="0"/>
      <w:marRight w:val="0"/>
      <w:marTop w:val="0"/>
      <w:marBottom w:val="0"/>
      <w:divBdr>
        <w:top w:val="none" w:sz="0" w:space="0" w:color="auto"/>
        <w:left w:val="none" w:sz="0" w:space="0" w:color="auto"/>
        <w:bottom w:val="none" w:sz="0" w:space="0" w:color="auto"/>
        <w:right w:val="none" w:sz="0" w:space="0" w:color="auto"/>
      </w:divBdr>
    </w:div>
    <w:div w:id="1661040989">
      <w:bodyDiv w:val="1"/>
      <w:marLeft w:val="0"/>
      <w:marRight w:val="0"/>
      <w:marTop w:val="0"/>
      <w:marBottom w:val="0"/>
      <w:divBdr>
        <w:top w:val="none" w:sz="0" w:space="0" w:color="auto"/>
        <w:left w:val="none" w:sz="0" w:space="0" w:color="auto"/>
        <w:bottom w:val="none" w:sz="0" w:space="0" w:color="auto"/>
        <w:right w:val="none" w:sz="0" w:space="0" w:color="auto"/>
      </w:divBdr>
      <w:divsChild>
        <w:div w:id="1878932900">
          <w:marLeft w:val="0"/>
          <w:marRight w:val="0"/>
          <w:marTop w:val="0"/>
          <w:marBottom w:val="0"/>
          <w:divBdr>
            <w:top w:val="none" w:sz="0" w:space="0" w:color="auto"/>
            <w:left w:val="none" w:sz="0" w:space="0" w:color="auto"/>
            <w:bottom w:val="none" w:sz="0" w:space="0" w:color="auto"/>
            <w:right w:val="none" w:sz="0" w:space="0" w:color="auto"/>
          </w:divBdr>
          <w:divsChild>
            <w:div w:id="65762165">
              <w:marLeft w:val="0"/>
              <w:marRight w:val="0"/>
              <w:marTop w:val="0"/>
              <w:marBottom w:val="0"/>
              <w:divBdr>
                <w:top w:val="none" w:sz="0" w:space="0" w:color="auto"/>
                <w:left w:val="none" w:sz="0" w:space="0" w:color="auto"/>
                <w:bottom w:val="none" w:sz="0" w:space="0" w:color="auto"/>
                <w:right w:val="none" w:sz="0" w:space="0" w:color="auto"/>
              </w:divBdr>
            </w:div>
            <w:div w:id="1724595721">
              <w:marLeft w:val="0"/>
              <w:marRight w:val="0"/>
              <w:marTop w:val="0"/>
              <w:marBottom w:val="0"/>
              <w:divBdr>
                <w:top w:val="none" w:sz="0" w:space="0" w:color="auto"/>
                <w:left w:val="none" w:sz="0" w:space="0" w:color="auto"/>
                <w:bottom w:val="none" w:sz="0" w:space="0" w:color="auto"/>
                <w:right w:val="none" w:sz="0" w:space="0" w:color="auto"/>
              </w:divBdr>
            </w:div>
            <w:div w:id="156503495">
              <w:marLeft w:val="0"/>
              <w:marRight w:val="0"/>
              <w:marTop w:val="0"/>
              <w:marBottom w:val="0"/>
              <w:divBdr>
                <w:top w:val="none" w:sz="0" w:space="0" w:color="auto"/>
                <w:left w:val="none" w:sz="0" w:space="0" w:color="auto"/>
                <w:bottom w:val="none" w:sz="0" w:space="0" w:color="auto"/>
                <w:right w:val="none" w:sz="0" w:space="0" w:color="auto"/>
              </w:divBdr>
            </w:div>
            <w:div w:id="5915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94490">
      <w:bodyDiv w:val="1"/>
      <w:marLeft w:val="0"/>
      <w:marRight w:val="0"/>
      <w:marTop w:val="0"/>
      <w:marBottom w:val="0"/>
      <w:divBdr>
        <w:top w:val="none" w:sz="0" w:space="0" w:color="auto"/>
        <w:left w:val="none" w:sz="0" w:space="0" w:color="auto"/>
        <w:bottom w:val="none" w:sz="0" w:space="0" w:color="auto"/>
        <w:right w:val="none" w:sz="0" w:space="0" w:color="auto"/>
      </w:divBdr>
    </w:div>
    <w:div w:id="1756003494">
      <w:bodyDiv w:val="1"/>
      <w:marLeft w:val="0"/>
      <w:marRight w:val="0"/>
      <w:marTop w:val="0"/>
      <w:marBottom w:val="0"/>
      <w:divBdr>
        <w:top w:val="none" w:sz="0" w:space="0" w:color="auto"/>
        <w:left w:val="none" w:sz="0" w:space="0" w:color="auto"/>
        <w:bottom w:val="none" w:sz="0" w:space="0" w:color="auto"/>
        <w:right w:val="none" w:sz="0" w:space="0" w:color="auto"/>
      </w:divBdr>
    </w:div>
    <w:div w:id="1777098246">
      <w:bodyDiv w:val="1"/>
      <w:marLeft w:val="0"/>
      <w:marRight w:val="0"/>
      <w:marTop w:val="0"/>
      <w:marBottom w:val="0"/>
      <w:divBdr>
        <w:top w:val="none" w:sz="0" w:space="0" w:color="auto"/>
        <w:left w:val="none" w:sz="0" w:space="0" w:color="auto"/>
        <w:bottom w:val="none" w:sz="0" w:space="0" w:color="auto"/>
        <w:right w:val="none" w:sz="0" w:space="0" w:color="auto"/>
      </w:divBdr>
    </w:div>
    <w:div w:id="1947149916">
      <w:bodyDiv w:val="1"/>
      <w:marLeft w:val="0"/>
      <w:marRight w:val="0"/>
      <w:marTop w:val="0"/>
      <w:marBottom w:val="0"/>
      <w:divBdr>
        <w:top w:val="none" w:sz="0" w:space="0" w:color="auto"/>
        <w:left w:val="none" w:sz="0" w:space="0" w:color="auto"/>
        <w:bottom w:val="none" w:sz="0" w:space="0" w:color="auto"/>
        <w:right w:val="none" w:sz="0" w:space="0" w:color="auto"/>
      </w:divBdr>
    </w:div>
    <w:div w:id="2024166983">
      <w:bodyDiv w:val="1"/>
      <w:marLeft w:val="0"/>
      <w:marRight w:val="0"/>
      <w:marTop w:val="0"/>
      <w:marBottom w:val="0"/>
      <w:divBdr>
        <w:top w:val="none" w:sz="0" w:space="0" w:color="auto"/>
        <w:left w:val="none" w:sz="0" w:space="0" w:color="auto"/>
        <w:bottom w:val="none" w:sz="0" w:space="0" w:color="auto"/>
        <w:right w:val="none" w:sz="0" w:space="0" w:color="auto"/>
      </w:divBdr>
    </w:div>
    <w:div w:id="208838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diagramData" Target="diagrams/data1.xml"/><Relationship Id="rId39" Type="http://schemas.openxmlformats.org/officeDocument/2006/relationships/image" Target="media/image16.emf"/><Relationship Id="rId21" Type="http://schemas.openxmlformats.org/officeDocument/2006/relationships/image" Target="media/image8.jpg"/><Relationship Id="rId34" Type="http://schemas.openxmlformats.org/officeDocument/2006/relationships/diagramColors" Target="diagrams/colors2.xml"/><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jpg"/><Relationship Id="rId63" Type="http://schemas.openxmlformats.org/officeDocument/2006/relationships/image" Target="media/image40.jpg"/><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diagramColors" Target="diagrams/colors1.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diagramLayout" Target="diagrams/layout2.xml"/><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jpg"/><Relationship Id="rId66" Type="http://schemas.openxmlformats.org/officeDocument/2006/relationships/image" Target="media/image43.jp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emf"/><Relationship Id="rId28" Type="http://schemas.openxmlformats.org/officeDocument/2006/relationships/diagramQuickStyle" Target="diagrams/quickStyle1.xml"/><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image" Target="media/image34.emf"/><Relationship Id="rId61" Type="http://schemas.openxmlformats.org/officeDocument/2006/relationships/image" Target="media/image38.emf"/><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diagramData" Target="diagrams/data2.xml"/><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jpg"/><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jpg"/><Relationship Id="rId64" Type="http://schemas.openxmlformats.org/officeDocument/2006/relationships/image" Target="media/image41.jpg"/><Relationship Id="rId69"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image" Target="media/image28.jp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diagramQuickStyle" Target="diagrams/quickStyle2.xml"/><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image" Target="media/image36.jpg"/><Relationship Id="rId67" Type="http://schemas.openxmlformats.org/officeDocument/2006/relationships/image" Target="media/image44.emf"/><Relationship Id="rId20" Type="http://schemas.openxmlformats.org/officeDocument/2006/relationships/image" Target="media/image7.jpg"/><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8A0B27-8875-4EB9-AF9E-3CFDF609EA4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487B8DAD-83CC-451E-A223-FC8474C88476}">
      <dgm:prSet phldrT="[Text]" custT="1"/>
      <dgm:spPr>
        <a:solidFill>
          <a:schemeClr val="bg1"/>
        </a:solidFill>
        <a:ln>
          <a:solidFill>
            <a:schemeClr val="tx1"/>
          </a:solidFill>
        </a:ln>
      </dgm:spPr>
      <dgm:t>
        <a:bodyPr/>
        <a:lstStyle/>
        <a:p>
          <a:r>
            <a:rPr lang="en-US" sz="1050">
              <a:solidFill>
                <a:sysClr val="windowText" lastClr="000000"/>
              </a:solidFill>
            </a:rPr>
            <a:t>Legal measures</a:t>
          </a:r>
        </a:p>
      </dgm:t>
    </dgm:pt>
    <dgm:pt modelId="{D5887BBB-F74B-40F3-94E3-DF462387689B}" type="parTrans" cxnId="{BBE43FE4-FD9D-4618-B2BF-464B3A1AABB9}">
      <dgm:prSet/>
      <dgm:spPr/>
      <dgm:t>
        <a:bodyPr/>
        <a:lstStyle/>
        <a:p>
          <a:endParaRPr lang="en-US"/>
        </a:p>
      </dgm:t>
    </dgm:pt>
    <dgm:pt modelId="{236C80BD-7B34-4412-9216-025CCD17FCF4}" type="sibTrans" cxnId="{BBE43FE4-FD9D-4618-B2BF-464B3A1AABB9}">
      <dgm:prSet/>
      <dgm:spPr/>
      <dgm:t>
        <a:bodyPr/>
        <a:lstStyle/>
        <a:p>
          <a:endParaRPr lang="en-US"/>
        </a:p>
      </dgm:t>
    </dgm:pt>
    <dgm:pt modelId="{22D85ACC-EC1C-4442-8A19-86FF6626ACD3}">
      <dgm:prSet phldrT="[Text]" custT="1"/>
      <dgm:spPr>
        <a:ln>
          <a:solidFill>
            <a:schemeClr val="tx1"/>
          </a:solidFill>
        </a:ln>
      </dgm:spPr>
      <dgm:t>
        <a:bodyPr/>
        <a:lstStyle/>
        <a:p>
          <a:r>
            <a:rPr lang="en-US" sz="1000">
              <a:solidFill>
                <a:sysClr val="windowText" lastClr="000000"/>
              </a:solidFill>
            </a:rPr>
            <a:t>Legislative and regulatory</a:t>
          </a:r>
          <a:br>
            <a:rPr lang="en-US" sz="1000">
              <a:solidFill>
                <a:sysClr val="windowText" lastClr="000000"/>
              </a:solidFill>
            </a:rPr>
          </a:br>
          <a:r>
            <a:rPr lang="en-US" sz="1000">
              <a:solidFill>
                <a:sysClr val="windowText" lastClr="000000"/>
              </a:solidFill>
            </a:rPr>
            <a:t>(Hard binding)</a:t>
          </a:r>
        </a:p>
      </dgm:t>
    </dgm:pt>
    <dgm:pt modelId="{E7D9AD7F-6565-445C-8D5A-0E7EAC0587EB}" type="parTrans" cxnId="{82719552-9F0C-4CFB-B78E-581ADD5FD83D}">
      <dgm:prSet/>
      <dgm:spPr>
        <a:ln>
          <a:solidFill>
            <a:schemeClr val="tx1"/>
          </a:solidFill>
        </a:ln>
      </dgm:spPr>
      <dgm:t>
        <a:bodyPr/>
        <a:lstStyle/>
        <a:p>
          <a:endParaRPr lang="en-US"/>
        </a:p>
      </dgm:t>
    </dgm:pt>
    <dgm:pt modelId="{CFD3F73D-81A0-4802-833B-0C0F79AF6266}" type="sibTrans" cxnId="{82719552-9F0C-4CFB-B78E-581ADD5FD83D}">
      <dgm:prSet/>
      <dgm:spPr/>
      <dgm:t>
        <a:bodyPr/>
        <a:lstStyle/>
        <a:p>
          <a:endParaRPr lang="en-US"/>
        </a:p>
      </dgm:t>
    </dgm:pt>
    <dgm:pt modelId="{7BD5AD23-FE31-4A58-9F26-894764338D2F}">
      <dgm:prSet phldrT="[Text]" custT="1"/>
      <dgm:spPr>
        <a:solidFill>
          <a:schemeClr val="accent1">
            <a:lumMod val="40000"/>
            <a:lumOff val="60000"/>
          </a:schemeClr>
        </a:solidFill>
        <a:ln>
          <a:solidFill>
            <a:schemeClr val="tx1"/>
          </a:solidFill>
        </a:ln>
      </dgm:spPr>
      <dgm:t>
        <a:bodyPr/>
        <a:lstStyle/>
        <a:p>
          <a:r>
            <a:rPr lang="en-US" sz="1000">
              <a:solidFill>
                <a:sysClr val="windowText" lastClr="000000"/>
              </a:solidFill>
            </a:rPr>
            <a:t>National targets</a:t>
          </a:r>
        </a:p>
      </dgm:t>
    </dgm:pt>
    <dgm:pt modelId="{F4930D1E-2D71-4322-B94C-DEF0EB3EAD5A}" type="parTrans" cxnId="{935FAB77-F4B1-44BA-95E6-F1A9CFBC6A21}">
      <dgm:prSet/>
      <dgm:spPr>
        <a:ln>
          <a:solidFill>
            <a:schemeClr val="tx1"/>
          </a:solidFill>
        </a:ln>
      </dgm:spPr>
      <dgm:t>
        <a:bodyPr/>
        <a:lstStyle/>
        <a:p>
          <a:endParaRPr lang="en-US"/>
        </a:p>
      </dgm:t>
    </dgm:pt>
    <dgm:pt modelId="{F24CB1B0-C0BB-47B6-A346-7B845F6FB353}" type="sibTrans" cxnId="{935FAB77-F4B1-44BA-95E6-F1A9CFBC6A21}">
      <dgm:prSet/>
      <dgm:spPr/>
      <dgm:t>
        <a:bodyPr/>
        <a:lstStyle/>
        <a:p>
          <a:endParaRPr lang="en-US"/>
        </a:p>
      </dgm:t>
    </dgm:pt>
    <dgm:pt modelId="{48DD85E9-5159-40AD-87A3-E10B8D3BA3A3}">
      <dgm:prSet phldrT="[Text]" custT="1"/>
      <dgm:spPr>
        <a:solidFill>
          <a:schemeClr val="accent1">
            <a:lumMod val="40000"/>
            <a:lumOff val="60000"/>
          </a:schemeClr>
        </a:solidFill>
        <a:ln>
          <a:solidFill>
            <a:schemeClr val="tx1"/>
          </a:solidFill>
        </a:ln>
      </dgm:spPr>
      <dgm:t>
        <a:bodyPr/>
        <a:lstStyle/>
        <a:p>
          <a:r>
            <a:rPr lang="en-US" sz="1000">
              <a:solidFill>
                <a:sysClr val="windowText" lastClr="000000"/>
              </a:solidFill>
            </a:rPr>
            <a:t>Norms and requirements</a:t>
          </a:r>
        </a:p>
      </dgm:t>
    </dgm:pt>
    <dgm:pt modelId="{4AD6BBA6-9615-4AA3-A830-F7E3D5121CDA}" type="parTrans" cxnId="{80EFBA2F-19C4-444E-960A-F8472F5F80F8}">
      <dgm:prSet/>
      <dgm:spPr>
        <a:ln>
          <a:solidFill>
            <a:schemeClr val="tx1"/>
          </a:solidFill>
        </a:ln>
      </dgm:spPr>
      <dgm:t>
        <a:bodyPr/>
        <a:lstStyle/>
        <a:p>
          <a:endParaRPr lang="en-US"/>
        </a:p>
      </dgm:t>
    </dgm:pt>
    <dgm:pt modelId="{EDE9D940-EEE7-4CFF-804B-9BE4F8B7CC5B}" type="sibTrans" cxnId="{80EFBA2F-19C4-444E-960A-F8472F5F80F8}">
      <dgm:prSet/>
      <dgm:spPr/>
      <dgm:t>
        <a:bodyPr/>
        <a:lstStyle/>
        <a:p>
          <a:endParaRPr lang="en-US"/>
        </a:p>
      </dgm:t>
    </dgm:pt>
    <dgm:pt modelId="{7C833B08-BF90-485C-B518-2E1021048612}">
      <dgm:prSet phldrT="[Text]" custT="1"/>
      <dgm:spPr>
        <a:ln>
          <a:solidFill>
            <a:schemeClr val="tx1"/>
          </a:solidFill>
        </a:ln>
      </dgm:spPr>
      <dgm:t>
        <a:bodyPr/>
        <a:lstStyle/>
        <a:p>
          <a:r>
            <a:rPr lang="en-US" sz="1000">
              <a:solidFill>
                <a:sysClr val="windowText" lastClr="000000"/>
              </a:solidFill>
            </a:rPr>
            <a:t>Administrative</a:t>
          </a:r>
          <a:br>
            <a:rPr lang="en-US" sz="1000">
              <a:solidFill>
                <a:sysClr val="windowText" lastClr="000000"/>
              </a:solidFill>
            </a:rPr>
          </a:br>
          <a:r>
            <a:rPr lang="en-US" sz="1000">
              <a:solidFill>
                <a:sysClr val="windowText" lastClr="000000"/>
              </a:solidFill>
            </a:rPr>
            <a:t>(Soft binding)</a:t>
          </a:r>
        </a:p>
      </dgm:t>
    </dgm:pt>
    <dgm:pt modelId="{BBEB45E8-218C-4C62-BBB6-94A765379EE0}" type="parTrans" cxnId="{6E3F5759-728C-4C61-828E-F29A975C768D}">
      <dgm:prSet/>
      <dgm:spPr>
        <a:ln>
          <a:solidFill>
            <a:schemeClr val="tx1"/>
          </a:solidFill>
        </a:ln>
      </dgm:spPr>
      <dgm:t>
        <a:bodyPr/>
        <a:lstStyle/>
        <a:p>
          <a:endParaRPr lang="en-US"/>
        </a:p>
      </dgm:t>
    </dgm:pt>
    <dgm:pt modelId="{80C572DB-EB70-4F19-BB01-2E0BDF3C7BB2}" type="sibTrans" cxnId="{6E3F5759-728C-4C61-828E-F29A975C768D}">
      <dgm:prSet/>
      <dgm:spPr/>
      <dgm:t>
        <a:bodyPr/>
        <a:lstStyle/>
        <a:p>
          <a:endParaRPr lang="en-US"/>
        </a:p>
      </dgm:t>
    </dgm:pt>
    <dgm:pt modelId="{BB4EA6BD-1D84-46A1-8546-4F2549B7BEE2}">
      <dgm:prSet phldrT="[Text]" custT="1"/>
      <dgm:spPr>
        <a:solidFill>
          <a:schemeClr val="accent1">
            <a:lumMod val="40000"/>
            <a:lumOff val="60000"/>
          </a:schemeClr>
        </a:solidFill>
        <a:ln>
          <a:solidFill>
            <a:schemeClr val="tx1"/>
          </a:solidFill>
        </a:ln>
      </dgm:spPr>
      <dgm:t>
        <a:bodyPr/>
        <a:lstStyle/>
        <a:p>
          <a:r>
            <a:rPr lang="en-US" sz="1000">
              <a:solidFill>
                <a:sysClr val="windowText" lastClr="000000"/>
              </a:solidFill>
            </a:rPr>
            <a:t>EU &amp; international standards implementation</a:t>
          </a:r>
        </a:p>
      </dgm:t>
    </dgm:pt>
    <dgm:pt modelId="{321B3787-5B8A-442A-988F-654B08A860C7}" type="parTrans" cxnId="{A35E4B96-DF2D-46B5-8642-370594B528AA}">
      <dgm:prSet/>
      <dgm:spPr>
        <a:ln>
          <a:solidFill>
            <a:schemeClr val="tx1"/>
          </a:solidFill>
        </a:ln>
      </dgm:spPr>
      <dgm:t>
        <a:bodyPr/>
        <a:lstStyle/>
        <a:p>
          <a:endParaRPr lang="en-US"/>
        </a:p>
      </dgm:t>
    </dgm:pt>
    <dgm:pt modelId="{27E43590-7DF7-47C3-91C2-A785624D2336}" type="sibTrans" cxnId="{A35E4B96-DF2D-46B5-8642-370594B528AA}">
      <dgm:prSet/>
      <dgm:spPr/>
      <dgm:t>
        <a:bodyPr/>
        <a:lstStyle/>
        <a:p>
          <a:endParaRPr lang="en-US"/>
        </a:p>
      </dgm:t>
    </dgm:pt>
    <dgm:pt modelId="{40BBA60E-9FCE-4B89-8895-F6FCDA9A2956}">
      <dgm:prSet phldrT="[Text]" custT="1"/>
      <dgm:spPr>
        <a:solidFill>
          <a:schemeClr val="accent1">
            <a:lumMod val="40000"/>
            <a:lumOff val="60000"/>
          </a:schemeClr>
        </a:solidFill>
        <a:ln>
          <a:solidFill>
            <a:schemeClr val="tx1"/>
          </a:solidFill>
        </a:ln>
      </dgm:spPr>
      <dgm:t>
        <a:bodyPr/>
        <a:lstStyle/>
        <a:p>
          <a:r>
            <a:rPr lang="en-US" sz="1000">
              <a:solidFill>
                <a:sysClr val="windowText" lastClr="000000"/>
              </a:solidFill>
            </a:rPr>
            <a:t>Other</a:t>
          </a:r>
        </a:p>
      </dgm:t>
    </dgm:pt>
    <dgm:pt modelId="{5F65C317-1F5C-41D3-8161-4AF022ABAE22}" type="parTrans" cxnId="{7CA5478F-FB62-447E-9794-BF0CC30A2708}">
      <dgm:prSet/>
      <dgm:spPr>
        <a:ln>
          <a:solidFill>
            <a:schemeClr val="tx1"/>
          </a:solidFill>
        </a:ln>
      </dgm:spPr>
      <dgm:t>
        <a:bodyPr/>
        <a:lstStyle/>
        <a:p>
          <a:endParaRPr lang="en-US"/>
        </a:p>
      </dgm:t>
    </dgm:pt>
    <dgm:pt modelId="{B208B418-C463-43B2-95F1-0108E53D3505}" type="sibTrans" cxnId="{7CA5478F-FB62-447E-9794-BF0CC30A2708}">
      <dgm:prSet/>
      <dgm:spPr/>
      <dgm:t>
        <a:bodyPr/>
        <a:lstStyle/>
        <a:p>
          <a:endParaRPr lang="en-US"/>
        </a:p>
      </dgm:t>
    </dgm:pt>
    <dgm:pt modelId="{F8E6A376-D63B-4D38-9507-4F6C5A97852C}">
      <dgm:prSet phldrT="[Text]" custT="1"/>
      <dgm:spPr>
        <a:solidFill>
          <a:schemeClr val="accent1">
            <a:lumMod val="40000"/>
            <a:lumOff val="60000"/>
          </a:schemeClr>
        </a:solidFill>
        <a:ln>
          <a:solidFill>
            <a:schemeClr val="tx1"/>
          </a:solidFill>
        </a:ln>
      </dgm:spPr>
      <dgm:t>
        <a:bodyPr/>
        <a:lstStyle/>
        <a:p>
          <a:r>
            <a:rPr lang="en-US" sz="1000">
              <a:solidFill>
                <a:sysClr val="windowText" lastClr="000000"/>
              </a:solidFill>
            </a:rPr>
            <a:t>Permits</a:t>
          </a:r>
        </a:p>
      </dgm:t>
    </dgm:pt>
    <dgm:pt modelId="{1938C569-A523-459A-974E-068364D0190D}" type="parTrans" cxnId="{F51A2B88-7E1D-46F0-B5C4-F7D010CEE1C0}">
      <dgm:prSet/>
      <dgm:spPr>
        <a:ln>
          <a:solidFill>
            <a:schemeClr val="tx1"/>
          </a:solidFill>
        </a:ln>
      </dgm:spPr>
      <dgm:t>
        <a:bodyPr/>
        <a:lstStyle/>
        <a:p>
          <a:endParaRPr lang="en-US"/>
        </a:p>
      </dgm:t>
    </dgm:pt>
    <dgm:pt modelId="{7B5E0D6F-F4A1-4927-BF73-3E601A937FBF}" type="sibTrans" cxnId="{F51A2B88-7E1D-46F0-B5C4-F7D010CEE1C0}">
      <dgm:prSet/>
      <dgm:spPr/>
      <dgm:t>
        <a:bodyPr/>
        <a:lstStyle/>
        <a:p>
          <a:endParaRPr lang="en-US"/>
        </a:p>
      </dgm:t>
    </dgm:pt>
    <dgm:pt modelId="{D42EDC69-3F3F-40B6-BF0C-5ECE8556F126}">
      <dgm:prSet phldrT="[Text]" custT="1"/>
      <dgm:spPr>
        <a:solidFill>
          <a:schemeClr val="accent1">
            <a:lumMod val="40000"/>
            <a:lumOff val="60000"/>
          </a:schemeClr>
        </a:solidFill>
        <a:ln>
          <a:solidFill>
            <a:schemeClr val="tx1"/>
          </a:solidFill>
        </a:ln>
      </dgm:spPr>
      <dgm:t>
        <a:bodyPr/>
        <a:lstStyle/>
        <a:p>
          <a:r>
            <a:rPr lang="en-US" sz="1000">
              <a:solidFill>
                <a:sysClr val="windowText" lastClr="000000"/>
              </a:solidFill>
            </a:rPr>
            <a:t>Other</a:t>
          </a:r>
        </a:p>
      </dgm:t>
    </dgm:pt>
    <dgm:pt modelId="{E9904293-9967-4C36-8C22-A9FEA500DDE6}" type="parTrans" cxnId="{DFBAD3BF-0CA5-484D-914A-627525F6605E}">
      <dgm:prSet/>
      <dgm:spPr>
        <a:ln>
          <a:solidFill>
            <a:schemeClr val="tx1"/>
          </a:solidFill>
        </a:ln>
      </dgm:spPr>
      <dgm:t>
        <a:bodyPr/>
        <a:lstStyle/>
        <a:p>
          <a:endParaRPr lang="en-US"/>
        </a:p>
      </dgm:t>
    </dgm:pt>
    <dgm:pt modelId="{E512D1BC-8BE9-4CA1-954F-2D4869560CDB}" type="sibTrans" cxnId="{DFBAD3BF-0CA5-484D-914A-627525F6605E}">
      <dgm:prSet/>
      <dgm:spPr/>
      <dgm:t>
        <a:bodyPr/>
        <a:lstStyle/>
        <a:p>
          <a:endParaRPr lang="en-US"/>
        </a:p>
      </dgm:t>
    </dgm:pt>
    <dgm:pt modelId="{9A7700BF-EB71-4167-8D9A-1945DB31FF17}">
      <dgm:prSet phldrT="[Text]" custT="1"/>
      <dgm:spPr>
        <a:solidFill>
          <a:schemeClr val="accent1">
            <a:lumMod val="40000"/>
            <a:lumOff val="60000"/>
          </a:schemeClr>
        </a:solidFill>
        <a:ln>
          <a:solidFill>
            <a:schemeClr val="tx1"/>
          </a:solidFill>
        </a:ln>
      </dgm:spPr>
      <dgm:t>
        <a:bodyPr/>
        <a:lstStyle/>
        <a:p>
          <a:r>
            <a:rPr lang="en-US" sz="1000">
              <a:solidFill>
                <a:sysClr val="windowText" lastClr="000000"/>
              </a:solidFill>
            </a:rPr>
            <a:t>AFV Classification on environmental performance</a:t>
          </a:r>
        </a:p>
      </dgm:t>
    </dgm:pt>
    <dgm:pt modelId="{8096C497-0250-494B-88BB-FF30F5539247}" type="parTrans" cxnId="{17C9AB9C-21B1-4200-9695-FA056F1090E8}">
      <dgm:prSet/>
      <dgm:spPr>
        <a:ln>
          <a:solidFill>
            <a:schemeClr val="tx1"/>
          </a:solidFill>
        </a:ln>
      </dgm:spPr>
      <dgm:t>
        <a:bodyPr/>
        <a:lstStyle/>
        <a:p>
          <a:endParaRPr lang="en-US"/>
        </a:p>
      </dgm:t>
    </dgm:pt>
    <dgm:pt modelId="{10362CC8-0F00-4E8A-9830-0F2650C1145E}" type="sibTrans" cxnId="{17C9AB9C-21B1-4200-9695-FA056F1090E8}">
      <dgm:prSet/>
      <dgm:spPr/>
      <dgm:t>
        <a:bodyPr/>
        <a:lstStyle/>
        <a:p>
          <a:endParaRPr lang="en-US"/>
        </a:p>
      </dgm:t>
    </dgm:pt>
    <dgm:pt modelId="{283C0D2C-B347-4C88-8F4C-F28E4D7B19CC}">
      <dgm:prSet phldrT="[Text]" custT="1"/>
      <dgm:spPr>
        <a:solidFill>
          <a:schemeClr val="accent1">
            <a:lumMod val="40000"/>
            <a:lumOff val="60000"/>
          </a:schemeClr>
        </a:solidFill>
        <a:ln>
          <a:solidFill>
            <a:schemeClr val="tx1"/>
          </a:solidFill>
        </a:ln>
      </dgm:spPr>
      <dgm:t>
        <a:bodyPr/>
        <a:lstStyle/>
        <a:p>
          <a:r>
            <a:rPr lang="en-US" sz="1000">
              <a:solidFill>
                <a:sysClr val="windowText" lastClr="000000"/>
              </a:solidFill>
            </a:rPr>
            <a:t>Certification of the environmental performance of businesses</a:t>
          </a:r>
        </a:p>
      </dgm:t>
    </dgm:pt>
    <dgm:pt modelId="{13677085-D4AF-4304-AD5A-151AA80D9AD7}" type="parTrans" cxnId="{5A072D2A-A4FD-4124-A96A-D26A3E0DD24F}">
      <dgm:prSet/>
      <dgm:spPr>
        <a:ln>
          <a:solidFill>
            <a:schemeClr val="tx1"/>
          </a:solidFill>
        </a:ln>
      </dgm:spPr>
      <dgm:t>
        <a:bodyPr/>
        <a:lstStyle/>
        <a:p>
          <a:endParaRPr lang="en-US"/>
        </a:p>
      </dgm:t>
    </dgm:pt>
    <dgm:pt modelId="{79CAC77F-64F6-4FC0-987E-E4D129522308}" type="sibTrans" cxnId="{5A072D2A-A4FD-4124-A96A-D26A3E0DD24F}">
      <dgm:prSet/>
      <dgm:spPr/>
      <dgm:t>
        <a:bodyPr/>
        <a:lstStyle/>
        <a:p>
          <a:endParaRPr lang="en-US"/>
        </a:p>
      </dgm:t>
    </dgm:pt>
    <dgm:pt modelId="{DFF79840-06C1-43AF-BEE1-D01C741ADF9D}" type="pres">
      <dgm:prSet presAssocID="{BD8A0B27-8875-4EB9-AF9E-3CFDF609EA43}" presName="diagram" presStyleCnt="0">
        <dgm:presLayoutVars>
          <dgm:chPref val="1"/>
          <dgm:dir/>
          <dgm:animOne val="branch"/>
          <dgm:animLvl val="lvl"/>
          <dgm:resizeHandles val="exact"/>
        </dgm:presLayoutVars>
      </dgm:prSet>
      <dgm:spPr/>
      <dgm:t>
        <a:bodyPr/>
        <a:lstStyle/>
        <a:p>
          <a:endParaRPr lang="en-US"/>
        </a:p>
      </dgm:t>
    </dgm:pt>
    <dgm:pt modelId="{E0C98CF0-20D3-4691-B323-38417D03520B}" type="pres">
      <dgm:prSet presAssocID="{487B8DAD-83CC-451E-A223-FC8474C88476}" presName="root1" presStyleCnt="0"/>
      <dgm:spPr/>
    </dgm:pt>
    <dgm:pt modelId="{18D45949-E800-4A9C-9D88-6A10C50F0367}" type="pres">
      <dgm:prSet presAssocID="{487B8DAD-83CC-451E-A223-FC8474C88476}" presName="LevelOneTextNode" presStyleLbl="node0" presStyleIdx="0" presStyleCnt="1" custScaleX="154920" custScaleY="143709">
        <dgm:presLayoutVars>
          <dgm:chPref val="3"/>
        </dgm:presLayoutVars>
      </dgm:prSet>
      <dgm:spPr/>
      <dgm:t>
        <a:bodyPr/>
        <a:lstStyle/>
        <a:p>
          <a:endParaRPr lang="en-US"/>
        </a:p>
      </dgm:t>
    </dgm:pt>
    <dgm:pt modelId="{891F283B-7F38-4AA5-B2DF-2B85A1B90215}" type="pres">
      <dgm:prSet presAssocID="{487B8DAD-83CC-451E-A223-FC8474C88476}" presName="level2hierChild" presStyleCnt="0"/>
      <dgm:spPr/>
    </dgm:pt>
    <dgm:pt modelId="{EE727BC5-78DC-4B88-9271-2EF652F28559}" type="pres">
      <dgm:prSet presAssocID="{E7D9AD7F-6565-445C-8D5A-0E7EAC0587EB}" presName="conn2-1" presStyleLbl="parChTrans1D2" presStyleIdx="0" presStyleCnt="2"/>
      <dgm:spPr/>
      <dgm:t>
        <a:bodyPr/>
        <a:lstStyle/>
        <a:p>
          <a:endParaRPr lang="en-US"/>
        </a:p>
      </dgm:t>
    </dgm:pt>
    <dgm:pt modelId="{58241C2F-7EE5-492A-AD9D-D52317C7DFE5}" type="pres">
      <dgm:prSet presAssocID="{E7D9AD7F-6565-445C-8D5A-0E7EAC0587EB}" presName="connTx" presStyleLbl="parChTrans1D2" presStyleIdx="0" presStyleCnt="2"/>
      <dgm:spPr/>
      <dgm:t>
        <a:bodyPr/>
        <a:lstStyle/>
        <a:p>
          <a:endParaRPr lang="en-US"/>
        </a:p>
      </dgm:t>
    </dgm:pt>
    <dgm:pt modelId="{219282C8-0410-4346-BAE5-FFA158B238AD}" type="pres">
      <dgm:prSet presAssocID="{22D85ACC-EC1C-4442-8A19-86FF6626ACD3}" presName="root2" presStyleCnt="0"/>
      <dgm:spPr/>
    </dgm:pt>
    <dgm:pt modelId="{A9540D18-F5F0-49D4-9742-6073E7B58C00}" type="pres">
      <dgm:prSet presAssocID="{22D85ACC-EC1C-4442-8A19-86FF6626ACD3}" presName="LevelTwoTextNode" presStyleLbl="node2" presStyleIdx="0" presStyleCnt="2" custScaleX="154906" custScaleY="144052">
        <dgm:presLayoutVars>
          <dgm:chPref val="3"/>
        </dgm:presLayoutVars>
      </dgm:prSet>
      <dgm:spPr/>
      <dgm:t>
        <a:bodyPr/>
        <a:lstStyle/>
        <a:p>
          <a:endParaRPr lang="en-US"/>
        </a:p>
      </dgm:t>
    </dgm:pt>
    <dgm:pt modelId="{38A9EFD3-718B-469D-B1A0-7AE17B75CBF2}" type="pres">
      <dgm:prSet presAssocID="{22D85ACC-EC1C-4442-8A19-86FF6626ACD3}" presName="level3hierChild" presStyleCnt="0"/>
      <dgm:spPr/>
    </dgm:pt>
    <dgm:pt modelId="{463937F1-9234-42B5-964C-11D9A4D79DEF}" type="pres">
      <dgm:prSet presAssocID="{F4930D1E-2D71-4322-B94C-DEF0EB3EAD5A}" presName="conn2-1" presStyleLbl="parChTrans1D3" presStyleIdx="0" presStyleCnt="8"/>
      <dgm:spPr/>
      <dgm:t>
        <a:bodyPr/>
        <a:lstStyle/>
        <a:p>
          <a:endParaRPr lang="en-US"/>
        </a:p>
      </dgm:t>
    </dgm:pt>
    <dgm:pt modelId="{058D545C-88F8-4F6E-AAA9-5427AD031882}" type="pres">
      <dgm:prSet presAssocID="{F4930D1E-2D71-4322-B94C-DEF0EB3EAD5A}" presName="connTx" presStyleLbl="parChTrans1D3" presStyleIdx="0" presStyleCnt="8"/>
      <dgm:spPr/>
      <dgm:t>
        <a:bodyPr/>
        <a:lstStyle/>
        <a:p>
          <a:endParaRPr lang="en-US"/>
        </a:p>
      </dgm:t>
    </dgm:pt>
    <dgm:pt modelId="{29442CEA-E80C-4B24-8EB0-F5D5EBB23870}" type="pres">
      <dgm:prSet presAssocID="{7BD5AD23-FE31-4A58-9F26-894764338D2F}" presName="root2" presStyleCnt="0"/>
      <dgm:spPr/>
    </dgm:pt>
    <dgm:pt modelId="{5BE27D43-32E0-4093-97DB-0D9D261A6911}" type="pres">
      <dgm:prSet presAssocID="{7BD5AD23-FE31-4A58-9F26-894764338D2F}" presName="LevelTwoTextNode" presStyleLbl="node3" presStyleIdx="0" presStyleCnt="8" custScaleX="189272" custLinFactNeighborX="71782">
        <dgm:presLayoutVars>
          <dgm:chPref val="3"/>
        </dgm:presLayoutVars>
      </dgm:prSet>
      <dgm:spPr/>
      <dgm:t>
        <a:bodyPr/>
        <a:lstStyle/>
        <a:p>
          <a:endParaRPr lang="en-US"/>
        </a:p>
      </dgm:t>
    </dgm:pt>
    <dgm:pt modelId="{5F14B8C5-5E68-4DEF-BCF4-B2C06AF6515B}" type="pres">
      <dgm:prSet presAssocID="{7BD5AD23-FE31-4A58-9F26-894764338D2F}" presName="level3hierChild" presStyleCnt="0"/>
      <dgm:spPr/>
    </dgm:pt>
    <dgm:pt modelId="{2F31889F-4E6D-4D8A-AAFA-1053E06A98B9}" type="pres">
      <dgm:prSet presAssocID="{4AD6BBA6-9615-4AA3-A830-F7E3D5121CDA}" presName="conn2-1" presStyleLbl="parChTrans1D3" presStyleIdx="1" presStyleCnt="8"/>
      <dgm:spPr/>
      <dgm:t>
        <a:bodyPr/>
        <a:lstStyle/>
        <a:p>
          <a:endParaRPr lang="en-US"/>
        </a:p>
      </dgm:t>
    </dgm:pt>
    <dgm:pt modelId="{0C6C2E6D-4349-46F1-A726-E39F9A387881}" type="pres">
      <dgm:prSet presAssocID="{4AD6BBA6-9615-4AA3-A830-F7E3D5121CDA}" presName="connTx" presStyleLbl="parChTrans1D3" presStyleIdx="1" presStyleCnt="8"/>
      <dgm:spPr/>
      <dgm:t>
        <a:bodyPr/>
        <a:lstStyle/>
        <a:p>
          <a:endParaRPr lang="en-US"/>
        </a:p>
      </dgm:t>
    </dgm:pt>
    <dgm:pt modelId="{6482E4D7-28E7-4F8A-9D8A-89C1F0A31CFE}" type="pres">
      <dgm:prSet presAssocID="{48DD85E9-5159-40AD-87A3-E10B8D3BA3A3}" presName="root2" presStyleCnt="0"/>
      <dgm:spPr/>
    </dgm:pt>
    <dgm:pt modelId="{99DAB565-59A2-4311-850E-2E0DB0AEFDAD}" type="pres">
      <dgm:prSet presAssocID="{48DD85E9-5159-40AD-87A3-E10B8D3BA3A3}" presName="LevelTwoTextNode" presStyleLbl="node3" presStyleIdx="1" presStyleCnt="8" custScaleX="189272" custLinFactNeighborX="71782">
        <dgm:presLayoutVars>
          <dgm:chPref val="3"/>
        </dgm:presLayoutVars>
      </dgm:prSet>
      <dgm:spPr/>
      <dgm:t>
        <a:bodyPr/>
        <a:lstStyle/>
        <a:p>
          <a:endParaRPr lang="en-US"/>
        </a:p>
      </dgm:t>
    </dgm:pt>
    <dgm:pt modelId="{49379C92-FAEB-41A0-9FC3-9A677DBAED44}" type="pres">
      <dgm:prSet presAssocID="{48DD85E9-5159-40AD-87A3-E10B8D3BA3A3}" presName="level3hierChild" presStyleCnt="0"/>
      <dgm:spPr/>
    </dgm:pt>
    <dgm:pt modelId="{32AC25E5-7683-4574-A2EB-B2F95E745079}" type="pres">
      <dgm:prSet presAssocID="{1938C569-A523-459A-974E-068364D0190D}" presName="conn2-1" presStyleLbl="parChTrans1D3" presStyleIdx="2" presStyleCnt="8"/>
      <dgm:spPr/>
      <dgm:t>
        <a:bodyPr/>
        <a:lstStyle/>
        <a:p>
          <a:endParaRPr lang="en-US"/>
        </a:p>
      </dgm:t>
    </dgm:pt>
    <dgm:pt modelId="{8A134976-7BAE-4538-A929-F69EE6DDC350}" type="pres">
      <dgm:prSet presAssocID="{1938C569-A523-459A-974E-068364D0190D}" presName="connTx" presStyleLbl="parChTrans1D3" presStyleIdx="2" presStyleCnt="8"/>
      <dgm:spPr/>
      <dgm:t>
        <a:bodyPr/>
        <a:lstStyle/>
        <a:p>
          <a:endParaRPr lang="en-US"/>
        </a:p>
      </dgm:t>
    </dgm:pt>
    <dgm:pt modelId="{8D26953C-C453-49C8-BF51-FF7A1AE8DBE9}" type="pres">
      <dgm:prSet presAssocID="{F8E6A376-D63B-4D38-9507-4F6C5A97852C}" presName="root2" presStyleCnt="0"/>
      <dgm:spPr/>
    </dgm:pt>
    <dgm:pt modelId="{64A2F89A-BF24-4104-AA29-7D844CD80E2D}" type="pres">
      <dgm:prSet presAssocID="{F8E6A376-D63B-4D38-9507-4F6C5A97852C}" presName="LevelTwoTextNode" presStyleLbl="node3" presStyleIdx="2" presStyleCnt="8" custScaleX="189272" custLinFactNeighborX="71782">
        <dgm:presLayoutVars>
          <dgm:chPref val="3"/>
        </dgm:presLayoutVars>
      </dgm:prSet>
      <dgm:spPr/>
      <dgm:t>
        <a:bodyPr/>
        <a:lstStyle/>
        <a:p>
          <a:endParaRPr lang="en-US"/>
        </a:p>
      </dgm:t>
    </dgm:pt>
    <dgm:pt modelId="{AD412BAD-316E-4945-9EEA-74E132867A28}" type="pres">
      <dgm:prSet presAssocID="{F8E6A376-D63B-4D38-9507-4F6C5A97852C}" presName="level3hierChild" presStyleCnt="0"/>
      <dgm:spPr/>
    </dgm:pt>
    <dgm:pt modelId="{DC15A414-DEB8-4C02-917C-C7E35F327A87}" type="pres">
      <dgm:prSet presAssocID="{5F65C317-1F5C-41D3-8161-4AF022ABAE22}" presName="conn2-1" presStyleLbl="parChTrans1D3" presStyleIdx="3" presStyleCnt="8"/>
      <dgm:spPr/>
      <dgm:t>
        <a:bodyPr/>
        <a:lstStyle/>
        <a:p>
          <a:endParaRPr lang="en-US"/>
        </a:p>
      </dgm:t>
    </dgm:pt>
    <dgm:pt modelId="{22F451EB-754E-494B-9CB1-B2F3DDA1AE5D}" type="pres">
      <dgm:prSet presAssocID="{5F65C317-1F5C-41D3-8161-4AF022ABAE22}" presName="connTx" presStyleLbl="parChTrans1D3" presStyleIdx="3" presStyleCnt="8"/>
      <dgm:spPr/>
      <dgm:t>
        <a:bodyPr/>
        <a:lstStyle/>
        <a:p>
          <a:endParaRPr lang="en-US"/>
        </a:p>
      </dgm:t>
    </dgm:pt>
    <dgm:pt modelId="{90374BCB-0442-48BE-A056-8D3CA7516385}" type="pres">
      <dgm:prSet presAssocID="{40BBA60E-9FCE-4B89-8895-F6FCDA9A2956}" presName="root2" presStyleCnt="0"/>
      <dgm:spPr/>
    </dgm:pt>
    <dgm:pt modelId="{3D9B02E3-1B48-425B-8D92-B58635E083AE}" type="pres">
      <dgm:prSet presAssocID="{40BBA60E-9FCE-4B89-8895-F6FCDA9A2956}" presName="LevelTwoTextNode" presStyleLbl="node3" presStyleIdx="3" presStyleCnt="8" custScaleX="189272" custLinFactNeighborX="71782">
        <dgm:presLayoutVars>
          <dgm:chPref val="3"/>
        </dgm:presLayoutVars>
      </dgm:prSet>
      <dgm:spPr/>
      <dgm:t>
        <a:bodyPr/>
        <a:lstStyle/>
        <a:p>
          <a:endParaRPr lang="en-US"/>
        </a:p>
      </dgm:t>
    </dgm:pt>
    <dgm:pt modelId="{A9AA5ECC-C38F-4221-854D-E0C95E141DE2}" type="pres">
      <dgm:prSet presAssocID="{40BBA60E-9FCE-4B89-8895-F6FCDA9A2956}" presName="level3hierChild" presStyleCnt="0"/>
      <dgm:spPr/>
    </dgm:pt>
    <dgm:pt modelId="{4110610E-B064-49E0-88BD-9DA527E747B2}" type="pres">
      <dgm:prSet presAssocID="{BBEB45E8-218C-4C62-BBB6-94A765379EE0}" presName="conn2-1" presStyleLbl="parChTrans1D2" presStyleIdx="1" presStyleCnt="2"/>
      <dgm:spPr/>
      <dgm:t>
        <a:bodyPr/>
        <a:lstStyle/>
        <a:p>
          <a:endParaRPr lang="en-US"/>
        </a:p>
      </dgm:t>
    </dgm:pt>
    <dgm:pt modelId="{A5D4A24E-C596-4A94-8C6F-8495B915AF2B}" type="pres">
      <dgm:prSet presAssocID="{BBEB45E8-218C-4C62-BBB6-94A765379EE0}" presName="connTx" presStyleLbl="parChTrans1D2" presStyleIdx="1" presStyleCnt="2"/>
      <dgm:spPr/>
      <dgm:t>
        <a:bodyPr/>
        <a:lstStyle/>
        <a:p>
          <a:endParaRPr lang="en-US"/>
        </a:p>
      </dgm:t>
    </dgm:pt>
    <dgm:pt modelId="{5337F558-D14C-4F78-8E9B-E782B336FE6E}" type="pres">
      <dgm:prSet presAssocID="{7C833B08-BF90-485C-B518-2E1021048612}" presName="root2" presStyleCnt="0"/>
      <dgm:spPr/>
    </dgm:pt>
    <dgm:pt modelId="{1E28807F-07FE-4206-98F0-7FADE2A39179}" type="pres">
      <dgm:prSet presAssocID="{7C833B08-BF90-485C-B518-2E1021048612}" presName="LevelTwoTextNode" presStyleLbl="node2" presStyleIdx="1" presStyleCnt="2" custScaleX="154769" custScaleY="143709">
        <dgm:presLayoutVars>
          <dgm:chPref val="3"/>
        </dgm:presLayoutVars>
      </dgm:prSet>
      <dgm:spPr/>
      <dgm:t>
        <a:bodyPr/>
        <a:lstStyle/>
        <a:p>
          <a:endParaRPr lang="en-US"/>
        </a:p>
      </dgm:t>
    </dgm:pt>
    <dgm:pt modelId="{4928BF1A-B6D5-455F-884E-22DD13EFB47A}" type="pres">
      <dgm:prSet presAssocID="{7C833B08-BF90-485C-B518-2E1021048612}" presName="level3hierChild" presStyleCnt="0"/>
      <dgm:spPr/>
    </dgm:pt>
    <dgm:pt modelId="{9247F274-81C8-45B3-AD9C-7138CBB468FE}" type="pres">
      <dgm:prSet presAssocID="{321B3787-5B8A-442A-988F-654B08A860C7}" presName="conn2-1" presStyleLbl="parChTrans1D3" presStyleIdx="4" presStyleCnt="8"/>
      <dgm:spPr/>
      <dgm:t>
        <a:bodyPr/>
        <a:lstStyle/>
        <a:p>
          <a:endParaRPr lang="en-US"/>
        </a:p>
      </dgm:t>
    </dgm:pt>
    <dgm:pt modelId="{8DC4C696-C6A7-4241-8875-8EA130CE132C}" type="pres">
      <dgm:prSet presAssocID="{321B3787-5B8A-442A-988F-654B08A860C7}" presName="connTx" presStyleLbl="parChTrans1D3" presStyleIdx="4" presStyleCnt="8"/>
      <dgm:spPr/>
      <dgm:t>
        <a:bodyPr/>
        <a:lstStyle/>
        <a:p>
          <a:endParaRPr lang="en-US"/>
        </a:p>
      </dgm:t>
    </dgm:pt>
    <dgm:pt modelId="{44CA9759-B3B2-4D15-B166-A31FB58F6A80}" type="pres">
      <dgm:prSet presAssocID="{BB4EA6BD-1D84-46A1-8546-4F2549B7BEE2}" presName="root2" presStyleCnt="0"/>
      <dgm:spPr/>
    </dgm:pt>
    <dgm:pt modelId="{629EF0B1-8D5E-4B5E-9F99-135E6DB74AF3}" type="pres">
      <dgm:prSet presAssocID="{BB4EA6BD-1D84-46A1-8546-4F2549B7BEE2}" presName="LevelTwoTextNode" presStyleLbl="node3" presStyleIdx="4" presStyleCnt="8" custScaleX="189272" custScaleY="151935" custLinFactNeighborX="71782">
        <dgm:presLayoutVars>
          <dgm:chPref val="3"/>
        </dgm:presLayoutVars>
      </dgm:prSet>
      <dgm:spPr/>
      <dgm:t>
        <a:bodyPr/>
        <a:lstStyle/>
        <a:p>
          <a:endParaRPr lang="en-US"/>
        </a:p>
      </dgm:t>
    </dgm:pt>
    <dgm:pt modelId="{6A41913A-E478-4AD5-BAB9-5202F5720846}" type="pres">
      <dgm:prSet presAssocID="{BB4EA6BD-1D84-46A1-8546-4F2549B7BEE2}" presName="level3hierChild" presStyleCnt="0"/>
      <dgm:spPr/>
    </dgm:pt>
    <dgm:pt modelId="{60696E16-F966-4A6F-9B85-FD93C440585E}" type="pres">
      <dgm:prSet presAssocID="{8096C497-0250-494B-88BB-FF30F5539247}" presName="conn2-1" presStyleLbl="parChTrans1D3" presStyleIdx="5" presStyleCnt="8"/>
      <dgm:spPr/>
      <dgm:t>
        <a:bodyPr/>
        <a:lstStyle/>
        <a:p>
          <a:endParaRPr lang="en-US"/>
        </a:p>
      </dgm:t>
    </dgm:pt>
    <dgm:pt modelId="{EB0264E8-8B0E-402B-B872-E92554E0E7AA}" type="pres">
      <dgm:prSet presAssocID="{8096C497-0250-494B-88BB-FF30F5539247}" presName="connTx" presStyleLbl="parChTrans1D3" presStyleIdx="5" presStyleCnt="8"/>
      <dgm:spPr/>
      <dgm:t>
        <a:bodyPr/>
        <a:lstStyle/>
        <a:p>
          <a:endParaRPr lang="en-US"/>
        </a:p>
      </dgm:t>
    </dgm:pt>
    <dgm:pt modelId="{0FB1A310-6E3D-4679-A877-EABE5F48384E}" type="pres">
      <dgm:prSet presAssocID="{9A7700BF-EB71-4167-8D9A-1945DB31FF17}" presName="root2" presStyleCnt="0"/>
      <dgm:spPr/>
    </dgm:pt>
    <dgm:pt modelId="{62ED8315-FF8C-4B60-9521-3C58976A990C}" type="pres">
      <dgm:prSet presAssocID="{9A7700BF-EB71-4167-8D9A-1945DB31FF17}" presName="LevelTwoTextNode" presStyleLbl="node3" presStyleIdx="5" presStyleCnt="8" custScaleX="189272" custScaleY="161762" custLinFactNeighborX="71782">
        <dgm:presLayoutVars>
          <dgm:chPref val="3"/>
        </dgm:presLayoutVars>
      </dgm:prSet>
      <dgm:spPr/>
      <dgm:t>
        <a:bodyPr/>
        <a:lstStyle/>
        <a:p>
          <a:endParaRPr lang="en-US"/>
        </a:p>
      </dgm:t>
    </dgm:pt>
    <dgm:pt modelId="{B7EA684D-2F4A-47BC-B3E6-0468838BDCA1}" type="pres">
      <dgm:prSet presAssocID="{9A7700BF-EB71-4167-8D9A-1945DB31FF17}" presName="level3hierChild" presStyleCnt="0"/>
      <dgm:spPr/>
    </dgm:pt>
    <dgm:pt modelId="{F19F5DE0-66D9-4DAE-B993-16BCB9A48169}" type="pres">
      <dgm:prSet presAssocID="{13677085-D4AF-4304-AD5A-151AA80D9AD7}" presName="conn2-1" presStyleLbl="parChTrans1D3" presStyleIdx="6" presStyleCnt="8"/>
      <dgm:spPr/>
      <dgm:t>
        <a:bodyPr/>
        <a:lstStyle/>
        <a:p>
          <a:endParaRPr lang="en-US"/>
        </a:p>
      </dgm:t>
    </dgm:pt>
    <dgm:pt modelId="{E1D0E6E3-DCCE-4DF3-B37F-9E72FD1D32EC}" type="pres">
      <dgm:prSet presAssocID="{13677085-D4AF-4304-AD5A-151AA80D9AD7}" presName="connTx" presStyleLbl="parChTrans1D3" presStyleIdx="6" presStyleCnt="8"/>
      <dgm:spPr/>
      <dgm:t>
        <a:bodyPr/>
        <a:lstStyle/>
        <a:p>
          <a:endParaRPr lang="en-US"/>
        </a:p>
      </dgm:t>
    </dgm:pt>
    <dgm:pt modelId="{A3096EC5-D86E-40E8-B482-7D1B717A749E}" type="pres">
      <dgm:prSet presAssocID="{283C0D2C-B347-4C88-8F4C-F28E4D7B19CC}" presName="root2" presStyleCnt="0"/>
      <dgm:spPr/>
    </dgm:pt>
    <dgm:pt modelId="{60E9AF8A-D794-4D36-B0A4-E2FD8324C40C}" type="pres">
      <dgm:prSet presAssocID="{283C0D2C-B347-4C88-8F4C-F28E4D7B19CC}" presName="LevelTwoTextNode" presStyleLbl="node3" presStyleIdx="6" presStyleCnt="8" custScaleX="191796" custScaleY="201890" custLinFactNeighborX="71782">
        <dgm:presLayoutVars>
          <dgm:chPref val="3"/>
        </dgm:presLayoutVars>
      </dgm:prSet>
      <dgm:spPr/>
      <dgm:t>
        <a:bodyPr/>
        <a:lstStyle/>
        <a:p>
          <a:endParaRPr lang="en-US"/>
        </a:p>
      </dgm:t>
    </dgm:pt>
    <dgm:pt modelId="{B640F427-E647-4CA3-BDE0-93C51BE0E16D}" type="pres">
      <dgm:prSet presAssocID="{283C0D2C-B347-4C88-8F4C-F28E4D7B19CC}" presName="level3hierChild" presStyleCnt="0"/>
      <dgm:spPr/>
    </dgm:pt>
    <dgm:pt modelId="{83162D1A-8B27-46A4-A80A-626B5F3BFE1E}" type="pres">
      <dgm:prSet presAssocID="{E9904293-9967-4C36-8C22-A9FEA500DDE6}" presName="conn2-1" presStyleLbl="parChTrans1D3" presStyleIdx="7" presStyleCnt="8"/>
      <dgm:spPr/>
      <dgm:t>
        <a:bodyPr/>
        <a:lstStyle/>
        <a:p>
          <a:endParaRPr lang="en-US"/>
        </a:p>
      </dgm:t>
    </dgm:pt>
    <dgm:pt modelId="{A6B45086-78BD-4969-9726-4E81D82D9EC6}" type="pres">
      <dgm:prSet presAssocID="{E9904293-9967-4C36-8C22-A9FEA500DDE6}" presName="connTx" presStyleLbl="parChTrans1D3" presStyleIdx="7" presStyleCnt="8"/>
      <dgm:spPr/>
      <dgm:t>
        <a:bodyPr/>
        <a:lstStyle/>
        <a:p>
          <a:endParaRPr lang="en-US"/>
        </a:p>
      </dgm:t>
    </dgm:pt>
    <dgm:pt modelId="{3C1309B4-5BCE-4BD7-9B55-F718C1A9E68C}" type="pres">
      <dgm:prSet presAssocID="{D42EDC69-3F3F-40B6-BF0C-5ECE8556F126}" presName="root2" presStyleCnt="0"/>
      <dgm:spPr/>
    </dgm:pt>
    <dgm:pt modelId="{9E438D66-D4AF-4782-A17B-5DDB233ED504}" type="pres">
      <dgm:prSet presAssocID="{D42EDC69-3F3F-40B6-BF0C-5ECE8556F126}" presName="LevelTwoTextNode" presStyleLbl="node3" presStyleIdx="7" presStyleCnt="8" custScaleX="189272" custLinFactNeighborX="71782">
        <dgm:presLayoutVars>
          <dgm:chPref val="3"/>
        </dgm:presLayoutVars>
      </dgm:prSet>
      <dgm:spPr/>
      <dgm:t>
        <a:bodyPr/>
        <a:lstStyle/>
        <a:p>
          <a:endParaRPr lang="en-US"/>
        </a:p>
      </dgm:t>
    </dgm:pt>
    <dgm:pt modelId="{7493A5A2-D97A-4171-B7B0-033C1CBBB882}" type="pres">
      <dgm:prSet presAssocID="{D42EDC69-3F3F-40B6-BF0C-5ECE8556F126}" presName="level3hierChild" presStyleCnt="0"/>
      <dgm:spPr/>
    </dgm:pt>
  </dgm:ptLst>
  <dgm:cxnLst>
    <dgm:cxn modelId="{D2E7BAEA-4264-4231-A612-DBB029F23501}" type="presOf" srcId="{7BD5AD23-FE31-4A58-9F26-894764338D2F}" destId="{5BE27D43-32E0-4093-97DB-0D9D261A6911}" srcOrd="0" destOrd="0" presId="urn:microsoft.com/office/officeart/2005/8/layout/hierarchy2"/>
    <dgm:cxn modelId="{C59246D9-EF16-46A5-8511-7F6676287A34}" type="presOf" srcId="{321B3787-5B8A-442A-988F-654B08A860C7}" destId="{8DC4C696-C6A7-4241-8875-8EA130CE132C}" srcOrd="1" destOrd="0" presId="urn:microsoft.com/office/officeart/2005/8/layout/hierarchy2"/>
    <dgm:cxn modelId="{93D08E11-FD9B-4877-958A-2D560938D370}" type="presOf" srcId="{BBEB45E8-218C-4C62-BBB6-94A765379EE0}" destId="{4110610E-B064-49E0-88BD-9DA527E747B2}" srcOrd="0" destOrd="0" presId="urn:microsoft.com/office/officeart/2005/8/layout/hierarchy2"/>
    <dgm:cxn modelId="{A35E4B96-DF2D-46B5-8642-370594B528AA}" srcId="{7C833B08-BF90-485C-B518-2E1021048612}" destId="{BB4EA6BD-1D84-46A1-8546-4F2549B7BEE2}" srcOrd="0" destOrd="0" parTransId="{321B3787-5B8A-442A-988F-654B08A860C7}" sibTransId="{27E43590-7DF7-47C3-91C2-A785624D2336}"/>
    <dgm:cxn modelId="{827EB578-EFA6-4C84-9AE7-C1DF146EBE03}" type="presOf" srcId="{BD8A0B27-8875-4EB9-AF9E-3CFDF609EA43}" destId="{DFF79840-06C1-43AF-BEE1-D01C741ADF9D}" srcOrd="0" destOrd="0" presId="urn:microsoft.com/office/officeart/2005/8/layout/hierarchy2"/>
    <dgm:cxn modelId="{07547E69-5BC9-4CB5-9956-61BD60E98FE1}" type="presOf" srcId="{BB4EA6BD-1D84-46A1-8546-4F2549B7BEE2}" destId="{629EF0B1-8D5E-4B5E-9F99-135E6DB74AF3}" srcOrd="0" destOrd="0" presId="urn:microsoft.com/office/officeart/2005/8/layout/hierarchy2"/>
    <dgm:cxn modelId="{7B5A5A37-29EA-413A-8AA2-979B5F44E1CC}" type="presOf" srcId="{F4930D1E-2D71-4322-B94C-DEF0EB3EAD5A}" destId="{058D545C-88F8-4F6E-AAA9-5427AD031882}" srcOrd="1" destOrd="0" presId="urn:microsoft.com/office/officeart/2005/8/layout/hierarchy2"/>
    <dgm:cxn modelId="{7737CCAE-0DB6-448A-ABBC-7B845488BB7B}" type="presOf" srcId="{321B3787-5B8A-442A-988F-654B08A860C7}" destId="{9247F274-81C8-45B3-AD9C-7138CBB468FE}" srcOrd="0" destOrd="0" presId="urn:microsoft.com/office/officeart/2005/8/layout/hierarchy2"/>
    <dgm:cxn modelId="{2CEFA6E6-326A-4999-AC07-D0C8FF07B354}" type="presOf" srcId="{8096C497-0250-494B-88BB-FF30F5539247}" destId="{EB0264E8-8B0E-402B-B872-E92554E0E7AA}" srcOrd="1" destOrd="0" presId="urn:microsoft.com/office/officeart/2005/8/layout/hierarchy2"/>
    <dgm:cxn modelId="{C0080603-F126-4C71-9203-45A1B85B7A3B}" type="presOf" srcId="{E7D9AD7F-6565-445C-8D5A-0E7EAC0587EB}" destId="{58241C2F-7EE5-492A-AD9D-D52317C7DFE5}" srcOrd="1" destOrd="0" presId="urn:microsoft.com/office/officeart/2005/8/layout/hierarchy2"/>
    <dgm:cxn modelId="{5DA26300-6039-4CB1-83B1-133BAB068764}" type="presOf" srcId="{5F65C317-1F5C-41D3-8161-4AF022ABAE22}" destId="{22F451EB-754E-494B-9CB1-B2F3DDA1AE5D}" srcOrd="1" destOrd="0" presId="urn:microsoft.com/office/officeart/2005/8/layout/hierarchy2"/>
    <dgm:cxn modelId="{1C50FE6E-2D2E-465E-B8C0-C208D781A962}" type="presOf" srcId="{4AD6BBA6-9615-4AA3-A830-F7E3D5121CDA}" destId="{0C6C2E6D-4349-46F1-A726-E39F9A387881}" srcOrd="1" destOrd="0" presId="urn:microsoft.com/office/officeart/2005/8/layout/hierarchy2"/>
    <dgm:cxn modelId="{CD16D7DD-3509-4B13-894F-9BA154824709}" type="presOf" srcId="{48DD85E9-5159-40AD-87A3-E10B8D3BA3A3}" destId="{99DAB565-59A2-4311-850E-2E0DB0AEFDAD}" srcOrd="0" destOrd="0" presId="urn:microsoft.com/office/officeart/2005/8/layout/hierarchy2"/>
    <dgm:cxn modelId="{935FAB77-F4B1-44BA-95E6-F1A9CFBC6A21}" srcId="{22D85ACC-EC1C-4442-8A19-86FF6626ACD3}" destId="{7BD5AD23-FE31-4A58-9F26-894764338D2F}" srcOrd="0" destOrd="0" parTransId="{F4930D1E-2D71-4322-B94C-DEF0EB3EAD5A}" sibTransId="{F24CB1B0-C0BB-47B6-A346-7B845F6FB353}"/>
    <dgm:cxn modelId="{BBE43FE4-FD9D-4618-B2BF-464B3A1AABB9}" srcId="{BD8A0B27-8875-4EB9-AF9E-3CFDF609EA43}" destId="{487B8DAD-83CC-451E-A223-FC8474C88476}" srcOrd="0" destOrd="0" parTransId="{D5887BBB-F74B-40F3-94E3-DF462387689B}" sibTransId="{236C80BD-7B34-4412-9216-025CCD17FCF4}"/>
    <dgm:cxn modelId="{82719552-9F0C-4CFB-B78E-581ADD5FD83D}" srcId="{487B8DAD-83CC-451E-A223-FC8474C88476}" destId="{22D85ACC-EC1C-4442-8A19-86FF6626ACD3}" srcOrd="0" destOrd="0" parTransId="{E7D9AD7F-6565-445C-8D5A-0E7EAC0587EB}" sibTransId="{CFD3F73D-81A0-4802-833B-0C0F79AF6266}"/>
    <dgm:cxn modelId="{C3698EAB-52D2-4F29-A2C4-6FC12FB2C617}" type="presOf" srcId="{F8E6A376-D63B-4D38-9507-4F6C5A97852C}" destId="{64A2F89A-BF24-4104-AA29-7D844CD80E2D}" srcOrd="0" destOrd="0" presId="urn:microsoft.com/office/officeart/2005/8/layout/hierarchy2"/>
    <dgm:cxn modelId="{E6A14A03-7170-411B-B0A9-4F0484502F64}" type="presOf" srcId="{4AD6BBA6-9615-4AA3-A830-F7E3D5121CDA}" destId="{2F31889F-4E6D-4D8A-AAFA-1053E06A98B9}" srcOrd="0" destOrd="0" presId="urn:microsoft.com/office/officeart/2005/8/layout/hierarchy2"/>
    <dgm:cxn modelId="{C2986388-5866-4696-8A4B-335C6716665D}" type="presOf" srcId="{40BBA60E-9FCE-4B89-8895-F6FCDA9A2956}" destId="{3D9B02E3-1B48-425B-8D92-B58635E083AE}" srcOrd="0" destOrd="0" presId="urn:microsoft.com/office/officeart/2005/8/layout/hierarchy2"/>
    <dgm:cxn modelId="{B58D1117-6E02-4368-BBB5-C5384466F6C8}" type="presOf" srcId="{8096C497-0250-494B-88BB-FF30F5539247}" destId="{60696E16-F966-4A6F-9B85-FD93C440585E}" srcOrd="0" destOrd="0" presId="urn:microsoft.com/office/officeart/2005/8/layout/hierarchy2"/>
    <dgm:cxn modelId="{F249D16D-4345-4AD3-8771-2868FDE961AE}" type="presOf" srcId="{E9904293-9967-4C36-8C22-A9FEA500DDE6}" destId="{83162D1A-8B27-46A4-A80A-626B5F3BFE1E}" srcOrd="0" destOrd="0" presId="urn:microsoft.com/office/officeart/2005/8/layout/hierarchy2"/>
    <dgm:cxn modelId="{DFBAD3BF-0CA5-484D-914A-627525F6605E}" srcId="{7C833B08-BF90-485C-B518-2E1021048612}" destId="{D42EDC69-3F3F-40B6-BF0C-5ECE8556F126}" srcOrd="3" destOrd="0" parTransId="{E9904293-9967-4C36-8C22-A9FEA500DDE6}" sibTransId="{E512D1BC-8BE9-4CA1-954F-2D4869560CDB}"/>
    <dgm:cxn modelId="{0870E1E6-5CA0-4094-922C-D8CD86D38AD8}" type="presOf" srcId="{487B8DAD-83CC-451E-A223-FC8474C88476}" destId="{18D45949-E800-4A9C-9D88-6A10C50F0367}" srcOrd="0" destOrd="0" presId="urn:microsoft.com/office/officeart/2005/8/layout/hierarchy2"/>
    <dgm:cxn modelId="{17C9AB9C-21B1-4200-9695-FA056F1090E8}" srcId="{7C833B08-BF90-485C-B518-2E1021048612}" destId="{9A7700BF-EB71-4167-8D9A-1945DB31FF17}" srcOrd="1" destOrd="0" parTransId="{8096C497-0250-494B-88BB-FF30F5539247}" sibTransId="{10362CC8-0F00-4E8A-9830-0F2650C1145E}"/>
    <dgm:cxn modelId="{24EA9E5D-EA9A-4B43-987E-E06AC5301AFF}" type="presOf" srcId="{13677085-D4AF-4304-AD5A-151AA80D9AD7}" destId="{E1D0E6E3-DCCE-4DF3-B37F-9E72FD1D32EC}" srcOrd="1" destOrd="0" presId="urn:microsoft.com/office/officeart/2005/8/layout/hierarchy2"/>
    <dgm:cxn modelId="{B337C3D2-EB1B-4983-8428-436331A9F7B5}" type="presOf" srcId="{1938C569-A523-459A-974E-068364D0190D}" destId="{8A134976-7BAE-4538-A929-F69EE6DDC350}" srcOrd="1" destOrd="0" presId="urn:microsoft.com/office/officeart/2005/8/layout/hierarchy2"/>
    <dgm:cxn modelId="{E8FCE125-93C8-4016-AC7B-63A64688422F}" type="presOf" srcId="{7C833B08-BF90-485C-B518-2E1021048612}" destId="{1E28807F-07FE-4206-98F0-7FADE2A39179}" srcOrd="0" destOrd="0" presId="urn:microsoft.com/office/officeart/2005/8/layout/hierarchy2"/>
    <dgm:cxn modelId="{2ECF5AD2-D440-42A0-960C-05B127834E20}" type="presOf" srcId="{13677085-D4AF-4304-AD5A-151AA80D9AD7}" destId="{F19F5DE0-66D9-4DAE-B993-16BCB9A48169}" srcOrd="0" destOrd="0" presId="urn:microsoft.com/office/officeart/2005/8/layout/hierarchy2"/>
    <dgm:cxn modelId="{1DC740BB-79F7-4933-9394-2EA2DDE41BAC}" type="presOf" srcId="{283C0D2C-B347-4C88-8F4C-F28E4D7B19CC}" destId="{60E9AF8A-D794-4D36-B0A4-E2FD8324C40C}" srcOrd="0" destOrd="0" presId="urn:microsoft.com/office/officeart/2005/8/layout/hierarchy2"/>
    <dgm:cxn modelId="{F12659AF-CF1C-4243-A387-1F154CDF00DD}" type="presOf" srcId="{1938C569-A523-459A-974E-068364D0190D}" destId="{32AC25E5-7683-4574-A2EB-B2F95E745079}" srcOrd="0" destOrd="0" presId="urn:microsoft.com/office/officeart/2005/8/layout/hierarchy2"/>
    <dgm:cxn modelId="{2F7D6C61-66F9-444B-88F0-5DFC53F3CFB5}" type="presOf" srcId="{F4930D1E-2D71-4322-B94C-DEF0EB3EAD5A}" destId="{463937F1-9234-42B5-964C-11D9A4D79DEF}" srcOrd="0" destOrd="0" presId="urn:microsoft.com/office/officeart/2005/8/layout/hierarchy2"/>
    <dgm:cxn modelId="{F63DC038-0B60-43D5-AEF0-692405BEE6D8}" type="presOf" srcId="{5F65C317-1F5C-41D3-8161-4AF022ABAE22}" destId="{DC15A414-DEB8-4C02-917C-C7E35F327A87}" srcOrd="0" destOrd="0" presId="urn:microsoft.com/office/officeart/2005/8/layout/hierarchy2"/>
    <dgm:cxn modelId="{4BEC8A40-44B1-43CA-8443-E669A9C0AD0F}" type="presOf" srcId="{E7D9AD7F-6565-445C-8D5A-0E7EAC0587EB}" destId="{EE727BC5-78DC-4B88-9271-2EF652F28559}" srcOrd="0" destOrd="0" presId="urn:microsoft.com/office/officeart/2005/8/layout/hierarchy2"/>
    <dgm:cxn modelId="{80EFBA2F-19C4-444E-960A-F8472F5F80F8}" srcId="{22D85ACC-EC1C-4442-8A19-86FF6626ACD3}" destId="{48DD85E9-5159-40AD-87A3-E10B8D3BA3A3}" srcOrd="1" destOrd="0" parTransId="{4AD6BBA6-9615-4AA3-A830-F7E3D5121CDA}" sibTransId="{EDE9D940-EEE7-4CFF-804B-9BE4F8B7CC5B}"/>
    <dgm:cxn modelId="{5A072D2A-A4FD-4124-A96A-D26A3E0DD24F}" srcId="{7C833B08-BF90-485C-B518-2E1021048612}" destId="{283C0D2C-B347-4C88-8F4C-F28E4D7B19CC}" srcOrd="2" destOrd="0" parTransId="{13677085-D4AF-4304-AD5A-151AA80D9AD7}" sibTransId="{79CAC77F-64F6-4FC0-987E-E4D129522308}"/>
    <dgm:cxn modelId="{0214A800-D25A-4CB6-B5D2-6927A52EBC07}" type="presOf" srcId="{9A7700BF-EB71-4167-8D9A-1945DB31FF17}" destId="{62ED8315-FF8C-4B60-9521-3C58976A990C}" srcOrd="0" destOrd="0" presId="urn:microsoft.com/office/officeart/2005/8/layout/hierarchy2"/>
    <dgm:cxn modelId="{F51A2B88-7E1D-46F0-B5C4-F7D010CEE1C0}" srcId="{22D85ACC-EC1C-4442-8A19-86FF6626ACD3}" destId="{F8E6A376-D63B-4D38-9507-4F6C5A97852C}" srcOrd="2" destOrd="0" parTransId="{1938C569-A523-459A-974E-068364D0190D}" sibTransId="{7B5E0D6F-F4A1-4927-BF73-3E601A937FBF}"/>
    <dgm:cxn modelId="{6E3F5759-728C-4C61-828E-F29A975C768D}" srcId="{487B8DAD-83CC-451E-A223-FC8474C88476}" destId="{7C833B08-BF90-485C-B518-2E1021048612}" srcOrd="1" destOrd="0" parTransId="{BBEB45E8-218C-4C62-BBB6-94A765379EE0}" sibTransId="{80C572DB-EB70-4F19-BB01-2E0BDF3C7BB2}"/>
    <dgm:cxn modelId="{296EBF64-8424-48D8-A90C-7EBBADB7E7E7}" type="presOf" srcId="{D42EDC69-3F3F-40B6-BF0C-5ECE8556F126}" destId="{9E438D66-D4AF-4782-A17B-5DDB233ED504}" srcOrd="0" destOrd="0" presId="urn:microsoft.com/office/officeart/2005/8/layout/hierarchy2"/>
    <dgm:cxn modelId="{76ED3AD0-0F1A-4F53-952D-0BE6555A8921}" type="presOf" srcId="{E9904293-9967-4C36-8C22-A9FEA500DDE6}" destId="{A6B45086-78BD-4969-9726-4E81D82D9EC6}" srcOrd="1" destOrd="0" presId="urn:microsoft.com/office/officeart/2005/8/layout/hierarchy2"/>
    <dgm:cxn modelId="{7CA5478F-FB62-447E-9794-BF0CC30A2708}" srcId="{22D85ACC-EC1C-4442-8A19-86FF6626ACD3}" destId="{40BBA60E-9FCE-4B89-8895-F6FCDA9A2956}" srcOrd="3" destOrd="0" parTransId="{5F65C317-1F5C-41D3-8161-4AF022ABAE22}" sibTransId="{B208B418-C463-43B2-95F1-0108E53D3505}"/>
    <dgm:cxn modelId="{6441E1F0-6538-46AC-A7CE-1FA89CF77087}" type="presOf" srcId="{22D85ACC-EC1C-4442-8A19-86FF6626ACD3}" destId="{A9540D18-F5F0-49D4-9742-6073E7B58C00}" srcOrd="0" destOrd="0" presId="urn:microsoft.com/office/officeart/2005/8/layout/hierarchy2"/>
    <dgm:cxn modelId="{7E82B482-A81E-450F-B1C6-A9EF65954BFF}" type="presOf" srcId="{BBEB45E8-218C-4C62-BBB6-94A765379EE0}" destId="{A5D4A24E-C596-4A94-8C6F-8495B915AF2B}" srcOrd="1" destOrd="0" presId="urn:microsoft.com/office/officeart/2005/8/layout/hierarchy2"/>
    <dgm:cxn modelId="{BD94EB82-CA12-430F-B608-A1E7B03D0054}" type="presParOf" srcId="{DFF79840-06C1-43AF-BEE1-D01C741ADF9D}" destId="{E0C98CF0-20D3-4691-B323-38417D03520B}" srcOrd="0" destOrd="0" presId="urn:microsoft.com/office/officeart/2005/8/layout/hierarchy2"/>
    <dgm:cxn modelId="{3720600D-33F9-457E-80AB-A1B8AE921D5D}" type="presParOf" srcId="{E0C98CF0-20D3-4691-B323-38417D03520B}" destId="{18D45949-E800-4A9C-9D88-6A10C50F0367}" srcOrd="0" destOrd="0" presId="urn:microsoft.com/office/officeart/2005/8/layout/hierarchy2"/>
    <dgm:cxn modelId="{FE5F5BFA-7010-4C92-BF2C-0CD1CF8DA330}" type="presParOf" srcId="{E0C98CF0-20D3-4691-B323-38417D03520B}" destId="{891F283B-7F38-4AA5-B2DF-2B85A1B90215}" srcOrd="1" destOrd="0" presId="urn:microsoft.com/office/officeart/2005/8/layout/hierarchy2"/>
    <dgm:cxn modelId="{158F967C-66B9-4EA2-BAA8-6D564A821A0F}" type="presParOf" srcId="{891F283B-7F38-4AA5-B2DF-2B85A1B90215}" destId="{EE727BC5-78DC-4B88-9271-2EF652F28559}" srcOrd="0" destOrd="0" presId="urn:microsoft.com/office/officeart/2005/8/layout/hierarchy2"/>
    <dgm:cxn modelId="{2117330B-998F-4992-AA05-D6A9F205A393}" type="presParOf" srcId="{EE727BC5-78DC-4B88-9271-2EF652F28559}" destId="{58241C2F-7EE5-492A-AD9D-D52317C7DFE5}" srcOrd="0" destOrd="0" presId="urn:microsoft.com/office/officeart/2005/8/layout/hierarchy2"/>
    <dgm:cxn modelId="{CF69F358-3F8C-40C9-A23B-27BFFBBB4080}" type="presParOf" srcId="{891F283B-7F38-4AA5-B2DF-2B85A1B90215}" destId="{219282C8-0410-4346-BAE5-FFA158B238AD}" srcOrd="1" destOrd="0" presId="urn:microsoft.com/office/officeart/2005/8/layout/hierarchy2"/>
    <dgm:cxn modelId="{28E2E807-D834-4C34-AE4D-44CC0737C619}" type="presParOf" srcId="{219282C8-0410-4346-BAE5-FFA158B238AD}" destId="{A9540D18-F5F0-49D4-9742-6073E7B58C00}" srcOrd="0" destOrd="0" presId="urn:microsoft.com/office/officeart/2005/8/layout/hierarchy2"/>
    <dgm:cxn modelId="{35ABE930-A555-410C-BBE0-987A552F124B}" type="presParOf" srcId="{219282C8-0410-4346-BAE5-FFA158B238AD}" destId="{38A9EFD3-718B-469D-B1A0-7AE17B75CBF2}" srcOrd="1" destOrd="0" presId="urn:microsoft.com/office/officeart/2005/8/layout/hierarchy2"/>
    <dgm:cxn modelId="{718D9518-6A80-42F7-A4C9-D767B85F6744}" type="presParOf" srcId="{38A9EFD3-718B-469D-B1A0-7AE17B75CBF2}" destId="{463937F1-9234-42B5-964C-11D9A4D79DEF}" srcOrd="0" destOrd="0" presId="urn:microsoft.com/office/officeart/2005/8/layout/hierarchy2"/>
    <dgm:cxn modelId="{E34358A8-B547-4552-9674-407D42B3B603}" type="presParOf" srcId="{463937F1-9234-42B5-964C-11D9A4D79DEF}" destId="{058D545C-88F8-4F6E-AAA9-5427AD031882}" srcOrd="0" destOrd="0" presId="urn:microsoft.com/office/officeart/2005/8/layout/hierarchy2"/>
    <dgm:cxn modelId="{962B4BC1-1AF2-4EF5-8E7B-1457D7F945E0}" type="presParOf" srcId="{38A9EFD3-718B-469D-B1A0-7AE17B75CBF2}" destId="{29442CEA-E80C-4B24-8EB0-F5D5EBB23870}" srcOrd="1" destOrd="0" presId="urn:microsoft.com/office/officeart/2005/8/layout/hierarchy2"/>
    <dgm:cxn modelId="{B1129181-3F13-466D-A192-6FF5EC69B61E}" type="presParOf" srcId="{29442CEA-E80C-4B24-8EB0-F5D5EBB23870}" destId="{5BE27D43-32E0-4093-97DB-0D9D261A6911}" srcOrd="0" destOrd="0" presId="urn:microsoft.com/office/officeart/2005/8/layout/hierarchy2"/>
    <dgm:cxn modelId="{566614D8-6474-497B-9167-D985372C693A}" type="presParOf" srcId="{29442CEA-E80C-4B24-8EB0-F5D5EBB23870}" destId="{5F14B8C5-5E68-4DEF-BCF4-B2C06AF6515B}" srcOrd="1" destOrd="0" presId="urn:microsoft.com/office/officeart/2005/8/layout/hierarchy2"/>
    <dgm:cxn modelId="{AD5FC4BE-B99E-4D47-94BE-137F02AA5D48}" type="presParOf" srcId="{38A9EFD3-718B-469D-B1A0-7AE17B75CBF2}" destId="{2F31889F-4E6D-4D8A-AAFA-1053E06A98B9}" srcOrd="2" destOrd="0" presId="urn:microsoft.com/office/officeart/2005/8/layout/hierarchy2"/>
    <dgm:cxn modelId="{D178CF93-72AD-4B67-8FA4-345D6BC8EEA5}" type="presParOf" srcId="{2F31889F-4E6D-4D8A-AAFA-1053E06A98B9}" destId="{0C6C2E6D-4349-46F1-A726-E39F9A387881}" srcOrd="0" destOrd="0" presId="urn:microsoft.com/office/officeart/2005/8/layout/hierarchy2"/>
    <dgm:cxn modelId="{4779E64D-C8A8-450A-AADE-F23AB1AAE2CC}" type="presParOf" srcId="{38A9EFD3-718B-469D-B1A0-7AE17B75CBF2}" destId="{6482E4D7-28E7-4F8A-9D8A-89C1F0A31CFE}" srcOrd="3" destOrd="0" presId="urn:microsoft.com/office/officeart/2005/8/layout/hierarchy2"/>
    <dgm:cxn modelId="{9B8EF50F-A040-450F-997B-6498A4AB0698}" type="presParOf" srcId="{6482E4D7-28E7-4F8A-9D8A-89C1F0A31CFE}" destId="{99DAB565-59A2-4311-850E-2E0DB0AEFDAD}" srcOrd="0" destOrd="0" presId="urn:microsoft.com/office/officeart/2005/8/layout/hierarchy2"/>
    <dgm:cxn modelId="{F562D43E-E222-47FB-9DD0-CB33E8707269}" type="presParOf" srcId="{6482E4D7-28E7-4F8A-9D8A-89C1F0A31CFE}" destId="{49379C92-FAEB-41A0-9FC3-9A677DBAED44}" srcOrd="1" destOrd="0" presId="urn:microsoft.com/office/officeart/2005/8/layout/hierarchy2"/>
    <dgm:cxn modelId="{F1E503BA-A681-4651-9A5D-CDA0929D3409}" type="presParOf" srcId="{38A9EFD3-718B-469D-B1A0-7AE17B75CBF2}" destId="{32AC25E5-7683-4574-A2EB-B2F95E745079}" srcOrd="4" destOrd="0" presId="urn:microsoft.com/office/officeart/2005/8/layout/hierarchy2"/>
    <dgm:cxn modelId="{4F4E2C22-E960-41BA-A124-8421694AF46A}" type="presParOf" srcId="{32AC25E5-7683-4574-A2EB-B2F95E745079}" destId="{8A134976-7BAE-4538-A929-F69EE6DDC350}" srcOrd="0" destOrd="0" presId="urn:microsoft.com/office/officeart/2005/8/layout/hierarchy2"/>
    <dgm:cxn modelId="{77023337-8018-413E-90D8-0C91BB4FB861}" type="presParOf" srcId="{38A9EFD3-718B-469D-B1A0-7AE17B75CBF2}" destId="{8D26953C-C453-49C8-BF51-FF7A1AE8DBE9}" srcOrd="5" destOrd="0" presId="urn:microsoft.com/office/officeart/2005/8/layout/hierarchy2"/>
    <dgm:cxn modelId="{83E0A819-0288-4C51-B635-1563F05C5D42}" type="presParOf" srcId="{8D26953C-C453-49C8-BF51-FF7A1AE8DBE9}" destId="{64A2F89A-BF24-4104-AA29-7D844CD80E2D}" srcOrd="0" destOrd="0" presId="urn:microsoft.com/office/officeart/2005/8/layout/hierarchy2"/>
    <dgm:cxn modelId="{8D4F8CAC-A169-4EFB-8B35-D7404DAFC3AA}" type="presParOf" srcId="{8D26953C-C453-49C8-BF51-FF7A1AE8DBE9}" destId="{AD412BAD-316E-4945-9EEA-74E132867A28}" srcOrd="1" destOrd="0" presId="urn:microsoft.com/office/officeart/2005/8/layout/hierarchy2"/>
    <dgm:cxn modelId="{BBE6D98E-607E-4E97-B9AB-11DFD771EF2C}" type="presParOf" srcId="{38A9EFD3-718B-469D-B1A0-7AE17B75CBF2}" destId="{DC15A414-DEB8-4C02-917C-C7E35F327A87}" srcOrd="6" destOrd="0" presId="urn:microsoft.com/office/officeart/2005/8/layout/hierarchy2"/>
    <dgm:cxn modelId="{EF7754C3-136B-406F-9862-626601016C4E}" type="presParOf" srcId="{DC15A414-DEB8-4C02-917C-C7E35F327A87}" destId="{22F451EB-754E-494B-9CB1-B2F3DDA1AE5D}" srcOrd="0" destOrd="0" presId="urn:microsoft.com/office/officeart/2005/8/layout/hierarchy2"/>
    <dgm:cxn modelId="{72A10B81-400C-4889-83B0-371D06191BB4}" type="presParOf" srcId="{38A9EFD3-718B-469D-B1A0-7AE17B75CBF2}" destId="{90374BCB-0442-48BE-A056-8D3CA7516385}" srcOrd="7" destOrd="0" presId="urn:microsoft.com/office/officeart/2005/8/layout/hierarchy2"/>
    <dgm:cxn modelId="{3035960A-71F0-448A-8F53-528081ADDE1C}" type="presParOf" srcId="{90374BCB-0442-48BE-A056-8D3CA7516385}" destId="{3D9B02E3-1B48-425B-8D92-B58635E083AE}" srcOrd="0" destOrd="0" presId="urn:microsoft.com/office/officeart/2005/8/layout/hierarchy2"/>
    <dgm:cxn modelId="{F18AEC2D-2573-4778-8A41-5D078426F8EC}" type="presParOf" srcId="{90374BCB-0442-48BE-A056-8D3CA7516385}" destId="{A9AA5ECC-C38F-4221-854D-E0C95E141DE2}" srcOrd="1" destOrd="0" presId="urn:microsoft.com/office/officeart/2005/8/layout/hierarchy2"/>
    <dgm:cxn modelId="{F7FE495A-64A8-439B-972F-21A1CB8BAF53}" type="presParOf" srcId="{891F283B-7F38-4AA5-B2DF-2B85A1B90215}" destId="{4110610E-B064-49E0-88BD-9DA527E747B2}" srcOrd="2" destOrd="0" presId="urn:microsoft.com/office/officeart/2005/8/layout/hierarchy2"/>
    <dgm:cxn modelId="{185EF088-649E-410F-AC14-F857D7DB05B5}" type="presParOf" srcId="{4110610E-B064-49E0-88BD-9DA527E747B2}" destId="{A5D4A24E-C596-4A94-8C6F-8495B915AF2B}" srcOrd="0" destOrd="0" presId="urn:microsoft.com/office/officeart/2005/8/layout/hierarchy2"/>
    <dgm:cxn modelId="{0BB8B3F0-31A1-453F-B97C-D4A6AE86EC02}" type="presParOf" srcId="{891F283B-7F38-4AA5-B2DF-2B85A1B90215}" destId="{5337F558-D14C-4F78-8E9B-E782B336FE6E}" srcOrd="3" destOrd="0" presId="urn:microsoft.com/office/officeart/2005/8/layout/hierarchy2"/>
    <dgm:cxn modelId="{917D5C74-2FF0-4905-8F4A-7A0DB798C2F2}" type="presParOf" srcId="{5337F558-D14C-4F78-8E9B-E782B336FE6E}" destId="{1E28807F-07FE-4206-98F0-7FADE2A39179}" srcOrd="0" destOrd="0" presId="urn:microsoft.com/office/officeart/2005/8/layout/hierarchy2"/>
    <dgm:cxn modelId="{10B2EADE-B028-4545-BE7C-C8615F5D24FA}" type="presParOf" srcId="{5337F558-D14C-4F78-8E9B-E782B336FE6E}" destId="{4928BF1A-B6D5-455F-884E-22DD13EFB47A}" srcOrd="1" destOrd="0" presId="urn:microsoft.com/office/officeart/2005/8/layout/hierarchy2"/>
    <dgm:cxn modelId="{E8B8138B-EAB0-4592-8D9E-4FF72DF96ED1}" type="presParOf" srcId="{4928BF1A-B6D5-455F-884E-22DD13EFB47A}" destId="{9247F274-81C8-45B3-AD9C-7138CBB468FE}" srcOrd="0" destOrd="0" presId="urn:microsoft.com/office/officeart/2005/8/layout/hierarchy2"/>
    <dgm:cxn modelId="{B3CDF1CD-D9F1-4921-A745-D3EFC1F67A7E}" type="presParOf" srcId="{9247F274-81C8-45B3-AD9C-7138CBB468FE}" destId="{8DC4C696-C6A7-4241-8875-8EA130CE132C}" srcOrd="0" destOrd="0" presId="urn:microsoft.com/office/officeart/2005/8/layout/hierarchy2"/>
    <dgm:cxn modelId="{5AD18D8E-BB51-4805-9167-CDE749AD1618}" type="presParOf" srcId="{4928BF1A-B6D5-455F-884E-22DD13EFB47A}" destId="{44CA9759-B3B2-4D15-B166-A31FB58F6A80}" srcOrd="1" destOrd="0" presId="urn:microsoft.com/office/officeart/2005/8/layout/hierarchy2"/>
    <dgm:cxn modelId="{F3158E72-7759-4CE4-85DB-EF87F7A64310}" type="presParOf" srcId="{44CA9759-B3B2-4D15-B166-A31FB58F6A80}" destId="{629EF0B1-8D5E-4B5E-9F99-135E6DB74AF3}" srcOrd="0" destOrd="0" presId="urn:microsoft.com/office/officeart/2005/8/layout/hierarchy2"/>
    <dgm:cxn modelId="{C80C1BD4-17F7-49C0-9E35-14D544A03F5D}" type="presParOf" srcId="{44CA9759-B3B2-4D15-B166-A31FB58F6A80}" destId="{6A41913A-E478-4AD5-BAB9-5202F5720846}" srcOrd="1" destOrd="0" presId="urn:microsoft.com/office/officeart/2005/8/layout/hierarchy2"/>
    <dgm:cxn modelId="{60D24EB8-C78D-4B6E-B42F-F17D5B48A77F}" type="presParOf" srcId="{4928BF1A-B6D5-455F-884E-22DD13EFB47A}" destId="{60696E16-F966-4A6F-9B85-FD93C440585E}" srcOrd="2" destOrd="0" presId="urn:microsoft.com/office/officeart/2005/8/layout/hierarchy2"/>
    <dgm:cxn modelId="{84EC6187-987A-468C-B9D2-616ED4A2D144}" type="presParOf" srcId="{60696E16-F966-4A6F-9B85-FD93C440585E}" destId="{EB0264E8-8B0E-402B-B872-E92554E0E7AA}" srcOrd="0" destOrd="0" presId="urn:microsoft.com/office/officeart/2005/8/layout/hierarchy2"/>
    <dgm:cxn modelId="{0E5CC2B7-2251-4666-9936-D2C4F70CB5B0}" type="presParOf" srcId="{4928BF1A-B6D5-455F-884E-22DD13EFB47A}" destId="{0FB1A310-6E3D-4679-A877-EABE5F48384E}" srcOrd="3" destOrd="0" presId="urn:microsoft.com/office/officeart/2005/8/layout/hierarchy2"/>
    <dgm:cxn modelId="{D79356DC-69DD-4F3C-A84D-36A7BDFDABCA}" type="presParOf" srcId="{0FB1A310-6E3D-4679-A877-EABE5F48384E}" destId="{62ED8315-FF8C-4B60-9521-3C58976A990C}" srcOrd="0" destOrd="0" presId="urn:microsoft.com/office/officeart/2005/8/layout/hierarchy2"/>
    <dgm:cxn modelId="{D6B3446D-39B8-4C45-9ED3-BAEE896519A4}" type="presParOf" srcId="{0FB1A310-6E3D-4679-A877-EABE5F48384E}" destId="{B7EA684D-2F4A-47BC-B3E6-0468838BDCA1}" srcOrd="1" destOrd="0" presId="urn:microsoft.com/office/officeart/2005/8/layout/hierarchy2"/>
    <dgm:cxn modelId="{3442E127-5FBB-4240-85EB-386048330561}" type="presParOf" srcId="{4928BF1A-B6D5-455F-884E-22DD13EFB47A}" destId="{F19F5DE0-66D9-4DAE-B993-16BCB9A48169}" srcOrd="4" destOrd="0" presId="urn:microsoft.com/office/officeart/2005/8/layout/hierarchy2"/>
    <dgm:cxn modelId="{AF54F3D2-FD41-4E75-8B6E-59E7A5A2E958}" type="presParOf" srcId="{F19F5DE0-66D9-4DAE-B993-16BCB9A48169}" destId="{E1D0E6E3-DCCE-4DF3-B37F-9E72FD1D32EC}" srcOrd="0" destOrd="0" presId="urn:microsoft.com/office/officeart/2005/8/layout/hierarchy2"/>
    <dgm:cxn modelId="{F4D94E71-0618-4074-99E0-187EA2986CCC}" type="presParOf" srcId="{4928BF1A-B6D5-455F-884E-22DD13EFB47A}" destId="{A3096EC5-D86E-40E8-B482-7D1B717A749E}" srcOrd="5" destOrd="0" presId="urn:microsoft.com/office/officeart/2005/8/layout/hierarchy2"/>
    <dgm:cxn modelId="{55B5345B-DBF9-4351-B30F-BD3EA473147E}" type="presParOf" srcId="{A3096EC5-D86E-40E8-B482-7D1B717A749E}" destId="{60E9AF8A-D794-4D36-B0A4-E2FD8324C40C}" srcOrd="0" destOrd="0" presId="urn:microsoft.com/office/officeart/2005/8/layout/hierarchy2"/>
    <dgm:cxn modelId="{1FCAA4CF-492B-4F23-81E7-71AC0AE7C10A}" type="presParOf" srcId="{A3096EC5-D86E-40E8-B482-7D1B717A749E}" destId="{B640F427-E647-4CA3-BDE0-93C51BE0E16D}" srcOrd="1" destOrd="0" presId="urn:microsoft.com/office/officeart/2005/8/layout/hierarchy2"/>
    <dgm:cxn modelId="{8100AD34-293C-436B-AFB1-CF7BECF4523D}" type="presParOf" srcId="{4928BF1A-B6D5-455F-884E-22DD13EFB47A}" destId="{83162D1A-8B27-46A4-A80A-626B5F3BFE1E}" srcOrd="6" destOrd="0" presId="urn:microsoft.com/office/officeart/2005/8/layout/hierarchy2"/>
    <dgm:cxn modelId="{A119D243-A54C-4FE5-8747-7A4B68518D81}" type="presParOf" srcId="{83162D1A-8B27-46A4-A80A-626B5F3BFE1E}" destId="{A6B45086-78BD-4969-9726-4E81D82D9EC6}" srcOrd="0" destOrd="0" presId="urn:microsoft.com/office/officeart/2005/8/layout/hierarchy2"/>
    <dgm:cxn modelId="{19A7B950-4158-4187-952E-C2BAF360EEF2}" type="presParOf" srcId="{4928BF1A-B6D5-455F-884E-22DD13EFB47A}" destId="{3C1309B4-5BCE-4BD7-9B55-F718C1A9E68C}" srcOrd="7" destOrd="0" presId="urn:microsoft.com/office/officeart/2005/8/layout/hierarchy2"/>
    <dgm:cxn modelId="{1E763EE8-CE84-41BB-A487-EDB94D258C9F}" type="presParOf" srcId="{3C1309B4-5BCE-4BD7-9B55-F718C1A9E68C}" destId="{9E438D66-D4AF-4782-A17B-5DDB233ED504}" srcOrd="0" destOrd="0" presId="urn:microsoft.com/office/officeart/2005/8/layout/hierarchy2"/>
    <dgm:cxn modelId="{DD45940C-1526-4B9D-A26F-623F5523D06F}" type="presParOf" srcId="{3C1309B4-5BCE-4BD7-9B55-F718C1A9E68C}" destId="{7493A5A2-D97A-4171-B7B0-033C1CBBB882}" srcOrd="1" destOrd="0" presId="urn:microsoft.com/office/officeart/2005/8/layout/hierarchy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96F935-DF97-4724-B098-356DCADDBB0E}"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7C59EB29-3CB3-412F-B95E-D709A7F7C27C}">
      <dgm:prSet phldrT="[Text]" custT="1"/>
      <dgm:spPr>
        <a:noFill/>
        <a:ln>
          <a:solidFill>
            <a:schemeClr val="tx1"/>
          </a:solidFill>
        </a:ln>
      </dgm:spPr>
      <dgm:t>
        <a:bodyPr/>
        <a:lstStyle/>
        <a:p>
          <a:r>
            <a:rPr lang="en-US" sz="900">
              <a:solidFill>
                <a:schemeClr val="tx1"/>
              </a:solidFill>
            </a:rPr>
            <a:t>Policy measures</a:t>
          </a:r>
        </a:p>
      </dgm:t>
    </dgm:pt>
    <dgm:pt modelId="{CA0EC21D-BFC5-45A3-8CDA-B5982C13FEF3}" type="parTrans" cxnId="{75755857-902F-46F1-9E63-D3EC8605AA1F}">
      <dgm:prSet/>
      <dgm:spPr/>
      <dgm:t>
        <a:bodyPr/>
        <a:lstStyle/>
        <a:p>
          <a:endParaRPr lang="en-US" sz="900"/>
        </a:p>
      </dgm:t>
    </dgm:pt>
    <dgm:pt modelId="{3C225987-95A5-4280-82DE-5A847772DE2A}" type="sibTrans" cxnId="{75755857-902F-46F1-9E63-D3EC8605AA1F}">
      <dgm:prSet/>
      <dgm:spPr/>
      <dgm:t>
        <a:bodyPr/>
        <a:lstStyle/>
        <a:p>
          <a:endParaRPr lang="en-US" sz="900"/>
        </a:p>
      </dgm:t>
    </dgm:pt>
    <dgm:pt modelId="{A666D27D-4E0E-4DF5-AAC9-AC67604EF494}">
      <dgm:prSet phldrT="[Text]" custT="1"/>
      <dgm:spPr>
        <a:ln>
          <a:solidFill>
            <a:schemeClr val="tx1"/>
          </a:solidFill>
        </a:ln>
      </dgm:spPr>
      <dgm:t>
        <a:bodyPr/>
        <a:lstStyle/>
        <a:p>
          <a:r>
            <a:rPr lang="en-US" sz="900">
              <a:solidFill>
                <a:schemeClr val="tx1"/>
              </a:solidFill>
            </a:rPr>
            <a:t>Measures to ensure national targets and objectives</a:t>
          </a:r>
        </a:p>
      </dgm:t>
    </dgm:pt>
    <dgm:pt modelId="{F51EF63B-10DF-45EB-BA87-B4211E7DF4B5}" type="parTrans" cxnId="{A0933773-A436-4FF6-B41F-D74AD440F779}">
      <dgm:prSet custT="1"/>
      <dgm:spPr>
        <a:ln>
          <a:solidFill>
            <a:schemeClr val="tx1"/>
          </a:solidFill>
        </a:ln>
      </dgm:spPr>
      <dgm:t>
        <a:bodyPr/>
        <a:lstStyle/>
        <a:p>
          <a:endParaRPr lang="en-US" sz="900"/>
        </a:p>
      </dgm:t>
    </dgm:pt>
    <dgm:pt modelId="{F1163811-1514-4C30-8E90-7058E97EFC6C}" type="sibTrans" cxnId="{A0933773-A436-4FF6-B41F-D74AD440F779}">
      <dgm:prSet/>
      <dgm:spPr/>
      <dgm:t>
        <a:bodyPr/>
        <a:lstStyle/>
        <a:p>
          <a:endParaRPr lang="en-US" sz="900"/>
        </a:p>
      </dgm:t>
    </dgm:pt>
    <dgm:pt modelId="{5C57FFCE-0D05-4818-837C-C42E3046D20C}">
      <dgm:prSet phldrT="[Text]" custT="1"/>
      <dgm:spPr>
        <a:solidFill>
          <a:schemeClr val="accent1">
            <a:lumMod val="40000"/>
            <a:lumOff val="60000"/>
          </a:schemeClr>
        </a:solidFill>
        <a:ln>
          <a:solidFill>
            <a:schemeClr val="tx1"/>
          </a:solidFill>
        </a:ln>
      </dgm:spPr>
      <dgm:t>
        <a:bodyPr/>
        <a:lstStyle/>
        <a:p>
          <a:r>
            <a:rPr lang="en-US" sz="900">
              <a:solidFill>
                <a:schemeClr val="tx1"/>
              </a:solidFill>
            </a:rPr>
            <a:t>Financial incentives</a:t>
          </a:r>
        </a:p>
      </dgm:t>
    </dgm:pt>
    <dgm:pt modelId="{F4656A63-ADF1-4234-92CD-BB63B5DF353D}" type="parTrans" cxnId="{7A6DFBBA-91FD-475F-AD55-F9C5D09D5C08}">
      <dgm:prSet custT="1"/>
      <dgm:spPr>
        <a:ln>
          <a:solidFill>
            <a:schemeClr val="tx1"/>
          </a:solidFill>
        </a:ln>
      </dgm:spPr>
      <dgm:t>
        <a:bodyPr/>
        <a:lstStyle/>
        <a:p>
          <a:endParaRPr lang="en-US" sz="900"/>
        </a:p>
      </dgm:t>
    </dgm:pt>
    <dgm:pt modelId="{E89A80B8-1FF1-4DC4-97DE-7270FA5E0642}" type="sibTrans" cxnId="{7A6DFBBA-91FD-475F-AD55-F9C5D09D5C08}">
      <dgm:prSet/>
      <dgm:spPr/>
      <dgm:t>
        <a:bodyPr/>
        <a:lstStyle/>
        <a:p>
          <a:endParaRPr lang="en-US" sz="900"/>
        </a:p>
      </dgm:t>
    </dgm:pt>
    <dgm:pt modelId="{F1FDBACC-F7D1-4481-A682-2B002891D51D}">
      <dgm:prSet phldrT="[Text]" custT="1"/>
      <dgm:spPr>
        <a:solidFill>
          <a:schemeClr val="accent1">
            <a:lumMod val="40000"/>
            <a:lumOff val="60000"/>
          </a:schemeClr>
        </a:solidFill>
        <a:ln>
          <a:solidFill>
            <a:schemeClr val="tx1"/>
          </a:solidFill>
        </a:ln>
      </dgm:spPr>
      <dgm:t>
        <a:bodyPr/>
        <a:lstStyle/>
        <a:p>
          <a:r>
            <a:rPr lang="en-US" sz="900">
              <a:solidFill>
                <a:schemeClr val="tx1"/>
              </a:solidFill>
            </a:rPr>
            <a:t>Education / Information</a:t>
          </a:r>
        </a:p>
      </dgm:t>
    </dgm:pt>
    <dgm:pt modelId="{6023D72C-2A30-4F0D-A310-D6075C14C9D3}" type="parTrans" cxnId="{CF1B15F1-D7EE-4199-B893-C9821597ABE1}">
      <dgm:prSet custT="1"/>
      <dgm:spPr>
        <a:ln>
          <a:solidFill>
            <a:schemeClr val="tx1"/>
          </a:solidFill>
        </a:ln>
      </dgm:spPr>
      <dgm:t>
        <a:bodyPr/>
        <a:lstStyle/>
        <a:p>
          <a:endParaRPr lang="en-US" sz="900"/>
        </a:p>
      </dgm:t>
    </dgm:pt>
    <dgm:pt modelId="{89726781-D7EC-4D40-8464-E49E09B9B86C}" type="sibTrans" cxnId="{CF1B15F1-D7EE-4199-B893-C9821597ABE1}">
      <dgm:prSet/>
      <dgm:spPr/>
      <dgm:t>
        <a:bodyPr/>
        <a:lstStyle/>
        <a:p>
          <a:endParaRPr lang="en-US" sz="900"/>
        </a:p>
      </dgm:t>
    </dgm:pt>
    <dgm:pt modelId="{08E5508A-8779-4C70-9E09-7F2109574D6B}">
      <dgm:prSet phldrT="[Text]" custT="1"/>
      <dgm:spPr>
        <a:ln>
          <a:solidFill>
            <a:schemeClr val="tx1"/>
          </a:solidFill>
        </a:ln>
      </dgm:spPr>
      <dgm:t>
        <a:bodyPr/>
        <a:lstStyle/>
        <a:p>
          <a:r>
            <a:rPr lang="en-US" sz="900">
              <a:solidFill>
                <a:schemeClr val="tx1"/>
              </a:solidFill>
            </a:rPr>
            <a:t>Measures promoting AFI in public transport services</a:t>
          </a:r>
        </a:p>
      </dgm:t>
    </dgm:pt>
    <dgm:pt modelId="{75A5775C-9D81-4AC9-8E90-76F006C7A888}" type="parTrans" cxnId="{2541CBC1-B04C-4C53-88CF-ED17CA5A3E44}">
      <dgm:prSet custT="1"/>
      <dgm:spPr>
        <a:ln>
          <a:solidFill>
            <a:schemeClr val="tx1"/>
          </a:solidFill>
        </a:ln>
      </dgm:spPr>
      <dgm:t>
        <a:bodyPr/>
        <a:lstStyle/>
        <a:p>
          <a:endParaRPr lang="en-US" sz="900"/>
        </a:p>
      </dgm:t>
    </dgm:pt>
    <dgm:pt modelId="{E9A6235F-3C61-4F84-9D73-47A68A17D6BC}" type="sibTrans" cxnId="{2541CBC1-B04C-4C53-88CF-ED17CA5A3E44}">
      <dgm:prSet/>
      <dgm:spPr/>
      <dgm:t>
        <a:bodyPr/>
        <a:lstStyle/>
        <a:p>
          <a:endParaRPr lang="en-US" sz="900"/>
        </a:p>
      </dgm:t>
    </dgm:pt>
    <dgm:pt modelId="{9BADE73A-10E5-40DE-AFB4-81237D3444B8}">
      <dgm:prSet phldrT="[Text]" custT="1"/>
      <dgm:spPr>
        <a:ln>
          <a:solidFill>
            <a:schemeClr val="tx1"/>
          </a:solidFill>
        </a:ln>
      </dgm:spPr>
      <dgm:t>
        <a:bodyPr/>
        <a:lstStyle/>
        <a:p>
          <a:r>
            <a:rPr lang="en-US" sz="900">
              <a:solidFill>
                <a:schemeClr val="tx1"/>
              </a:solidFill>
            </a:rPr>
            <a:t>Measures promoting private</a:t>
          </a:r>
          <a:br>
            <a:rPr lang="en-US" sz="900">
              <a:solidFill>
                <a:schemeClr val="tx1"/>
              </a:solidFill>
            </a:rPr>
          </a:br>
          <a:r>
            <a:rPr lang="en-US" sz="900">
              <a:solidFill>
                <a:schemeClr val="tx1"/>
              </a:solidFill>
            </a:rPr>
            <a:t>electro-mobility infrastructure</a:t>
          </a:r>
        </a:p>
      </dgm:t>
    </dgm:pt>
    <dgm:pt modelId="{E7167DA8-D6D8-421E-8A76-F5E905F9B0AB}" type="parTrans" cxnId="{72FC2E44-2F9A-4ABD-AA61-51A0A7B9CAF5}">
      <dgm:prSet custT="1"/>
      <dgm:spPr>
        <a:ln>
          <a:solidFill>
            <a:schemeClr val="tx1"/>
          </a:solidFill>
        </a:ln>
      </dgm:spPr>
      <dgm:t>
        <a:bodyPr/>
        <a:lstStyle/>
        <a:p>
          <a:endParaRPr lang="en-US" sz="900"/>
        </a:p>
      </dgm:t>
    </dgm:pt>
    <dgm:pt modelId="{AE9EBAD4-F225-4BD1-B2B7-DFB0CFF11A51}" type="sibTrans" cxnId="{72FC2E44-2F9A-4ABD-AA61-51A0A7B9CAF5}">
      <dgm:prSet/>
      <dgm:spPr/>
      <dgm:t>
        <a:bodyPr/>
        <a:lstStyle/>
        <a:p>
          <a:endParaRPr lang="en-US" sz="900"/>
        </a:p>
      </dgm:t>
    </dgm:pt>
    <dgm:pt modelId="{F615FDAE-E938-4D88-A445-D663B1F4CF6E}">
      <dgm:prSet phldrT="[Text]" custT="1"/>
      <dgm:spPr>
        <a:solidFill>
          <a:schemeClr val="accent1">
            <a:lumMod val="40000"/>
            <a:lumOff val="60000"/>
          </a:schemeClr>
        </a:solidFill>
        <a:ln>
          <a:solidFill>
            <a:schemeClr val="tx1"/>
          </a:solidFill>
        </a:ln>
      </dgm:spPr>
      <dgm:t>
        <a:bodyPr/>
        <a:lstStyle/>
        <a:p>
          <a:r>
            <a:rPr lang="en-US" sz="900">
              <a:solidFill>
                <a:schemeClr val="tx1"/>
              </a:solidFill>
            </a:rPr>
            <a:t>Non financial incentives</a:t>
          </a:r>
        </a:p>
      </dgm:t>
    </dgm:pt>
    <dgm:pt modelId="{BB066BAC-D65D-4D83-AE55-FA41659F600E}" type="parTrans" cxnId="{E1583D74-9E4B-435F-AC7A-C6DF416D5D9B}">
      <dgm:prSet custT="1"/>
      <dgm:spPr>
        <a:ln>
          <a:solidFill>
            <a:schemeClr val="tx1"/>
          </a:solidFill>
        </a:ln>
      </dgm:spPr>
      <dgm:t>
        <a:bodyPr/>
        <a:lstStyle/>
        <a:p>
          <a:endParaRPr lang="en-US" sz="900"/>
        </a:p>
      </dgm:t>
    </dgm:pt>
    <dgm:pt modelId="{9DEA19EC-08F7-48B0-8245-5E20C804D0BE}" type="sibTrans" cxnId="{E1583D74-9E4B-435F-AC7A-C6DF416D5D9B}">
      <dgm:prSet/>
      <dgm:spPr/>
      <dgm:t>
        <a:bodyPr/>
        <a:lstStyle/>
        <a:p>
          <a:endParaRPr lang="en-US" sz="900"/>
        </a:p>
      </dgm:t>
    </dgm:pt>
    <dgm:pt modelId="{04E05C41-21FC-473A-AD7D-EABCE3E439FF}">
      <dgm:prSet phldrT="[Text]" custT="1"/>
      <dgm:spPr>
        <a:solidFill>
          <a:schemeClr val="accent1">
            <a:lumMod val="40000"/>
            <a:lumOff val="60000"/>
          </a:schemeClr>
        </a:solidFill>
        <a:ln>
          <a:solidFill>
            <a:schemeClr val="tx1"/>
          </a:solidFill>
        </a:ln>
      </dgm:spPr>
      <dgm:t>
        <a:bodyPr/>
        <a:lstStyle/>
        <a:p>
          <a:r>
            <a:rPr lang="en-US" sz="900">
              <a:solidFill>
                <a:schemeClr val="tx1"/>
              </a:solidFill>
            </a:rPr>
            <a:t>Other</a:t>
          </a:r>
        </a:p>
      </dgm:t>
    </dgm:pt>
    <dgm:pt modelId="{4DDF99A8-E07B-4F08-A88F-B6DFF9F5AFF2}" type="parTrans" cxnId="{E090276C-3EAC-4B5A-88E9-3C74E3389C56}">
      <dgm:prSet custT="1"/>
      <dgm:spPr>
        <a:ln>
          <a:solidFill>
            <a:schemeClr val="tx1"/>
          </a:solidFill>
        </a:ln>
      </dgm:spPr>
      <dgm:t>
        <a:bodyPr/>
        <a:lstStyle/>
        <a:p>
          <a:endParaRPr lang="en-US" sz="900"/>
        </a:p>
      </dgm:t>
    </dgm:pt>
    <dgm:pt modelId="{EFFBD0F6-C863-4D14-88D4-2EA757D0F56B}" type="sibTrans" cxnId="{E090276C-3EAC-4B5A-88E9-3C74E3389C56}">
      <dgm:prSet/>
      <dgm:spPr/>
      <dgm:t>
        <a:bodyPr/>
        <a:lstStyle/>
        <a:p>
          <a:endParaRPr lang="en-US" sz="900"/>
        </a:p>
      </dgm:t>
    </dgm:pt>
    <dgm:pt modelId="{9097021C-3E48-4A2F-8BBF-5B9E0072EAFD}">
      <dgm:prSet phldrT="[Text]" custT="1"/>
      <dgm:spPr>
        <a:solidFill>
          <a:schemeClr val="accent1">
            <a:lumMod val="20000"/>
            <a:lumOff val="80000"/>
          </a:schemeClr>
        </a:solidFill>
        <a:ln>
          <a:solidFill>
            <a:schemeClr val="tx1"/>
          </a:solidFill>
        </a:ln>
      </dgm:spPr>
      <dgm:t>
        <a:bodyPr/>
        <a:lstStyle/>
        <a:p>
          <a:r>
            <a:rPr lang="en-US" sz="900">
              <a:solidFill>
                <a:schemeClr val="tx1"/>
              </a:solidFill>
            </a:rPr>
            <a:t>Charges / fees</a:t>
          </a:r>
        </a:p>
      </dgm:t>
    </dgm:pt>
    <dgm:pt modelId="{2DED90CD-0E18-408A-AD12-F86EF28DD12E}" type="parTrans" cxnId="{C3513DB2-334E-46F3-AC2C-264329757D2E}">
      <dgm:prSet custT="1"/>
      <dgm:spPr>
        <a:ln>
          <a:solidFill>
            <a:schemeClr val="tx1"/>
          </a:solidFill>
        </a:ln>
      </dgm:spPr>
      <dgm:t>
        <a:bodyPr/>
        <a:lstStyle/>
        <a:p>
          <a:endParaRPr lang="en-US" sz="900"/>
        </a:p>
      </dgm:t>
    </dgm:pt>
    <dgm:pt modelId="{34D703EE-C5AC-478C-978E-FCD8B59FEBBB}" type="sibTrans" cxnId="{C3513DB2-334E-46F3-AC2C-264329757D2E}">
      <dgm:prSet/>
      <dgm:spPr/>
      <dgm:t>
        <a:bodyPr/>
        <a:lstStyle/>
        <a:p>
          <a:endParaRPr lang="en-US" sz="900"/>
        </a:p>
      </dgm:t>
    </dgm:pt>
    <dgm:pt modelId="{DE025B30-F21C-4EEA-B32D-1274D6A2B8EC}">
      <dgm:prSet phldrT="[Text]" custT="1"/>
      <dgm:spPr>
        <a:solidFill>
          <a:schemeClr val="accent1">
            <a:lumMod val="20000"/>
            <a:lumOff val="80000"/>
          </a:schemeClr>
        </a:solidFill>
        <a:ln>
          <a:solidFill>
            <a:schemeClr val="tx1"/>
          </a:solidFill>
        </a:ln>
      </dgm:spPr>
      <dgm:t>
        <a:bodyPr/>
        <a:lstStyle/>
        <a:p>
          <a:r>
            <a:rPr lang="en-US" sz="900">
              <a:solidFill>
                <a:schemeClr val="tx1"/>
              </a:solidFill>
            </a:rPr>
            <a:t>Direct incentives / subsidies</a:t>
          </a:r>
        </a:p>
      </dgm:t>
    </dgm:pt>
    <dgm:pt modelId="{3EFA100F-D95D-4898-9B58-6319B8F3F985}" type="parTrans" cxnId="{458A4AC9-2810-458A-86EC-888F9A822A99}">
      <dgm:prSet custT="1"/>
      <dgm:spPr>
        <a:ln>
          <a:solidFill>
            <a:schemeClr val="tx1"/>
          </a:solidFill>
        </a:ln>
      </dgm:spPr>
      <dgm:t>
        <a:bodyPr/>
        <a:lstStyle/>
        <a:p>
          <a:endParaRPr lang="en-US" sz="900"/>
        </a:p>
      </dgm:t>
    </dgm:pt>
    <dgm:pt modelId="{CCE4D041-4391-402E-A386-6A2250860789}" type="sibTrans" cxnId="{458A4AC9-2810-458A-86EC-888F9A822A99}">
      <dgm:prSet/>
      <dgm:spPr/>
      <dgm:t>
        <a:bodyPr/>
        <a:lstStyle/>
        <a:p>
          <a:endParaRPr lang="en-US" sz="900"/>
        </a:p>
      </dgm:t>
    </dgm:pt>
    <dgm:pt modelId="{E1F92ED7-EF93-4131-8878-2CC5F3A0836F}">
      <dgm:prSet phldrT="[Text]" custT="1"/>
      <dgm:spPr>
        <a:solidFill>
          <a:schemeClr val="accent1">
            <a:lumMod val="20000"/>
            <a:lumOff val="80000"/>
          </a:schemeClr>
        </a:solidFill>
        <a:ln>
          <a:solidFill>
            <a:schemeClr val="tx1"/>
          </a:solidFill>
        </a:ln>
      </dgm:spPr>
      <dgm:t>
        <a:bodyPr/>
        <a:lstStyle/>
        <a:p>
          <a:r>
            <a:rPr lang="en-US" sz="900">
              <a:solidFill>
                <a:schemeClr val="tx1"/>
              </a:solidFill>
            </a:rPr>
            <a:t>Public procurement incentives</a:t>
          </a:r>
        </a:p>
      </dgm:t>
    </dgm:pt>
    <dgm:pt modelId="{B443FD08-B2B4-4B69-8044-C4A44300FCF7}" type="parTrans" cxnId="{B9A1F59A-0CE1-4749-B0FA-371B53343E9E}">
      <dgm:prSet custT="1"/>
      <dgm:spPr>
        <a:ln>
          <a:solidFill>
            <a:schemeClr val="tx1"/>
          </a:solidFill>
        </a:ln>
      </dgm:spPr>
      <dgm:t>
        <a:bodyPr/>
        <a:lstStyle/>
        <a:p>
          <a:endParaRPr lang="en-US" sz="900"/>
        </a:p>
      </dgm:t>
    </dgm:pt>
    <dgm:pt modelId="{1E6FE303-09E7-461B-93E4-E7E25E9A91C5}" type="sibTrans" cxnId="{B9A1F59A-0CE1-4749-B0FA-371B53343E9E}">
      <dgm:prSet/>
      <dgm:spPr/>
      <dgm:t>
        <a:bodyPr/>
        <a:lstStyle/>
        <a:p>
          <a:endParaRPr lang="en-US" sz="900"/>
        </a:p>
      </dgm:t>
    </dgm:pt>
    <dgm:pt modelId="{8EAE20F2-80A6-451B-AF27-380D712CC8DF}">
      <dgm:prSet phldrT="[Text]" custT="1"/>
      <dgm:spPr>
        <a:solidFill>
          <a:schemeClr val="accent1">
            <a:lumMod val="20000"/>
            <a:lumOff val="80000"/>
          </a:schemeClr>
        </a:solidFill>
        <a:ln>
          <a:solidFill>
            <a:schemeClr val="tx1"/>
          </a:solidFill>
        </a:ln>
      </dgm:spPr>
      <dgm:t>
        <a:bodyPr/>
        <a:lstStyle/>
        <a:p>
          <a:r>
            <a:rPr lang="en-US" sz="900">
              <a:solidFill>
                <a:schemeClr val="tx1"/>
              </a:solidFill>
            </a:rPr>
            <a:t>Tax reduction / exemption</a:t>
          </a:r>
        </a:p>
      </dgm:t>
    </dgm:pt>
    <dgm:pt modelId="{15C11D43-189A-468E-B2D3-1578690F9E95}" type="parTrans" cxnId="{0E97A6A1-1E4C-4B57-94DE-7754164CAEF8}">
      <dgm:prSet custT="1"/>
      <dgm:spPr>
        <a:ln>
          <a:solidFill>
            <a:schemeClr val="tx1"/>
          </a:solidFill>
        </a:ln>
      </dgm:spPr>
      <dgm:t>
        <a:bodyPr/>
        <a:lstStyle/>
        <a:p>
          <a:endParaRPr lang="en-US" sz="900"/>
        </a:p>
      </dgm:t>
    </dgm:pt>
    <dgm:pt modelId="{FDBC5A39-761F-4023-9C77-56C5DD826F27}" type="sibTrans" cxnId="{0E97A6A1-1E4C-4B57-94DE-7754164CAEF8}">
      <dgm:prSet/>
      <dgm:spPr/>
      <dgm:t>
        <a:bodyPr/>
        <a:lstStyle/>
        <a:p>
          <a:endParaRPr lang="en-US" sz="900"/>
        </a:p>
      </dgm:t>
    </dgm:pt>
    <dgm:pt modelId="{AB4DCA83-E184-486B-81B2-DDD3B79C4706}">
      <dgm:prSet phldrT="[Text]" custT="1"/>
      <dgm:spPr>
        <a:solidFill>
          <a:schemeClr val="accent1">
            <a:lumMod val="20000"/>
            <a:lumOff val="80000"/>
          </a:schemeClr>
        </a:solidFill>
        <a:ln>
          <a:solidFill>
            <a:schemeClr val="tx1"/>
          </a:solidFill>
        </a:ln>
      </dgm:spPr>
      <dgm:t>
        <a:bodyPr/>
        <a:lstStyle/>
        <a:p>
          <a:r>
            <a:rPr lang="en-US" sz="900">
              <a:solidFill>
                <a:schemeClr val="tx1"/>
              </a:solidFill>
            </a:rPr>
            <a:t>Taxes / penalties</a:t>
          </a:r>
        </a:p>
      </dgm:t>
    </dgm:pt>
    <dgm:pt modelId="{3A1F224E-3468-4ADC-80FA-43A673AA149A}" type="parTrans" cxnId="{B7D0D50F-1A43-4920-BF38-276AA6558DFC}">
      <dgm:prSet custT="1"/>
      <dgm:spPr>
        <a:ln>
          <a:solidFill>
            <a:schemeClr val="tx1"/>
          </a:solidFill>
        </a:ln>
      </dgm:spPr>
      <dgm:t>
        <a:bodyPr/>
        <a:lstStyle/>
        <a:p>
          <a:endParaRPr lang="en-US" sz="900"/>
        </a:p>
      </dgm:t>
    </dgm:pt>
    <dgm:pt modelId="{A0B9B149-6FDB-445B-A1D4-7BD006835AEE}" type="sibTrans" cxnId="{B7D0D50F-1A43-4920-BF38-276AA6558DFC}">
      <dgm:prSet/>
      <dgm:spPr/>
      <dgm:t>
        <a:bodyPr/>
        <a:lstStyle/>
        <a:p>
          <a:endParaRPr lang="en-US" sz="900"/>
        </a:p>
      </dgm:t>
    </dgm:pt>
    <dgm:pt modelId="{CE500AE9-7AAF-4826-8E95-34E5555B03C8}">
      <dgm:prSet phldrT="[Text]" custT="1"/>
      <dgm:spPr>
        <a:solidFill>
          <a:schemeClr val="accent1">
            <a:lumMod val="20000"/>
            <a:lumOff val="80000"/>
          </a:schemeClr>
        </a:solidFill>
        <a:ln>
          <a:solidFill>
            <a:schemeClr val="tx1"/>
          </a:solidFill>
        </a:ln>
      </dgm:spPr>
      <dgm:t>
        <a:bodyPr/>
        <a:lstStyle/>
        <a:p>
          <a:r>
            <a:rPr lang="en-US" sz="900">
              <a:solidFill>
                <a:schemeClr val="tx1"/>
              </a:solidFill>
            </a:rPr>
            <a:t>Other support schemes</a:t>
          </a:r>
        </a:p>
      </dgm:t>
    </dgm:pt>
    <dgm:pt modelId="{9481FBFC-F9CB-4698-8184-021BCC62E7E8}" type="parTrans" cxnId="{FC21FFC4-A953-42D1-B0FA-3FE9E51D70F9}">
      <dgm:prSet custT="1"/>
      <dgm:spPr>
        <a:ln>
          <a:solidFill>
            <a:schemeClr val="tx1"/>
          </a:solidFill>
        </a:ln>
      </dgm:spPr>
      <dgm:t>
        <a:bodyPr/>
        <a:lstStyle/>
        <a:p>
          <a:endParaRPr lang="en-US" sz="900"/>
        </a:p>
      </dgm:t>
    </dgm:pt>
    <dgm:pt modelId="{3AC00F9B-9623-45D9-B78C-0E362AD8B630}" type="sibTrans" cxnId="{FC21FFC4-A953-42D1-B0FA-3FE9E51D70F9}">
      <dgm:prSet/>
      <dgm:spPr/>
      <dgm:t>
        <a:bodyPr/>
        <a:lstStyle/>
        <a:p>
          <a:endParaRPr lang="en-US" sz="900"/>
        </a:p>
      </dgm:t>
    </dgm:pt>
    <dgm:pt modelId="{18FEF5BD-BE97-4608-8EDA-631D8C707AF0}" type="pres">
      <dgm:prSet presAssocID="{AE96F935-DF97-4724-B098-356DCADDBB0E}" presName="diagram" presStyleCnt="0">
        <dgm:presLayoutVars>
          <dgm:chPref val="1"/>
          <dgm:dir/>
          <dgm:animOne val="branch"/>
          <dgm:animLvl val="lvl"/>
          <dgm:resizeHandles val="exact"/>
        </dgm:presLayoutVars>
      </dgm:prSet>
      <dgm:spPr/>
      <dgm:t>
        <a:bodyPr/>
        <a:lstStyle/>
        <a:p>
          <a:endParaRPr lang="en-US"/>
        </a:p>
      </dgm:t>
    </dgm:pt>
    <dgm:pt modelId="{6A8294B0-4571-40A9-9458-7559AB0D69B7}" type="pres">
      <dgm:prSet presAssocID="{7C59EB29-3CB3-412F-B95E-D709A7F7C27C}" presName="root1" presStyleCnt="0"/>
      <dgm:spPr/>
    </dgm:pt>
    <dgm:pt modelId="{29D69999-56E9-4D59-A0C5-05509AE502FF}" type="pres">
      <dgm:prSet presAssocID="{7C59EB29-3CB3-412F-B95E-D709A7F7C27C}" presName="LevelOneTextNode" presStyleLbl="node0" presStyleIdx="0" presStyleCnt="1">
        <dgm:presLayoutVars>
          <dgm:chPref val="3"/>
        </dgm:presLayoutVars>
      </dgm:prSet>
      <dgm:spPr/>
      <dgm:t>
        <a:bodyPr/>
        <a:lstStyle/>
        <a:p>
          <a:endParaRPr lang="en-US"/>
        </a:p>
      </dgm:t>
    </dgm:pt>
    <dgm:pt modelId="{E2982A76-7362-4180-A167-257940C50C48}" type="pres">
      <dgm:prSet presAssocID="{7C59EB29-3CB3-412F-B95E-D709A7F7C27C}" presName="level2hierChild" presStyleCnt="0"/>
      <dgm:spPr/>
    </dgm:pt>
    <dgm:pt modelId="{6EE7679A-B33F-432A-8869-F9FE4E37D5A7}" type="pres">
      <dgm:prSet presAssocID="{F51EF63B-10DF-45EB-BA87-B4211E7DF4B5}" presName="conn2-1" presStyleLbl="parChTrans1D2" presStyleIdx="0" presStyleCnt="3"/>
      <dgm:spPr/>
      <dgm:t>
        <a:bodyPr/>
        <a:lstStyle/>
        <a:p>
          <a:endParaRPr lang="en-US"/>
        </a:p>
      </dgm:t>
    </dgm:pt>
    <dgm:pt modelId="{EAD72D74-DA8A-43B1-914E-5BC37B184834}" type="pres">
      <dgm:prSet presAssocID="{F51EF63B-10DF-45EB-BA87-B4211E7DF4B5}" presName="connTx" presStyleLbl="parChTrans1D2" presStyleIdx="0" presStyleCnt="3"/>
      <dgm:spPr/>
      <dgm:t>
        <a:bodyPr/>
        <a:lstStyle/>
        <a:p>
          <a:endParaRPr lang="en-US"/>
        </a:p>
      </dgm:t>
    </dgm:pt>
    <dgm:pt modelId="{F07099A4-79EC-4B7F-BB6B-52238A3A59D2}" type="pres">
      <dgm:prSet presAssocID="{A666D27D-4E0E-4DF5-AAC9-AC67604EF494}" presName="root2" presStyleCnt="0"/>
      <dgm:spPr/>
    </dgm:pt>
    <dgm:pt modelId="{33518F22-514C-4650-BF1B-B3E0304E6545}" type="pres">
      <dgm:prSet presAssocID="{A666D27D-4E0E-4DF5-AAC9-AC67604EF494}" presName="LevelTwoTextNode" presStyleLbl="node2" presStyleIdx="0" presStyleCnt="3" custScaleX="123867" custScaleY="111673">
        <dgm:presLayoutVars>
          <dgm:chPref val="3"/>
        </dgm:presLayoutVars>
      </dgm:prSet>
      <dgm:spPr/>
      <dgm:t>
        <a:bodyPr/>
        <a:lstStyle/>
        <a:p>
          <a:endParaRPr lang="en-US"/>
        </a:p>
      </dgm:t>
    </dgm:pt>
    <dgm:pt modelId="{A4DB33DE-AE99-4A27-91D9-A2336117FE54}" type="pres">
      <dgm:prSet presAssocID="{A666D27D-4E0E-4DF5-AAC9-AC67604EF494}" presName="level3hierChild" presStyleCnt="0"/>
      <dgm:spPr/>
    </dgm:pt>
    <dgm:pt modelId="{2419D628-9B71-4E30-8789-A83F31E2ABF1}" type="pres">
      <dgm:prSet presAssocID="{F4656A63-ADF1-4234-92CD-BB63B5DF353D}" presName="conn2-1" presStyleLbl="parChTrans1D3" presStyleIdx="0" presStyleCnt="4"/>
      <dgm:spPr/>
      <dgm:t>
        <a:bodyPr/>
        <a:lstStyle/>
        <a:p>
          <a:endParaRPr lang="en-US"/>
        </a:p>
      </dgm:t>
    </dgm:pt>
    <dgm:pt modelId="{F6CEB81C-DF0A-4375-924C-B2E75EBE4210}" type="pres">
      <dgm:prSet presAssocID="{F4656A63-ADF1-4234-92CD-BB63B5DF353D}" presName="connTx" presStyleLbl="parChTrans1D3" presStyleIdx="0" presStyleCnt="4"/>
      <dgm:spPr/>
      <dgm:t>
        <a:bodyPr/>
        <a:lstStyle/>
        <a:p>
          <a:endParaRPr lang="en-US"/>
        </a:p>
      </dgm:t>
    </dgm:pt>
    <dgm:pt modelId="{6068B16D-64C7-4603-9976-DFC4407A75C1}" type="pres">
      <dgm:prSet presAssocID="{5C57FFCE-0D05-4818-837C-C42E3046D20C}" presName="root2" presStyleCnt="0"/>
      <dgm:spPr/>
    </dgm:pt>
    <dgm:pt modelId="{DA39BF5C-BCFC-4E3A-AA6B-4962D9410E3F}" type="pres">
      <dgm:prSet presAssocID="{5C57FFCE-0D05-4818-837C-C42E3046D20C}" presName="LevelTwoTextNode" presStyleLbl="node3" presStyleIdx="0" presStyleCnt="4">
        <dgm:presLayoutVars>
          <dgm:chPref val="3"/>
        </dgm:presLayoutVars>
      </dgm:prSet>
      <dgm:spPr/>
      <dgm:t>
        <a:bodyPr/>
        <a:lstStyle/>
        <a:p>
          <a:endParaRPr lang="en-US"/>
        </a:p>
      </dgm:t>
    </dgm:pt>
    <dgm:pt modelId="{8948DBAF-1215-44B1-B20B-C5211C4EC7B4}" type="pres">
      <dgm:prSet presAssocID="{5C57FFCE-0D05-4818-837C-C42E3046D20C}" presName="level3hierChild" presStyleCnt="0"/>
      <dgm:spPr/>
    </dgm:pt>
    <dgm:pt modelId="{CBC96EFC-4EEB-4F51-A969-C869409FCC69}" type="pres">
      <dgm:prSet presAssocID="{2DED90CD-0E18-408A-AD12-F86EF28DD12E}" presName="conn2-1" presStyleLbl="parChTrans1D4" presStyleIdx="0" presStyleCnt="6"/>
      <dgm:spPr/>
      <dgm:t>
        <a:bodyPr/>
        <a:lstStyle/>
        <a:p>
          <a:endParaRPr lang="en-US"/>
        </a:p>
      </dgm:t>
    </dgm:pt>
    <dgm:pt modelId="{3F9F1E4C-BC9D-404A-BBA2-612B83797161}" type="pres">
      <dgm:prSet presAssocID="{2DED90CD-0E18-408A-AD12-F86EF28DD12E}" presName="connTx" presStyleLbl="parChTrans1D4" presStyleIdx="0" presStyleCnt="6"/>
      <dgm:spPr/>
      <dgm:t>
        <a:bodyPr/>
        <a:lstStyle/>
        <a:p>
          <a:endParaRPr lang="en-US"/>
        </a:p>
      </dgm:t>
    </dgm:pt>
    <dgm:pt modelId="{9A8C8A03-3E62-42FF-B3A7-583DE37E651F}" type="pres">
      <dgm:prSet presAssocID="{9097021C-3E48-4A2F-8BBF-5B9E0072EAFD}" presName="root2" presStyleCnt="0"/>
      <dgm:spPr/>
    </dgm:pt>
    <dgm:pt modelId="{45F326FA-DE7A-4EF2-A51A-3E930C2FEC5C}" type="pres">
      <dgm:prSet presAssocID="{9097021C-3E48-4A2F-8BBF-5B9E0072EAFD}" presName="LevelTwoTextNode" presStyleLbl="node4" presStyleIdx="0" presStyleCnt="6">
        <dgm:presLayoutVars>
          <dgm:chPref val="3"/>
        </dgm:presLayoutVars>
      </dgm:prSet>
      <dgm:spPr/>
      <dgm:t>
        <a:bodyPr/>
        <a:lstStyle/>
        <a:p>
          <a:endParaRPr lang="en-US"/>
        </a:p>
      </dgm:t>
    </dgm:pt>
    <dgm:pt modelId="{4DB88516-15AA-4646-B6A3-C9117D0D3DB0}" type="pres">
      <dgm:prSet presAssocID="{9097021C-3E48-4A2F-8BBF-5B9E0072EAFD}" presName="level3hierChild" presStyleCnt="0"/>
      <dgm:spPr/>
    </dgm:pt>
    <dgm:pt modelId="{D08404F7-EEF4-4AC9-B872-477C92A28889}" type="pres">
      <dgm:prSet presAssocID="{3EFA100F-D95D-4898-9B58-6319B8F3F985}" presName="conn2-1" presStyleLbl="parChTrans1D4" presStyleIdx="1" presStyleCnt="6"/>
      <dgm:spPr/>
      <dgm:t>
        <a:bodyPr/>
        <a:lstStyle/>
        <a:p>
          <a:endParaRPr lang="en-US"/>
        </a:p>
      </dgm:t>
    </dgm:pt>
    <dgm:pt modelId="{6F29AAE5-E4F5-40D4-AE9E-8DC58815AC1A}" type="pres">
      <dgm:prSet presAssocID="{3EFA100F-D95D-4898-9B58-6319B8F3F985}" presName="connTx" presStyleLbl="parChTrans1D4" presStyleIdx="1" presStyleCnt="6"/>
      <dgm:spPr/>
      <dgm:t>
        <a:bodyPr/>
        <a:lstStyle/>
        <a:p>
          <a:endParaRPr lang="en-US"/>
        </a:p>
      </dgm:t>
    </dgm:pt>
    <dgm:pt modelId="{2DC54CBA-B99B-448C-B60A-2C99992910DE}" type="pres">
      <dgm:prSet presAssocID="{DE025B30-F21C-4EEA-B32D-1274D6A2B8EC}" presName="root2" presStyleCnt="0"/>
      <dgm:spPr/>
    </dgm:pt>
    <dgm:pt modelId="{EB67680F-09E4-43A7-88B4-3358C9820A98}" type="pres">
      <dgm:prSet presAssocID="{DE025B30-F21C-4EEA-B32D-1274D6A2B8EC}" presName="LevelTwoTextNode" presStyleLbl="node4" presStyleIdx="1" presStyleCnt="6">
        <dgm:presLayoutVars>
          <dgm:chPref val="3"/>
        </dgm:presLayoutVars>
      </dgm:prSet>
      <dgm:spPr/>
      <dgm:t>
        <a:bodyPr/>
        <a:lstStyle/>
        <a:p>
          <a:endParaRPr lang="en-US"/>
        </a:p>
      </dgm:t>
    </dgm:pt>
    <dgm:pt modelId="{B297D177-EB4B-4258-A624-1EF6C1BE2D60}" type="pres">
      <dgm:prSet presAssocID="{DE025B30-F21C-4EEA-B32D-1274D6A2B8EC}" presName="level3hierChild" presStyleCnt="0"/>
      <dgm:spPr/>
    </dgm:pt>
    <dgm:pt modelId="{794E27F0-BAA0-44B4-A3A2-30056D6FB97A}" type="pres">
      <dgm:prSet presAssocID="{B443FD08-B2B4-4B69-8044-C4A44300FCF7}" presName="conn2-1" presStyleLbl="parChTrans1D4" presStyleIdx="2" presStyleCnt="6"/>
      <dgm:spPr/>
      <dgm:t>
        <a:bodyPr/>
        <a:lstStyle/>
        <a:p>
          <a:endParaRPr lang="en-US"/>
        </a:p>
      </dgm:t>
    </dgm:pt>
    <dgm:pt modelId="{44734FEA-F4F9-41A9-BF7B-11D2A854338F}" type="pres">
      <dgm:prSet presAssocID="{B443FD08-B2B4-4B69-8044-C4A44300FCF7}" presName="connTx" presStyleLbl="parChTrans1D4" presStyleIdx="2" presStyleCnt="6"/>
      <dgm:spPr/>
      <dgm:t>
        <a:bodyPr/>
        <a:lstStyle/>
        <a:p>
          <a:endParaRPr lang="en-US"/>
        </a:p>
      </dgm:t>
    </dgm:pt>
    <dgm:pt modelId="{A57046E1-4D55-4D7B-AD6C-5498C654170D}" type="pres">
      <dgm:prSet presAssocID="{E1F92ED7-EF93-4131-8878-2CC5F3A0836F}" presName="root2" presStyleCnt="0"/>
      <dgm:spPr/>
    </dgm:pt>
    <dgm:pt modelId="{58BC938B-7E68-437E-B2E6-69D06599D28C}" type="pres">
      <dgm:prSet presAssocID="{E1F92ED7-EF93-4131-8878-2CC5F3A0836F}" presName="LevelTwoTextNode" presStyleLbl="node4" presStyleIdx="2" presStyleCnt="6">
        <dgm:presLayoutVars>
          <dgm:chPref val="3"/>
        </dgm:presLayoutVars>
      </dgm:prSet>
      <dgm:spPr/>
      <dgm:t>
        <a:bodyPr/>
        <a:lstStyle/>
        <a:p>
          <a:endParaRPr lang="en-US"/>
        </a:p>
      </dgm:t>
    </dgm:pt>
    <dgm:pt modelId="{32DCA3EE-540D-4755-A7F4-0AFD4BE926F4}" type="pres">
      <dgm:prSet presAssocID="{E1F92ED7-EF93-4131-8878-2CC5F3A0836F}" presName="level3hierChild" presStyleCnt="0"/>
      <dgm:spPr/>
    </dgm:pt>
    <dgm:pt modelId="{F73E2DA4-F19C-4132-B05A-31F13D21B995}" type="pres">
      <dgm:prSet presAssocID="{15C11D43-189A-468E-B2D3-1578690F9E95}" presName="conn2-1" presStyleLbl="parChTrans1D4" presStyleIdx="3" presStyleCnt="6"/>
      <dgm:spPr/>
      <dgm:t>
        <a:bodyPr/>
        <a:lstStyle/>
        <a:p>
          <a:endParaRPr lang="en-US"/>
        </a:p>
      </dgm:t>
    </dgm:pt>
    <dgm:pt modelId="{94DC2B42-3004-4B67-9F31-2CF73A9C9A1C}" type="pres">
      <dgm:prSet presAssocID="{15C11D43-189A-468E-B2D3-1578690F9E95}" presName="connTx" presStyleLbl="parChTrans1D4" presStyleIdx="3" presStyleCnt="6"/>
      <dgm:spPr/>
      <dgm:t>
        <a:bodyPr/>
        <a:lstStyle/>
        <a:p>
          <a:endParaRPr lang="en-US"/>
        </a:p>
      </dgm:t>
    </dgm:pt>
    <dgm:pt modelId="{E2C856B2-0272-41C9-A7F3-5B3AD98AED3F}" type="pres">
      <dgm:prSet presAssocID="{8EAE20F2-80A6-451B-AF27-380D712CC8DF}" presName="root2" presStyleCnt="0"/>
      <dgm:spPr/>
    </dgm:pt>
    <dgm:pt modelId="{D39353C6-5F70-4B9F-A034-DCC1E78CAE67}" type="pres">
      <dgm:prSet presAssocID="{8EAE20F2-80A6-451B-AF27-380D712CC8DF}" presName="LevelTwoTextNode" presStyleLbl="node4" presStyleIdx="3" presStyleCnt="6">
        <dgm:presLayoutVars>
          <dgm:chPref val="3"/>
        </dgm:presLayoutVars>
      </dgm:prSet>
      <dgm:spPr/>
      <dgm:t>
        <a:bodyPr/>
        <a:lstStyle/>
        <a:p>
          <a:endParaRPr lang="en-US"/>
        </a:p>
      </dgm:t>
    </dgm:pt>
    <dgm:pt modelId="{3BBCF0F9-7D32-47EB-BE0F-8CC6DC8D414E}" type="pres">
      <dgm:prSet presAssocID="{8EAE20F2-80A6-451B-AF27-380D712CC8DF}" presName="level3hierChild" presStyleCnt="0"/>
      <dgm:spPr/>
    </dgm:pt>
    <dgm:pt modelId="{5EC91F77-9D8C-4894-97A3-48895B4E81AA}" type="pres">
      <dgm:prSet presAssocID="{3A1F224E-3468-4ADC-80FA-43A673AA149A}" presName="conn2-1" presStyleLbl="parChTrans1D4" presStyleIdx="4" presStyleCnt="6"/>
      <dgm:spPr/>
      <dgm:t>
        <a:bodyPr/>
        <a:lstStyle/>
        <a:p>
          <a:endParaRPr lang="en-US"/>
        </a:p>
      </dgm:t>
    </dgm:pt>
    <dgm:pt modelId="{52F5491C-365B-410B-99E8-0A695F1B9414}" type="pres">
      <dgm:prSet presAssocID="{3A1F224E-3468-4ADC-80FA-43A673AA149A}" presName="connTx" presStyleLbl="parChTrans1D4" presStyleIdx="4" presStyleCnt="6"/>
      <dgm:spPr/>
      <dgm:t>
        <a:bodyPr/>
        <a:lstStyle/>
        <a:p>
          <a:endParaRPr lang="en-US"/>
        </a:p>
      </dgm:t>
    </dgm:pt>
    <dgm:pt modelId="{12089EC3-D13B-4A5E-978F-E02A2AD6A0AF}" type="pres">
      <dgm:prSet presAssocID="{AB4DCA83-E184-486B-81B2-DDD3B79C4706}" presName="root2" presStyleCnt="0"/>
      <dgm:spPr/>
    </dgm:pt>
    <dgm:pt modelId="{C6246985-D28E-4132-AB92-7FEF1234E4AF}" type="pres">
      <dgm:prSet presAssocID="{AB4DCA83-E184-486B-81B2-DDD3B79C4706}" presName="LevelTwoTextNode" presStyleLbl="node4" presStyleIdx="4" presStyleCnt="6">
        <dgm:presLayoutVars>
          <dgm:chPref val="3"/>
        </dgm:presLayoutVars>
      </dgm:prSet>
      <dgm:spPr/>
      <dgm:t>
        <a:bodyPr/>
        <a:lstStyle/>
        <a:p>
          <a:endParaRPr lang="en-US"/>
        </a:p>
      </dgm:t>
    </dgm:pt>
    <dgm:pt modelId="{D25F99A4-F6D3-4C72-9F29-28EE9440B091}" type="pres">
      <dgm:prSet presAssocID="{AB4DCA83-E184-486B-81B2-DDD3B79C4706}" presName="level3hierChild" presStyleCnt="0"/>
      <dgm:spPr/>
    </dgm:pt>
    <dgm:pt modelId="{8519DA52-45FA-4AFB-A74F-6EE951E1E42E}" type="pres">
      <dgm:prSet presAssocID="{9481FBFC-F9CB-4698-8184-021BCC62E7E8}" presName="conn2-1" presStyleLbl="parChTrans1D4" presStyleIdx="5" presStyleCnt="6"/>
      <dgm:spPr/>
      <dgm:t>
        <a:bodyPr/>
        <a:lstStyle/>
        <a:p>
          <a:endParaRPr lang="en-US"/>
        </a:p>
      </dgm:t>
    </dgm:pt>
    <dgm:pt modelId="{65525781-2EBB-4348-A959-DC9B536D89CA}" type="pres">
      <dgm:prSet presAssocID="{9481FBFC-F9CB-4698-8184-021BCC62E7E8}" presName="connTx" presStyleLbl="parChTrans1D4" presStyleIdx="5" presStyleCnt="6"/>
      <dgm:spPr/>
      <dgm:t>
        <a:bodyPr/>
        <a:lstStyle/>
        <a:p>
          <a:endParaRPr lang="en-US"/>
        </a:p>
      </dgm:t>
    </dgm:pt>
    <dgm:pt modelId="{CE78DD80-E6E8-4DD2-B89C-B9ABF9C592A8}" type="pres">
      <dgm:prSet presAssocID="{CE500AE9-7AAF-4826-8E95-34E5555B03C8}" presName="root2" presStyleCnt="0"/>
      <dgm:spPr/>
    </dgm:pt>
    <dgm:pt modelId="{998BA56E-760D-4CFE-8C92-FAA01A2BB970}" type="pres">
      <dgm:prSet presAssocID="{CE500AE9-7AAF-4826-8E95-34E5555B03C8}" presName="LevelTwoTextNode" presStyleLbl="node4" presStyleIdx="5" presStyleCnt="6">
        <dgm:presLayoutVars>
          <dgm:chPref val="3"/>
        </dgm:presLayoutVars>
      </dgm:prSet>
      <dgm:spPr/>
      <dgm:t>
        <a:bodyPr/>
        <a:lstStyle/>
        <a:p>
          <a:endParaRPr lang="en-US"/>
        </a:p>
      </dgm:t>
    </dgm:pt>
    <dgm:pt modelId="{1437EF06-4FD1-4962-AE0F-E44DB01EE067}" type="pres">
      <dgm:prSet presAssocID="{CE500AE9-7AAF-4826-8E95-34E5555B03C8}" presName="level3hierChild" presStyleCnt="0"/>
      <dgm:spPr/>
    </dgm:pt>
    <dgm:pt modelId="{E9A130DF-566B-4601-B0AB-7073A2CA0ED0}" type="pres">
      <dgm:prSet presAssocID="{BB066BAC-D65D-4D83-AE55-FA41659F600E}" presName="conn2-1" presStyleLbl="parChTrans1D3" presStyleIdx="1" presStyleCnt="4"/>
      <dgm:spPr/>
      <dgm:t>
        <a:bodyPr/>
        <a:lstStyle/>
        <a:p>
          <a:endParaRPr lang="en-US"/>
        </a:p>
      </dgm:t>
    </dgm:pt>
    <dgm:pt modelId="{CF811F7F-BE7B-49A0-947F-B9999EF0CFB5}" type="pres">
      <dgm:prSet presAssocID="{BB066BAC-D65D-4D83-AE55-FA41659F600E}" presName="connTx" presStyleLbl="parChTrans1D3" presStyleIdx="1" presStyleCnt="4"/>
      <dgm:spPr/>
      <dgm:t>
        <a:bodyPr/>
        <a:lstStyle/>
        <a:p>
          <a:endParaRPr lang="en-US"/>
        </a:p>
      </dgm:t>
    </dgm:pt>
    <dgm:pt modelId="{035C85E7-A520-40FE-A289-418AB409B805}" type="pres">
      <dgm:prSet presAssocID="{F615FDAE-E938-4D88-A445-D663B1F4CF6E}" presName="root2" presStyleCnt="0"/>
      <dgm:spPr/>
    </dgm:pt>
    <dgm:pt modelId="{D89088CD-ADA7-41E5-9511-2E639A1BD2E9}" type="pres">
      <dgm:prSet presAssocID="{F615FDAE-E938-4D88-A445-D663B1F4CF6E}" presName="LevelTwoTextNode" presStyleLbl="node3" presStyleIdx="1" presStyleCnt="4">
        <dgm:presLayoutVars>
          <dgm:chPref val="3"/>
        </dgm:presLayoutVars>
      </dgm:prSet>
      <dgm:spPr/>
      <dgm:t>
        <a:bodyPr/>
        <a:lstStyle/>
        <a:p>
          <a:endParaRPr lang="en-US"/>
        </a:p>
      </dgm:t>
    </dgm:pt>
    <dgm:pt modelId="{7C7346EC-09A2-45EC-9FD3-76D6DF13BA1D}" type="pres">
      <dgm:prSet presAssocID="{F615FDAE-E938-4D88-A445-D663B1F4CF6E}" presName="level3hierChild" presStyleCnt="0"/>
      <dgm:spPr/>
    </dgm:pt>
    <dgm:pt modelId="{1C9E136B-E602-4DAF-BE51-3C37DCCEF60A}" type="pres">
      <dgm:prSet presAssocID="{6023D72C-2A30-4F0D-A310-D6075C14C9D3}" presName="conn2-1" presStyleLbl="parChTrans1D3" presStyleIdx="2" presStyleCnt="4"/>
      <dgm:spPr/>
      <dgm:t>
        <a:bodyPr/>
        <a:lstStyle/>
        <a:p>
          <a:endParaRPr lang="en-US"/>
        </a:p>
      </dgm:t>
    </dgm:pt>
    <dgm:pt modelId="{E2D4C7C2-90DE-4F12-8141-52067381A864}" type="pres">
      <dgm:prSet presAssocID="{6023D72C-2A30-4F0D-A310-D6075C14C9D3}" presName="connTx" presStyleLbl="parChTrans1D3" presStyleIdx="2" presStyleCnt="4"/>
      <dgm:spPr/>
      <dgm:t>
        <a:bodyPr/>
        <a:lstStyle/>
        <a:p>
          <a:endParaRPr lang="en-US"/>
        </a:p>
      </dgm:t>
    </dgm:pt>
    <dgm:pt modelId="{0E88544D-9C1E-488B-AD6D-E46AE8A79F1A}" type="pres">
      <dgm:prSet presAssocID="{F1FDBACC-F7D1-4481-A682-2B002891D51D}" presName="root2" presStyleCnt="0"/>
      <dgm:spPr/>
    </dgm:pt>
    <dgm:pt modelId="{C22298C6-63DC-4FA6-B9A6-5FB6B63E8419}" type="pres">
      <dgm:prSet presAssocID="{F1FDBACC-F7D1-4481-A682-2B002891D51D}" presName="LevelTwoTextNode" presStyleLbl="node3" presStyleIdx="2" presStyleCnt="4">
        <dgm:presLayoutVars>
          <dgm:chPref val="3"/>
        </dgm:presLayoutVars>
      </dgm:prSet>
      <dgm:spPr/>
      <dgm:t>
        <a:bodyPr/>
        <a:lstStyle/>
        <a:p>
          <a:endParaRPr lang="en-US"/>
        </a:p>
      </dgm:t>
    </dgm:pt>
    <dgm:pt modelId="{9C8BE6DF-487E-4EFA-B70D-AC7CC5373116}" type="pres">
      <dgm:prSet presAssocID="{F1FDBACC-F7D1-4481-A682-2B002891D51D}" presName="level3hierChild" presStyleCnt="0"/>
      <dgm:spPr/>
    </dgm:pt>
    <dgm:pt modelId="{632E61FF-C08F-4D9F-B86B-D5ABF05629FE}" type="pres">
      <dgm:prSet presAssocID="{4DDF99A8-E07B-4F08-A88F-B6DFF9F5AFF2}" presName="conn2-1" presStyleLbl="parChTrans1D3" presStyleIdx="3" presStyleCnt="4"/>
      <dgm:spPr/>
      <dgm:t>
        <a:bodyPr/>
        <a:lstStyle/>
        <a:p>
          <a:endParaRPr lang="en-US"/>
        </a:p>
      </dgm:t>
    </dgm:pt>
    <dgm:pt modelId="{8EB6FA2A-9229-44F0-87A4-A4DD5B55BB94}" type="pres">
      <dgm:prSet presAssocID="{4DDF99A8-E07B-4F08-A88F-B6DFF9F5AFF2}" presName="connTx" presStyleLbl="parChTrans1D3" presStyleIdx="3" presStyleCnt="4"/>
      <dgm:spPr/>
      <dgm:t>
        <a:bodyPr/>
        <a:lstStyle/>
        <a:p>
          <a:endParaRPr lang="en-US"/>
        </a:p>
      </dgm:t>
    </dgm:pt>
    <dgm:pt modelId="{5BBF0C13-B9EC-47D2-A870-250C37E1209C}" type="pres">
      <dgm:prSet presAssocID="{04E05C41-21FC-473A-AD7D-EABCE3E439FF}" presName="root2" presStyleCnt="0"/>
      <dgm:spPr/>
    </dgm:pt>
    <dgm:pt modelId="{4D285A69-A954-490C-A785-44E509D7CC1F}" type="pres">
      <dgm:prSet presAssocID="{04E05C41-21FC-473A-AD7D-EABCE3E439FF}" presName="LevelTwoTextNode" presStyleLbl="node3" presStyleIdx="3" presStyleCnt="4">
        <dgm:presLayoutVars>
          <dgm:chPref val="3"/>
        </dgm:presLayoutVars>
      </dgm:prSet>
      <dgm:spPr/>
      <dgm:t>
        <a:bodyPr/>
        <a:lstStyle/>
        <a:p>
          <a:endParaRPr lang="en-US"/>
        </a:p>
      </dgm:t>
    </dgm:pt>
    <dgm:pt modelId="{2A047544-B4E3-4C33-AD6B-646F504D7739}" type="pres">
      <dgm:prSet presAssocID="{04E05C41-21FC-473A-AD7D-EABCE3E439FF}" presName="level3hierChild" presStyleCnt="0"/>
      <dgm:spPr/>
    </dgm:pt>
    <dgm:pt modelId="{163AE3C9-8C62-4C7D-A491-E5901E41592F}" type="pres">
      <dgm:prSet presAssocID="{75A5775C-9D81-4AC9-8E90-76F006C7A888}" presName="conn2-1" presStyleLbl="parChTrans1D2" presStyleIdx="1" presStyleCnt="3"/>
      <dgm:spPr/>
      <dgm:t>
        <a:bodyPr/>
        <a:lstStyle/>
        <a:p>
          <a:endParaRPr lang="en-US"/>
        </a:p>
      </dgm:t>
    </dgm:pt>
    <dgm:pt modelId="{38E5A605-9B7A-4BFB-BA4F-5A285A298713}" type="pres">
      <dgm:prSet presAssocID="{75A5775C-9D81-4AC9-8E90-76F006C7A888}" presName="connTx" presStyleLbl="parChTrans1D2" presStyleIdx="1" presStyleCnt="3"/>
      <dgm:spPr/>
      <dgm:t>
        <a:bodyPr/>
        <a:lstStyle/>
        <a:p>
          <a:endParaRPr lang="en-US"/>
        </a:p>
      </dgm:t>
    </dgm:pt>
    <dgm:pt modelId="{61BC8E4F-C5C4-485C-9C83-957768F51203}" type="pres">
      <dgm:prSet presAssocID="{08E5508A-8779-4C70-9E09-7F2109574D6B}" presName="root2" presStyleCnt="0"/>
      <dgm:spPr/>
    </dgm:pt>
    <dgm:pt modelId="{902E930F-80AF-4D3F-BC97-BA0621641A3A}" type="pres">
      <dgm:prSet presAssocID="{08E5508A-8779-4C70-9E09-7F2109574D6B}" presName="LevelTwoTextNode" presStyleLbl="node2" presStyleIdx="1" presStyleCnt="3" custScaleX="123867" custScaleY="113439">
        <dgm:presLayoutVars>
          <dgm:chPref val="3"/>
        </dgm:presLayoutVars>
      </dgm:prSet>
      <dgm:spPr/>
      <dgm:t>
        <a:bodyPr/>
        <a:lstStyle/>
        <a:p>
          <a:endParaRPr lang="en-US"/>
        </a:p>
      </dgm:t>
    </dgm:pt>
    <dgm:pt modelId="{FBFD7FC0-BB3A-453C-B356-49744C6F53DF}" type="pres">
      <dgm:prSet presAssocID="{08E5508A-8779-4C70-9E09-7F2109574D6B}" presName="level3hierChild" presStyleCnt="0"/>
      <dgm:spPr/>
    </dgm:pt>
    <dgm:pt modelId="{0924B9BF-AECE-4173-A4E1-89ADED415F62}" type="pres">
      <dgm:prSet presAssocID="{E7167DA8-D6D8-421E-8A76-F5E905F9B0AB}" presName="conn2-1" presStyleLbl="parChTrans1D2" presStyleIdx="2" presStyleCnt="3"/>
      <dgm:spPr/>
      <dgm:t>
        <a:bodyPr/>
        <a:lstStyle/>
        <a:p>
          <a:endParaRPr lang="en-US"/>
        </a:p>
      </dgm:t>
    </dgm:pt>
    <dgm:pt modelId="{E144C2B5-F877-4CD6-BF0F-E523E6267635}" type="pres">
      <dgm:prSet presAssocID="{E7167DA8-D6D8-421E-8A76-F5E905F9B0AB}" presName="connTx" presStyleLbl="parChTrans1D2" presStyleIdx="2" presStyleCnt="3"/>
      <dgm:spPr/>
      <dgm:t>
        <a:bodyPr/>
        <a:lstStyle/>
        <a:p>
          <a:endParaRPr lang="en-US"/>
        </a:p>
      </dgm:t>
    </dgm:pt>
    <dgm:pt modelId="{49B853E5-B264-4D47-8AAB-74FAE5EDDFC4}" type="pres">
      <dgm:prSet presAssocID="{9BADE73A-10E5-40DE-AFB4-81237D3444B8}" presName="root2" presStyleCnt="0"/>
      <dgm:spPr/>
    </dgm:pt>
    <dgm:pt modelId="{51B44F64-A240-4AF2-A41A-9CB09D4129F1}" type="pres">
      <dgm:prSet presAssocID="{9BADE73A-10E5-40DE-AFB4-81237D3444B8}" presName="LevelTwoTextNode" presStyleLbl="node2" presStyleIdx="2" presStyleCnt="3" custScaleX="123867" custScaleY="125382">
        <dgm:presLayoutVars>
          <dgm:chPref val="3"/>
        </dgm:presLayoutVars>
      </dgm:prSet>
      <dgm:spPr/>
      <dgm:t>
        <a:bodyPr/>
        <a:lstStyle/>
        <a:p>
          <a:endParaRPr lang="en-US"/>
        </a:p>
      </dgm:t>
    </dgm:pt>
    <dgm:pt modelId="{5DA69A91-F0E9-46AF-87CE-400AA4A4B9D2}" type="pres">
      <dgm:prSet presAssocID="{9BADE73A-10E5-40DE-AFB4-81237D3444B8}" presName="level3hierChild" presStyleCnt="0"/>
      <dgm:spPr/>
    </dgm:pt>
  </dgm:ptLst>
  <dgm:cxnLst>
    <dgm:cxn modelId="{2948BB99-4E7E-42D3-8853-5500B6E69E55}" type="presOf" srcId="{E7167DA8-D6D8-421E-8A76-F5E905F9B0AB}" destId="{E144C2B5-F877-4CD6-BF0F-E523E6267635}" srcOrd="1" destOrd="0" presId="urn:microsoft.com/office/officeart/2005/8/layout/hierarchy2"/>
    <dgm:cxn modelId="{75755857-902F-46F1-9E63-D3EC8605AA1F}" srcId="{AE96F935-DF97-4724-B098-356DCADDBB0E}" destId="{7C59EB29-3CB3-412F-B95E-D709A7F7C27C}" srcOrd="0" destOrd="0" parTransId="{CA0EC21D-BFC5-45A3-8CDA-B5982C13FEF3}" sibTransId="{3C225987-95A5-4280-82DE-5A847772DE2A}"/>
    <dgm:cxn modelId="{FB1506E5-58A0-4A5D-AEF8-F4B39BD6EE6F}" type="presOf" srcId="{CE500AE9-7AAF-4826-8E95-34E5555B03C8}" destId="{998BA56E-760D-4CFE-8C92-FAA01A2BB970}" srcOrd="0" destOrd="0" presId="urn:microsoft.com/office/officeart/2005/8/layout/hierarchy2"/>
    <dgm:cxn modelId="{7F18DC13-D943-419D-B10E-2AACD32D771B}" type="presOf" srcId="{F4656A63-ADF1-4234-92CD-BB63B5DF353D}" destId="{2419D628-9B71-4E30-8789-A83F31E2ABF1}" srcOrd="0" destOrd="0" presId="urn:microsoft.com/office/officeart/2005/8/layout/hierarchy2"/>
    <dgm:cxn modelId="{5C2F4E2A-36C7-46F3-BAEF-51A88F24C8FA}" type="presOf" srcId="{F615FDAE-E938-4D88-A445-D663B1F4CF6E}" destId="{D89088CD-ADA7-41E5-9511-2E639A1BD2E9}" srcOrd="0" destOrd="0" presId="urn:microsoft.com/office/officeart/2005/8/layout/hierarchy2"/>
    <dgm:cxn modelId="{6ED24792-D51A-454F-9E8D-BB9D2EE66029}" type="presOf" srcId="{BB066BAC-D65D-4D83-AE55-FA41659F600E}" destId="{E9A130DF-566B-4601-B0AB-7073A2CA0ED0}" srcOrd="0" destOrd="0" presId="urn:microsoft.com/office/officeart/2005/8/layout/hierarchy2"/>
    <dgm:cxn modelId="{88AC5AAA-5513-4F85-93E7-9DD386B31280}" type="presOf" srcId="{3EFA100F-D95D-4898-9B58-6319B8F3F985}" destId="{D08404F7-EEF4-4AC9-B872-477C92A28889}" srcOrd="0" destOrd="0" presId="urn:microsoft.com/office/officeart/2005/8/layout/hierarchy2"/>
    <dgm:cxn modelId="{8E0F664F-4B78-497C-8FCA-8F19007329D7}" type="presOf" srcId="{3A1F224E-3468-4ADC-80FA-43A673AA149A}" destId="{52F5491C-365B-410B-99E8-0A695F1B9414}" srcOrd="1" destOrd="0" presId="urn:microsoft.com/office/officeart/2005/8/layout/hierarchy2"/>
    <dgm:cxn modelId="{A90E8414-B146-424D-A9F1-6DA731871C83}" type="presOf" srcId="{6023D72C-2A30-4F0D-A310-D6075C14C9D3}" destId="{1C9E136B-E602-4DAF-BE51-3C37DCCEF60A}" srcOrd="0" destOrd="0" presId="urn:microsoft.com/office/officeart/2005/8/layout/hierarchy2"/>
    <dgm:cxn modelId="{B4C8BD71-E811-44AF-AB80-5F178DB359DF}" type="presOf" srcId="{B443FD08-B2B4-4B69-8044-C4A44300FCF7}" destId="{794E27F0-BAA0-44B4-A3A2-30056D6FB97A}" srcOrd="0" destOrd="0" presId="urn:microsoft.com/office/officeart/2005/8/layout/hierarchy2"/>
    <dgm:cxn modelId="{2A1927C4-E22F-4B2B-95FB-1E1855B22C8D}" type="presOf" srcId="{15C11D43-189A-468E-B2D3-1578690F9E95}" destId="{94DC2B42-3004-4B67-9F31-2CF73A9C9A1C}" srcOrd="1" destOrd="0" presId="urn:microsoft.com/office/officeart/2005/8/layout/hierarchy2"/>
    <dgm:cxn modelId="{3E45A65D-43C0-44C5-AB3E-E6030D52BB6D}" type="presOf" srcId="{4DDF99A8-E07B-4F08-A88F-B6DFF9F5AFF2}" destId="{632E61FF-C08F-4D9F-B86B-D5ABF05629FE}" srcOrd="0" destOrd="0" presId="urn:microsoft.com/office/officeart/2005/8/layout/hierarchy2"/>
    <dgm:cxn modelId="{51ADBC50-AE2D-463B-9778-21418A61F09C}" type="presOf" srcId="{F51EF63B-10DF-45EB-BA87-B4211E7DF4B5}" destId="{6EE7679A-B33F-432A-8869-F9FE4E37D5A7}" srcOrd="0" destOrd="0" presId="urn:microsoft.com/office/officeart/2005/8/layout/hierarchy2"/>
    <dgm:cxn modelId="{6E4898F5-E51D-4569-A969-D64E0726901A}" type="presOf" srcId="{F4656A63-ADF1-4234-92CD-BB63B5DF353D}" destId="{F6CEB81C-DF0A-4375-924C-B2E75EBE4210}" srcOrd="1" destOrd="0" presId="urn:microsoft.com/office/officeart/2005/8/layout/hierarchy2"/>
    <dgm:cxn modelId="{B43EC640-B2C3-4E29-ABB4-8E5F63726B02}" type="presOf" srcId="{9097021C-3E48-4A2F-8BBF-5B9E0072EAFD}" destId="{45F326FA-DE7A-4EF2-A51A-3E930C2FEC5C}" srcOrd="0" destOrd="0" presId="urn:microsoft.com/office/officeart/2005/8/layout/hierarchy2"/>
    <dgm:cxn modelId="{E1583D74-9E4B-435F-AC7A-C6DF416D5D9B}" srcId="{A666D27D-4E0E-4DF5-AAC9-AC67604EF494}" destId="{F615FDAE-E938-4D88-A445-D663B1F4CF6E}" srcOrd="1" destOrd="0" parTransId="{BB066BAC-D65D-4D83-AE55-FA41659F600E}" sibTransId="{9DEA19EC-08F7-48B0-8245-5E20C804D0BE}"/>
    <dgm:cxn modelId="{E090276C-3EAC-4B5A-88E9-3C74E3389C56}" srcId="{A666D27D-4E0E-4DF5-AAC9-AC67604EF494}" destId="{04E05C41-21FC-473A-AD7D-EABCE3E439FF}" srcOrd="3" destOrd="0" parTransId="{4DDF99A8-E07B-4F08-A88F-B6DFF9F5AFF2}" sibTransId="{EFFBD0F6-C863-4D14-88D4-2EA757D0F56B}"/>
    <dgm:cxn modelId="{E97148FB-B8F1-4E16-AB83-0A3D9BE39AD9}" type="presOf" srcId="{04E05C41-21FC-473A-AD7D-EABCE3E439FF}" destId="{4D285A69-A954-490C-A785-44E509D7CC1F}" srcOrd="0" destOrd="0" presId="urn:microsoft.com/office/officeart/2005/8/layout/hierarchy2"/>
    <dgm:cxn modelId="{30FFA2E2-8907-49F5-96ED-92A07F171F7D}" type="presOf" srcId="{BB066BAC-D65D-4D83-AE55-FA41659F600E}" destId="{CF811F7F-BE7B-49A0-947F-B9999EF0CFB5}" srcOrd="1" destOrd="0" presId="urn:microsoft.com/office/officeart/2005/8/layout/hierarchy2"/>
    <dgm:cxn modelId="{DA56601F-24EE-44C4-84D0-F91E7D4CBA3F}" type="presOf" srcId="{75A5775C-9D81-4AC9-8E90-76F006C7A888}" destId="{163AE3C9-8C62-4C7D-A491-E5901E41592F}" srcOrd="0" destOrd="0" presId="urn:microsoft.com/office/officeart/2005/8/layout/hierarchy2"/>
    <dgm:cxn modelId="{72FC2E44-2F9A-4ABD-AA61-51A0A7B9CAF5}" srcId="{7C59EB29-3CB3-412F-B95E-D709A7F7C27C}" destId="{9BADE73A-10E5-40DE-AFB4-81237D3444B8}" srcOrd="2" destOrd="0" parTransId="{E7167DA8-D6D8-421E-8A76-F5E905F9B0AB}" sibTransId="{AE9EBAD4-F225-4BD1-B2B7-DFB0CFF11A51}"/>
    <dgm:cxn modelId="{DFB4BF97-998C-451C-8729-D2DAF12C8F2A}" type="presOf" srcId="{08E5508A-8779-4C70-9E09-7F2109574D6B}" destId="{902E930F-80AF-4D3F-BC97-BA0621641A3A}" srcOrd="0" destOrd="0" presId="urn:microsoft.com/office/officeart/2005/8/layout/hierarchy2"/>
    <dgm:cxn modelId="{FF4049A7-EC28-43FA-800F-ECBA5E56B385}" type="presOf" srcId="{7C59EB29-3CB3-412F-B95E-D709A7F7C27C}" destId="{29D69999-56E9-4D59-A0C5-05509AE502FF}" srcOrd="0" destOrd="0" presId="urn:microsoft.com/office/officeart/2005/8/layout/hierarchy2"/>
    <dgm:cxn modelId="{4232EB4D-E08F-4405-BAF1-7C590BA8CE46}" type="presOf" srcId="{9481FBFC-F9CB-4698-8184-021BCC62E7E8}" destId="{65525781-2EBB-4348-A959-DC9B536D89CA}" srcOrd="1" destOrd="0" presId="urn:microsoft.com/office/officeart/2005/8/layout/hierarchy2"/>
    <dgm:cxn modelId="{7114896D-F6D1-4757-B730-7697E7F0201F}" type="presOf" srcId="{8EAE20F2-80A6-451B-AF27-380D712CC8DF}" destId="{D39353C6-5F70-4B9F-A034-DCC1E78CAE67}" srcOrd="0" destOrd="0" presId="urn:microsoft.com/office/officeart/2005/8/layout/hierarchy2"/>
    <dgm:cxn modelId="{CF1B15F1-D7EE-4199-B893-C9821597ABE1}" srcId="{A666D27D-4E0E-4DF5-AAC9-AC67604EF494}" destId="{F1FDBACC-F7D1-4481-A682-2B002891D51D}" srcOrd="2" destOrd="0" parTransId="{6023D72C-2A30-4F0D-A310-D6075C14C9D3}" sibTransId="{89726781-D7EC-4D40-8464-E49E09B9B86C}"/>
    <dgm:cxn modelId="{9A8A326A-7257-4B2F-B9FC-8D6B174BB956}" type="presOf" srcId="{B443FD08-B2B4-4B69-8044-C4A44300FCF7}" destId="{44734FEA-F4F9-41A9-BF7B-11D2A854338F}" srcOrd="1" destOrd="0" presId="urn:microsoft.com/office/officeart/2005/8/layout/hierarchy2"/>
    <dgm:cxn modelId="{A0933773-A436-4FF6-B41F-D74AD440F779}" srcId="{7C59EB29-3CB3-412F-B95E-D709A7F7C27C}" destId="{A666D27D-4E0E-4DF5-AAC9-AC67604EF494}" srcOrd="0" destOrd="0" parTransId="{F51EF63B-10DF-45EB-BA87-B4211E7DF4B5}" sibTransId="{F1163811-1514-4C30-8E90-7058E97EFC6C}"/>
    <dgm:cxn modelId="{B7D0D50F-1A43-4920-BF38-276AA6558DFC}" srcId="{5C57FFCE-0D05-4818-837C-C42E3046D20C}" destId="{AB4DCA83-E184-486B-81B2-DDD3B79C4706}" srcOrd="4" destOrd="0" parTransId="{3A1F224E-3468-4ADC-80FA-43A673AA149A}" sibTransId="{A0B9B149-6FDB-445B-A1D4-7BD006835AEE}"/>
    <dgm:cxn modelId="{FC21FFC4-A953-42D1-B0FA-3FE9E51D70F9}" srcId="{5C57FFCE-0D05-4818-837C-C42E3046D20C}" destId="{CE500AE9-7AAF-4826-8E95-34E5555B03C8}" srcOrd="5" destOrd="0" parTransId="{9481FBFC-F9CB-4698-8184-021BCC62E7E8}" sibTransId="{3AC00F9B-9623-45D9-B78C-0E362AD8B630}"/>
    <dgm:cxn modelId="{458A4AC9-2810-458A-86EC-888F9A822A99}" srcId="{5C57FFCE-0D05-4818-837C-C42E3046D20C}" destId="{DE025B30-F21C-4EEA-B32D-1274D6A2B8EC}" srcOrd="1" destOrd="0" parTransId="{3EFA100F-D95D-4898-9B58-6319B8F3F985}" sibTransId="{CCE4D041-4391-402E-A386-6A2250860789}"/>
    <dgm:cxn modelId="{7673726B-77BD-4908-B032-BDB6E825A7F9}" type="presOf" srcId="{DE025B30-F21C-4EEA-B32D-1274D6A2B8EC}" destId="{EB67680F-09E4-43A7-88B4-3358C9820A98}" srcOrd="0" destOrd="0" presId="urn:microsoft.com/office/officeart/2005/8/layout/hierarchy2"/>
    <dgm:cxn modelId="{2E05777D-9208-4533-92CC-71AC810A6877}" type="presOf" srcId="{AE96F935-DF97-4724-B098-356DCADDBB0E}" destId="{18FEF5BD-BE97-4608-8EDA-631D8C707AF0}" srcOrd="0" destOrd="0" presId="urn:microsoft.com/office/officeart/2005/8/layout/hierarchy2"/>
    <dgm:cxn modelId="{C99CC632-42B8-4C06-A193-3AB3C6405F58}" type="presOf" srcId="{3EFA100F-D95D-4898-9B58-6319B8F3F985}" destId="{6F29AAE5-E4F5-40D4-AE9E-8DC58815AC1A}" srcOrd="1" destOrd="0" presId="urn:microsoft.com/office/officeart/2005/8/layout/hierarchy2"/>
    <dgm:cxn modelId="{AEF4CFDC-AF90-44FF-9F63-46BBB113D85D}" type="presOf" srcId="{9481FBFC-F9CB-4698-8184-021BCC62E7E8}" destId="{8519DA52-45FA-4AFB-A74F-6EE951E1E42E}" srcOrd="0" destOrd="0" presId="urn:microsoft.com/office/officeart/2005/8/layout/hierarchy2"/>
    <dgm:cxn modelId="{6DEA2196-26B4-438B-8354-C53D68EF9236}" type="presOf" srcId="{3A1F224E-3468-4ADC-80FA-43A673AA149A}" destId="{5EC91F77-9D8C-4894-97A3-48895B4E81AA}" srcOrd="0" destOrd="0" presId="urn:microsoft.com/office/officeart/2005/8/layout/hierarchy2"/>
    <dgm:cxn modelId="{5546BDA4-E315-407A-9B45-259DD3A42F8C}" type="presOf" srcId="{6023D72C-2A30-4F0D-A310-D6075C14C9D3}" destId="{E2D4C7C2-90DE-4F12-8141-52067381A864}" srcOrd="1" destOrd="0" presId="urn:microsoft.com/office/officeart/2005/8/layout/hierarchy2"/>
    <dgm:cxn modelId="{CBE61BE8-3FF0-4AE5-AA06-60887ADAEDE3}" type="presOf" srcId="{2DED90CD-0E18-408A-AD12-F86EF28DD12E}" destId="{3F9F1E4C-BC9D-404A-BBA2-612B83797161}" srcOrd="1" destOrd="0" presId="urn:microsoft.com/office/officeart/2005/8/layout/hierarchy2"/>
    <dgm:cxn modelId="{9A458A68-EAB8-4355-A870-C310C515A300}" type="presOf" srcId="{75A5775C-9D81-4AC9-8E90-76F006C7A888}" destId="{38E5A605-9B7A-4BFB-BA4F-5A285A298713}" srcOrd="1" destOrd="0" presId="urn:microsoft.com/office/officeart/2005/8/layout/hierarchy2"/>
    <dgm:cxn modelId="{2541CBC1-B04C-4C53-88CF-ED17CA5A3E44}" srcId="{7C59EB29-3CB3-412F-B95E-D709A7F7C27C}" destId="{08E5508A-8779-4C70-9E09-7F2109574D6B}" srcOrd="1" destOrd="0" parTransId="{75A5775C-9D81-4AC9-8E90-76F006C7A888}" sibTransId="{E9A6235F-3C61-4F84-9D73-47A68A17D6BC}"/>
    <dgm:cxn modelId="{B13761DA-2EE3-4EBC-8841-EEEF036DE34F}" type="presOf" srcId="{E1F92ED7-EF93-4131-8878-2CC5F3A0836F}" destId="{58BC938B-7E68-437E-B2E6-69D06599D28C}" srcOrd="0" destOrd="0" presId="urn:microsoft.com/office/officeart/2005/8/layout/hierarchy2"/>
    <dgm:cxn modelId="{0D25AEB9-2267-46E8-8D44-1A4F2312D9B9}" type="presOf" srcId="{F51EF63B-10DF-45EB-BA87-B4211E7DF4B5}" destId="{EAD72D74-DA8A-43B1-914E-5BC37B184834}" srcOrd="1" destOrd="0" presId="urn:microsoft.com/office/officeart/2005/8/layout/hierarchy2"/>
    <dgm:cxn modelId="{B9A1F59A-0CE1-4749-B0FA-371B53343E9E}" srcId="{5C57FFCE-0D05-4818-837C-C42E3046D20C}" destId="{E1F92ED7-EF93-4131-8878-2CC5F3A0836F}" srcOrd="2" destOrd="0" parTransId="{B443FD08-B2B4-4B69-8044-C4A44300FCF7}" sibTransId="{1E6FE303-09E7-461B-93E4-E7E25E9A91C5}"/>
    <dgm:cxn modelId="{D8D11052-9CCD-452A-BDA4-DAAFDA75F70B}" type="presOf" srcId="{4DDF99A8-E07B-4F08-A88F-B6DFF9F5AFF2}" destId="{8EB6FA2A-9229-44F0-87A4-A4DD5B55BB94}" srcOrd="1" destOrd="0" presId="urn:microsoft.com/office/officeart/2005/8/layout/hierarchy2"/>
    <dgm:cxn modelId="{C3513DB2-334E-46F3-AC2C-264329757D2E}" srcId="{5C57FFCE-0D05-4818-837C-C42E3046D20C}" destId="{9097021C-3E48-4A2F-8BBF-5B9E0072EAFD}" srcOrd="0" destOrd="0" parTransId="{2DED90CD-0E18-408A-AD12-F86EF28DD12E}" sibTransId="{34D703EE-C5AC-478C-978E-FCD8B59FEBBB}"/>
    <dgm:cxn modelId="{53AD8144-EBF5-4F58-90F2-1814353F3EBB}" type="presOf" srcId="{5C57FFCE-0D05-4818-837C-C42E3046D20C}" destId="{DA39BF5C-BCFC-4E3A-AA6B-4962D9410E3F}" srcOrd="0" destOrd="0" presId="urn:microsoft.com/office/officeart/2005/8/layout/hierarchy2"/>
    <dgm:cxn modelId="{7A6DFBBA-91FD-475F-AD55-F9C5D09D5C08}" srcId="{A666D27D-4E0E-4DF5-AAC9-AC67604EF494}" destId="{5C57FFCE-0D05-4818-837C-C42E3046D20C}" srcOrd="0" destOrd="0" parTransId="{F4656A63-ADF1-4234-92CD-BB63B5DF353D}" sibTransId="{E89A80B8-1FF1-4DC4-97DE-7270FA5E0642}"/>
    <dgm:cxn modelId="{80EE0946-0656-4CA0-BB9D-F34D76FDA59A}" type="presOf" srcId="{F1FDBACC-F7D1-4481-A682-2B002891D51D}" destId="{C22298C6-63DC-4FA6-B9A6-5FB6B63E8419}" srcOrd="0" destOrd="0" presId="urn:microsoft.com/office/officeart/2005/8/layout/hierarchy2"/>
    <dgm:cxn modelId="{374FD3F7-3172-4D5F-BD58-2AFDC8E230C9}" type="presOf" srcId="{A666D27D-4E0E-4DF5-AAC9-AC67604EF494}" destId="{33518F22-514C-4650-BF1B-B3E0304E6545}" srcOrd="0" destOrd="0" presId="urn:microsoft.com/office/officeart/2005/8/layout/hierarchy2"/>
    <dgm:cxn modelId="{B35EE091-A127-43E5-884A-37B8998E6189}" type="presOf" srcId="{15C11D43-189A-468E-B2D3-1578690F9E95}" destId="{F73E2DA4-F19C-4132-B05A-31F13D21B995}" srcOrd="0" destOrd="0" presId="urn:microsoft.com/office/officeart/2005/8/layout/hierarchy2"/>
    <dgm:cxn modelId="{3036A7CB-07B4-4A16-9ECD-7513D422F879}" type="presOf" srcId="{9BADE73A-10E5-40DE-AFB4-81237D3444B8}" destId="{51B44F64-A240-4AF2-A41A-9CB09D4129F1}" srcOrd="0" destOrd="0" presId="urn:microsoft.com/office/officeart/2005/8/layout/hierarchy2"/>
    <dgm:cxn modelId="{06928B9A-DCB0-4E32-AC46-E7D5154067C9}" type="presOf" srcId="{AB4DCA83-E184-486B-81B2-DDD3B79C4706}" destId="{C6246985-D28E-4132-AB92-7FEF1234E4AF}" srcOrd="0" destOrd="0" presId="urn:microsoft.com/office/officeart/2005/8/layout/hierarchy2"/>
    <dgm:cxn modelId="{077B2D2D-E80B-4373-8CA3-6962C2455898}" type="presOf" srcId="{E7167DA8-D6D8-421E-8A76-F5E905F9B0AB}" destId="{0924B9BF-AECE-4173-A4E1-89ADED415F62}" srcOrd="0" destOrd="0" presId="urn:microsoft.com/office/officeart/2005/8/layout/hierarchy2"/>
    <dgm:cxn modelId="{0E97A6A1-1E4C-4B57-94DE-7754164CAEF8}" srcId="{5C57FFCE-0D05-4818-837C-C42E3046D20C}" destId="{8EAE20F2-80A6-451B-AF27-380D712CC8DF}" srcOrd="3" destOrd="0" parTransId="{15C11D43-189A-468E-B2D3-1578690F9E95}" sibTransId="{FDBC5A39-761F-4023-9C77-56C5DD826F27}"/>
    <dgm:cxn modelId="{F3415F12-57B9-4642-BCE3-8127321D58BD}" type="presOf" srcId="{2DED90CD-0E18-408A-AD12-F86EF28DD12E}" destId="{CBC96EFC-4EEB-4F51-A969-C869409FCC69}" srcOrd="0" destOrd="0" presId="urn:microsoft.com/office/officeart/2005/8/layout/hierarchy2"/>
    <dgm:cxn modelId="{09E4C243-C8C0-4125-BA2B-7A5A71631D07}" type="presParOf" srcId="{18FEF5BD-BE97-4608-8EDA-631D8C707AF0}" destId="{6A8294B0-4571-40A9-9458-7559AB0D69B7}" srcOrd="0" destOrd="0" presId="urn:microsoft.com/office/officeart/2005/8/layout/hierarchy2"/>
    <dgm:cxn modelId="{61690D3B-3AB2-4875-809D-2F2F5DE65F31}" type="presParOf" srcId="{6A8294B0-4571-40A9-9458-7559AB0D69B7}" destId="{29D69999-56E9-4D59-A0C5-05509AE502FF}" srcOrd="0" destOrd="0" presId="urn:microsoft.com/office/officeart/2005/8/layout/hierarchy2"/>
    <dgm:cxn modelId="{42722B35-EA29-4B25-88E7-2D80610A1D82}" type="presParOf" srcId="{6A8294B0-4571-40A9-9458-7559AB0D69B7}" destId="{E2982A76-7362-4180-A167-257940C50C48}" srcOrd="1" destOrd="0" presId="urn:microsoft.com/office/officeart/2005/8/layout/hierarchy2"/>
    <dgm:cxn modelId="{2C228E6D-0283-43F4-B38D-6E867DCD14FD}" type="presParOf" srcId="{E2982A76-7362-4180-A167-257940C50C48}" destId="{6EE7679A-B33F-432A-8869-F9FE4E37D5A7}" srcOrd="0" destOrd="0" presId="urn:microsoft.com/office/officeart/2005/8/layout/hierarchy2"/>
    <dgm:cxn modelId="{BB343812-3CBF-482C-B81D-B957E10A892B}" type="presParOf" srcId="{6EE7679A-B33F-432A-8869-F9FE4E37D5A7}" destId="{EAD72D74-DA8A-43B1-914E-5BC37B184834}" srcOrd="0" destOrd="0" presId="urn:microsoft.com/office/officeart/2005/8/layout/hierarchy2"/>
    <dgm:cxn modelId="{8C29F881-D9A4-459D-8DBF-7CB758798737}" type="presParOf" srcId="{E2982A76-7362-4180-A167-257940C50C48}" destId="{F07099A4-79EC-4B7F-BB6B-52238A3A59D2}" srcOrd="1" destOrd="0" presId="urn:microsoft.com/office/officeart/2005/8/layout/hierarchy2"/>
    <dgm:cxn modelId="{6FAEC1D8-C9E5-426A-A4D4-121E9D766DAF}" type="presParOf" srcId="{F07099A4-79EC-4B7F-BB6B-52238A3A59D2}" destId="{33518F22-514C-4650-BF1B-B3E0304E6545}" srcOrd="0" destOrd="0" presId="urn:microsoft.com/office/officeart/2005/8/layout/hierarchy2"/>
    <dgm:cxn modelId="{E44F4BA2-25FC-4D95-A0F7-A57B0D7463C1}" type="presParOf" srcId="{F07099A4-79EC-4B7F-BB6B-52238A3A59D2}" destId="{A4DB33DE-AE99-4A27-91D9-A2336117FE54}" srcOrd="1" destOrd="0" presId="urn:microsoft.com/office/officeart/2005/8/layout/hierarchy2"/>
    <dgm:cxn modelId="{7DE49308-EBD9-48E2-A131-E2E29296B2C6}" type="presParOf" srcId="{A4DB33DE-AE99-4A27-91D9-A2336117FE54}" destId="{2419D628-9B71-4E30-8789-A83F31E2ABF1}" srcOrd="0" destOrd="0" presId="urn:microsoft.com/office/officeart/2005/8/layout/hierarchy2"/>
    <dgm:cxn modelId="{686CA885-014B-49E9-AB62-6ED75ABB7984}" type="presParOf" srcId="{2419D628-9B71-4E30-8789-A83F31E2ABF1}" destId="{F6CEB81C-DF0A-4375-924C-B2E75EBE4210}" srcOrd="0" destOrd="0" presId="urn:microsoft.com/office/officeart/2005/8/layout/hierarchy2"/>
    <dgm:cxn modelId="{0A96DB5E-C35D-40B2-80E8-DBD1484A9071}" type="presParOf" srcId="{A4DB33DE-AE99-4A27-91D9-A2336117FE54}" destId="{6068B16D-64C7-4603-9976-DFC4407A75C1}" srcOrd="1" destOrd="0" presId="urn:microsoft.com/office/officeart/2005/8/layout/hierarchy2"/>
    <dgm:cxn modelId="{BB561CED-1EB2-425F-AEE9-75AEB9B3B225}" type="presParOf" srcId="{6068B16D-64C7-4603-9976-DFC4407A75C1}" destId="{DA39BF5C-BCFC-4E3A-AA6B-4962D9410E3F}" srcOrd="0" destOrd="0" presId="urn:microsoft.com/office/officeart/2005/8/layout/hierarchy2"/>
    <dgm:cxn modelId="{BA250DD9-5A29-43EE-8B12-41DEF4749389}" type="presParOf" srcId="{6068B16D-64C7-4603-9976-DFC4407A75C1}" destId="{8948DBAF-1215-44B1-B20B-C5211C4EC7B4}" srcOrd="1" destOrd="0" presId="urn:microsoft.com/office/officeart/2005/8/layout/hierarchy2"/>
    <dgm:cxn modelId="{6EEBFF1A-B358-4453-9E3E-28477F234C8E}" type="presParOf" srcId="{8948DBAF-1215-44B1-B20B-C5211C4EC7B4}" destId="{CBC96EFC-4EEB-4F51-A969-C869409FCC69}" srcOrd="0" destOrd="0" presId="urn:microsoft.com/office/officeart/2005/8/layout/hierarchy2"/>
    <dgm:cxn modelId="{102F377D-5F36-4894-AF8B-A77AFC747822}" type="presParOf" srcId="{CBC96EFC-4EEB-4F51-A969-C869409FCC69}" destId="{3F9F1E4C-BC9D-404A-BBA2-612B83797161}" srcOrd="0" destOrd="0" presId="urn:microsoft.com/office/officeart/2005/8/layout/hierarchy2"/>
    <dgm:cxn modelId="{50FAB7C0-F609-42BA-8E29-C799CB037AA5}" type="presParOf" srcId="{8948DBAF-1215-44B1-B20B-C5211C4EC7B4}" destId="{9A8C8A03-3E62-42FF-B3A7-583DE37E651F}" srcOrd="1" destOrd="0" presId="urn:microsoft.com/office/officeart/2005/8/layout/hierarchy2"/>
    <dgm:cxn modelId="{FA6CBF0A-878C-42BE-818F-3899863240B8}" type="presParOf" srcId="{9A8C8A03-3E62-42FF-B3A7-583DE37E651F}" destId="{45F326FA-DE7A-4EF2-A51A-3E930C2FEC5C}" srcOrd="0" destOrd="0" presId="urn:microsoft.com/office/officeart/2005/8/layout/hierarchy2"/>
    <dgm:cxn modelId="{05A5F813-303E-4165-A173-0DDB2DB7F8B6}" type="presParOf" srcId="{9A8C8A03-3E62-42FF-B3A7-583DE37E651F}" destId="{4DB88516-15AA-4646-B6A3-C9117D0D3DB0}" srcOrd="1" destOrd="0" presId="urn:microsoft.com/office/officeart/2005/8/layout/hierarchy2"/>
    <dgm:cxn modelId="{C46D179A-07E1-4C51-9E01-2C9FEEF79C9D}" type="presParOf" srcId="{8948DBAF-1215-44B1-B20B-C5211C4EC7B4}" destId="{D08404F7-EEF4-4AC9-B872-477C92A28889}" srcOrd="2" destOrd="0" presId="urn:microsoft.com/office/officeart/2005/8/layout/hierarchy2"/>
    <dgm:cxn modelId="{FD6AC3F1-5391-4970-BC23-CB4180A540C6}" type="presParOf" srcId="{D08404F7-EEF4-4AC9-B872-477C92A28889}" destId="{6F29AAE5-E4F5-40D4-AE9E-8DC58815AC1A}" srcOrd="0" destOrd="0" presId="urn:microsoft.com/office/officeart/2005/8/layout/hierarchy2"/>
    <dgm:cxn modelId="{46AF097B-36E0-4028-B058-35EA73BE8165}" type="presParOf" srcId="{8948DBAF-1215-44B1-B20B-C5211C4EC7B4}" destId="{2DC54CBA-B99B-448C-B60A-2C99992910DE}" srcOrd="3" destOrd="0" presId="urn:microsoft.com/office/officeart/2005/8/layout/hierarchy2"/>
    <dgm:cxn modelId="{E53A99D3-7687-4DC6-A09E-42BBA25FFCA6}" type="presParOf" srcId="{2DC54CBA-B99B-448C-B60A-2C99992910DE}" destId="{EB67680F-09E4-43A7-88B4-3358C9820A98}" srcOrd="0" destOrd="0" presId="urn:microsoft.com/office/officeart/2005/8/layout/hierarchy2"/>
    <dgm:cxn modelId="{A3078CAB-B357-425E-B32A-741753CA1EBB}" type="presParOf" srcId="{2DC54CBA-B99B-448C-B60A-2C99992910DE}" destId="{B297D177-EB4B-4258-A624-1EF6C1BE2D60}" srcOrd="1" destOrd="0" presId="urn:microsoft.com/office/officeart/2005/8/layout/hierarchy2"/>
    <dgm:cxn modelId="{2B6671A2-D976-42A4-A180-20ACC3420A39}" type="presParOf" srcId="{8948DBAF-1215-44B1-B20B-C5211C4EC7B4}" destId="{794E27F0-BAA0-44B4-A3A2-30056D6FB97A}" srcOrd="4" destOrd="0" presId="urn:microsoft.com/office/officeart/2005/8/layout/hierarchy2"/>
    <dgm:cxn modelId="{3B785D86-810F-47A1-BBFE-635901C71DC9}" type="presParOf" srcId="{794E27F0-BAA0-44B4-A3A2-30056D6FB97A}" destId="{44734FEA-F4F9-41A9-BF7B-11D2A854338F}" srcOrd="0" destOrd="0" presId="urn:microsoft.com/office/officeart/2005/8/layout/hierarchy2"/>
    <dgm:cxn modelId="{07C3FA5C-A1A8-4ECC-9885-B54B780F278C}" type="presParOf" srcId="{8948DBAF-1215-44B1-B20B-C5211C4EC7B4}" destId="{A57046E1-4D55-4D7B-AD6C-5498C654170D}" srcOrd="5" destOrd="0" presId="urn:microsoft.com/office/officeart/2005/8/layout/hierarchy2"/>
    <dgm:cxn modelId="{14D1812D-8A55-47AB-A6C8-6CDFF10B192F}" type="presParOf" srcId="{A57046E1-4D55-4D7B-AD6C-5498C654170D}" destId="{58BC938B-7E68-437E-B2E6-69D06599D28C}" srcOrd="0" destOrd="0" presId="urn:microsoft.com/office/officeart/2005/8/layout/hierarchy2"/>
    <dgm:cxn modelId="{7C95E246-12FE-494B-8B38-9C296E9CCD94}" type="presParOf" srcId="{A57046E1-4D55-4D7B-AD6C-5498C654170D}" destId="{32DCA3EE-540D-4755-A7F4-0AFD4BE926F4}" srcOrd="1" destOrd="0" presId="urn:microsoft.com/office/officeart/2005/8/layout/hierarchy2"/>
    <dgm:cxn modelId="{612BB92F-2461-4414-B8B9-C308AF4027CC}" type="presParOf" srcId="{8948DBAF-1215-44B1-B20B-C5211C4EC7B4}" destId="{F73E2DA4-F19C-4132-B05A-31F13D21B995}" srcOrd="6" destOrd="0" presId="urn:microsoft.com/office/officeart/2005/8/layout/hierarchy2"/>
    <dgm:cxn modelId="{36CF6369-982F-44A4-946C-D14B613744B5}" type="presParOf" srcId="{F73E2DA4-F19C-4132-B05A-31F13D21B995}" destId="{94DC2B42-3004-4B67-9F31-2CF73A9C9A1C}" srcOrd="0" destOrd="0" presId="urn:microsoft.com/office/officeart/2005/8/layout/hierarchy2"/>
    <dgm:cxn modelId="{00BFD4DB-40B1-4E8B-AD67-574892CBC34A}" type="presParOf" srcId="{8948DBAF-1215-44B1-B20B-C5211C4EC7B4}" destId="{E2C856B2-0272-41C9-A7F3-5B3AD98AED3F}" srcOrd="7" destOrd="0" presId="urn:microsoft.com/office/officeart/2005/8/layout/hierarchy2"/>
    <dgm:cxn modelId="{8942C5D4-F3BA-41D6-AE0F-A5C5979A292B}" type="presParOf" srcId="{E2C856B2-0272-41C9-A7F3-5B3AD98AED3F}" destId="{D39353C6-5F70-4B9F-A034-DCC1E78CAE67}" srcOrd="0" destOrd="0" presId="urn:microsoft.com/office/officeart/2005/8/layout/hierarchy2"/>
    <dgm:cxn modelId="{D2E63DCF-5C34-4697-AC26-7316ACCD6AE2}" type="presParOf" srcId="{E2C856B2-0272-41C9-A7F3-5B3AD98AED3F}" destId="{3BBCF0F9-7D32-47EB-BE0F-8CC6DC8D414E}" srcOrd="1" destOrd="0" presId="urn:microsoft.com/office/officeart/2005/8/layout/hierarchy2"/>
    <dgm:cxn modelId="{8BB7B918-7057-4917-A11A-99AFD06735B2}" type="presParOf" srcId="{8948DBAF-1215-44B1-B20B-C5211C4EC7B4}" destId="{5EC91F77-9D8C-4894-97A3-48895B4E81AA}" srcOrd="8" destOrd="0" presId="urn:microsoft.com/office/officeart/2005/8/layout/hierarchy2"/>
    <dgm:cxn modelId="{A6CDBDD2-486F-4C98-AEE5-B3702C1A72AB}" type="presParOf" srcId="{5EC91F77-9D8C-4894-97A3-48895B4E81AA}" destId="{52F5491C-365B-410B-99E8-0A695F1B9414}" srcOrd="0" destOrd="0" presId="urn:microsoft.com/office/officeart/2005/8/layout/hierarchy2"/>
    <dgm:cxn modelId="{A0B68399-2D2D-4854-BCE3-37A4B6898BC6}" type="presParOf" srcId="{8948DBAF-1215-44B1-B20B-C5211C4EC7B4}" destId="{12089EC3-D13B-4A5E-978F-E02A2AD6A0AF}" srcOrd="9" destOrd="0" presId="urn:microsoft.com/office/officeart/2005/8/layout/hierarchy2"/>
    <dgm:cxn modelId="{84938BA6-991F-4BA6-A435-E5251EA6C360}" type="presParOf" srcId="{12089EC3-D13B-4A5E-978F-E02A2AD6A0AF}" destId="{C6246985-D28E-4132-AB92-7FEF1234E4AF}" srcOrd="0" destOrd="0" presId="urn:microsoft.com/office/officeart/2005/8/layout/hierarchy2"/>
    <dgm:cxn modelId="{43AB1828-E7E0-4411-A89B-64AF946CFB42}" type="presParOf" srcId="{12089EC3-D13B-4A5E-978F-E02A2AD6A0AF}" destId="{D25F99A4-F6D3-4C72-9F29-28EE9440B091}" srcOrd="1" destOrd="0" presId="urn:microsoft.com/office/officeart/2005/8/layout/hierarchy2"/>
    <dgm:cxn modelId="{ECE18D40-BBFC-491A-AFDE-3A8E2E5ED972}" type="presParOf" srcId="{8948DBAF-1215-44B1-B20B-C5211C4EC7B4}" destId="{8519DA52-45FA-4AFB-A74F-6EE951E1E42E}" srcOrd="10" destOrd="0" presId="urn:microsoft.com/office/officeart/2005/8/layout/hierarchy2"/>
    <dgm:cxn modelId="{C2017FF8-C242-4AA7-B635-813A5B7CC82A}" type="presParOf" srcId="{8519DA52-45FA-4AFB-A74F-6EE951E1E42E}" destId="{65525781-2EBB-4348-A959-DC9B536D89CA}" srcOrd="0" destOrd="0" presId="urn:microsoft.com/office/officeart/2005/8/layout/hierarchy2"/>
    <dgm:cxn modelId="{3B04CF8C-E1F0-42EE-B876-29584CEA8A96}" type="presParOf" srcId="{8948DBAF-1215-44B1-B20B-C5211C4EC7B4}" destId="{CE78DD80-E6E8-4DD2-B89C-B9ABF9C592A8}" srcOrd="11" destOrd="0" presId="urn:microsoft.com/office/officeart/2005/8/layout/hierarchy2"/>
    <dgm:cxn modelId="{057F1CD5-7AAB-43BD-8B53-9D8CFC6C635A}" type="presParOf" srcId="{CE78DD80-E6E8-4DD2-B89C-B9ABF9C592A8}" destId="{998BA56E-760D-4CFE-8C92-FAA01A2BB970}" srcOrd="0" destOrd="0" presId="urn:microsoft.com/office/officeart/2005/8/layout/hierarchy2"/>
    <dgm:cxn modelId="{413D4E2E-F30E-45A0-82A0-DD1932271F05}" type="presParOf" srcId="{CE78DD80-E6E8-4DD2-B89C-B9ABF9C592A8}" destId="{1437EF06-4FD1-4962-AE0F-E44DB01EE067}" srcOrd="1" destOrd="0" presId="urn:microsoft.com/office/officeart/2005/8/layout/hierarchy2"/>
    <dgm:cxn modelId="{3F41EE91-8773-4EC9-98DC-A626AE72C7D6}" type="presParOf" srcId="{A4DB33DE-AE99-4A27-91D9-A2336117FE54}" destId="{E9A130DF-566B-4601-B0AB-7073A2CA0ED0}" srcOrd="2" destOrd="0" presId="urn:microsoft.com/office/officeart/2005/8/layout/hierarchy2"/>
    <dgm:cxn modelId="{A048AF88-F87E-4198-BC3E-042F300673E0}" type="presParOf" srcId="{E9A130DF-566B-4601-B0AB-7073A2CA0ED0}" destId="{CF811F7F-BE7B-49A0-947F-B9999EF0CFB5}" srcOrd="0" destOrd="0" presId="urn:microsoft.com/office/officeart/2005/8/layout/hierarchy2"/>
    <dgm:cxn modelId="{27AB815B-AF95-47A1-A07F-2CBE7B96093F}" type="presParOf" srcId="{A4DB33DE-AE99-4A27-91D9-A2336117FE54}" destId="{035C85E7-A520-40FE-A289-418AB409B805}" srcOrd="3" destOrd="0" presId="urn:microsoft.com/office/officeart/2005/8/layout/hierarchy2"/>
    <dgm:cxn modelId="{C640B3F3-4508-408A-BBE3-BC5875F27BEE}" type="presParOf" srcId="{035C85E7-A520-40FE-A289-418AB409B805}" destId="{D89088CD-ADA7-41E5-9511-2E639A1BD2E9}" srcOrd="0" destOrd="0" presId="urn:microsoft.com/office/officeart/2005/8/layout/hierarchy2"/>
    <dgm:cxn modelId="{AA2C4C93-A7E2-427B-93F0-724B919B0B52}" type="presParOf" srcId="{035C85E7-A520-40FE-A289-418AB409B805}" destId="{7C7346EC-09A2-45EC-9FD3-76D6DF13BA1D}" srcOrd="1" destOrd="0" presId="urn:microsoft.com/office/officeart/2005/8/layout/hierarchy2"/>
    <dgm:cxn modelId="{E9EDCC88-05A5-4F98-9BA5-D9A58D602772}" type="presParOf" srcId="{A4DB33DE-AE99-4A27-91D9-A2336117FE54}" destId="{1C9E136B-E602-4DAF-BE51-3C37DCCEF60A}" srcOrd="4" destOrd="0" presId="urn:microsoft.com/office/officeart/2005/8/layout/hierarchy2"/>
    <dgm:cxn modelId="{74995E46-72FF-45A9-A6CA-4FFB6111AC43}" type="presParOf" srcId="{1C9E136B-E602-4DAF-BE51-3C37DCCEF60A}" destId="{E2D4C7C2-90DE-4F12-8141-52067381A864}" srcOrd="0" destOrd="0" presId="urn:microsoft.com/office/officeart/2005/8/layout/hierarchy2"/>
    <dgm:cxn modelId="{36B520D5-9318-4883-854D-863E8D81B48D}" type="presParOf" srcId="{A4DB33DE-AE99-4A27-91D9-A2336117FE54}" destId="{0E88544D-9C1E-488B-AD6D-E46AE8A79F1A}" srcOrd="5" destOrd="0" presId="urn:microsoft.com/office/officeart/2005/8/layout/hierarchy2"/>
    <dgm:cxn modelId="{1D262E18-EECD-48E8-A553-175D42279B72}" type="presParOf" srcId="{0E88544D-9C1E-488B-AD6D-E46AE8A79F1A}" destId="{C22298C6-63DC-4FA6-B9A6-5FB6B63E8419}" srcOrd="0" destOrd="0" presId="urn:microsoft.com/office/officeart/2005/8/layout/hierarchy2"/>
    <dgm:cxn modelId="{949FE8ED-E490-4443-BADB-4D2C447878C8}" type="presParOf" srcId="{0E88544D-9C1E-488B-AD6D-E46AE8A79F1A}" destId="{9C8BE6DF-487E-4EFA-B70D-AC7CC5373116}" srcOrd="1" destOrd="0" presId="urn:microsoft.com/office/officeart/2005/8/layout/hierarchy2"/>
    <dgm:cxn modelId="{4A1E11D9-F7C8-4DF0-8FCA-B073B4F07644}" type="presParOf" srcId="{A4DB33DE-AE99-4A27-91D9-A2336117FE54}" destId="{632E61FF-C08F-4D9F-B86B-D5ABF05629FE}" srcOrd="6" destOrd="0" presId="urn:microsoft.com/office/officeart/2005/8/layout/hierarchy2"/>
    <dgm:cxn modelId="{33F39E9D-FA3D-4959-A44B-8FB867159FBD}" type="presParOf" srcId="{632E61FF-C08F-4D9F-B86B-D5ABF05629FE}" destId="{8EB6FA2A-9229-44F0-87A4-A4DD5B55BB94}" srcOrd="0" destOrd="0" presId="urn:microsoft.com/office/officeart/2005/8/layout/hierarchy2"/>
    <dgm:cxn modelId="{591B7DF6-FA2D-44F6-84FC-C64799E67609}" type="presParOf" srcId="{A4DB33DE-AE99-4A27-91D9-A2336117FE54}" destId="{5BBF0C13-B9EC-47D2-A870-250C37E1209C}" srcOrd="7" destOrd="0" presId="urn:microsoft.com/office/officeart/2005/8/layout/hierarchy2"/>
    <dgm:cxn modelId="{65FCCABA-2473-4E60-A732-9D03E471F12A}" type="presParOf" srcId="{5BBF0C13-B9EC-47D2-A870-250C37E1209C}" destId="{4D285A69-A954-490C-A785-44E509D7CC1F}" srcOrd="0" destOrd="0" presId="urn:microsoft.com/office/officeart/2005/8/layout/hierarchy2"/>
    <dgm:cxn modelId="{696F5DFF-29DA-429F-B9D3-9ECDDF356B7A}" type="presParOf" srcId="{5BBF0C13-B9EC-47D2-A870-250C37E1209C}" destId="{2A047544-B4E3-4C33-AD6B-646F504D7739}" srcOrd="1" destOrd="0" presId="urn:microsoft.com/office/officeart/2005/8/layout/hierarchy2"/>
    <dgm:cxn modelId="{F782022A-F857-45C3-A616-50ADCF5289B4}" type="presParOf" srcId="{E2982A76-7362-4180-A167-257940C50C48}" destId="{163AE3C9-8C62-4C7D-A491-E5901E41592F}" srcOrd="2" destOrd="0" presId="urn:microsoft.com/office/officeart/2005/8/layout/hierarchy2"/>
    <dgm:cxn modelId="{FEB9123E-37ED-48AB-A50D-5E183E07C30D}" type="presParOf" srcId="{163AE3C9-8C62-4C7D-A491-E5901E41592F}" destId="{38E5A605-9B7A-4BFB-BA4F-5A285A298713}" srcOrd="0" destOrd="0" presId="urn:microsoft.com/office/officeart/2005/8/layout/hierarchy2"/>
    <dgm:cxn modelId="{7F9580D4-145C-435A-ACAD-6353A0ABCF4B}" type="presParOf" srcId="{E2982A76-7362-4180-A167-257940C50C48}" destId="{61BC8E4F-C5C4-485C-9C83-957768F51203}" srcOrd="3" destOrd="0" presId="urn:microsoft.com/office/officeart/2005/8/layout/hierarchy2"/>
    <dgm:cxn modelId="{88CC38A6-9622-4EA1-8C34-C5C44AA69702}" type="presParOf" srcId="{61BC8E4F-C5C4-485C-9C83-957768F51203}" destId="{902E930F-80AF-4D3F-BC97-BA0621641A3A}" srcOrd="0" destOrd="0" presId="urn:microsoft.com/office/officeart/2005/8/layout/hierarchy2"/>
    <dgm:cxn modelId="{2A3D3B8F-8E78-45DC-9C4C-A8371486873C}" type="presParOf" srcId="{61BC8E4F-C5C4-485C-9C83-957768F51203}" destId="{FBFD7FC0-BB3A-453C-B356-49744C6F53DF}" srcOrd="1" destOrd="0" presId="urn:microsoft.com/office/officeart/2005/8/layout/hierarchy2"/>
    <dgm:cxn modelId="{AB3ACC74-8150-4928-B34A-01D0C6F8B192}" type="presParOf" srcId="{E2982A76-7362-4180-A167-257940C50C48}" destId="{0924B9BF-AECE-4173-A4E1-89ADED415F62}" srcOrd="4" destOrd="0" presId="urn:microsoft.com/office/officeart/2005/8/layout/hierarchy2"/>
    <dgm:cxn modelId="{0B1A0609-3DAC-4400-9EA7-C8164C758A59}" type="presParOf" srcId="{0924B9BF-AECE-4173-A4E1-89ADED415F62}" destId="{E144C2B5-F877-4CD6-BF0F-E523E6267635}" srcOrd="0" destOrd="0" presId="urn:microsoft.com/office/officeart/2005/8/layout/hierarchy2"/>
    <dgm:cxn modelId="{6F99F01C-FC08-4500-A912-990F859782E7}" type="presParOf" srcId="{E2982A76-7362-4180-A167-257940C50C48}" destId="{49B853E5-B264-4D47-8AAB-74FAE5EDDFC4}" srcOrd="5" destOrd="0" presId="urn:microsoft.com/office/officeart/2005/8/layout/hierarchy2"/>
    <dgm:cxn modelId="{3D0BD279-ABE9-4B49-9F39-9B8125D28390}" type="presParOf" srcId="{49B853E5-B264-4D47-8AAB-74FAE5EDDFC4}" destId="{51B44F64-A240-4AF2-A41A-9CB09D4129F1}" srcOrd="0" destOrd="0" presId="urn:microsoft.com/office/officeart/2005/8/layout/hierarchy2"/>
    <dgm:cxn modelId="{E6311C9C-DD6F-4DD1-BE1C-973E44B56D06}" type="presParOf" srcId="{49B853E5-B264-4D47-8AAB-74FAE5EDDFC4}" destId="{5DA69A91-F0E9-46AF-87CE-400AA4A4B9D2}" srcOrd="1" destOrd="0" presId="urn:microsoft.com/office/officeart/2005/8/layout/hierarchy2"/>
  </dgm:cxnLst>
  <dgm:bg/>
  <dgm:whole>
    <a:ln>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45949-E800-4A9C-9D88-6A10C50F0367}">
      <dsp:nvSpPr>
        <dsp:cNvPr id="0" name=""/>
        <dsp:cNvSpPr/>
      </dsp:nvSpPr>
      <dsp:spPr>
        <a:xfrm>
          <a:off x="1493776" y="1241182"/>
          <a:ext cx="883984" cy="410007"/>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rPr>
            <a:t>Legal measures</a:t>
          </a:r>
        </a:p>
      </dsp:txBody>
      <dsp:txXfrm>
        <a:off x="1505785" y="1253191"/>
        <a:ext cx="859966" cy="385989"/>
      </dsp:txXfrm>
    </dsp:sp>
    <dsp:sp modelId="{EE727BC5-78DC-4B88-9271-2EF652F28559}">
      <dsp:nvSpPr>
        <dsp:cNvPr id="0" name=""/>
        <dsp:cNvSpPr/>
      </dsp:nvSpPr>
      <dsp:spPr>
        <a:xfrm rot="17144518">
          <a:off x="2071244" y="1033301"/>
          <a:ext cx="841276" cy="16046"/>
        </a:xfrm>
        <a:custGeom>
          <a:avLst/>
          <a:gdLst/>
          <a:ahLst/>
          <a:cxnLst/>
          <a:rect l="0" t="0" r="0" b="0"/>
          <a:pathLst>
            <a:path>
              <a:moveTo>
                <a:pt x="0" y="8023"/>
              </a:moveTo>
              <a:lnTo>
                <a:pt x="841276" y="80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70851" y="1020292"/>
        <a:ext cx="42063" cy="42063"/>
      </dsp:txXfrm>
    </dsp:sp>
    <dsp:sp modelId="{A9540D18-F5F0-49D4-9742-6073E7B58C00}">
      <dsp:nvSpPr>
        <dsp:cNvPr id="0" name=""/>
        <dsp:cNvSpPr/>
      </dsp:nvSpPr>
      <dsp:spPr>
        <a:xfrm>
          <a:off x="2606004" y="430969"/>
          <a:ext cx="883905" cy="410985"/>
        </a:xfrm>
        <a:prstGeom prst="roundRect">
          <a:avLst>
            <a:gd name="adj" fmla="val 10000"/>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Legislative and regulatory</a:t>
          </a:r>
          <a:br>
            <a:rPr lang="en-US" sz="1000" kern="1200">
              <a:solidFill>
                <a:sysClr val="windowText" lastClr="000000"/>
              </a:solidFill>
            </a:rPr>
          </a:br>
          <a:r>
            <a:rPr lang="en-US" sz="1000" kern="1200">
              <a:solidFill>
                <a:sysClr val="windowText" lastClr="000000"/>
              </a:solidFill>
            </a:rPr>
            <a:t>(Hard binding)</a:t>
          </a:r>
        </a:p>
      </dsp:txBody>
      <dsp:txXfrm>
        <a:off x="2618041" y="443006"/>
        <a:ext cx="859831" cy="386911"/>
      </dsp:txXfrm>
    </dsp:sp>
    <dsp:sp modelId="{463937F1-9234-42B5-964C-11D9A4D79DEF}">
      <dsp:nvSpPr>
        <dsp:cNvPr id="0" name=""/>
        <dsp:cNvSpPr/>
      </dsp:nvSpPr>
      <dsp:spPr>
        <a:xfrm rot="19340792">
          <a:off x="3406011" y="382365"/>
          <a:ext cx="805633" cy="16046"/>
        </a:xfrm>
        <a:custGeom>
          <a:avLst/>
          <a:gdLst/>
          <a:ahLst/>
          <a:cxnLst/>
          <a:rect l="0" t="0" r="0" b="0"/>
          <a:pathLst>
            <a:path>
              <a:moveTo>
                <a:pt x="0" y="8023"/>
              </a:moveTo>
              <a:lnTo>
                <a:pt x="805633" y="80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88687" y="370247"/>
        <a:ext cx="40281" cy="40281"/>
      </dsp:txXfrm>
    </dsp:sp>
    <dsp:sp modelId="{5BE27D43-32E0-4093-97DB-0D9D261A6911}">
      <dsp:nvSpPr>
        <dsp:cNvPr id="0" name=""/>
        <dsp:cNvSpPr/>
      </dsp:nvSpPr>
      <dsp:spPr>
        <a:xfrm>
          <a:off x="4127746" y="1662"/>
          <a:ext cx="1079999" cy="285303"/>
        </a:xfrm>
        <a:prstGeom prst="roundRect">
          <a:avLst>
            <a:gd name="adj" fmla="val 10000"/>
          </a:avLst>
        </a:prstGeom>
        <a:solidFill>
          <a:schemeClr val="accent1">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National targets</a:t>
          </a:r>
        </a:p>
      </dsp:txBody>
      <dsp:txXfrm>
        <a:off x="4136102" y="10018"/>
        <a:ext cx="1063287" cy="268591"/>
      </dsp:txXfrm>
    </dsp:sp>
    <dsp:sp modelId="{2F31889F-4E6D-4D8A-AAFA-1053E06A98B9}">
      <dsp:nvSpPr>
        <dsp:cNvPr id="0" name=""/>
        <dsp:cNvSpPr/>
      </dsp:nvSpPr>
      <dsp:spPr>
        <a:xfrm rot="20734579">
          <a:off x="3479530" y="546414"/>
          <a:ext cx="658595" cy="16046"/>
        </a:xfrm>
        <a:custGeom>
          <a:avLst/>
          <a:gdLst/>
          <a:ahLst/>
          <a:cxnLst/>
          <a:rect l="0" t="0" r="0" b="0"/>
          <a:pathLst>
            <a:path>
              <a:moveTo>
                <a:pt x="0" y="8023"/>
              </a:moveTo>
              <a:lnTo>
                <a:pt x="658595" y="80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2363" y="537973"/>
        <a:ext cx="32929" cy="32929"/>
      </dsp:txXfrm>
    </dsp:sp>
    <dsp:sp modelId="{99DAB565-59A2-4311-850E-2E0DB0AEFDAD}">
      <dsp:nvSpPr>
        <dsp:cNvPr id="0" name=""/>
        <dsp:cNvSpPr/>
      </dsp:nvSpPr>
      <dsp:spPr>
        <a:xfrm>
          <a:off x="4127746" y="329761"/>
          <a:ext cx="1079999" cy="285303"/>
        </a:xfrm>
        <a:prstGeom prst="roundRect">
          <a:avLst>
            <a:gd name="adj" fmla="val 10000"/>
          </a:avLst>
        </a:prstGeom>
        <a:solidFill>
          <a:schemeClr val="accent1">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Norms and requirements</a:t>
          </a:r>
        </a:p>
      </dsp:txBody>
      <dsp:txXfrm>
        <a:off x="4136102" y="338117"/>
        <a:ext cx="1063287" cy="268591"/>
      </dsp:txXfrm>
    </dsp:sp>
    <dsp:sp modelId="{32AC25E5-7683-4574-A2EB-B2F95E745079}">
      <dsp:nvSpPr>
        <dsp:cNvPr id="0" name=""/>
        <dsp:cNvSpPr/>
      </dsp:nvSpPr>
      <dsp:spPr>
        <a:xfrm rot="865421">
          <a:off x="3479530" y="710464"/>
          <a:ext cx="658595" cy="16046"/>
        </a:xfrm>
        <a:custGeom>
          <a:avLst/>
          <a:gdLst/>
          <a:ahLst/>
          <a:cxnLst/>
          <a:rect l="0" t="0" r="0" b="0"/>
          <a:pathLst>
            <a:path>
              <a:moveTo>
                <a:pt x="0" y="8023"/>
              </a:moveTo>
              <a:lnTo>
                <a:pt x="658595" y="80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2363" y="702022"/>
        <a:ext cx="32929" cy="32929"/>
      </dsp:txXfrm>
    </dsp:sp>
    <dsp:sp modelId="{64A2F89A-BF24-4104-AA29-7D844CD80E2D}">
      <dsp:nvSpPr>
        <dsp:cNvPr id="0" name=""/>
        <dsp:cNvSpPr/>
      </dsp:nvSpPr>
      <dsp:spPr>
        <a:xfrm>
          <a:off x="4127746" y="657860"/>
          <a:ext cx="1079999" cy="285303"/>
        </a:xfrm>
        <a:prstGeom prst="roundRect">
          <a:avLst>
            <a:gd name="adj" fmla="val 10000"/>
          </a:avLst>
        </a:prstGeom>
        <a:solidFill>
          <a:schemeClr val="accent1">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Permits</a:t>
          </a:r>
        </a:p>
      </dsp:txBody>
      <dsp:txXfrm>
        <a:off x="4136102" y="666216"/>
        <a:ext cx="1063287" cy="268591"/>
      </dsp:txXfrm>
    </dsp:sp>
    <dsp:sp modelId="{DC15A414-DEB8-4C02-917C-C7E35F327A87}">
      <dsp:nvSpPr>
        <dsp:cNvPr id="0" name=""/>
        <dsp:cNvSpPr/>
      </dsp:nvSpPr>
      <dsp:spPr>
        <a:xfrm rot="2259208">
          <a:off x="3406011" y="874513"/>
          <a:ext cx="805633" cy="16046"/>
        </a:xfrm>
        <a:custGeom>
          <a:avLst/>
          <a:gdLst/>
          <a:ahLst/>
          <a:cxnLst/>
          <a:rect l="0" t="0" r="0" b="0"/>
          <a:pathLst>
            <a:path>
              <a:moveTo>
                <a:pt x="0" y="8023"/>
              </a:moveTo>
              <a:lnTo>
                <a:pt x="805633" y="80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88687" y="862396"/>
        <a:ext cx="40281" cy="40281"/>
      </dsp:txXfrm>
    </dsp:sp>
    <dsp:sp modelId="{3D9B02E3-1B48-425B-8D92-B58635E083AE}">
      <dsp:nvSpPr>
        <dsp:cNvPr id="0" name=""/>
        <dsp:cNvSpPr/>
      </dsp:nvSpPr>
      <dsp:spPr>
        <a:xfrm>
          <a:off x="4127746" y="985959"/>
          <a:ext cx="1079999" cy="285303"/>
        </a:xfrm>
        <a:prstGeom prst="roundRect">
          <a:avLst>
            <a:gd name="adj" fmla="val 10000"/>
          </a:avLst>
        </a:prstGeom>
        <a:solidFill>
          <a:schemeClr val="accent1">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Other</a:t>
          </a:r>
        </a:p>
      </dsp:txBody>
      <dsp:txXfrm>
        <a:off x="4136102" y="994315"/>
        <a:ext cx="1063287" cy="268591"/>
      </dsp:txXfrm>
    </dsp:sp>
    <dsp:sp modelId="{4110610E-B064-49E0-88BD-9DA527E747B2}">
      <dsp:nvSpPr>
        <dsp:cNvPr id="0" name=""/>
        <dsp:cNvSpPr/>
      </dsp:nvSpPr>
      <dsp:spPr>
        <a:xfrm rot="4456024">
          <a:off x="2071009" y="1843269"/>
          <a:ext cx="841747" cy="16046"/>
        </a:xfrm>
        <a:custGeom>
          <a:avLst/>
          <a:gdLst/>
          <a:ahLst/>
          <a:cxnLst/>
          <a:rect l="0" t="0" r="0" b="0"/>
          <a:pathLst>
            <a:path>
              <a:moveTo>
                <a:pt x="0" y="8023"/>
              </a:moveTo>
              <a:lnTo>
                <a:pt x="841747" y="80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70839" y="1830248"/>
        <a:ext cx="42087" cy="42087"/>
      </dsp:txXfrm>
    </dsp:sp>
    <dsp:sp modelId="{1E28807F-07FE-4206-98F0-7FADE2A39179}">
      <dsp:nvSpPr>
        <dsp:cNvPr id="0" name=""/>
        <dsp:cNvSpPr/>
      </dsp:nvSpPr>
      <dsp:spPr>
        <a:xfrm>
          <a:off x="2606004" y="2051394"/>
          <a:ext cx="883123" cy="410007"/>
        </a:xfrm>
        <a:prstGeom prst="roundRect">
          <a:avLst>
            <a:gd name="adj" fmla="val 10000"/>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Administrative</a:t>
          </a:r>
          <a:br>
            <a:rPr lang="en-US" sz="1000" kern="1200">
              <a:solidFill>
                <a:sysClr val="windowText" lastClr="000000"/>
              </a:solidFill>
            </a:rPr>
          </a:br>
          <a:r>
            <a:rPr lang="en-US" sz="1000" kern="1200">
              <a:solidFill>
                <a:sysClr val="windowText" lastClr="000000"/>
              </a:solidFill>
            </a:rPr>
            <a:t>(Soft binding)</a:t>
          </a:r>
        </a:p>
      </dsp:txBody>
      <dsp:txXfrm>
        <a:off x="2618013" y="2063403"/>
        <a:ext cx="859105" cy="385989"/>
      </dsp:txXfrm>
    </dsp:sp>
    <dsp:sp modelId="{9247F274-81C8-45B3-AD9C-7138CBB468FE}">
      <dsp:nvSpPr>
        <dsp:cNvPr id="0" name=""/>
        <dsp:cNvSpPr/>
      </dsp:nvSpPr>
      <dsp:spPr>
        <a:xfrm rot="18679016">
          <a:off x="3325000" y="1885574"/>
          <a:ext cx="966091" cy="16046"/>
        </a:xfrm>
        <a:custGeom>
          <a:avLst/>
          <a:gdLst/>
          <a:ahLst/>
          <a:cxnLst/>
          <a:rect l="0" t="0" r="0" b="0"/>
          <a:pathLst>
            <a:path>
              <a:moveTo>
                <a:pt x="0" y="8023"/>
              </a:moveTo>
              <a:lnTo>
                <a:pt x="966091" y="80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83893" y="1869445"/>
        <a:ext cx="48304" cy="48304"/>
      </dsp:txXfrm>
    </dsp:sp>
    <dsp:sp modelId="{629EF0B1-8D5E-4B5E-9F99-135E6DB74AF3}">
      <dsp:nvSpPr>
        <dsp:cNvPr id="0" name=""/>
        <dsp:cNvSpPr/>
      </dsp:nvSpPr>
      <dsp:spPr>
        <a:xfrm>
          <a:off x="4126964" y="1314058"/>
          <a:ext cx="1079999" cy="433476"/>
        </a:xfrm>
        <a:prstGeom prst="roundRect">
          <a:avLst>
            <a:gd name="adj" fmla="val 10000"/>
          </a:avLst>
        </a:prstGeom>
        <a:solidFill>
          <a:schemeClr val="accent1">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EU &amp; international standards implementation</a:t>
          </a:r>
        </a:p>
      </dsp:txBody>
      <dsp:txXfrm>
        <a:off x="4139660" y="1326754"/>
        <a:ext cx="1054607" cy="408084"/>
      </dsp:txXfrm>
    </dsp:sp>
    <dsp:sp modelId="{60696E16-F966-4A6F-9B85-FD93C440585E}">
      <dsp:nvSpPr>
        <dsp:cNvPr id="0" name=""/>
        <dsp:cNvSpPr/>
      </dsp:nvSpPr>
      <dsp:spPr>
        <a:xfrm rot="20384995">
          <a:off x="3468117" y="2130719"/>
          <a:ext cx="679857" cy="16046"/>
        </a:xfrm>
        <a:custGeom>
          <a:avLst/>
          <a:gdLst/>
          <a:ahLst/>
          <a:cxnLst/>
          <a:rect l="0" t="0" r="0" b="0"/>
          <a:pathLst>
            <a:path>
              <a:moveTo>
                <a:pt x="0" y="8023"/>
              </a:moveTo>
              <a:lnTo>
                <a:pt x="679857" y="80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1049" y="2121746"/>
        <a:ext cx="33992" cy="33992"/>
      </dsp:txXfrm>
    </dsp:sp>
    <dsp:sp modelId="{62ED8315-FF8C-4B60-9521-3C58976A990C}">
      <dsp:nvSpPr>
        <dsp:cNvPr id="0" name=""/>
        <dsp:cNvSpPr/>
      </dsp:nvSpPr>
      <dsp:spPr>
        <a:xfrm>
          <a:off x="4126964" y="1790330"/>
          <a:ext cx="1079999" cy="461512"/>
        </a:xfrm>
        <a:prstGeom prst="roundRect">
          <a:avLst>
            <a:gd name="adj" fmla="val 10000"/>
          </a:avLst>
        </a:prstGeom>
        <a:solidFill>
          <a:schemeClr val="accent1">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AFV Classification on environmental performance</a:t>
          </a:r>
        </a:p>
      </dsp:txBody>
      <dsp:txXfrm>
        <a:off x="4140481" y="1803847"/>
        <a:ext cx="1052965" cy="434478"/>
      </dsp:txXfrm>
    </dsp:sp>
    <dsp:sp modelId="{F19F5DE0-66D9-4DAE-B993-16BCB9A48169}">
      <dsp:nvSpPr>
        <dsp:cNvPr id="0" name=""/>
        <dsp:cNvSpPr/>
      </dsp:nvSpPr>
      <dsp:spPr>
        <a:xfrm rot="1625330">
          <a:off x="3449832" y="2411495"/>
          <a:ext cx="716427" cy="16046"/>
        </a:xfrm>
        <a:custGeom>
          <a:avLst/>
          <a:gdLst/>
          <a:ahLst/>
          <a:cxnLst/>
          <a:rect l="0" t="0" r="0" b="0"/>
          <a:pathLst>
            <a:path>
              <a:moveTo>
                <a:pt x="0" y="8023"/>
              </a:moveTo>
              <a:lnTo>
                <a:pt x="716427" y="80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0135" y="2401608"/>
        <a:ext cx="35821" cy="35821"/>
      </dsp:txXfrm>
    </dsp:sp>
    <dsp:sp modelId="{60E9AF8A-D794-4D36-B0A4-E2FD8324C40C}">
      <dsp:nvSpPr>
        <dsp:cNvPr id="0" name=""/>
        <dsp:cNvSpPr/>
      </dsp:nvSpPr>
      <dsp:spPr>
        <a:xfrm>
          <a:off x="4126964" y="2294639"/>
          <a:ext cx="1094402" cy="575999"/>
        </a:xfrm>
        <a:prstGeom prst="roundRect">
          <a:avLst>
            <a:gd name="adj" fmla="val 10000"/>
          </a:avLst>
        </a:prstGeom>
        <a:solidFill>
          <a:schemeClr val="accent1">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Certification of the environmental performance of businesses</a:t>
          </a:r>
        </a:p>
      </dsp:txBody>
      <dsp:txXfrm>
        <a:off x="4143834" y="2311509"/>
        <a:ext cx="1060662" cy="542259"/>
      </dsp:txXfrm>
    </dsp:sp>
    <dsp:sp modelId="{83162D1A-8B27-46A4-A80A-626B5F3BFE1E}">
      <dsp:nvSpPr>
        <dsp:cNvPr id="0" name=""/>
        <dsp:cNvSpPr/>
      </dsp:nvSpPr>
      <dsp:spPr>
        <a:xfrm rot="3085434">
          <a:off x="3296593" y="2648219"/>
          <a:ext cx="1022905" cy="16046"/>
        </a:xfrm>
        <a:custGeom>
          <a:avLst/>
          <a:gdLst/>
          <a:ahLst/>
          <a:cxnLst/>
          <a:rect l="0" t="0" r="0" b="0"/>
          <a:pathLst>
            <a:path>
              <a:moveTo>
                <a:pt x="0" y="8023"/>
              </a:moveTo>
              <a:lnTo>
                <a:pt x="1022905" y="80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82473" y="2630669"/>
        <a:ext cx="51145" cy="51145"/>
      </dsp:txXfrm>
    </dsp:sp>
    <dsp:sp modelId="{9E438D66-D4AF-4782-A17B-5DDB233ED504}">
      <dsp:nvSpPr>
        <dsp:cNvPr id="0" name=""/>
        <dsp:cNvSpPr/>
      </dsp:nvSpPr>
      <dsp:spPr>
        <a:xfrm>
          <a:off x="4126964" y="2913434"/>
          <a:ext cx="1079999" cy="285303"/>
        </a:xfrm>
        <a:prstGeom prst="roundRect">
          <a:avLst>
            <a:gd name="adj" fmla="val 10000"/>
          </a:avLst>
        </a:prstGeom>
        <a:solidFill>
          <a:schemeClr val="accent1">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Other</a:t>
          </a:r>
        </a:p>
      </dsp:txBody>
      <dsp:txXfrm>
        <a:off x="4135320" y="2921790"/>
        <a:ext cx="1063287" cy="2685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D69999-56E9-4D59-A0C5-05509AE502FF}">
      <dsp:nvSpPr>
        <dsp:cNvPr id="0" name=""/>
        <dsp:cNvSpPr/>
      </dsp:nvSpPr>
      <dsp:spPr>
        <a:xfrm>
          <a:off x="400859" y="2562660"/>
          <a:ext cx="861365" cy="430682"/>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Policy measures</a:t>
          </a:r>
        </a:p>
      </dsp:txBody>
      <dsp:txXfrm>
        <a:off x="413473" y="2575274"/>
        <a:ext cx="836137" cy="405454"/>
      </dsp:txXfrm>
    </dsp:sp>
    <dsp:sp modelId="{6EE7679A-B33F-432A-8869-F9FE4E37D5A7}">
      <dsp:nvSpPr>
        <dsp:cNvPr id="0" name=""/>
        <dsp:cNvSpPr/>
      </dsp:nvSpPr>
      <dsp:spPr>
        <a:xfrm rot="18045645">
          <a:off x="1097668" y="2477793"/>
          <a:ext cx="673659" cy="21534"/>
        </a:xfrm>
        <a:custGeom>
          <a:avLst/>
          <a:gdLst/>
          <a:ahLst/>
          <a:cxnLst/>
          <a:rect l="0" t="0" r="0" b="0"/>
          <a:pathLst>
            <a:path>
              <a:moveTo>
                <a:pt x="0" y="10767"/>
              </a:moveTo>
              <a:lnTo>
                <a:pt x="673659"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1417656" y="2471718"/>
        <a:ext cx="33682" cy="33682"/>
      </dsp:txXfrm>
    </dsp:sp>
    <dsp:sp modelId="{33518F22-514C-4650-BF1B-B3E0304E6545}">
      <dsp:nvSpPr>
        <dsp:cNvPr id="0" name=""/>
        <dsp:cNvSpPr/>
      </dsp:nvSpPr>
      <dsp:spPr>
        <a:xfrm>
          <a:off x="1606770" y="1958640"/>
          <a:ext cx="1066947" cy="480956"/>
        </a:xfrm>
        <a:prstGeom prst="roundRect">
          <a:avLst>
            <a:gd name="adj" fmla="val 10000"/>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Measures to ensure national targets and objectives</a:t>
          </a:r>
        </a:p>
      </dsp:txBody>
      <dsp:txXfrm>
        <a:off x="1620857" y="1972727"/>
        <a:ext cx="1038773" cy="452782"/>
      </dsp:txXfrm>
    </dsp:sp>
    <dsp:sp modelId="{2419D628-9B71-4E30-8789-A83F31E2ABF1}">
      <dsp:nvSpPr>
        <dsp:cNvPr id="0" name=""/>
        <dsp:cNvSpPr/>
      </dsp:nvSpPr>
      <dsp:spPr>
        <a:xfrm rot="17692822">
          <a:off x="2436523" y="1816888"/>
          <a:ext cx="818934" cy="21534"/>
        </a:xfrm>
        <a:custGeom>
          <a:avLst/>
          <a:gdLst/>
          <a:ahLst/>
          <a:cxnLst/>
          <a:rect l="0" t="0" r="0" b="0"/>
          <a:pathLst>
            <a:path>
              <a:moveTo>
                <a:pt x="0" y="10767"/>
              </a:moveTo>
              <a:lnTo>
                <a:pt x="818934"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2825517" y="1807181"/>
        <a:ext cx="40946" cy="40946"/>
      </dsp:txXfrm>
    </dsp:sp>
    <dsp:sp modelId="{DA39BF5C-BCFC-4E3A-AA6B-4962D9410E3F}">
      <dsp:nvSpPr>
        <dsp:cNvPr id="0" name=""/>
        <dsp:cNvSpPr/>
      </dsp:nvSpPr>
      <dsp:spPr>
        <a:xfrm>
          <a:off x="3018264" y="1240850"/>
          <a:ext cx="861365" cy="430682"/>
        </a:xfrm>
        <a:prstGeom prst="roundRect">
          <a:avLst>
            <a:gd name="adj" fmla="val 10000"/>
          </a:avLst>
        </a:prstGeom>
        <a:solidFill>
          <a:schemeClr val="accent1">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Financial incentives</a:t>
          </a:r>
        </a:p>
      </dsp:txBody>
      <dsp:txXfrm>
        <a:off x="3030878" y="1253464"/>
        <a:ext cx="836137" cy="405454"/>
      </dsp:txXfrm>
    </dsp:sp>
    <dsp:sp modelId="{CBC96EFC-4EEB-4F51-A969-C869409FCC69}">
      <dsp:nvSpPr>
        <dsp:cNvPr id="0" name=""/>
        <dsp:cNvSpPr/>
      </dsp:nvSpPr>
      <dsp:spPr>
        <a:xfrm rot="17132988">
          <a:off x="3409274" y="826318"/>
          <a:ext cx="1285255" cy="21534"/>
        </a:xfrm>
        <a:custGeom>
          <a:avLst/>
          <a:gdLst/>
          <a:ahLst/>
          <a:cxnLst/>
          <a:rect l="0" t="0" r="0" b="0"/>
          <a:pathLst>
            <a:path>
              <a:moveTo>
                <a:pt x="0" y="10767"/>
              </a:moveTo>
              <a:lnTo>
                <a:pt x="1285255"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4019770" y="804954"/>
        <a:ext cx="64262" cy="64262"/>
      </dsp:txXfrm>
    </dsp:sp>
    <dsp:sp modelId="{45F326FA-DE7A-4EF2-A51A-3E930C2FEC5C}">
      <dsp:nvSpPr>
        <dsp:cNvPr id="0" name=""/>
        <dsp:cNvSpPr/>
      </dsp:nvSpPr>
      <dsp:spPr>
        <a:xfrm>
          <a:off x="4224175" y="2638"/>
          <a:ext cx="861365" cy="430682"/>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Charges / fees</a:t>
          </a:r>
        </a:p>
      </dsp:txBody>
      <dsp:txXfrm>
        <a:off x="4236789" y="15252"/>
        <a:ext cx="836137" cy="405454"/>
      </dsp:txXfrm>
    </dsp:sp>
    <dsp:sp modelId="{D08404F7-EEF4-4AC9-B872-477C92A28889}">
      <dsp:nvSpPr>
        <dsp:cNvPr id="0" name=""/>
        <dsp:cNvSpPr/>
      </dsp:nvSpPr>
      <dsp:spPr>
        <a:xfrm rot="17692822">
          <a:off x="3642435" y="1073960"/>
          <a:ext cx="818934" cy="21534"/>
        </a:xfrm>
        <a:custGeom>
          <a:avLst/>
          <a:gdLst/>
          <a:ahLst/>
          <a:cxnLst/>
          <a:rect l="0" t="0" r="0" b="0"/>
          <a:pathLst>
            <a:path>
              <a:moveTo>
                <a:pt x="0" y="10767"/>
              </a:moveTo>
              <a:lnTo>
                <a:pt x="818934"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4031428" y="1064254"/>
        <a:ext cx="40946" cy="40946"/>
      </dsp:txXfrm>
    </dsp:sp>
    <dsp:sp modelId="{EB67680F-09E4-43A7-88B4-3358C9820A98}">
      <dsp:nvSpPr>
        <dsp:cNvPr id="0" name=""/>
        <dsp:cNvSpPr/>
      </dsp:nvSpPr>
      <dsp:spPr>
        <a:xfrm>
          <a:off x="4224175" y="497922"/>
          <a:ext cx="861365" cy="430682"/>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Direct incentives / subsidies</a:t>
          </a:r>
        </a:p>
      </dsp:txBody>
      <dsp:txXfrm>
        <a:off x="4236789" y="510536"/>
        <a:ext cx="836137" cy="405454"/>
      </dsp:txXfrm>
    </dsp:sp>
    <dsp:sp modelId="{794E27F0-BAA0-44B4-A3A2-30056D6FB97A}">
      <dsp:nvSpPr>
        <dsp:cNvPr id="0" name=""/>
        <dsp:cNvSpPr/>
      </dsp:nvSpPr>
      <dsp:spPr>
        <a:xfrm rot="19457599">
          <a:off x="3839747" y="1321603"/>
          <a:ext cx="424309" cy="21534"/>
        </a:xfrm>
        <a:custGeom>
          <a:avLst/>
          <a:gdLst/>
          <a:ahLst/>
          <a:cxnLst/>
          <a:rect l="0" t="0" r="0" b="0"/>
          <a:pathLst>
            <a:path>
              <a:moveTo>
                <a:pt x="0" y="10767"/>
              </a:moveTo>
              <a:lnTo>
                <a:pt x="424309"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4041294" y="1321762"/>
        <a:ext cx="21215" cy="21215"/>
      </dsp:txXfrm>
    </dsp:sp>
    <dsp:sp modelId="{58BC938B-7E68-437E-B2E6-69D06599D28C}">
      <dsp:nvSpPr>
        <dsp:cNvPr id="0" name=""/>
        <dsp:cNvSpPr/>
      </dsp:nvSpPr>
      <dsp:spPr>
        <a:xfrm>
          <a:off x="4224175" y="993207"/>
          <a:ext cx="861365" cy="430682"/>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Public procurement incentives</a:t>
          </a:r>
        </a:p>
      </dsp:txBody>
      <dsp:txXfrm>
        <a:off x="4236789" y="1005821"/>
        <a:ext cx="836137" cy="405454"/>
      </dsp:txXfrm>
    </dsp:sp>
    <dsp:sp modelId="{F73E2DA4-F19C-4132-B05A-31F13D21B995}">
      <dsp:nvSpPr>
        <dsp:cNvPr id="0" name=""/>
        <dsp:cNvSpPr/>
      </dsp:nvSpPr>
      <dsp:spPr>
        <a:xfrm rot="2142401">
          <a:off x="3839747" y="1569245"/>
          <a:ext cx="424309" cy="21534"/>
        </a:xfrm>
        <a:custGeom>
          <a:avLst/>
          <a:gdLst/>
          <a:ahLst/>
          <a:cxnLst/>
          <a:rect l="0" t="0" r="0" b="0"/>
          <a:pathLst>
            <a:path>
              <a:moveTo>
                <a:pt x="0" y="10767"/>
              </a:moveTo>
              <a:lnTo>
                <a:pt x="424309"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4041294" y="1569405"/>
        <a:ext cx="21215" cy="21215"/>
      </dsp:txXfrm>
    </dsp:sp>
    <dsp:sp modelId="{D39353C6-5F70-4B9F-A034-DCC1E78CAE67}">
      <dsp:nvSpPr>
        <dsp:cNvPr id="0" name=""/>
        <dsp:cNvSpPr/>
      </dsp:nvSpPr>
      <dsp:spPr>
        <a:xfrm>
          <a:off x="4224175" y="1488492"/>
          <a:ext cx="861365" cy="430682"/>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Tax reduction / exemption</a:t>
          </a:r>
        </a:p>
      </dsp:txBody>
      <dsp:txXfrm>
        <a:off x="4236789" y="1501106"/>
        <a:ext cx="836137" cy="405454"/>
      </dsp:txXfrm>
    </dsp:sp>
    <dsp:sp modelId="{5EC91F77-9D8C-4894-97A3-48895B4E81AA}">
      <dsp:nvSpPr>
        <dsp:cNvPr id="0" name=""/>
        <dsp:cNvSpPr/>
      </dsp:nvSpPr>
      <dsp:spPr>
        <a:xfrm rot="3907178">
          <a:off x="3642435" y="1816888"/>
          <a:ext cx="818934" cy="21534"/>
        </a:xfrm>
        <a:custGeom>
          <a:avLst/>
          <a:gdLst/>
          <a:ahLst/>
          <a:cxnLst/>
          <a:rect l="0" t="0" r="0" b="0"/>
          <a:pathLst>
            <a:path>
              <a:moveTo>
                <a:pt x="0" y="10767"/>
              </a:moveTo>
              <a:lnTo>
                <a:pt x="818934"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4031428" y="1807181"/>
        <a:ext cx="40946" cy="40946"/>
      </dsp:txXfrm>
    </dsp:sp>
    <dsp:sp modelId="{C6246985-D28E-4132-AB92-7FEF1234E4AF}">
      <dsp:nvSpPr>
        <dsp:cNvPr id="0" name=""/>
        <dsp:cNvSpPr/>
      </dsp:nvSpPr>
      <dsp:spPr>
        <a:xfrm>
          <a:off x="4224175" y="1983777"/>
          <a:ext cx="861365" cy="430682"/>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Taxes / penalties</a:t>
          </a:r>
        </a:p>
      </dsp:txBody>
      <dsp:txXfrm>
        <a:off x="4236789" y="1996391"/>
        <a:ext cx="836137" cy="405454"/>
      </dsp:txXfrm>
    </dsp:sp>
    <dsp:sp modelId="{8519DA52-45FA-4AFB-A74F-6EE951E1E42E}">
      <dsp:nvSpPr>
        <dsp:cNvPr id="0" name=""/>
        <dsp:cNvSpPr/>
      </dsp:nvSpPr>
      <dsp:spPr>
        <a:xfrm rot="4467012">
          <a:off x="3409274" y="2064530"/>
          <a:ext cx="1285255" cy="21534"/>
        </a:xfrm>
        <a:custGeom>
          <a:avLst/>
          <a:gdLst/>
          <a:ahLst/>
          <a:cxnLst/>
          <a:rect l="0" t="0" r="0" b="0"/>
          <a:pathLst>
            <a:path>
              <a:moveTo>
                <a:pt x="0" y="10767"/>
              </a:moveTo>
              <a:lnTo>
                <a:pt x="1285255"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4019770" y="2043166"/>
        <a:ext cx="64262" cy="64262"/>
      </dsp:txXfrm>
    </dsp:sp>
    <dsp:sp modelId="{998BA56E-760D-4CFE-8C92-FAA01A2BB970}">
      <dsp:nvSpPr>
        <dsp:cNvPr id="0" name=""/>
        <dsp:cNvSpPr/>
      </dsp:nvSpPr>
      <dsp:spPr>
        <a:xfrm>
          <a:off x="4224175" y="2479062"/>
          <a:ext cx="861365" cy="430682"/>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Other support schemes</a:t>
          </a:r>
        </a:p>
      </dsp:txBody>
      <dsp:txXfrm>
        <a:off x="4236789" y="2491676"/>
        <a:ext cx="836137" cy="405454"/>
      </dsp:txXfrm>
    </dsp:sp>
    <dsp:sp modelId="{E9A130DF-566B-4601-B0AB-7073A2CA0ED0}">
      <dsp:nvSpPr>
        <dsp:cNvPr id="0" name=""/>
        <dsp:cNvSpPr/>
      </dsp:nvSpPr>
      <dsp:spPr>
        <a:xfrm rot="19457599">
          <a:off x="2633836" y="2064530"/>
          <a:ext cx="424309" cy="21534"/>
        </a:xfrm>
        <a:custGeom>
          <a:avLst/>
          <a:gdLst/>
          <a:ahLst/>
          <a:cxnLst/>
          <a:rect l="0" t="0" r="0" b="0"/>
          <a:pathLst>
            <a:path>
              <a:moveTo>
                <a:pt x="0" y="10767"/>
              </a:moveTo>
              <a:lnTo>
                <a:pt x="424309"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2835383" y="2064689"/>
        <a:ext cx="21215" cy="21215"/>
      </dsp:txXfrm>
    </dsp:sp>
    <dsp:sp modelId="{D89088CD-ADA7-41E5-9511-2E639A1BD2E9}">
      <dsp:nvSpPr>
        <dsp:cNvPr id="0" name=""/>
        <dsp:cNvSpPr/>
      </dsp:nvSpPr>
      <dsp:spPr>
        <a:xfrm>
          <a:off x="3018264" y="1736135"/>
          <a:ext cx="861365" cy="430682"/>
        </a:xfrm>
        <a:prstGeom prst="roundRect">
          <a:avLst>
            <a:gd name="adj" fmla="val 10000"/>
          </a:avLst>
        </a:prstGeom>
        <a:solidFill>
          <a:schemeClr val="accent1">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Non financial incentives</a:t>
          </a:r>
        </a:p>
      </dsp:txBody>
      <dsp:txXfrm>
        <a:off x="3030878" y="1748749"/>
        <a:ext cx="836137" cy="405454"/>
      </dsp:txXfrm>
    </dsp:sp>
    <dsp:sp modelId="{1C9E136B-E602-4DAF-BE51-3C37DCCEF60A}">
      <dsp:nvSpPr>
        <dsp:cNvPr id="0" name=""/>
        <dsp:cNvSpPr/>
      </dsp:nvSpPr>
      <dsp:spPr>
        <a:xfrm rot="2142401">
          <a:off x="2633836" y="2312173"/>
          <a:ext cx="424309" cy="21534"/>
        </a:xfrm>
        <a:custGeom>
          <a:avLst/>
          <a:gdLst/>
          <a:ahLst/>
          <a:cxnLst/>
          <a:rect l="0" t="0" r="0" b="0"/>
          <a:pathLst>
            <a:path>
              <a:moveTo>
                <a:pt x="0" y="10767"/>
              </a:moveTo>
              <a:lnTo>
                <a:pt x="424309"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2835383" y="2312332"/>
        <a:ext cx="21215" cy="21215"/>
      </dsp:txXfrm>
    </dsp:sp>
    <dsp:sp modelId="{C22298C6-63DC-4FA6-B9A6-5FB6B63E8419}">
      <dsp:nvSpPr>
        <dsp:cNvPr id="0" name=""/>
        <dsp:cNvSpPr/>
      </dsp:nvSpPr>
      <dsp:spPr>
        <a:xfrm>
          <a:off x="3018264" y="2231420"/>
          <a:ext cx="861365" cy="430682"/>
        </a:xfrm>
        <a:prstGeom prst="roundRect">
          <a:avLst>
            <a:gd name="adj" fmla="val 10000"/>
          </a:avLst>
        </a:prstGeom>
        <a:solidFill>
          <a:schemeClr val="accent1">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Education / Information</a:t>
          </a:r>
        </a:p>
      </dsp:txBody>
      <dsp:txXfrm>
        <a:off x="3030878" y="2244034"/>
        <a:ext cx="836137" cy="405454"/>
      </dsp:txXfrm>
    </dsp:sp>
    <dsp:sp modelId="{632E61FF-C08F-4D9F-B86B-D5ABF05629FE}">
      <dsp:nvSpPr>
        <dsp:cNvPr id="0" name=""/>
        <dsp:cNvSpPr/>
      </dsp:nvSpPr>
      <dsp:spPr>
        <a:xfrm rot="3907178">
          <a:off x="2436523" y="2559815"/>
          <a:ext cx="818934" cy="21534"/>
        </a:xfrm>
        <a:custGeom>
          <a:avLst/>
          <a:gdLst/>
          <a:ahLst/>
          <a:cxnLst/>
          <a:rect l="0" t="0" r="0" b="0"/>
          <a:pathLst>
            <a:path>
              <a:moveTo>
                <a:pt x="0" y="10767"/>
              </a:moveTo>
              <a:lnTo>
                <a:pt x="818934"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2825517" y="2550109"/>
        <a:ext cx="40946" cy="40946"/>
      </dsp:txXfrm>
    </dsp:sp>
    <dsp:sp modelId="{4D285A69-A954-490C-A785-44E509D7CC1F}">
      <dsp:nvSpPr>
        <dsp:cNvPr id="0" name=""/>
        <dsp:cNvSpPr/>
      </dsp:nvSpPr>
      <dsp:spPr>
        <a:xfrm>
          <a:off x="3018264" y="2726704"/>
          <a:ext cx="861365" cy="430682"/>
        </a:xfrm>
        <a:prstGeom prst="roundRect">
          <a:avLst>
            <a:gd name="adj" fmla="val 10000"/>
          </a:avLst>
        </a:prstGeom>
        <a:solidFill>
          <a:schemeClr val="accent1">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Other</a:t>
          </a:r>
        </a:p>
      </dsp:txBody>
      <dsp:txXfrm>
        <a:off x="3030878" y="2739318"/>
        <a:ext cx="836137" cy="405454"/>
      </dsp:txXfrm>
    </dsp:sp>
    <dsp:sp modelId="{163AE3C9-8C62-4C7D-A491-E5901E41592F}">
      <dsp:nvSpPr>
        <dsp:cNvPr id="0" name=""/>
        <dsp:cNvSpPr/>
      </dsp:nvSpPr>
      <dsp:spPr>
        <a:xfrm rot="21306167">
          <a:off x="1261593" y="2752473"/>
          <a:ext cx="345808" cy="21534"/>
        </a:xfrm>
        <a:custGeom>
          <a:avLst/>
          <a:gdLst/>
          <a:ahLst/>
          <a:cxnLst/>
          <a:rect l="0" t="0" r="0" b="0"/>
          <a:pathLst>
            <a:path>
              <a:moveTo>
                <a:pt x="0" y="10767"/>
              </a:moveTo>
              <a:lnTo>
                <a:pt x="345808"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1425852" y="2754595"/>
        <a:ext cx="17290" cy="17290"/>
      </dsp:txXfrm>
    </dsp:sp>
    <dsp:sp modelId="{902E930F-80AF-4D3F-BC97-BA0621641A3A}">
      <dsp:nvSpPr>
        <dsp:cNvPr id="0" name=""/>
        <dsp:cNvSpPr/>
      </dsp:nvSpPr>
      <dsp:spPr>
        <a:xfrm>
          <a:off x="1606770" y="2504199"/>
          <a:ext cx="1066947" cy="488561"/>
        </a:xfrm>
        <a:prstGeom prst="roundRect">
          <a:avLst>
            <a:gd name="adj" fmla="val 10000"/>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Measures promoting AFI in public transport services</a:t>
          </a:r>
        </a:p>
      </dsp:txBody>
      <dsp:txXfrm>
        <a:off x="1621079" y="2518508"/>
        <a:ext cx="1038329" cy="459943"/>
      </dsp:txXfrm>
    </dsp:sp>
    <dsp:sp modelId="{0924B9BF-AECE-4173-A4E1-89ADED415F62}">
      <dsp:nvSpPr>
        <dsp:cNvPr id="0" name=""/>
        <dsp:cNvSpPr/>
      </dsp:nvSpPr>
      <dsp:spPr>
        <a:xfrm rot="3474304">
          <a:off x="1110264" y="3041915"/>
          <a:ext cx="648467" cy="21534"/>
        </a:xfrm>
        <a:custGeom>
          <a:avLst/>
          <a:gdLst/>
          <a:ahLst/>
          <a:cxnLst/>
          <a:rect l="0" t="0" r="0" b="0"/>
          <a:pathLst>
            <a:path>
              <a:moveTo>
                <a:pt x="0" y="10767"/>
              </a:moveTo>
              <a:lnTo>
                <a:pt x="648467" y="1076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1418286" y="3036470"/>
        <a:ext cx="32423" cy="32423"/>
      </dsp:txXfrm>
    </dsp:sp>
    <dsp:sp modelId="{51B44F64-A240-4AF2-A41A-9CB09D4129F1}">
      <dsp:nvSpPr>
        <dsp:cNvPr id="0" name=""/>
        <dsp:cNvSpPr/>
      </dsp:nvSpPr>
      <dsp:spPr>
        <a:xfrm>
          <a:off x="1606770" y="3057363"/>
          <a:ext cx="1066947" cy="539998"/>
        </a:xfrm>
        <a:prstGeom prst="roundRect">
          <a:avLst>
            <a:gd name="adj" fmla="val 10000"/>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Measures promoting private</a:t>
          </a:r>
          <a:br>
            <a:rPr lang="en-US" sz="900" kern="1200">
              <a:solidFill>
                <a:schemeClr val="tx1"/>
              </a:solidFill>
            </a:rPr>
          </a:br>
          <a:r>
            <a:rPr lang="en-US" sz="900" kern="1200">
              <a:solidFill>
                <a:schemeClr val="tx1"/>
              </a:solidFill>
            </a:rPr>
            <a:t>electro-mobility infrastructure</a:t>
          </a:r>
        </a:p>
      </dsp:txBody>
      <dsp:txXfrm>
        <a:off x="1622586" y="3073179"/>
        <a:ext cx="1035315" cy="5083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Eur191</b:Tag>
    <b:SourceType>Report</b:SourceType>
    <b:Guid>{0D63B9D1-AA1D-4934-A487-F2D94F7C51C3}</b:Guid>
    <b:Title>Staff Working Document SWD/2019/0029 “Report on the Assessment of the Member States National Policy Frameworks</b:Title>
    <b:Year>2019</b:Year>
    <b:Author>
      <b:Author>
        <b:Corporate>European Commission</b:Corporate>
      </b:Author>
    </b:Author>
    <b:ThesisType>for the development of the market as regards alternative fuels in the transport sector and the deployment of the relevant infrastructure pursuant to Article 10 (2) of Directive 2014/94/EU”</b:ThesisType>
    <b:RefOrder>1</b:RefOrder>
  </b:Source>
  <b:Source>
    <b:Tag>Eur19</b:Tag>
    <b:SourceType>Report</b:SourceType>
    <b:Guid>{AEE726B3-EF7F-483C-B385-9114F369DA9B}</b:Guid>
    <b:Author>
      <b:Author>
        <b:Corporate>European Commission</b:Corporate>
      </b:Author>
    </b:Author>
    <b:Title>Staff Working Document SWD/2017/0365 “Detailed Assessment of the National Policy Frameworks”</b:Title>
    <b:Year>2017</b:Year>
    <b:ThesisType>accompanying the document Communication “Towards the broadest use of alternative fuels - an Action Plan for Alternative Fuels Infrastructure under Article 10(6) of Directive 201/94/EU"</b:ThesisType>
    <b:RefOrder>3</b:RefOrder>
  </b:Source>
  <b:Source>
    <b:Tag>Eur18</b:Tag>
    <b:SourceType>Report</b:SourceType>
    <b:Guid>{2DA47DD0-101F-49E1-B747-158D19986283}</b:Guid>
    <b:Author>
      <b:Author>
        <b:Corporate>European Commission</b:Corporate>
      </b:Author>
    </b:Author>
    <b:Title>Support guidance concerning the reporting by the Member States in the context of Directive 2014/94/EU</b:Title>
    <b:Year>2018</b:Year>
    <b:RefOrder>2</b:RefOrder>
  </b:Source>
  <b:Source>
    <b:Tag>Eur</b:Tag>
    <b:SourceType>InternetSite</b:SourceType>
    <b:Guid>{7C1CBF13-3F5B-4CE8-A0FA-6B4A52C5DEE2}</b:Guid>
    <b:Title>Better regulation toolbox - Tool #18 The choice of policy instruments</b:Title>
    <b:Author>
      <b:Author>
        <b:Corporate>European Commission</b:Corporate>
      </b:Author>
    </b:Author>
    <b:URL>https://ec.europa.eu/info/sites/info/files/file_import/better-regulation-toolbox-18_en_0.pdf</b:URL>
    <b:RefOrder>4</b:RefOrder>
  </b:Source>
</b:Sources>
</file>

<file path=customXml/itemProps1.xml><?xml version="1.0" encoding="utf-8"?>
<ds:datastoreItem xmlns:ds="http://schemas.openxmlformats.org/officeDocument/2006/customXml" ds:itemID="{BA98C937-C2B5-420A-969C-517FF0093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52</Pages>
  <Words>11595</Words>
  <Characters>60411</Characters>
  <Application>Microsoft Office Word</Application>
  <DocSecurity>0</DocSecurity>
  <Lines>1589</Lines>
  <Paragraphs>800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VANROY Anne (SG)</cp:lastModifiedBy>
  <cp:revision>17</cp:revision>
  <dcterms:created xsi:type="dcterms:W3CDTF">2021-02-26T13:24:00Z</dcterms:created>
  <dcterms:modified xsi:type="dcterms:W3CDTF">2021-03-08T09:53:00Z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4</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7.0.1, Build 20190916</vt:lpwstr>
  </property>
  <property fmtid="{D5CDD505-2E9C-101B-9397-08002B2CF9AE}" pid="8" name="Created using">
    <vt:lpwstr>LW 7.0, Build 20190717</vt:lpwstr>
  </property>
</Properties>
</file>