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3BF" w:rsidRDefault="006C3212">
      <w:pPr>
        <w:pStyle w:val="Pagedecouverture"/>
        <w:rPr>
          <w:noProof/>
          <w:lang w:val="en-IE"/>
        </w:rPr>
      </w:pPr>
      <w:bookmarkStart w:id="0" w:name="LW_BM_COVERPAGE"/>
      <w:bookmarkStart w:id="1" w:name="_Toc476820820"/>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97F0376B-B1F0-4D00-96C3-95CCF3BAC8CA" style="width:450.6pt;height:483.35pt">
            <v:imagedata r:id="rId8" o:title=""/>
          </v:shape>
        </w:pict>
      </w:r>
    </w:p>
    <w:bookmarkEnd w:id="0"/>
    <w:p w:rsidR="003C43BF" w:rsidRDefault="003C43BF">
      <w:pPr>
        <w:rPr>
          <w:rFonts w:ascii="Times New Roman" w:hAnsi="Times New Roman" w:cs="Times New Roman"/>
          <w:noProof/>
          <w:lang w:val="en-IE"/>
        </w:rPr>
        <w:sectPr w:rsidR="003C43BF">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sdt>
      <w:sdtPr>
        <w:rPr>
          <w:rFonts w:ascii="Times New Roman" w:eastAsiaTheme="minorHAnsi" w:hAnsi="Times New Roman" w:cs="Times New Roman"/>
          <w:noProof/>
          <w:color w:val="auto"/>
          <w:sz w:val="22"/>
          <w:szCs w:val="22"/>
          <w:lang w:val="en-IE"/>
        </w:rPr>
        <w:id w:val="-95943181"/>
        <w:docPartObj>
          <w:docPartGallery w:val="Table of Contents"/>
          <w:docPartUnique/>
        </w:docPartObj>
      </w:sdtPr>
      <w:sdtEndPr>
        <w:rPr>
          <w:b/>
          <w:bCs/>
          <w:sz w:val="24"/>
          <w:szCs w:val="24"/>
        </w:rPr>
      </w:sdtEndPr>
      <w:sdtContent>
        <w:p w:rsidR="003C43BF" w:rsidRDefault="006C3212">
          <w:pPr>
            <w:pStyle w:val="TOCHeading"/>
            <w:spacing w:after="240"/>
            <w:jc w:val="center"/>
            <w:rPr>
              <w:rFonts w:ascii="Times New Roman" w:hAnsi="Times New Roman" w:cs="Times New Roman"/>
              <w:noProof/>
              <w:lang w:val="en-IE"/>
            </w:rPr>
          </w:pPr>
          <w:r>
            <w:rPr>
              <w:rFonts w:ascii="Times New Roman" w:eastAsiaTheme="minorHAnsi" w:hAnsi="Times New Roman" w:cs="Times New Roman"/>
              <w:noProof/>
              <w:color w:val="auto"/>
              <w:sz w:val="22"/>
              <w:szCs w:val="22"/>
              <w:lang w:val="en-IE"/>
            </w:rPr>
            <w:t>Table of Contents</w:t>
          </w:r>
        </w:p>
        <w:p w:rsidR="003C43BF" w:rsidRDefault="006C3212">
          <w:pPr>
            <w:pStyle w:val="TOC1"/>
            <w:tabs>
              <w:tab w:val="left" w:pos="440"/>
              <w:tab w:val="right" w:leader="dot" w:pos="9062"/>
            </w:tabs>
            <w:rPr>
              <w:rFonts w:eastAsiaTheme="minorEastAsia"/>
              <w:noProof/>
              <w:lang w:eastAsia="en-GB"/>
            </w:rPr>
          </w:pPr>
          <w:r>
            <w:rPr>
              <w:rFonts w:ascii="Times New Roman" w:hAnsi="Times New Roman" w:cs="Times New Roman"/>
              <w:noProof/>
              <w:sz w:val="24"/>
              <w:szCs w:val="24"/>
              <w:lang w:val="en-IE"/>
            </w:rPr>
            <w:fldChar w:fldCharType="begin"/>
          </w:r>
          <w:r>
            <w:rPr>
              <w:rFonts w:ascii="Times New Roman" w:hAnsi="Times New Roman" w:cs="Times New Roman"/>
              <w:noProof/>
              <w:sz w:val="24"/>
              <w:szCs w:val="24"/>
              <w:lang w:val="en-IE"/>
            </w:rPr>
            <w:instrText xml:space="preserve"> TOC \o "1-3" \h \z \u </w:instrText>
          </w:r>
          <w:r>
            <w:rPr>
              <w:rFonts w:ascii="Times New Roman" w:hAnsi="Times New Roman" w:cs="Times New Roman"/>
              <w:noProof/>
              <w:sz w:val="24"/>
              <w:szCs w:val="24"/>
              <w:lang w:val="en-IE"/>
            </w:rPr>
            <w:fldChar w:fldCharType="separate"/>
          </w:r>
          <w:hyperlink w:anchor="_Toc56944078" w:history="1">
            <w:r>
              <w:rPr>
                <w:rStyle w:val="Hyperlink"/>
                <w:rFonts w:ascii="Times New Roman" w:hAnsi="Times New Roman"/>
                <w:noProof/>
                <w:lang w:val="en-IE"/>
                <w14:scene3d>
                  <w14:camera w14:prst="orthographicFront"/>
                  <w14:lightRig w14:rig="threePt" w14:dir="t">
                    <w14:rot w14:lat="0" w14:lon="0" w14:rev="0"/>
                  </w14:lightRig>
                </w14:scene3d>
              </w:rPr>
              <w:t>5</w:t>
            </w:r>
            <w:r>
              <w:rPr>
                <w:rFonts w:eastAsiaTheme="minorEastAsia"/>
                <w:noProof/>
                <w:lang w:eastAsia="en-GB"/>
              </w:rPr>
              <w:tab/>
            </w:r>
            <w:r>
              <w:rPr>
                <w:rStyle w:val="Hyperlink"/>
                <w:rFonts w:ascii="Times New Roman" w:hAnsi="Times New Roman"/>
                <w:noProof/>
                <w:lang w:val="en-IE"/>
              </w:rPr>
              <w:t>Full assessment of Member States' NIRs</w:t>
            </w:r>
            <w:r>
              <w:rPr>
                <w:noProof/>
                <w:webHidden/>
              </w:rPr>
              <w:tab/>
            </w:r>
            <w:r>
              <w:rPr>
                <w:noProof/>
                <w:webHidden/>
              </w:rPr>
              <w:fldChar w:fldCharType="begin"/>
            </w:r>
            <w:r>
              <w:rPr>
                <w:noProof/>
                <w:webHidden/>
              </w:rPr>
              <w:instrText xml:space="preserve"> PAGEREF _Toc56944078 \h </w:instrText>
            </w:r>
            <w:r>
              <w:rPr>
                <w:noProof/>
                <w:webHidden/>
              </w:rPr>
            </w:r>
            <w:r>
              <w:rPr>
                <w:noProof/>
                <w:webHidden/>
              </w:rPr>
              <w:fldChar w:fldCharType="separate"/>
            </w:r>
            <w:r>
              <w:rPr>
                <w:noProof/>
                <w:webHidden/>
              </w:rPr>
              <w:t>78</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079" w:history="1">
            <w:r>
              <w:rPr>
                <w:rStyle w:val="Hyperlink"/>
                <w:rFonts w:ascii="Times New Roman" w:hAnsi="Times New Roman" w:cs="Times New Roman"/>
                <w:noProof/>
                <w:lang w:val="en-IE"/>
              </w:rPr>
              <w:t>5.0</w:t>
            </w:r>
            <w:r>
              <w:rPr>
                <w:rFonts w:eastAsiaTheme="minorEastAsia"/>
                <w:noProof/>
                <w:lang w:eastAsia="en-GB"/>
              </w:rPr>
              <w:tab/>
            </w:r>
            <w:r>
              <w:rPr>
                <w:rStyle w:val="Hyperlink"/>
                <w:rFonts w:ascii="Times New Roman" w:hAnsi="Times New Roman" w:cs="Times New Roman"/>
                <w:noProof/>
                <w:lang w:val="en-IE"/>
              </w:rPr>
              <w:t>Assessment of the Member States National Implementation Reports (NIR)</w:t>
            </w:r>
            <w:r>
              <w:rPr>
                <w:noProof/>
                <w:webHidden/>
              </w:rPr>
              <w:tab/>
            </w:r>
            <w:r>
              <w:rPr>
                <w:noProof/>
                <w:webHidden/>
              </w:rPr>
              <w:fldChar w:fldCharType="begin"/>
            </w:r>
            <w:r>
              <w:rPr>
                <w:noProof/>
                <w:webHidden/>
              </w:rPr>
              <w:instrText xml:space="preserve"> PAGEREF _Toc56944079 \h </w:instrText>
            </w:r>
            <w:r>
              <w:rPr>
                <w:noProof/>
                <w:webHidden/>
              </w:rPr>
            </w:r>
            <w:r>
              <w:rPr>
                <w:noProof/>
                <w:webHidden/>
              </w:rPr>
              <w:fldChar w:fldCharType="separate"/>
            </w:r>
            <w:r>
              <w:rPr>
                <w:noProof/>
                <w:webHidden/>
              </w:rPr>
              <w:t>78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80" w:history="1">
            <w:r>
              <w:rPr>
                <w:rStyle w:val="Hyperlink"/>
                <w:rFonts w:ascii="Times New Roman" w:hAnsi="Times New Roman" w:cs="Times New Roman"/>
                <w:noProof/>
                <w:lang w:val="en-IE"/>
                <w14:scene3d>
                  <w14:camera w14:prst="orthographicFront"/>
                  <w14:lightRig w14:rig="threePt" w14:dir="t">
                    <w14:rot w14:lat="0" w14:lon="0" w14:rev="0"/>
                  </w14:lightRig>
                </w14:scene3d>
              </w:rPr>
              <w:t>5.0.1</w:t>
            </w:r>
            <w:r>
              <w:rPr>
                <w:rFonts w:eastAsiaTheme="minorEastAsia"/>
                <w:noProof/>
                <w:lang w:eastAsia="en-GB"/>
              </w:rPr>
              <w:tab/>
            </w:r>
            <w:r>
              <w:rPr>
                <w:rStyle w:val="Hyperlink"/>
                <w:rFonts w:ascii="Times New Roman" w:hAnsi="Times New Roman" w:cs="Times New Roman"/>
                <w:noProof/>
                <w:lang w:val="en-IE"/>
              </w:rPr>
              <w:t>Structure of the assessment report</w:t>
            </w:r>
            <w:r>
              <w:rPr>
                <w:noProof/>
                <w:webHidden/>
              </w:rPr>
              <w:tab/>
            </w:r>
            <w:r>
              <w:rPr>
                <w:noProof/>
                <w:webHidden/>
              </w:rPr>
              <w:fldChar w:fldCharType="begin"/>
            </w:r>
            <w:r>
              <w:rPr>
                <w:noProof/>
                <w:webHidden/>
              </w:rPr>
              <w:instrText xml:space="preserve"> PAGEREF _Toc56944080 \h </w:instrText>
            </w:r>
            <w:r>
              <w:rPr>
                <w:noProof/>
                <w:webHidden/>
              </w:rPr>
            </w:r>
            <w:r>
              <w:rPr>
                <w:noProof/>
                <w:webHidden/>
              </w:rPr>
              <w:fldChar w:fldCharType="separate"/>
            </w:r>
            <w:r>
              <w:rPr>
                <w:noProof/>
                <w:webHidden/>
              </w:rPr>
              <w:t>78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81" w:history="1">
            <w:r>
              <w:rPr>
                <w:rStyle w:val="Hyperlink"/>
                <w:rFonts w:ascii="Times New Roman" w:hAnsi="Times New Roman" w:cs="Times New Roman"/>
                <w:noProof/>
                <w:lang w:val="en-IE"/>
                <w14:scene3d>
                  <w14:camera w14:prst="orthographicFront"/>
                  <w14:lightRig w14:rig="threePt" w14:dir="t">
                    <w14:rot w14:lat="0" w14:lon="0" w14:rev="0"/>
                  </w14:lightRig>
                </w14:scene3d>
              </w:rPr>
              <w:t>5.0.2</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_Toc56944081 \h </w:instrText>
            </w:r>
            <w:r>
              <w:rPr>
                <w:noProof/>
                <w:webHidden/>
              </w:rPr>
            </w:r>
            <w:r>
              <w:rPr>
                <w:noProof/>
                <w:webHidden/>
              </w:rPr>
              <w:fldChar w:fldCharType="separate"/>
            </w:r>
            <w:r>
              <w:rPr>
                <w:noProof/>
                <w:webHidden/>
              </w:rPr>
              <w:t>79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82" w:history="1">
            <w:r>
              <w:rPr>
                <w:rStyle w:val="Hyperlink"/>
                <w:rFonts w:ascii="Times New Roman" w:hAnsi="Times New Roman" w:cs="Times New Roman"/>
                <w:noProof/>
                <w:lang w:val="en-IE"/>
                <w14:scene3d>
                  <w14:camera w14:prst="orthographicFront"/>
                  <w14:lightRig w14:rig="threePt" w14:dir="t">
                    <w14:rot w14:lat="0" w14:lon="0" w14:rev="0"/>
                  </w14:lightRig>
                </w14:scene3d>
              </w:rPr>
              <w:t>5.0.3</w:t>
            </w:r>
            <w:r>
              <w:rPr>
                <w:rFonts w:eastAsiaTheme="minorEastAsia"/>
                <w:noProof/>
                <w:lang w:eastAsia="en-GB"/>
              </w:rPr>
              <w:tab/>
            </w:r>
            <w:r>
              <w:rPr>
                <w:rStyle w:val="Hyperlink"/>
                <w:rFonts w:ascii="Times New Roman" w:hAnsi="Times New Roman" w:cs="Times New Roman"/>
                <w:noProof/>
                <w:lang w:val="en-IE"/>
              </w:rPr>
              <w:t>Overview of requirements’ fulfilment from Annex I of t</w:t>
            </w:r>
            <w:r>
              <w:rPr>
                <w:rStyle w:val="Hyperlink"/>
                <w:rFonts w:ascii="Times New Roman" w:hAnsi="Times New Roman" w:cs="Times New Roman"/>
                <w:noProof/>
                <w:lang w:val="en-IE"/>
              </w:rPr>
              <w:t>he Directive</w:t>
            </w:r>
            <w:r>
              <w:rPr>
                <w:noProof/>
                <w:webHidden/>
              </w:rPr>
              <w:tab/>
            </w:r>
            <w:r>
              <w:rPr>
                <w:noProof/>
                <w:webHidden/>
              </w:rPr>
              <w:fldChar w:fldCharType="begin"/>
            </w:r>
            <w:r>
              <w:rPr>
                <w:noProof/>
                <w:webHidden/>
              </w:rPr>
              <w:instrText xml:space="preserve"> PAGEREF _Toc56944082 \h </w:instrText>
            </w:r>
            <w:r>
              <w:rPr>
                <w:noProof/>
                <w:webHidden/>
              </w:rPr>
            </w:r>
            <w:r>
              <w:rPr>
                <w:noProof/>
                <w:webHidden/>
              </w:rPr>
              <w:fldChar w:fldCharType="separate"/>
            </w:r>
            <w:r>
              <w:rPr>
                <w:noProof/>
                <w:webHidden/>
              </w:rPr>
              <w:t>79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83" w:history="1">
            <w:r>
              <w:rPr>
                <w:rStyle w:val="Hyperlink"/>
                <w:rFonts w:ascii="Times New Roman" w:hAnsi="Times New Roman" w:cs="Times New Roman"/>
                <w:noProof/>
                <w:lang w:val="en-IE"/>
                <w14:scene3d>
                  <w14:camera w14:prst="orthographicFront"/>
                  <w14:lightRig w14:rig="threePt" w14:dir="t">
                    <w14:rot w14:lat="0" w14:lon="0" w14:rev="0"/>
                  </w14:lightRig>
                </w14:scene3d>
              </w:rPr>
              <w:t>5.0.4</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_Toc56944083 \h </w:instrText>
            </w:r>
            <w:r>
              <w:rPr>
                <w:noProof/>
                <w:webHidden/>
              </w:rPr>
            </w:r>
            <w:r>
              <w:rPr>
                <w:noProof/>
                <w:webHidden/>
              </w:rPr>
              <w:fldChar w:fldCharType="separate"/>
            </w:r>
            <w:r>
              <w:rPr>
                <w:noProof/>
                <w:webHidden/>
              </w:rPr>
              <w:t>81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84" w:history="1">
            <w:r>
              <w:rPr>
                <w:rStyle w:val="Hyperlink"/>
                <w:rFonts w:ascii="Times New Roman" w:hAnsi="Times New Roman" w:cs="Times New Roman"/>
                <w:noProof/>
                <w:lang w:val="en-IE"/>
                <w14:scene3d>
                  <w14:camera w14:prst="orthographicFront"/>
                  <w14:lightRig w14:rig="threePt" w14:dir="t">
                    <w14:rot w14:lat="0" w14:lon="0" w14:rev="0"/>
                  </w14:lightRig>
                </w14:scene3d>
              </w:rPr>
              <w:t>5.0.5</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_Toc56944084 \h </w:instrText>
            </w:r>
            <w:r>
              <w:rPr>
                <w:noProof/>
                <w:webHidden/>
              </w:rPr>
            </w:r>
            <w:r>
              <w:rPr>
                <w:noProof/>
                <w:webHidden/>
              </w:rPr>
              <w:fldChar w:fldCharType="separate"/>
            </w:r>
            <w:r>
              <w:rPr>
                <w:noProof/>
                <w:webHidden/>
              </w:rPr>
              <w:t>84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85" w:history="1">
            <w:r>
              <w:rPr>
                <w:rStyle w:val="Hyperlink"/>
                <w:rFonts w:ascii="Times New Roman" w:hAnsi="Times New Roman" w:cs="Times New Roman"/>
                <w:noProof/>
                <w:lang w:val="en-IE"/>
                <w14:scene3d>
                  <w14:camera w14:prst="orthographicFront"/>
                  <w14:lightRig w14:rig="threePt" w14:dir="t">
                    <w14:rot w14:lat="0" w14:lon="0" w14:rev="0"/>
                  </w14:lightRig>
                </w14:scene3d>
              </w:rPr>
              <w:t>5.0.6</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_Toc56944085 \h </w:instrText>
            </w:r>
            <w:r>
              <w:rPr>
                <w:noProof/>
                <w:webHidden/>
              </w:rPr>
            </w:r>
            <w:r>
              <w:rPr>
                <w:noProof/>
                <w:webHidden/>
              </w:rPr>
              <w:fldChar w:fldCharType="separate"/>
            </w:r>
            <w:r>
              <w:rPr>
                <w:noProof/>
                <w:webHidden/>
              </w:rPr>
              <w:t>85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86" w:history="1">
            <w:r>
              <w:rPr>
                <w:rStyle w:val="Hyperlink"/>
                <w:rFonts w:ascii="Times New Roman" w:hAnsi="Times New Roman" w:cs="Times New Roman"/>
                <w:noProof/>
                <w:lang w:val="en-IE"/>
                <w14:scene3d>
                  <w14:camera w14:prst="orthographicFront"/>
                  <w14:lightRig w14:rig="threePt" w14:dir="t">
                    <w14:rot w14:lat="0" w14:lon="0" w14:rev="0"/>
                  </w14:lightRig>
                </w14:scene3d>
              </w:rPr>
              <w:t>5.0.7</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bookmarkStart w:id="2" w:name="_GoBack"/>
            <w:bookmarkEnd w:id="2"/>
            <w:r>
              <w:rPr>
                <w:noProof/>
                <w:webHidden/>
              </w:rPr>
              <w:fldChar w:fldCharType="begin"/>
            </w:r>
            <w:r>
              <w:rPr>
                <w:noProof/>
                <w:webHidden/>
              </w:rPr>
              <w:instrText xml:space="preserve"> PAGEREF _Toc56944086 \h </w:instrText>
            </w:r>
            <w:r>
              <w:rPr>
                <w:noProof/>
                <w:webHidden/>
              </w:rPr>
            </w:r>
            <w:r>
              <w:rPr>
                <w:noProof/>
                <w:webHidden/>
              </w:rPr>
              <w:fldChar w:fldCharType="separate"/>
            </w:r>
            <w:r>
              <w:rPr>
                <w:noProof/>
                <w:webHidden/>
              </w:rPr>
              <w:t>85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87" w:history="1">
            <w:r>
              <w:rPr>
                <w:rStyle w:val="Hyperlink"/>
                <w:rFonts w:ascii="Times New Roman" w:hAnsi="Times New Roman" w:cs="Times New Roman"/>
                <w:noProof/>
                <w:lang w:val="en-IE"/>
                <w14:scene3d>
                  <w14:camera w14:prst="orthographicFront"/>
                  <w14:lightRig w14:rig="threePt" w14:dir="t">
                    <w14:rot w14:lat="0" w14:lon="0" w14:rev="0"/>
                  </w14:lightRig>
                </w14:scene3d>
              </w:rPr>
              <w:t>5.0.8</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_Toc56944087 \h </w:instrText>
            </w:r>
            <w:r>
              <w:rPr>
                <w:noProof/>
                <w:webHidden/>
              </w:rPr>
            </w:r>
            <w:r>
              <w:rPr>
                <w:noProof/>
                <w:webHidden/>
              </w:rPr>
              <w:fldChar w:fldCharType="separate"/>
            </w:r>
            <w:r>
              <w:rPr>
                <w:noProof/>
                <w:webHidden/>
              </w:rPr>
              <w:t>87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88" w:history="1">
            <w:r>
              <w:rPr>
                <w:rStyle w:val="Hyperlink"/>
                <w:rFonts w:ascii="Times New Roman" w:hAnsi="Times New Roman" w:cs="Times New Roman"/>
                <w:noProof/>
                <w:lang w:val="en-IE"/>
                <w14:scene3d>
                  <w14:camera w14:prst="orthographicFront"/>
                  <w14:lightRig w14:rig="threePt" w14:dir="t">
                    <w14:rot w14:lat="0" w14:lon="0" w14:rev="0"/>
                  </w14:lightRig>
                </w14:scene3d>
              </w:rPr>
              <w:t>5.0.9</w:t>
            </w:r>
            <w:r>
              <w:rPr>
                <w:rFonts w:eastAsiaTheme="minorEastAsia"/>
                <w:noProof/>
                <w:lang w:eastAsia="en-GB"/>
              </w:rPr>
              <w:tab/>
            </w:r>
            <w:r>
              <w:rPr>
                <w:rStyle w:val="Hyperlink"/>
                <w:rFonts w:ascii="Times New Roman" w:hAnsi="Times New Roman" w:cs="Times New Roman"/>
                <w:noProof/>
                <w:lang w:val="en-IE"/>
              </w:rPr>
              <w:t>ANNEX: Description of the Member State</w:t>
            </w:r>
            <w:r>
              <w:rPr>
                <w:noProof/>
                <w:webHidden/>
              </w:rPr>
              <w:tab/>
            </w:r>
            <w:r>
              <w:rPr>
                <w:noProof/>
                <w:webHidden/>
              </w:rPr>
              <w:fldChar w:fldCharType="begin"/>
            </w:r>
            <w:r>
              <w:rPr>
                <w:noProof/>
                <w:webHidden/>
              </w:rPr>
              <w:instrText xml:space="preserve"> PAGEREF _Toc56944088 \h </w:instrText>
            </w:r>
            <w:r>
              <w:rPr>
                <w:noProof/>
                <w:webHidden/>
              </w:rPr>
            </w:r>
            <w:r>
              <w:rPr>
                <w:noProof/>
                <w:webHidden/>
              </w:rPr>
              <w:fldChar w:fldCharType="separate"/>
            </w:r>
            <w:r>
              <w:rPr>
                <w:noProof/>
                <w:webHidden/>
              </w:rPr>
              <w:t>87</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089" w:history="1">
            <w:r>
              <w:rPr>
                <w:rStyle w:val="Hyperlink"/>
                <w:rFonts w:ascii="Times New Roman" w:hAnsi="Times New Roman" w:cs="Times New Roman"/>
                <w:noProof/>
                <w:lang w:val="en-IE"/>
              </w:rPr>
              <w:t>5.1</w:t>
            </w:r>
            <w:r>
              <w:rPr>
                <w:rFonts w:eastAsiaTheme="minorEastAsia"/>
                <w:noProof/>
                <w:lang w:eastAsia="en-GB"/>
              </w:rPr>
              <w:tab/>
            </w:r>
            <w:r>
              <w:rPr>
                <w:rStyle w:val="Hyperlink"/>
                <w:rFonts w:ascii="Times New Roman" w:hAnsi="Times New Roman" w:cs="Times New Roman"/>
                <w:noProof/>
                <w:lang w:val="en-IE"/>
              </w:rPr>
              <w:t>Belgium (BE)</w:t>
            </w:r>
            <w:r>
              <w:rPr>
                <w:noProof/>
                <w:webHidden/>
              </w:rPr>
              <w:tab/>
            </w:r>
            <w:r>
              <w:rPr>
                <w:noProof/>
                <w:webHidden/>
              </w:rPr>
              <w:fldChar w:fldCharType="begin"/>
            </w:r>
            <w:r>
              <w:rPr>
                <w:noProof/>
                <w:webHidden/>
              </w:rPr>
              <w:instrText xml:space="preserve"> PAGEREF _Toc56944089 \h </w:instrText>
            </w:r>
            <w:r>
              <w:rPr>
                <w:noProof/>
                <w:webHidden/>
              </w:rPr>
            </w:r>
            <w:r>
              <w:rPr>
                <w:noProof/>
                <w:webHidden/>
              </w:rPr>
              <w:fldChar w:fldCharType="separate"/>
            </w:r>
            <w:r>
              <w:rPr>
                <w:noProof/>
                <w:webHidden/>
              </w:rPr>
              <w:t>88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90" w:history="1">
            <w:r>
              <w:rPr>
                <w:rStyle w:val="Hyperlink"/>
                <w:rFonts w:ascii="Times New Roman" w:hAnsi="Times New Roman" w:cs="Times New Roman"/>
                <w:noProof/>
                <w:lang w:val="en-IE"/>
                <w14:scene3d>
                  <w14:camera w14:prst="orthographicFront"/>
                  <w14:lightRig w14:rig="threePt" w14:dir="t">
                    <w14:rot w14:lat="0" w14:lon="0" w14:rev="0"/>
                  </w14:lightRig>
                </w14:scene3d>
              </w:rPr>
              <w:t>5.1.1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_Toc56944090 \h </w:instrText>
            </w:r>
            <w:r>
              <w:rPr>
                <w:noProof/>
                <w:webHidden/>
              </w:rPr>
            </w:r>
            <w:r>
              <w:rPr>
                <w:noProof/>
                <w:webHidden/>
              </w:rPr>
              <w:fldChar w:fldCharType="separate"/>
            </w:r>
            <w:r>
              <w:rPr>
                <w:noProof/>
                <w:webHidden/>
              </w:rPr>
              <w:t>88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9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5.1.2</w:t>
            </w:r>
            <w:r>
              <w:rPr>
                <w:rFonts w:eastAsiaTheme="minorEastAsia"/>
                <w:noProof/>
                <w:lang w:eastAsia="en-GB"/>
              </w:rPr>
              <w:tab/>
            </w:r>
            <w:r>
              <w:rPr>
                <w:rStyle w:val="Hyperlink"/>
                <w:rFonts w:ascii="Times New Roman" w:hAnsi="Times New Roman" w:cs="Times New Roman"/>
                <w:noProof/>
                <w:lang w:val="en-IE"/>
              </w:rPr>
              <w:t>Overview</w:t>
            </w:r>
            <w:r>
              <w:rPr>
                <w:rStyle w:val="Hyperlink"/>
                <w:rFonts w:ascii="Times New Roman" w:hAnsi="Times New Roman" w:cs="Times New Roman"/>
                <w:noProof/>
                <w:lang w:val="en-IE"/>
              </w:rPr>
              <w:t xml:space="preserve"> of requirements’ fulfilment from Annex I of the Directive</w:t>
            </w:r>
            <w:r>
              <w:rPr>
                <w:noProof/>
                <w:webHidden/>
              </w:rPr>
              <w:tab/>
            </w:r>
            <w:r>
              <w:rPr>
                <w:noProof/>
                <w:webHidden/>
              </w:rPr>
              <w:fldChar w:fldCharType="begin"/>
            </w:r>
            <w:r>
              <w:rPr>
                <w:noProof/>
                <w:webHidden/>
              </w:rPr>
              <w:instrText xml:space="preserve"> PAGEREF _Toc56944091 \h </w:instrText>
            </w:r>
            <w:r>
              <w:rPr>
                <w:noProof/>
                <w:webHidden/>
              </w:rPr>
            </w:r>
            <w:r>
              <w:rPr>
                <w:noProof/>
                <w:webHidden/>
              </w:rPr>
              <w:fldChar w:fldCharType="separate"/>
            </w:r>
            <w:r>
              <w:rPr>
                <w:noProof/>
                <w:webHidden/>
              </w:rPr>
              <w:t>89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92" w:history="1">
            <w:r>
              <w:rPr>
                <w:rStyle w:val="Hyperlink"/>
                <w:rFonts w:ascii="Times New Roman" w:hAnsi="Times New Roman" w:cs="Times New Roman"/>
                <w:noProof/>
                <w:lang w:val="en-IE"/>
                <w14:scene3d>
                  <w14:camera w14:prst="orthographicFront"/>
                  <w14:lightRig w14:rig="threePt" w14:dir="t">
                    <w14:rot w14:lat="0" w14:lon="0" w14:rev="0"/>
                  </w14:lightRig>
                </w14:scene3d>
              </w:rPr>
              <w:t>5.1.3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_Toc56944092 \h </w:instrText>
            </w:r>
            <w:r>
              <w:rPr>
                <w:noProof/>
                <w:webHidden/>
              </w:rPr>
            </w:r>
            <w:r>
              <w:rPr>
                <w:noProof/>
                <w:webHidden/>
              </w:rPr>
              <w:fldChar w:fldCharType="separate"/>
            </w:r>
            <w:r>
              <w:rPr>
                <w:noProof/>
                <w:webHidden/>
              </w:rPr>
              <w:t>90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93" w:history="1">
            <w:r>
              <w:rPr>
                <w:rStyle w:val="Hyperlink"/>
                <w:rFonts w:ascii="Times New Roman" w:hAnsi="Times New Roman" w:cs="Times New Roman"/>
                <w:noProof/>
                <w:lang w:val="en-IE"/>
                <w14:scene3d>
                  <w14:camera w14:prst="orthographicFront"/>
                  <w14:lightRig w14:rig="threePt" w14:dir="t">
                    <w14:rot w14:lat="0" w14:lon="0" w14:rev="0"/>
                  </w14:lightRig>
                </w14:scene3d>
              </w:rPr>
              <w:t>5.1.4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_Toc56944093 \h </w:instrText>
            </w:r>
            <w:r>
              <w:rPr>
                <w:noProof/>
                <w:webHidden/>
              </w:rPr>
            </w:r>
            <w:r>
              <w:rPr>
                <w:noProof/>
                <w:webHidden/>
              </w:rPr>
              <w:fldChar w:fldCharType="separate"/>
            </w:r>
            <w:r>
              <w:rPr>
                <w:noProof/>
                <w:webHidden/>
              </w:rPr>
              <w:t>97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94" w:history="1">
            <w:r>
              <w:rPr>
                <w:rStyle w:val="Hyperlink"/>
                <w:rFonts w:ascii="Times New Roman" w:hAnsi="Times New Roman" w:cs="Times New Roman"/>
                <w:noProof/>
                <w:lang w:val="en-IE"/>
                <w14:scene3d>
                  <w14:camera w14:prst="orthographicFront"/>
                  <w14:lightRig w14:rig="threePt" w14:dir="t">
                    <w14:rot w14:lat="0" w14:lon="0" w14:rev="0"/>
                  </w14:lightRig>
                </w14:scene3d>
              </w:rPr>
              <w:t>5.1.5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_Toc56944094 \h </w:instrText>
            </w:r>
            <w:r>
              <w:rPr>
                <w:noProof/>
                <w:webHidden/>
              </w:rPr>
            </w:r>
            <w:r>
              <w:rPr>
                <w:noProof/>
                <w:webHidden/>
              </w:rPr>
              <w:fldChar w:fldCharType="separate"/>
            </w:r>
            <w:r>
              <w:rPr>
                <w:noProof/>
                <w:webHidden/>
              </w:rPr>
              <w:t>101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95" w:history="1">
            <w:r>
              <w:rPr>
                <w:rStyle w:val="Hyperlink"/>
                <w:rFonts w:ascii="Times New Roman" w:hAnsi="Times New Roman" w:cs="Times New Roman"/>
                <w:noProof/>
                <w:lang w:val="en-IE"/>
                <w14:scene3d>
                  <w14:camera w14:prst="orthographicFront"/>
                  <w14:lightRig w14:rig="threePt" w14:dir="t">
                    <w14:rot w14:lat="0" w14:lon="0" w14:rev="0"/>
                  </w14:lightRig>
                </w14:scene3d>
              </w:rPr>
              <w:t>5.1.6</w:t>
            </w:r>
            <w:r>
              <w:rPr>
                <w:rFonts w:eastAsiaTheme="minorEastAsia"/>
                <w:noProof/>
                <w:lang w:eastAsia="en-GB"/>
              </w:rPr>
              <w:tab/>
            </w:r>
            <w:r>
              <w:rPr>
                <w:rStyle w:val="Hyperlink"/>
                <w:rFonts w:ascii="Times New Roman" w:hAnsi="Times New Roman" w:cs="Times New Roman"/>
                <w:noProof/>
                <w:lang w:val="en-IE"/>
              </w:rPr>
              <w:t>Summary of the assessm</w:t>
            </w:r>
            <w:r>
              <w:rPr>
                <w:rStyle w:val="Hyperlink"/>
                <w:rFonts w:ascii="Times New Roman" w:hAnsi="Times New Roman" w:cs="Times New Roman"/>
                <w:noProof/>
                <w:lang w:val="en-IE"/>
              </w:rPr>
              <w:t>ent</w:t>
            </w:r>
            <w:r>
              <w:rPr>
                <w:noProof/>
                <w:webHidden/>
              </w:rPr>
              <w:tab/>
            </w:r>
            <w:r>
              <w:rPr>
                <w:noProof/>
                <w:webHidden/>
              </w:rPr>
              <w:fldChar w:fldCharType="begin"/>
            </w:r>
            <w:r>
              <w:rPr>
                <w:noProof/>
                <w:webHidden/>
              </w:rPr>
              <w:instrText xml:space="preserve"> PAGEREF _Toc56944095 \h </w:instrText>
            </w:r>
            <w:r>
              <w:rPr>
                <w:noProof/>
                <w:webHidden/>
              </w:rPr>
            </w:r>
            <w:r>
              <w:rPr>
                <w:noProof/>
                <w:webHidden/>
              </w:rPr>
              <w:fldChar w:fldCharType="separate"/>
            </w:r>
            <w:r>
              <w:rPr>
                <w:noProof/>
                <w:webHidden/>
              </w:rPr>
              <w:t>102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96" w:history="1">
            <w:r>
              <w:rPr>
                <w:rStyle w:val="Hyperlink"/>
                <w:rFonts w:ascii="Times New Roman" w:hAnsi="Times New Roman" w:cs="Times New Roman"/>
                <w:noProof/>
                <w:lang w:val="en-IE"/>
                <w14:scene3d>
                  <w14:camera w14:prst="orthographicFront"/>
                  <w14:lightRig w14:rig="threePt" w14:dir="t">
                    <w14:rot w14:lat="0" w14:lon="0" w14:rev="0"/>
                  </w14:lightRig>
                </w14:scene3d>
              </w:rPr>
              <w:t>5.1.7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_Toc56944096 \h </w:instrText>
            </w:r>
            <w:r>
              <w:rPr>
                <w:noProof/>
                <w:webHidden/>
              </w:rPr>
            </w:r>
            <w:r>
              <w:rPr>
                <w:noProof/>
                <w:webHidden/>
              </w:rPr>
              <w:fldChar w:fldCharType="separate"/>
            </w:r>
            <w:r>
              <w:rPr>
                <w:noProof/>
                <w:webHidden/>
              </w:rPr>
              <w:t>105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97" w:history="1">
            <w:r>
              <w:rPr>
                <w:rStyle w:val="Hyperlink"/>
                <w:rFonts w:ascii="Times New Roman" w:hAnsi="Times New Roman" w:cs="Times New Roman"/>
                <w:noProof/>
                <w:lang w:val="en-IE"/>
                <w14:scene3d>
                  <w14:camera w14:prst="orthographicFront"/>
                  <w14:lightRig w14:rig="threePt" w14:dir="t">
                    <w14:rot w14:lat="0" w14:lon="0" w14:rev="0"/>
                  </w14:lightRig>
                </w14:scene3d>
              </w:rPr>
              <w:t>5.1.8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_Toc56944097 \h </w:instrText>
            </w:r>
            <w:r>
              <w:rPr>
                <w:noProof/>
                <w:webHidden/>
              </w:rPr>
            </w:r>
            <w:r>
              <w:rPr>
                <w:noProof/>
                <w:webHidden/>
              </w:rPr>
              <w:fldChar w:fldCharType="separate"/>
            </w:r>
            <w:r>
              <w:rPr>
                <w:noProof/>
                <w:webHidden/>
              </w:rPr>
              <w:t>106</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098" w:history="1">
            <w:r>
              <w:rPr>
                <w:rStyle w:val="Hyperlink"/>
                <w:rFonts w:ascii="Times New Roman" w:hAnsi="Times New Roman" w:cs="Times New Roman"/>
                <w:noProof/>
                <w:lang w:val="en-IE"/>
              </w:rPr>
              <w:t>5.2</w:t>
            </w:r>
            <w:r>
              <w:rPr>
                <w:rFonts w:eastAsiaTheme="minorEastAsia"/>
                <w:noProof/>
                <w:lang w:eastAsia="en-GB"/>
              </w:rPr>
              <w:tab/>
            </w:r>
            <w:r>
              <w:rPr>
                <w:rStyle w:val="Hyperlink"/>
                <w:rFonts w:ascii="Times New Roman" w:hAnsi="Times New Roman" w:cs="Times New Roman"/>
                <w:noProof/>
                <w:lang w:val="en-IE"/>
              </w:rPr>
              <w:t>Bulgaria (BG)</w:t>
            </w:r>
            <w:r>
              <w:rPr>
                <w:noProof/>
                <w:webHidden/>
              </w:rPr>
              <w:tab/>
            </w:r>
            <w:r>
              <w:rPr>
                <w:noProof/>
                <w:webHidden/>
              </w:rPr>
              <w:fldChar w:fldCharType="begin"/>
            </w:r>
            <w:r>
              <w:rPr>
                <w:noProof/>
                <w:webHidden/>
              </w:rPr>
              <w:instrText xml:space="preserve"> PAGEREF _Toc56944098 \h </w:instrText>
            </w:r>
            <w:r>
              <w:rPr>
                <w:noProof/>
                <w:webHidden/>
              </w:rPr>
            </w:r>
            <w:r>
              <w:rPr>
                <w:noProof/>
                <w:webHidden/>
              </w:rPr>
              <w:fldChar w:fldCharType="separate"/>
            </w:r>
            <w:r>
              <w:rPr>
                <w:noProof/>
                <w:webHidden/>
              </w:rPr>
              <w:t>108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099" w:history="1">
            <w:r>
              <w:rPr>
                <w:rStyle w:val="Hyperlink"/>
                <w:rFonts w:ascii="Times New Roman" w:hAnsi="Times New Roman" w:cs="Times New Roman"/>
                <w:noProof/>
                <w:lang w:val="en-IE"/>
                <w14:scene3d>
                  <w14:camera w14:prst="orthographicFront"/>
                  <w14:lightRig w14:rig="threePt" w14:dir="t">
                    <w14:rot w14:lat="0" w14:lon="0" w14:rev="0"/>
                  </w14:lightRig>
                </w14:scene3d>
              </w:rPr>
              <w:t>5.2.1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_Toc56944099 \h </w:instrText>
            </w:r>
            <w:r>
              <w:rPr>
                <w:noProof/>
                <w:webHidden/>
              </w:rPr>
            </w:r>
            <w:r>
              <w:rPr>
                <w:noProof/>
                <w:webHidden/>
              </w:rPr>
              <w:fldChar w:fldCharType="separate"/>
            </w:r>
            <w:r>
              <w:rPr>
                <w:noProof/>
                <w:webHidden/>
              </w:rPr>
              <w:t>108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00" w:history="1">
            <w:r>
              <w:rPr>
                <w:rStyle w:val="Hyperlink"/>
                <w:rFonts w:ascii="Times New Roman" w:hAnsi="Times New Roman" w:cs="Times New Roman"/>
                <w:noProof/>
                <w:lang w:val="en-IE"/>
                <w14:scene3d>
                  <w14:camera w14:prst="orthographicFront"/>
                  <w14:lightRig w14:rig="threePt" w14:dir="t">
                    <w14:rot w14:lat="0" w14:lon="0" w14:rev="0"/>
                  </w14:lightRig>
                </w14:scene3d>
              </w:rPr>
              <w:t>5.2.2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_Toc56944100 \h </w:instrText>
            </w:r>
            <w:r>
              <w:rPr>
                <w:noProof/>
                <w:webHidden/>
              </w:rPr>
            </w:r>
            <w:r>
              <w:rPr>
                <w:noProof/>
                <w:webHidden/>
              </w:rPr>
              <w:fldChar w:fldCharType="separate"/>
            </w:r>
            <w:r>
              <w:rPr>
                <w:noProof/>
                <w:webHidden/>
              </w:rPr>
              <w:t>110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01" w:history="1">
            <w:r>
              <w:rPr>
                <w:rStyle w:val="Hyperlink"/>
                <w:rFonts w:ascii="Times New Roman" w:hAnsi="Times New Roman" w:cs="Times New Roman"/>
                <w:noProof/>
                <w:lang w:val="fr-BE"/>
                <w14:scene3d>
                  <w14:camera w14:prst="orthographicFront"/>
                  <w14:lightRig w14:rig="threePt" w14:dir="t">
                    <w14:rot w14:lat="0" w14:lon="0" w14:rev="0"/>
                  </w14:lightRig>
                </w14:scene3d>
              </w:rPr>
              <w:t>5.2.3</w:t>
            </w:r>
            <w:r>
              <w:rPr>
                <w:rFonts w:eastAsiaTheme="minorEastAsia"/>
                <w:noProof/>
                <w:lang w:eastAsia="en-GB"/>
              </w:rPr>
              <w:tab/>
            </w:r>
            <w:r>
              <w:rPr>
                <w:rStyle w:val="Hyperlink"/>
                <w:rFonts w:ascii="Times New Roman" w:hAnsi="Times New Roman" w:cs="Times New Roman"/>
                <w:noProof/>
                <w:lang w:val="fr-BE"/>
              </w:rPr>
              <w:t>Quantitative assessment: Vehicles and infrastructure</w:t>
            </w:r>
            <w:r>
              <w:rPr>
                <w:noProof/>
                <w:webHidden/>
              </w:rPr>
              <w:tab/>
            </w:r>
            <w:r>
              <w:rPr>
                <w:noProof/>
                <w:webHidden/>
              </w:rPr>
              <w:fldChar w:fldCharType="begin"/>
            </w:r>
            <w:r>
              <w:rPr>
                <w:noProof/>
                <w:webHidden/>
              </w:rPr>
              <w:instrText xml:space="preserve"> PAGEREF _Toc56944101 \h </w:instrText>
            </w:r>
            <w:r>
              <w:rPr>
                <w:noProof/>
                <w:webHidden/>
              </w:rPr>
            </w:r>
            <w:r>
              <w:rPr>
                <w:noProof/>
                <w:webHidden/>
              </w:rPr>
              <w:fldChar w:fldCharType="separate"/>
            </w:r>
            <w:r>
              <w:rPr>
                <w:noProof/>
                <w:webHidden/>
              </w:rPr>
              <w:t>112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02" w:history="1">
            <w:r>
              <w:rPr>
                <w:rStyle w:val="Hyperlink"/>
                <w:rFonts w:ascii="Times New Roman" w:hAnsi="Times New Roman" w:cs="Times New Roman"/>
                <w:noProof/>
                <w:lang w:val="en-IE"/>
                <w14:scene3d>
                  <w14:camera w14:prst="orthographicFront"/>
                  <w14:lightRig w14:rig="threePt" w14:dir="t">
                    <w14:rot w14:lat="0" w14:lon="0" w14:rev="0"/>
                  </w14:lightRig>
                </w14:scene3d>
              </w:rPr>
              <w:t>5.2.4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_Toc56944102 \h </w:instrText>
            </w:r>
            <w:r>
              <w:rPr>
                <w:noProof/>
                <w:webHidden/>
              </w:rPr>
            </w:r>
            <w:r>
              <w:rPr>
                <w:noProof/>
                <w:webHidden/>
              </w:rPr>
              <w:fldChar w:fldCharType="separate"/>
            </w:r>
            <w:r>
              <w:rPr>
                <w:noProof/>
                <w:webHidden/>
              </w:rPr>
              <w:t>119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03" w:history="1">
            <w:r>
              <w:rPr>
                <w:rStyle w:val="Hyperlink"/>
                <w:rFonts w:ascii="Times New Roman" w:hAnsi="Times New Roman" w:cs="Times New Roman"/>
                <w:noProof/>
                <w:lang w:val="en-IE"/>
                <w14:scene3d>
                  <w14:camera w14:prst="orthographicFront"/>
                  <w14:lightRig w14:rig="threePt" w14:dir="t">
                    <w14:rot w14:lat="0" w14:lon="0" w14:rev="0"/>
                  </w14:lightRig>
                </w14:scene3d>
              </w:rPr>
              <w:t>5.2.5</w:t>
            </w:r>
            <w:r>
              <w:rPr>
                <w:rFonts w:eastAsiaTheme="minorEastAsia"/>
                <w:noProof/>
                <w:lang w:eastAsia="en-GB"/>
              </w:rPr>
              <w:tab/>
            </w:r>
            <w:r>
              <w:rPr>
                <w:rStyle w:val="Hyperlink"/>
                <w:rFonts w:ascii="Times New Roman" w:hAnsi="Times New Roman" w:cs="Times New Roman"/>
                <w:noProof/>
                <w:lang w:val="en-IE"/>
              </w:rPr>
              <w:t xml:space="preserve">Additional information on alternative fuels infrastructure </w:t>
            </w:r>
            <w:r>
              <w:rPr>
                <w:rStyle w:val="Hyperlink"/>
                <w:rFonts w:ascii="Times New Roman" w:hAnsi="Times New Roman" w:cs="Times New Roman"/>
                <w:noProof/>
                <w:lang w:val="en-IE"/>
              </w:rPr>
              <w:t>developments</w:t>
            </w:r>
            <w:r>
              <w:rPr>
                <w:noProof/>
                <w:webHidden/>
              </w:rPr>
              <w:tab/>
            </w:r>
            <w:r>
              <w:rPr>
                <w:noProof/>
                <w:webHidden/>
              </w:rPr>
              <w:fldChar w:fldCharType="begin"/>
            </w:r>
            <w:r>
              <w:rPr>
                <w:noProof/>
                <w:webHidden/>
              </w:rPr>
              <w:instrText xml:space="preserve"> PAGEREF _Toc56944103 \h </w:instrText>
            </w:r>
            <w:r>
              <w:rPr>
                <w:noProof/>
                <w:webHidden/>
              </w:rPr>
            </w:r>
            <w:r>
              <w:rPr>
                <w:noProof/>
                <w:webHidden/>
              </w:rPr>
              <w:fldChar w:fldCharType="separate"/>
            </w:r>
            <w:r>
              <w:rPr>
                <w:noProof/>
                <w:webHidden/>
              </w:rPr>
              <w:t>123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04" w:history="1">
            <w:r>
              <w:rPr>
                <w:rStyle w:val="Hyperlink"/>
                <w:rFonts w:ascii="Times New Roman" w:hAnsi="Times New Roman" w:cs="Times New Roman"/>
                <w:noProof/>
                <w:lang w:val="en-IE"/>
                <w14:scene3d>
                  <w14:camera w14:prst="orthographicFront"/>
                  <w14:lightRig w14:rig="threePt" w14:dir="t">
                    <w14:rot w14:lat="0" w14:lon="0" w14:rev="0"/>
                  </w14:lightRig>
                </w14:scene3d>
              </w:rPr>
              <w:t>5.2.6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_Toc56944104 \h </w:instrText>
            </w:r>
            <w:r>
              <w:rPr>
                <w:noProof/>
                <w:webHidden/>
              </w:rPr>
            </w:r>
            <w:r>
              <w:rPr>
                <w:noProof/>
                <w:webHidden/>
              </w:rPr>
              <w:fldChar w:fldCharType="separate"/>
            </w:r>
            <w:r>
              <w:rPr>
                <w:noProof/>
                <w:webHidden/>
              </w:rPr>
              <w:t>124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05" w:history="1">
            <w:r>
              <w:rPr>
                <w:rStyle w:val="Hyperlink"/>
                <w:rFonts w:ascii="Times New Roman" w:hAnsi="Times New Roman" w:cs="Times New Roman"/>
                <w:noProof/>
                <w:lang w:val="en-IE"/>
                <w14:scene3d>
                  <w14:camera w14:prst="orthographicFront"/>
                  <w14:lightRig w14:rig="threePt" w14:dir="t">
                    <w14:rot w14:lat="0" w14:lon="0" w14:rev="0"/>
                  </w14:lightRig>
                </w14:scene3d>
              </w:rPr>
              <w:t>5.2.7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_Toc56944105 \h </w:instrText>
            </w:r>
            <w:r>
              <w:rPr>
                <w:noProof/>
                <w:webHidden/>
              </w:rPr>
            </w:r>
            <w:r>
              <w:rPr>
                <w:noProof/>
                <w:webHidden/>
              </w:rPr>
              <w:fldChar w:fldCharType="separate"/>
            </w:r>
            <w:r>
              <w:rPr>
                <w:noProof/>
                <w:webHidden/>
              </w:rPr>
              <w:t>126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06" w:history="1">
            <w:r>
              <w:rPr>
                <w:rStyle w:val="Hyperlink"/>
                <w:rFonts w:ascii="Times New Roman" w:hAnsi="Times New Roman" w:cs="Times New Roman"/>
                <w:noProof/>
                <w:lang w:val="en-IE"/>
                <w14:scene3d>
                  <w14:camera w14:prst="orthographicFront"/>
                  <w14:lightRig w14:rig="threePt" w14:dir="t">
                    <w14:rot w14:lat="0" w14:lon="0" w14:rev="0"/>
                  </w14:lightRig>
                </w14:scene3d>
              </w:rPr>
              <w:t>5.2.8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w:instrText>
            </w:r>
            <w:r>
              <w:rPr>
                <w:noProof/>
                <w:webHidden/>
              </w:rPr>
              <w:instrText xml:space="preserve">106 \h </w:instrText>
            </w:r>
            <w:r>
              <w:rPr>
                <w:noProof/>
                <w:webHidden/>
              </w:rPr>
            </w:r>
            <w:r>
              <w:rPr>
                <w:noProof/>
                <w:webHidden/>
              </w:rPr>
              <w:fldChar w:fldCharType="separate"/>
            </w:r>
            <w:r>
              <w:rPr>
                <w:noProof/>
                <w:webHidden/>
              </w:rPr>
              <w:t>128</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07" w:history="1">
            <w:r>
              <w:rPr>
                <w:rStyle w:val="Hyperlink"/>
                <w:rFonts w:ascii="Times New Roman" w:hAnsi="Times New Roman" w:cs="Times New Roman"/>
                <w:noProof/>
                <w:lang w:val="en-IE"/>
              </w:rPr>
              <w:t>5.3</w:t>
            </w:r>
            <w:r>
              <w:rPr>
                <w:rFonts w:eastAsiaTheme="minorEastAsia"/>
                <w:noProof/>
                <w:lang w:eastAsia="en-GB"/>
              </w:rPr>
              <w:tab/>
            </w:r>
            <w:r>
              <w:rPr>
                <w:rStyle w:val="Hyperlink"/>
                <w:rFonts w:ascii="Times New Roman" w:hAnsi="Times New Roman" w:cs="Times New Roman"/>
                <w:noProof/>
                <w:lang w:val="en-IE"/>
              </w:rPr>
              <w:t>Czechia (CZ)</w:t>
            </w:r>
            <w:r>
              <w:rPr>
                <w:noProof/>
                <w:webHidden/>
              </w:rPr>
              <w:tab/>
            </w:r>
            <w:r>
              <w:rPr>
                <w:noProof/>
                <w:webHidden/>
              </w:rPr>
              <w:fldChar w:fldCharType="begin"/>
            </w:r>
            <w:r>
              <w:rPr>
                <w:noProof/>
                <w:webHidden/>
              </w:rPr>
              <w:instrText xml:space="preserve"> PAGEREF _Toc56944107 \h </w:instrText>
            </w:r>
            <w:r>
              <w:rPr>
                <w:noProof/>
                <w:webHidden/>
              </w:rPr>
            </w:r>
            <w:r>
              <w:rPr>
                <w:noProof/>
                <w:webHidden/>
              </w:rPr>
              <w:fldChar w:fldCharType="separate"/>
            </w:r>
            <w:r>
              <w:rPr>
                <w:noProof/>
                <w:webHidden/>
              </w:rPr>
              <w:t>130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08" w:history="1">
            <w:r>
              <w:rPr>
                <w:rStyle w:val="Hyperlink"/>
                <w:rFonts w:ascii="Times New Roman" w:hAnsi="Times New Roman" w:cs="Times New Roman"/>
                <w:noProof/>
                <w:lang w:val="en-IE"/>
                <w14:scene3d>
                  <w14:camera w14:prst="orthographicFront"/>
                  <w14:lightRig w14:rig="threePt" w14:dir="t">
                    <w14:rot w14:lat="0" w14:lon="0" w14:rev="0"/>
                  </w14:lightRig>
                </w14:scene3d>
              </w:rPr>
              <w:t>5.3.1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_Toc56944108 \h </w:instrText>
            </w:r>
            <w:r>
              <w:rPr>
                <w:noProof/>
                <w:webHidden/>
              </w:rPr>
            </w:r>
            <w:r>
              <w:rPr>
                <w:noProof/>
                <w:webHidden/>
              </w:rPr>
              <w:fldChar w:fldCharType="separate"/>
            </w:r>
            <w:r>
              <w:rPr>
                <w:noProof/>
                <w:webHidden/>
              </w:rPr>
              <w:t>130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09" w:history="1">
            <w:r>
              <w:rPr>
                <w:rStyle w:val="Hyperlink"/>
                <w:rFonts w:ascii="Times New Roman" w:hAnsi="Times New Roman" w:cs="Times New Roman"/>
                <w:noProof/>
                <w:lang w:val="en-IE"/>
                <w14:scene3d>
                  <w14:camera w14:prst="orthographicFront"/>
                  <w14:lightRig w14:rig="threePt" w14:dir="t">
                    <w14:rot w14:lat="0" w14:lon="0" w14:rev="0"/>
                  </w14:lightRig>
                </w14:scene3d>
              </w:rPr>
              <w:t>5.3.2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_Toc56944109 \h </w:instrText>
            </w:r>
            <w:r>
              <w:rPr>
                <w:noProof/>
                <w:webHidden/>
              </w:rPr>
            </w:r>
            <w:r>
              <w:rPr>
                <w:noProof/>
                <w:webHidden/>
              </w:rPr>
              <w:fldChar w:fldCharType="separate"/>
            </w:r>
            <w:r>
              <w:rPr>
                <w:noProof/>
                <w:webHidden/>
              </w:rPr>
              <w:t>131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10" w:history="1">
            <w:r>
              <w:rPr>
                <w:rStyle w:val="Hyperlink"/>
                <w:rFonts w:ascii="Times New Roman" w:hAnsi="Times New Roman" w:cs="Times New Roman"/>
                <w:noProof/>
                <w:lang w:val="fr-BE"/>
                <w14:scene3d>
                  <w14:camera w14:prst="orthographicFront"/>
                  <w14:lightRig w14:rig="threePt" w14:dir="t">
                    <w14:rot w14:lat="0" w14:lon="0" w14:rev="0"/>
                  </w14:lightRig>
                </w14:scene3d>
              </w:rPr>
              <w:t>5.3.3</w:t>
            </w:r>
            <w:r>
              <w:rPr>
                <w:rFonts w:eastAsiaTheme="minorEastAsia"/>
                <w:noProof/>
                <w:lang w:eastAsia="en-GB"/>
              </w:rPr>
              <w:tab/>
            </w:r>
            <w:r>
              <w:rPr>
                <w:rStyle w:val="Hyperlink"/>
                <w:rFonts w:ascii="Times New Roman" w:hAnsi="Times New Roman" w:cs="Times New Roman"/>
                <w:noProof/>
                <w:lang w:val="fr-BE"/>
              </w:rPr>
              <w:t>Quantitative assessm</w:t>
            </w:r>
            <w:r>
              <w:rPr>
                <w:rStyle w:val="Hyperlink"/>
                <w:rFonts w:ascii="Times New Roman" w:hAnsi="Times New Roman" w:cs="Times New Roman"/>
                <w:noProof/>
                <w:lang w:val="fr-BE"/>
              </w:rPr>
              <w:t>ent: Vehicles and infrastructure</w:t>
            </w:r>
            <w:r>
              <w:rPr>
                <w:noProof/>
                <w:webHidden/>
              </w:rPr>
              <w:tab/>
            </w:r>
            <w:r>
              <w:rPr>
                <w:noProof/>
                <w:webHidden/>
              </w:rPr>
              <w:fldChar w:fldCharType="begin"/>
            </w:r>
            <w:r>
              <w:rPr>
                <w:noProof/>
                <w:webHidden/>
              </w:rPr>
              <w:instrText xml:space="preserve"> PAGEREF _Toc56944110 \h </w:instrText>
            </w:r>
            <w:r>
              <w:rPr>
                <w:noProof/>
                <w:webHidden/>
              </w:rPr>
            </w:r>
            <w:r>
              <w:rPr>
                <w:noProof/>
                <w:webHidden/>
              </w:rPr>
              <w:fldChar w:fldCharType="separate"/>
            </w:r>
            <w:r>
              <w:rPr>
                <w:noProof/>
                <w:webHidden/>
              </w:rPr>
              <w:t>132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11" w:history="1">
            <w:r>
              <w:rPr>
                <w:rStyle w:val="Hyperlink"/>
                <w:rFonts w:ascii="Times New Roman" w:hAnsi="Times New Roman" w:cs="Times New Roman"/>
                <w:noProof/>
                <w:lang w:val="en-IE"/>
                <w14:scene3d>
                  <w14:camera w14:prst="orthographicFront"/>
                  <w14:lightRig w14:rig="threePt" w14:dir="t">
                    <w14:rot w14:lat="0" w14:lon="0" w14:rev="0"/>
                  </w14:lightRig>
                </w14:scene3d>
              </w:rPr>
              <w:t>5.3.4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_Toc56944111 \h </w:instrText>
            </w:r>
            <w:r>
              <w:rPr>
                <w:noProof/>
                <w:webHidden/>
              </w:rPr>
            </w:r>
            <w:r>
              <w:rPr>
                <w:noProof/>
                <w:webHidden/>
              </w:rPr>
              <w:fldChar w:fldCharType="separate"/>
            </w:r>
            <w:r>
              <w:rPr>
                <w:noProof/>
                <w:webHidden/>
              </w:rPr>
              <w:t>139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12" w:history="1">
            <w:r>
              <w:rPr>
                <w:rStyle w:val="Hyperlink"/>
                <w:rFonts w:ascii="Times New Roman" w:hAnsi="Times New Roman" w:cs="Times New Roman"/>
                <w:noProof/>
                <w:lang w:val="en-IE"/>
                <w14:scene3d>
                  <w14:camera w14:prst="orthographicFront"/>
                  <w14:lightRig w14:rig="threePt" w14:dir="t">
                    <w14:rot w14:lat="0" w14:lon="0" w14:rev="0"/>
                  </w14:lightRig>
                </w14:scene3d>
              </w:rPr>
              <w:t>5.3.5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_Toc56944112 \h </w:instrText>
            </w:r>
            <w:r>
              <w:rPr>
                <w:noProof/>
                <w:webHidden/>
              </w:rPr>
            </w:r>
            <w:r>
              <w:rPr>
                <w:noProof/>
                <w:webHidden/>
              </w:rPr>
              <w:fldChar w:fldCharType="separate"/>
            </w:r>
            <w:r>
              <w:rPr>
                <w:noProof/>
                <w:webHidden/>
              </w:rPr>
              <w:t>142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13" w:history="1">
            <w:r>
              <w:rPr>
                <w:rStyle w:val="Hyperlink"/>
                <w:rFonts w:ascii="Times New Roman" w:hAnsi="Times New Roman" w:cs="Times New Roman"/>
                <w:noProof/>
                <w:lang w:val="en-IE"/>
                <w14:scene3d>
                  <w14:camera w14:prst="orthographicFront"/>
                  <w14:lightRig w14:rig="threePt" w14:dir="t">
                    <w14:rot w14:lat="0" w14:lon="0" w14:rev="0"/>
                  </w14:lightRig>
                </w14:scene3d>
              </w:rPr>
              <w:t>5.3.6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_Toc56944113 \h </w:instrText>
            </w:r>
            <w:r>
              <w:rPr>
                <w:noProof/>
                <w:webHidden/>
              </w:rPr>
            </w:r>
            <w:r>
              <w:rPr>
                <w:noProof/>
                <w:webHidden/>
              </w:rPr>
              <w:fldChar w:fldCharType="separate"/>
            </w:r>
            <w:r>
              <w:rPr>
                <w:noProof/>
                <w:webHidden/>
              </w:rPr>
              <w:t>143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14" w:history="1">
            <w:r>
              <w:rPr>
                <w:rStyle w:val="Hyperlink"/>
                <w:rFonts w:ascii="Times New Roman" w:hAnsi="Times New Roman" w:cs="Times New Roman"/>
                <w:noProof/>
                <w:lang w:val="en-IE"/>
                <w14:scene3d>
                  <w14:camera w14:prst="orthographicFront"/>
                  <w14:lightRig w14:rig="threePt" w14:dir="t">
                    <w14:rot w14:lat="0" w14:lon="0" w14:rev="0"/>
                  </w14:lightRig>
                </w14:scene3d>
              </w:rPr>
              <w:t>5.3.7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_Toc56944114 \h </w:instrText>
            </w:r>
            <w:r>
              <w:rPr>
                <w:noProof/>
                <w:webHidden/>
              </w:rPr>
            </w:r>
            <w:r>
              <w:rPr>
                <w:noProof/>
                <w:webHidden/>
              </w:rPr>
              <w:fldChar w:fldCharType="separate"/>
            </w:r>
            <w:r>
              <w:rPr>
                <w:noProof/>
                <w:webHidden/>
              </w:rPr>
              <w:t>146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15" w:history="1">
            <w:r>
              <w:rPr>
                <w:rStyle w:val="Hyperlink"/>
                <w:rFonts w:ascii="Times New Roman" w:hAnsi="Times New Roman" w:cs="Times New Roman"/>
                <w:noProof/>
                <w:lang w:val="en-IE"/>
                <w14:scene3d>
                  <w14:camera w14:prst="orthographicFront"/>
                  <w14:lightRig w14:rig="threePt" w14:dir="t">
                    <w14:rot w14:lat="0" w14:lon="0" w14:rev="0"/>
                  </w14:lightRig>
                </w14:scene3d>
              </w:rPr>
              <w:t>5.3.8</w:t>
            </w:r>
            <w:r>
              <w:rPr>
                <w:rFonts w:eastAsiaTheme="minorEastAsia"/>
                <w:noProof/>
                <w:lang w:eastAsia="en-GB"/>
              </w:rPr>
              <w:tab/>
            </w:r>
            <w:r>
              <w:rPr>
                <w:rStyle w:val="Hyperlink"/>
                <w:rFonts w:ascii="Times New Roman" w:hAnsi="Times New Roman" w:cs="Times New Roman"/>
                <w:noProof/>
                <w:lang w:val="en-IE"/>
              </w:rPr>
              <w:t xml:space="preserve">ANNEX </w:t>
            </w:r>
            <w:r>
              <w:rPr>
                <w:rStyle w:val="Hyperlink"/>
                <w:rFonts w:ascii="Times New Roman" w:hAnsi="Times New Roman" w:cs="Times New Roman"/>
                <w:noProof/>
                <w:lang w:val="en-IE"/>
              </w:rPr>
              <w:t>- Description of the Member State</w:t>
            </w:r>
            <w:r>
              <w:rPr>
                <w:noProof/>
                <w:webHidden/>
              </w:rPr>
              <w:tab/>
            </w:r>
            <w:r>
              <w:rPr>
                <w:noProof/>
                <w:webHidden/>
              </w:rPr>
              <w:fldChar w:fldCharType="begin"/>
            </w:r>
            <w:r>
              <w:rPr>
                <w:noProof/>
                <w:webHidden/>
              </w:rPr>
              <w:instrText xml:space="preserve"> PAGEREF _Toc56944115 \h </w:instrText>
            </w:r>
            <w:r>
              <w:rPr>
                <w:noProof/>
                <w:webHidden/>
              </w:rPr>
            </w:r>
            <w:r>
              <w:rPr>
                <w:noProof/>
                <w:webHidden/>
              </w:rPr>
              <w:fldChar w:fldCharType="separate"/>
            </w:r>
            <w:r>
              <w:rPr>
                <w:noProof/>
                <w:webHidden/>
              </w:rPr>
              <w:t>148</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16" w:history="1">
            <w:r>
              <w:rPr>
                <w:rStyle w:val="Hyperlink"/>
                <w:rFonts w:ascii="Times New Roman" w:hAnsi="Times New Roman" w:cs="Times New Roman"/>
                <w:noProof/>
                <w:lang w:val="en-IE"/>
              </w:rPr>
              <w:t>5.4</w:t>
            </w:r>
            <w:r>
              <w:rPr>
                <w:rFonts w:eastAsiaTheme="minorEastAsia"/>
                <w:noProof/>
                <w:lang w:eastAsia="en-GB"/>
              </w:rPr>
              <w:tab/>
            </w:r>
            <w:r>
              <w:rPr>
                <w:rStyle w:val="Hyperlink"/>
                <w:rFonts w:ascii="Times New Roman" w:hAnsi="Times New Roman" w:cs="Times New Roman"/>
                <w:noProof/>
                <w:lang w:val="en-IE"/>
              </w:rPr>
              <w:t>Denmark (DK)</w:t>
            </w:r>
            <w:r>
              <w:rPr>
                <w:noProof/>
                <w:webHidden/>
              </w:rPr>
              <w:tab/>
            </w:r>
            <w:r>
              <w:rPr>
                <w:noProof/>
                <w:webHidden/>
              </w:rPr>
              <w:fldChar w:fldCharType="begin"/>
            </w:r>
            <w:r>
              <w:rPr>
                <w:noProof/>
                <w:webHidden/>
              </w:rPr>
              <w:instrText xml:space="preserve"> PAGEREF _Toc56944116 \h </w:instrText>
            </w:r>
            <w:r>
              <w:rPr>
                <w:noProof/>
                <w:webHidden/>
              </w:rPr>
            </w:r>
            <w:r>
              <w:rPr>
                <w:noProof/>
                <w:webHidden/>
              </w:rPr>
              <w:fldChar w:fldCharType="separate"/>
            </w:r>
            <w:r>
              <w:rPr>
                <w:noProof/>
                <w:webHidden/>
              </w:rPr>
              <w:t>150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17" w:history="1">
            <w:r>
              <w:rPr>
                <w:rStyle w:val="Hyperlink"/>
                <w:rFonts w:ascii="Times New Roman" w:hAnsi="Times New Roman" w:cs="Times New Roman"/>
                <w:noProof/>
                <w:lang w:val="en-IE"/>
                <w14:scene3d>
                  <w14:camera w14:prst="orthographicFront"/>
                  <w14:lightRig w14:rig="threePt" w14:dir="t">
                    <w14:rot w14:lat="0" w14:lon="0" w14:rev="0"/>
                  </w14:lightRig>
                </w14:scene3d>
              </w:rPr>
              <w:t>5.4.1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_Toc56944117 \h </w:instrText>
            </w:r>
            <w:r>
              <w:rPr>
                <w:noProof/>
                <w:webHidden/>
              </w:rPr>
            </w:r>
            <w:r>
              <w:rPr>
                <w:noProof/>
                <w:webHidden/>
              </w:rPr>
              <w:fldChar w:fldCharType="separate"/>
            </w:r>
            <w:r>
              <w:rPr>
                <w:noProof/>
                <w:webHidden/>
              </w:rPr>
              <w:t>150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18" w:history="1">
            <w:r>
              <w:rPr>
                <w:rStyle w:val="Hyperlink"/>
                <w:rFonts w:ascii="Times New Roman" w:hAnsi="Times New Roman" w:cs="Times New Roman"/>
                <w:noProof/>
                <w:lang w:val="en-IE"/>
                <w14:scene3d>
                  <w14:camera w14:prst="orthographicFront"/>
                  <w14:lightRig w14:rig="threePt" w14:dir="t">
                    <w14:rot w14:lat="0" w14:lon="0" w14:rev="0"/>
                  </w14:lightRig>
                </w14:scene3d>
              </w:rPr>
              <w:t>5.4.2</w:t>
            </w:r>
            <w:r>
              <w:rPr>
                <w:rFonts w:eastAsiaTheme="minorEastAsia"/>
                <w:noProof/>
                <w:lang w:eastAsia="en-GB"/>
              </w:rPr>
              <w:tab/>
            </w:r>
            <w:r>
              <w:rPr>
                <w:rStyle w:val="Hyperlink"/>
                <w:rFonts w:ascii="Times New Roman" w:hAnsi="Times New Roman" w:cs="Times New Roman"/>
                <w:noProof/>
                <w:lang w:val="en-IE"/>
              </w:rPr>
              <w:t>Overview o</w:t>
            </w:r>
            <w:r>
              <w:rPr>
                <w:rStyle w:val="Hyperlink"/>
                <w:rFonts w:ascii="Times New Roman" w:hAnsi="Times New Roman" w:cs="Times New Roman"/>
                <w:noProof/>
                <w:lang w:val="en-IE"/>
              </w:rPr>
              <w:t>f requirements’ fulfilment from Annex I of the Directive</w:t>
            </w:r>
            <w:r>
              <w:rPr>
                <w:noProof/>
                <w:webHidden/>
              </w:rPr>
              <w:tab/>
            </w:r>
            <w:r>
              <w:rPr>
                <w:noProof/>
                <w:webHidden/>
              </w:rPr>
              <w:fldChar w:fldCharType="begin"/>
            </w:r>
            <w:r>
              <w:rPr>
                <w:noProof/>
                <w:webHidden/>
              </w:rPr>
              <w:instrText xml:space="preserve"> PAGEREF _Toc56944118 \h </w:instrText>
            </w:r>
            <w:r>
              <w:rPr>
                <w:noProof/>
                <w:webHidden/>
              </w:rPr>
            </w:r>
            <w:r>
              <w:rPr>
                <w:noProof/>
                <w:webHidden/>
              </w:rPr>
              <w:fldChar w:fldCharType="separate"/>
            </w:r>
            <w:r>
              <w:rPr>
                <w:noProof/>
                <w:webHidden/>
              </w:rPr>
              <w:t>151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19" w:history="1">
            <w:r>
              <w:rPr>
                <w:rStyle w:val="Hyperlink"/>
                <w:rFonts w:ascii="Times New Roman" w:hAnsi="Times New Roman" w:cs="Times New Roman"/>
                <w:noProof/>
                <w:lang w:val="fr-BE"/>
                <w14:scene3d>
                  <w14:camera w14:prst="orthographicFront"/>
                  <w14:lightRig w14:rig="threePt" w14:dir="t">
                    <w14:rot w14:lat="0" w14:lon="0" w14:rev="0"/>
                  </w14:lightRig>
                </w14:scene3d>
              </w:rPr>
              <w:t>5.4.3</w:t>
            </w:r>
            <w:r>
              <w:rPr>
                <w:rFonts w:eastAsiaTheme="minorEastAsia"/>
                <w:noProof/>
                <w:lang w:eastAsia="en-GB"/>
              </w:rPr>
              <w:tab/>
            </w:r>
            <w:r>
              <w:rPr>
                <w:rStyle w:val="Hyperlink"/>
                <w:rFonts w:ascii="Times New Roman" w:hAnsi="Times New Roman" w:cs="Times New Roman"/>
                <w:noProof/>
                <w:lang w:val="fr-BE"/>
              </w:rPr>
              <w:t>Quantitative assessment: Vehicles and infrastructure</w:t>
            </w:r>
            <w:r>
              <w:rPr>
                <w:noProof/>
                <w:webHidden/>
              </w:rPr>
              <w:tab/>
            </w:r>
            <w:r>
              <w:rPr>
                <w:noProof/>
                <w:webHidden/>
              </w:rPr>
              <w:fldChar w:fldCharType="begin"/>
            </w:r>
            <w:r>
              <w:rPr>
                <w:noProof/>
                <w:webHidden/>
              </w:rPr>
              <w:instrText xml:space="preserve"> PAGEREF _Toc56944119 \h </w:instrText>
            </w:r>
            <w:r>
              <w:rPr>
                <w:noProof/>
                <w:webHidden/>
              </w:rPr>
            </w:r>
            <w:r>
              <w:rPr>
                <w:noProof/>
                <w:webHidden/>
              </w:rPr>
              <w:fldChar w:fldCharType="separate"/>
            </w:r>
            <w:r>
              <w:rPr>
                <w:noProof/>
                <w:webHidden/>
              </w:rPr>
              <w:t>153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20" w:history="1">
            <w:r>
              <w:rPr>
                <w:rStyle w:val="Hyperlink"/>
                <w:rFonts w:ascii="Times New Roman" w:hAnsi="Times New Roman" w:cs="Times New Roman"/>
                <w:noProof/>
                <w:lang w:val="en-IE"/>
                <w14:scene3d>
                  <w14:camera w14:prst="orthographicFront"/>
                  <w14:lightRig w14:rig="threePt" w14:dir="t">
                    <w14:rot w14:lat="0" w14:lon="0" w14:rev="0"/>
                  </w14:lightRig>
                </w14:scene3d>
              </w:rPr>
              <w:t>5.4.4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_Toc56944120 \h </w:instrText>
            </w:r>
            <w:r>
              <w:rPr>
                <w:noProof/>
                <w:webHidden/>
              </w:rPr>
            </w:r>
            <w:r>
              <w:rPr>
                <w:noProof/>
                <w:webHidden/>
              </w:rPr>
              <w:fldChar w:fldCharType="separate"/>
            </w:r>
            <w:r>
              <w:rPr>
                <w:noProof/>
                <w:webHidden/>
              </w:rPr>
              <w:t>160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21" w:history="1">
            <w:r>
              <w:rPr>
                <w:rStyle w:val="Hyperlink"/>
                <w:rFonts w:ascii="Times New Roman" w:hAnsi="Times New Roman" w:cs="Times New Roman"/>
                <w:noProof/>
                <w:lang w:val="en-IE"/>
                <w14:scene3d>
                  <w14:camera w14:prst="orthographicFront"/>
                  <w14:lightRig w14:rig="threePt" w14:dir="t">
                    <w14:rot w14:lat="0" w14:lon="0" w14:rev="0"/>
                  </w14:lightRig>
                </w14:scene3d>
              </w:rPr>
              <w:t>5.4.5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_Toc56944121 \h </w:instrText>
            </w:r>
            <w:r>
              <w:rPr>
                <w:noProof/>
                <w:webHidden/>
              </w:rPr>
            </w:r>
            <w:r>
              <w:rPr>
                <w:noProof/>
                <w:webHidden/>
              </w:rPr>
              <w:fldChar w:fldCharType="separate"/>
            </w:r>
            <w:r>
              <w:rPr>
                <w:noProof/>
                <w:webHidden/>
              </w:rPr>
              <w:t>163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22" w:history="1">
            <w:r>
              <w:rPr>
                <w:rStyle w:val="Hyperlink"/>
                <w:rFonts w:ascii="Times New Roman" w:hAnsi="Times New Roman" w:cs="Times New Roman"/>
                <w:noProof/>
                <w:lang w:val="en-IE"/>
                <w14:scene3d>
                  <w14:camera w14:prst="orthographicFront"/>
                  <w14:lightRig w14:rig="threePt" w14:dir="t">
                    <w14:rot w14:lat="0" w14:lon="0" w14:rev="0"/>
                  </w14:lightRig>
                </w14:scene3d>
              </w:rPr>
              <w:t>5.4.6</w:t>
            </w:r>
            <w:r>
              <w:rPr>
                <w:rFonts w:eastAsiaTheme="minorEastAsia"/>
                <w:noProof/>
                <w:lang w:eastAsia="en-GB"/>
              </w:rPr>
              <w:tab/>
            </w:r>
            <w:r>
              <w:rPr>
                <w:rStyle w:val="Hyperlink"/>
                <w:rFonts w:ascii="Times New Roman" w:hAnsi="Times New Roman" w:cs="Times New Roman"/>
                <w:noProof/>
                <w:lang w:val="en-IE"/>
              </w:rPr>
              <w:t xml:space="preserve">Summary of the </w:t>
            </w:r>
            <w:r>
              <w:rPr>
                <w:rStyle w:val="Hyperlink"/>
                <w:rFonts w:ascii="Times New Roman" w:hAnsi="Times New Roman" w:cs="Times New Roman"/>
                <w:noProof/>
                <w:lang w:val="en-IE"/>
              </w:rPr>
              <w:t>assessment</w:t>
            </w:r>
            <w:r>
              <w:rPr>
                <w:noProof/>
                <w:webHidden/>
              </w:rPr>
              <w:tab/>
            </w:r>
            <w:r>
              <w:rPr>
                <w:noProof/>
                <w:webHidden/>
              </w:rPr>
              <w:fldChar w:fldCharType="begin"/>
            </w:r>
            <w:r>
              <w:rPr>
                <w:noProof/>
                <w:webHidden/>
              </w:rPr>
              <w:instrText xml:space="preserve"> PAGEREF _Toc56944122 \h </w:instrText>
            </w:r>
            <w:r>
              <w:rPr>
                <w:noProof/>
                <w:webHidden/>
              </w:rPr>
            </w:r>
            <w:r>
              <w:rPr>
                <w:noProof/>
                <w:webHidden/>
              </w:rPr>
              <w:fldChar w:fldCharType="separate"/>
            </w:r>
            <w:r>
              <w:rPr>
                <w:noProof/>
                <w:webHidden/>
              </w:rPr>
              <w:t>164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23" w:history="1">
            <w:r>
              <w:rPr>
                <w:rStyle w:val="Hyperlink"/>
                <w:rFonts w:ascii="Times New Roman" w:hAnsi="Times New Roman" w:cs="Times New Roman"/>
                <w:noProof/>
                <w:lang w:val="en-IE"/>
                <w14:scene3d>
                  <w14:camera w14:prst="orthographicFront"/>
                  <w14:lightRig w14:rig="threePt" w14:dir="t">
                    <w14:rot w14:lat="0" w14:lon="0" w14:rev="0"/>
                  </w14:lightRig>
                </w14:scene3d>
              </w:rPr>
              <w:t>5.4.7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_Toc56944123 \h </w:instrText>
            </w:r>
            <w:r>
              <w:rPr>
                <w:noProof/>
                <w:webHidden/>
              </w:rPr>
            </w:r>
            <w:r>
              <w:rPr>
                <w:noProof/>
                <w:webHidden/>
              </w:rPr>
              <w:fldChar w:fldCharType="separate"/>
            </w:r>
            <w:r>
              <w:rPr>
                <w:noProof/>
                <w:webHidden/>
              </w:rPr>
              <w:t>167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24" w:history="1">
            <w:r>
              <w:rPr>
                <w:rStyle w:val="Hyperlink"/>
                <w:rFonts w:ascii="Times New Roman" w:hAnsi="Times New Roman" w:cs="Times New Roman"/>
                <w:noProof/>
                <w:lang w:val="en-IE"/>
                <w14:scene3d>
                  <w14:camera w14:prst="orthographicFront"/>
                  <w14:lightRig w14:rig="threePt" w14:dir="t">
                    <w14:rot w14:lat="0" w14:lon="0" w14:rev="0"/>
                  </w14:lightRig>
                </w14:scene3d>
              </w:rPr>
              <w:t>5.4.8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_Toc56944124 \h </w:instrText>
            </w:r>
            <w:r>
              <w:rPr>
                <w:noProof/>
                <w:webHidden/>
              </w:rPr>
            </w:r>
            <w:r>
              <w:rPr>
                <w:noProof/>
                <w:webHidden/>
              </w:rPr>
              <w:fldChar w:fldCharType="separate"/>
            </w:r>
            <w:r>
              <w:rPr>
                <w:noProof/>
                <w:webHidden/>
              </w:rPr>
              <w:t>168</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25" w:history="1">
            <w:r>
              <w:rPr>
                <w:rStyle w:val="Hyperlink"/>
                <w:rFonts w:ascii="Times New Roman" w:hAnsi="Times New Roman" w:cs="Times New Roman"/>
                <w:noProof/>
                <w:lang w:val="en-IE"/>
              </w:rPr>
              <w:t>5.5</w:t>
            </w:r>
            <w:r>
              <w:rPr>
                <w:rFonts w:eastAsiaTheme="minorEastAsia"/>
                <w:noProof/>
                <w:lang w:eastAsia="en-GB"/>
              </w:rPr>
              <w:tab/>
            </w:r>
            <w:r>
              <w:rPr>
                <w:rStyle w:val="Hyperlink"/>
                <w:rFonts w:ascii="Times New Roman" w:hAnsi="Times New Roman" w:cs="Times New Roman"/>
                <w:noProof/>
                <w:lang w:val="en-IE"/>
              </w:rPr>
              <w:t>Germany (DE)</w:t>
            </w:r>
            <w:r>
              <w:rPr>
                <w:noProof/>
                <w:webHidden/>
              </w:rPr>
              <w:tab/>
            </w:r>
            <w:r>
              <w:rPr>
                <w:noProof/>
                <w:webHidden/>
              </w:rPr>
              <w:fldChar w:fldCharType="begin"/>
            </w:r>
            <w:r>
              <w:rPr>
                <w:noProof/>
                <w:webHidden/>
              </w:rPr>
              <w:instrText xml:space="preserve"> PAGEREF _Toc56944125 \h </w:instrText>
            </w:r>
            <w:r>
              <w:rPr>
                <w:noProof/>
                <w:webHidden/>
              </w:rPr>
            </w:r>
            <w:r>
              <w:rPr>
                <w:noProof/>
                <w:webHidden/>
              </w:rPr>
              <w:fldChar w:fldCharType="separate"/>
            </w:r>
            <w:r>
              <w:rPr>
                <w:noProof/>
                <w:webHidden/>
              </w:rPr>
              <w:t>169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26" w:history="1">
            <w:r>
              <w:rPr>
                <w:rStyle w:val="Hyperlink"/>
                <w:rFonts w:ascii="Times New Roman" w:hAnsi="Times New Roman" w:cs="Times New Roman"/>
                <w:noProof/>
                <w:lang w:val="en-IE"/>
                <w14:scene3d>
                  <w14:camera w14:prst="orthographicFront"/>
                  <w14:lightRig w14:rig="threePt" w14:dir="t">
                    <w14:rot w14:lat="0" w14:lon="0" w14:rev="0"/>
                  </w14:lightRig>
                </w14:scene3d>
              </w:rPr>
              <w:t>5.5.1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_Toc56944126 \h </w:instrText>
            </w:r>
            <w:r>
              <w:rPr>
                <w:noProof/>
                <w:webHidden/>
              </w:rPr>
            </w:r>
            <w:r>
              <w:rPr>
                <w:noProof/>
                <w:webHidden/>
              </w:rPr>
              <w:fldChar w:fldCharType="separate"/>
            </w:r>
            <w:r>
              <w:rPr>
                <w:noProof/>
                <w:webHidden/>
              </w:rPr>
              <w:t>169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27" w:history="1">
            <w:r>
              <w:rPr>
                <w:rStyle w:val="Hyperlink"/>
                <w:rFonts w:ascii="Times New Roman" w:hAnsi="Times New Roman" w:cs="Times New Roman"/>
                <w:noProof/>
                <w:lang w:val="en-IE"/>
                <w14:scene3d>
                  <w14:camera w14:prst="orthographicFront"/>
                  <w14:lightRig w14:rig="threePt" w14:dir="t">
                    <w14:rot w14:lat="0" w14:lon="0" w14:rev="0"/>
                  </w14:lightRig>
                </w14:scene3d>
              </w:rPr>
              <w:t>5.5.2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_Toc56944127 \h </w:instrText>
            </w:r>
            <w:r>
              <w:rPr>
                <w:noProof/>
                <w:webHidden/>
              </w:rPr>
            </w:r>
            <w:r>
              <w:rPr>
                <w:noProof/>
                <w:webHidden/>
              </w:rPr>
              <w:fldChar w:fldCharType="separate"/>
            </w:r>
            <w:r>
              <w:rPr>
                <w:noProof/>
                <w:webHidden/>
              </w:rPr>
              <w:t>170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28" w:history="1">
            <w:r>
              <w:rPr>
                <w:rStyle w:val="Hyperlink"/>
                <w:rFonts w:ascii="Times New Roman" w:hAnsi="Times New Roman" w:cs="Times New Roman"/>
                <w:noProof/>
                <w:lang w:val="fr-BE"/>
                <w14:scene3d>
                  <w14:camera w14:prst="orthographicFront"/>
                  <w14:lightRig w14:rig="threePt" w14:dir="t">
                    <w14:rot w14:lat="0" w14:lon="0" w14:rev="0"/>
                  </w14:lightRig>
                </w14:scene3d>
              </w:rPr>
              <w:t>5.5.3</w:t>
            </w:r>
            <w:r>
              <w:rPr>
                <w:rFonts w:eastAsiaTheme="minorEastAsia"/>
                <w:noProof/>
                <w:lang w:eastAsia="en-GB"/>
              </w:rPr>
              <w:tab/>
            </w:r>
            <w:r>
              <w:rPr>
                <w:rStyle w:val="Hyperlink"/>
                <w:rFonts w:ascii="Times New Roman" w:hAnsi="Times New Roman" w:cs="Times New Roman"/>
                <w:noProof/>
                <w:lang w:val="fr-BE"/>
              </w:rPr>
              <w:t>Quantitative assessment: Vehicles and infrastructure</w:t>
            </w:r>
            <w:r>
              <w:rPr>
                <w:noProof/>
                <w:webHidden/>
              </w:rPr>
              <w:tab/>
            </w:r>
            <w:r>
              <w:rPr>
                <w:noProof/>
                <w:webHidden/>
              </w:rPr>
              <w:fldChar w:fldCharType="begin"/>
            </w:r>
            <w:r>
              <w:rPr>
                <w:noProof/>
                <w:webHidden/>
              </w:rPr>
              <w:instrText xml:space="preserve"> PAGEREF _Toc56944128 \h </w:instrText>
            </w:r>
            <w:r>
              <w:rPr>
                <w:noProof/>
                <w:webHidden/>
              </w:rPr>
            </w:r>
            <w:r>
              <w:rPr>
                <w:noProof/>
                <w:webHidden/>
              </w:rPr>
              <w:fldChar w:fldCharType="separate"/>
            </w:r>
            <w:r>
              <w:rPr>
                <w:noProof/>
                <w:webHidden/>
              </w:rPr>
              <w:t>173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29" w:history="1">
            <w:r>
              <w:rPr>
                <w:rStyle w:val="Hyperlink"/>
                <w:rFonts w:ascii="Times New Roman" w:hAnsi="Times New Roman" w:cs="Times New Roman"/>
                <w:noProof/>
                <w:lang w:val="en-IE"/>
                <w14:scene3d>
                  <w14:camera w14:prst="orthographicFront"/>
                  <w14:lightRig w14:rig="threePt" w14:dir="t">
                    <w14:rot w14:lat="0" w14:lon="0" w14:rev="0"/>
                  </w14:lightRig>
                </w14:scene3d>
              </w:rPr>
              <w:t>5.5.4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w:instrText>
            </w:r>
            <w:r>
              <w:rPr>
                <w:noProof/>
                <w:webHidden/>
              </w:rPr>
              <w:instrText xml:space="preserve">EREF _Toc56944129 \h </w:instrText>
            </w:r>
            <w:r>
              <w:rPr>
                <w:noProof/>
                <w:webHidden/>
              </w:rPr>
            </w:r>
            <w:r>
              <w:rPr>
                <w:noProof/>
                <w:webHidden/>
              </w:rPr>
              <w:fldChar w:fldCharType="separate"/>
            </w:r>
            <w:r>
              <w:rPr>
                <w:noProof/>
                <w:webHidden/>
              </w:rPr>
              <w:t>181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30" w:history="1">
            <w:r>
              <w:rPr>
                <w:rStyle w:val="Hyperlink"/>
                <w:rFonts w:ascii="Times New Roman" w:hAnsi="Times New Roman" w:cs="Times New Roman"/>
                <w:noProof/>
                <w:lang w:val="en-IE"/>
                <w14:scene3d>
                  <w14:camera w14:prst="orthographicFront"/>
                  <w14:lightRig w14:rig="threePt" w14:dir="t">
                    <w14:rot w14:lat="0" w14:lon="0" w14:rev="0"/>
                  </w14:lightRig>
                </w14:scene3d>
              </w:rPr>
              <w:t>5.5.5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_Toc56944130 \h </w:instrText>
            </w:r>
            <w:r>
              <w:rPr>
                <w:noProof/>
                <w:webHidden/>
              </w:rPr>
            </w:r>
            <w:r>
              <w:rPr>
                <w:noProof/>
                <w:webHidden/>
              </w:rPr>
              <w:fldChar w:fldCharType="separate"/>
            </w:r>
            <w:r>
              <w:rPr>
                <w:noProof/>
                <w:webHidden/>
              </w:rPr>
              <w:t>186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31" w:history="1">
            <w:r>
              <w:rPr>
                <w:rStyle w:val="Hyperlink"/>
                <w:rFonts w:ascii="Times New Roman" w:hAnsi="Times New Roman" w:cs="Times New Roman"/>
                <w:noProof/>
                <w:lang w:val="en-IE"/>
                <w14:scene3d>
                  <w14:camera w14:prst="orthographicFront"/>
                  <w14:lightRig w14:rig="threePt" w14:dir="t">
                    <w14:rot w14:lat="0" w14:lon="0" w14:rev="0"/>
                  </w14:lightRig>
                </w14:scene3d>
              </w:rPr>
              <w:t>5.5.6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_Toc56944131 \h </w:instrText>
            </w:r>
            <w:r>
              <w:rPr>
                <w:noProof/>
                <w:webHidden/>
              </w:rPr>
            </w:r>
            <w:r>
              <w:rPr>
                <w:noProof/>
                <w:webHidden/>
              </w:rPr>
              <w:fldChar w:fldCharType="separate"/>
            </w:r>
            <w:r>
              <w:rPr>
                <w:noProof/>
                <w:webHidden/>
              </w:rPr>
              <w:t>187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32" w:history="1">
            <w:r>
              <w:rPr>
                <w:rStyle w:val="Hyperlink"/>
                <w:rFonts w:ascii="Times New Roman" w:hAnsi="Times New Roman" w:cs="Times New Roman"/>
                <w:noProof/>
                <w:lang w:val="en-IE"/>
                <w14:scene3d>
                  <w14:camera w14:prst="orthographicFront"/>
                  <w14:lightRig w14:rig="threePt" w14:dir="t">
                    <w14:rot w14:lat="0" w14:lon="0" w14:rev="0"/>
                  </w14:lightRig>
                </w14:scene3d>
              </w:rPr>
              <w:t>5.5.7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_Toc56944132 \h </w:instrText>
            </w:r>
            <w:r>
              <w:rPr>
                <w:noProof/>
                <w:webHidden/>
              </w:rPr>
            </w:r>
            <w:r>
              <w:rPr>
                <w:noProof/>
                <w:webHidden/>
              </w:rPr>
              <w:fldChar w:fldCharType="separate"/>
            </w:r>
            <w:r>
              <w:rPr>
                <w:noProof/>
                <w:webHidden/>
              </w:rPr>
              <w:t>190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33" w:history="1">
            <w:r>
              <w:rPr>
                <w:rStyle w:val="Hyperlink"/>
                <w:rFonts w:ascii="Times New Roman" w:hAnsi="Times New Roman" w:cs="Times New Roman"/>
                <w:noProof/>
                <w:lang w:val="en-IE"/>
                <w14:scene3d>
                  <w14:camera w14:prst="orthographicFront"/>
                  <w14:lightRig w14:rig="threePt" w14:dir="t">
                    <w14:rot w14:lat="0" w14:lon="0" w14:rev="0"/>
                  </w14:lightRig>
                </w14:scene3d>
              </w:rPr>
              <w:t>5.5.8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_Toc56944133 \h </w:instrText>
            </w:r>
            <w:r>
              <w:rPr>
                <w:noProof/>
                <w:webHidden/>
              </w:rPr>
            </w:r>
            <w:r>
              <w:rPr>
                <w:noProof/>
                <w:webHidden/>
              </w:rPr>
              <w:fldChar w:fldCharType="separate"/>
            </w:r>
            <w:r>
              <w:rPr>
                <w:noProof/>
                <w:webHidden/>
              </w:rPr>
              <w:t>192</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34" w:history="1">
            <w:r>
              <w:rPr>
                <w:rStyle w:val="Hyperlink"/>
                <w:rFonts w:ascii="Times New Roman" w:hAnsi="Times New Roman" w:cs="Times New Roman"/>
                <w:noProof/>
                <w:lang w:val="en-IE"/>
              </w:rPr>
              <w:t>5.6</w:t>
            </w:r>
            <w:r>
              <w:rPr>
                <w:rFonts w:eastAsiaTheme="minorEastAsia"/>
                <w:noProof/>
                <w:lang w:eastAsia="en-GB"/>
              </w:rPr>
              <w:tab/>
            </w:r>
            <w:r>
              <w:rPr>
                <w:rStyle w:val="Hyperlink"/>
                <w:rFonts w:ascii="Times New Roman" w:hAnsi="Times New Roman" w:cs="Times New Roman"/>
                <w:noProof/>
                <w:lang w:val="en-IE"/>
              </w:rPr>
              <w:t>Estonia (EE)</w:t>
            </w:r>
            <w:r>
              <w:rPr>
                <w:noProof/>
                <w:webHidden/>
              </w:rPr>
              <w:tab/>
            </w:r>
            <w:r>
              <w:rPr>
                <w:noProof/>
                <w:webHidden/>
              </w:rPr>
              <w:fldChar w:fldCharType="begin"/>
            </w:r>
            <w:r>
              <w:rPr>
                <w:noProof/>
                <w:webHidden/>
              </w:rPr>
              <w:instrText xml:space="preserve"> PAGEREF _Toc56944134 \h </w:instrText>
            </w:r>
            <w:r>
              <w:rPr>
                <w:noProof/>
                <w:webHidden/>
              </w:rPr>
            </w:r>
            <w:r>
              <w:rPr>
                <w:noProof/>
                <w:webHidden/>
              </w:rPr>
              <w:fldChar w:fldCharType="separate"/>
            </w:r>
            <w:r>
              <w:rPr>
                <w:noProof/>
                <w:webHidden/>
              </w:rPr>
              <w:t>194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35" w:history="1">
            <w:r>
              <w:rPr>
                <w:rStyle w:val="Hyperlink"/>
                <w:rFonts w:ascii="Times New Roman" w:hAnsi="Times New Roman" w:cs="Times New Roman"/>
                <w:noProof/>
                <w:lang w:val="en-IE"/>
                <w14:scene3d>
                  <w14:camera w14:prst="orthographicFront"/>
                  <w14:lightRig w14:rig="threePt" w14:dir="t">
                    <w14:rot w14:lat="0" w14:lon="0" w14:rev="0"/>
                  </w14:lightRig>
                </w14:scene3d>
              </w:rPr>
              <w:t>5.6.1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_Toc56944135 \h </w:instrText>
            </w:r>
            <w:r>
              <w:rPr>
                <w:noProof/>
                <w:webHidden/>
              </w:rPr>
            </w:r>
            <w:r>
              <w:rPr>
                <w:noProof/>
                <w:webHidden/>
              </w:rPr>
              <w:fldChar w:fldCharType="separate"/>
            </w:r>
            <w:r>
              <w:rPr>
                <w:noProof/>
                <w:webHidden/>
              </w:rPr>
              <w:t>194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36" w:history="1">
            <w:r>
              <w:rPr>
                <w:rStyle w:val="Hyperlink"/>
                <w:rFonts w:ascii="Times New Roman" w:hAnsi="Times New Roman" w:cs="Times New Roman"/>
                <w:noProof/>
                <w:lang w:val="en-IE"/>
                <w14:scene3d>
                  <w14:camera w14:prst="orthographicFront"/>
                  <w14:lightRig w14:rig="threePt" w14:dir="t">
                    <w14:rot w14:lat="0" w14:lon="0" w14:rev="0"/>
                  </w14:lightRig>
                </w14:scene3d>
              </w:rPr>
              <w:t>5.6.2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_Toc56944136 \h </w:instrText>
            </w:r>
            <w:r>
              <w:rPr>
                <w:noProof/>
                <w:webHidden/>
              </w:rPr>
            </w:r>
            <w:r>
              <w:rPr>
                <w:noProof/>
                <w:webHidden/>
              </w:rPr>
              <w:fldChar w:fldCharType="separate"/>
            </w:r>
            <w:r>
              <w:rPr>
                <w:noProof/>
                <w:webHidden/>
              </w:rPr>
              <w:t>195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37" w:history="1">
            <w:r>
              <w:rPr>
                <w:rStyle w:val="Hyperlink"/>
                <w:rFonts w:ascii="Times New Roman" w:hAnsi="Times New Roman" w:cs="Times New Roman"/>
                <w:noProof/>
                <w:lang w:val="en-IE"/>
                <w14:scene3d>
                  <w14:camera w14:prst="orthographicFront"/>
                  <w14:lightRig w14:rig="threePt" w14:dir="t">
                    <w14:rot w14:lat="0" w14:lon="0" w14:rev="0"/>
                  </w14:lightRig>
                </w14:scene3d>
              </w:rPr>
              <w:t>5.6.3</w:t>
            </w:r>
            <w:r>
              <w:rPr>
                <w:rFonts w:eastAsiaTheme="minorEastAsia"/>
                <w:noProof/>
                <w:lang w:eastAsia="en-GB"/>
              </w:rPr>
              <w:tab/>
            </w:r>
            <w:r>
              <w:rPr>
                <w:rStyle w:val="Hyperlink"/>
                <w:rFonts w:ascii="Times New Roman" w:hAnsi="Times New Roman" w:cs="Times New Roman"/>
                <w:noProof/>
                <w:lang w:val="en-IE"/>
              </w:rPr>
              <w:t>Quantitative assessm</w:t>
            </w:r>
            <w:r>
              <w:rPr>
                <w:rStyle w:val="Hyperlink"/>
                <w:rFonts w:ascii="Times New Roman" w:hAnsi="Times New Roman" w:cs="Times New Roman"/>
                <w:noProof/>
                <w:lang w:val="en-IE"/>
              </w:rPr>
              <w:t>ent: Vehicles and infrastructure</w:t>
            </w:r>
            <w:r>
              <w:rPr>
                <w:noProof/>
                <w:webHidden/>
              </w:rPr>
              <w:tab/>
            </w:r>
            <w:r>
              <w:rPr>
                <w:noProof/>
                <w:webHidden/>
              </w:rPr>
              <w:fldChar w:fldCharType="begin"/>
            </w:r>
            <w:r>
              <w:rPr>
                <w:noProof/>
                <w:webHidden/>
              </w:rPr>
              <w:instrText xml:space="preserve"> PAGEREF _Toc56944137 \h </w:instrText>
            </w:r>
            <w:r>
              <w:rPr>
                <w:noProof/>
                <w:webHidden/>
              </w:rPr>
            </w:r>
            <w:r>
              <w:rPr>
                <w:noProof/>
                <w:webHidden/>
              </w:rPr>
              <w:fldChar w:fldCharType="separate"/>
            </w:r>
            <w:r>
              <w:rPr>
                <w:noProof/>
                <w:webHidden/>
              </w:rPr>
              <w:t>196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38" w:history="1">
            <w:r>
              <w:rPr>
                <w:rStyle w:val="Hyperlink"/>
                <w:rFonts w:ascii="Times New Roman" w:hAnsi="Times New Roman" w:cs="Times New Roman"/>
                <w:noProof/>
                <w:lang w:val="en-IE"/>
                <w14:scene3d>
                  <w14:camera w14:prst="orthographicFront"/>
                  <w14:lightRig w14:rig="threePt" w14:dir="t">
                    <w14:rot w14:lat="0" w14:lon="0" w14:rev="0"/>
                  </w14:lightRig>
                </w14:scene3d>
              </w:rPr>
              <w:t>5.6.4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_Toc56944138 \h </w:instrText>
            </w:r>
            <w:r>
              <w:rPr>
                <w:noProof/>
                <w:webHidden/>
              </w:rPr>
            </w:r>
            <w:r>
              <w:rPr>
                <w:noProof/>
                <w:webHidden/>
              </w:rPr>
              <w:fldChar w:fldCharType="separate"/>
            </w:r>
            <w:r>
              <w:rPr>
                <w:noProof/>
                <w:webHidden/>
              </w:rPr>
              <w:t>202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39" w:history="1">
            <w:r>
              <w:rPr>
                <w:rStyle w:val="Hyperlink"/>
                <w:rFonts w:ascii="Times New Roman" w:hAnsi="Times New Roman" w:cs="Times New Roman"/>
                <w:noProof/>
                <w:lang w:val="en-IE"/>
                <w14:scene3d>
                  <w14:camera w14:prst="orthographicFront"/>
                  <w14:lightRig w14:rig="threePt" w14:dir="t">
                    <w14:rot w14:lat="0" w14:lon="0" w14:rev="0"/>
                  </w14:lightRig>
                </w14:scene3d>
              </w:rPr>
              <w:t>5.6.5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_Toc56944139 \h </w:instrText>
            </w:r>
            <w:r>
              <w:rPr>
                <w:noProof/>
                <w:webHidden/>
              </w:rPr>
            </w:r>
            <w:r>
              <w:rPr>
                <w:noProof/>
                <w:webHidden/>
              </w:rPr>
              <w:fldChar w:fldCharType="separate"/>
            </w:r>
            <w:r>
              <w:rPr>
                <w:noProof/>
                <w:webHidden/>
              </w:rPr>
              <w:t>205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40" w:history="1">
            <w:r>
              <w:rPr>
                <w:rStyle w:val="Hyperlink"/>
                <w:rFonts w:ascii="Times New Roman" w:hAnsi="Times New Roman" w:cs="Times New Roman"/>
                <w:noProof/>
                <w:lang w:val="en-IE"/>
                <w14:scene3d>
                  <w14:camera w14:prst="orthographicFront"/>
                  <w14:lightRig w14:rig="threePt" w14:dir="t">
                    <w14:rot w14:lat="0" w14:lon="0" w14:rev="0"/>
                  </w14:lightRig>
                </w14:scene3d>
              </w:rPr>
              <w:t>5.6.6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_Toc56944140 \h </w:instrText>
            </w:r>
            <w:r>
              <w:rPr>
                <w:noProof/>
                <w:webHidden/>
              </w:rPr>
            </w:r>
            <w:r>
              <w:rPr>
                <w:noProof/>
                <w:webHidden/>
              </w:rPr>
              <w:fldChar w:fldCharType="separate"/>
            </w:r>
            <w:r>
              <w:rPr>
                <w:noProof/>
                <w:webHidden/>
              </w:rPr>
              <w:t>206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41" w:history="1">
            <w:r>
              <w:rPr>
                <w:rStyle w:val="Hyperlink"/>
                <w:rFonts w:ascii="Times New Roman" w:hAnsi="Times New Roman" w:cs="Times New Roman"/>
                <w:noProof/>
                <w:lang w:val="en-IE"/>
                <w14:scene3d>
                  <w14:camera w14:prst="orthographicFront"/>
                  <w14:lightRig w14:rig="threePt" w14:dir="t">
                    <w14:rot w14:lat="0" w14:lon="0" w14:rev="0"/>
                  </w14:lightRig>
                </w14:scene3d>
              </w:rPr>
              <w:t>5.6.7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_Toc56944141 \h </w:instrText>
            </w:r>
            <w:r>
              <w:rPr>
                <w:noProof/>
                <w:webHidden/>
              </w:rPr>
            </w:r>
            <w:r>
              <w:rPr>
                <w:noProof/>
                <w:webHidden/>
              </w:rPr>
              <w:fldChar w:fldCharType="separate"/>
            </w:r>
            <w:r>
              <w:rPr>
                <w:noProof/>
                <w:webHidden/>
              </w:rPr>
              <w:t>208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42" w:history="1">
            <w:r>
              <w:rPr>
                <w:rStyle w:val="Hyperlink"/>
                <w:rFonts w:ascii="Times New Roman" w:hAnsi="Times New Roman" w:cs="Times New Roman"/>
                <w:noProof/>
                <w:lang w:val="en-IE"/>
                <w14:scene3d>
                  <w14:camera w14:prst="orthographicFront"/>
                  <w14:lightRig w14:rig="threePt" w14:dir="t">
                    <w14:rot w14:lat="0" w14:lon="0" w14:rev="0"/>
                  </w14:lightRig>
                </w14:scene3d>
              </w:rPr>
              <w:t>5.6.8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_Toc56944142 \h </w:instrText>
            </w:r>
            <w:r>
              <w:rPr>
                <w:noProof/>
                <w:webHidden/>
              </w:rPr>
            </w:r>
            <w:r>
              <w:rPr>
                <w:noProof/>
                <w:webHidden/>
              </w:rPr>
              <w:fldChar w:fldCharType="separate"/>
            </w:r>
            <w:r>
              <w:rPr>
                <w:noProof/>
                <w:webHidden/>
              </w:rPr>
              <w:t>210</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43" w:history="1">
            <w:r>
              <w:rPr>
                <w:rStyle w:val="Hyperlink"/>
                <w:rFonts w:ascii="Times New Roman" w:hAnsi="Times New Roman" w:cs="Times New Roman"/>
                <w:noProof/>
                <w:lang w:val="en-IE"/>
              </w:rPr>
              <w:t>5.7</w:t>
            </w:r>
            <w:r>
              <w:rPr>
                <w:rFonts w:eastAsiaTheme="minorEastAsia"/>
                <w:noProof/>
                <w:lang w:eastAsia="en-GB"/>
              </w:rPr>
              <w:tab/>
            </w:r>
            <w:r>
              <w:rPr>
                <w:rStyle w:val="Hyperlink"/>
                <w:rFonts w:ascii="Times New Roman" w:hAnsi="Times New Roman" w:cs="Times New Roman"/>
                <w:noProof/>
                <w:lang w:val="en-IE"/>
              </w:rPr>
              <w:t>Ireland (IE)</w:t>
            </w:r>
            <w:r>
              <w:rPr>
                <w:noProof/>
                <w:webHidden/>
              </w:rPr>
              <w:tab/>
            </w:r>
            <w:r>
              <w:rPr>
                <w:noProof/>
                <w:webHidden/>
              </w:rPr>
              <w:fldChar w:fldCharType="begin"/>
            </w:r>
            <w:r>
              <w:rPr>
                <w:noProof/>
                <w:webHidden/>
              </w:rPr>
              <w:instrText xml:space="preserve"> PAGEREF _Toc56944143 \h </w:instrText>
            </w:r>
            <w:r>
              <w:rPr>
                <w:noProof/>
                <w:webHidden/>
              </w:rPr>
            </w:r>
            <w:r>
              <w:rPr>
                <w:noProof/>
                <w:webHidden/>
              </w:rPr>
              <w:fldChar w:fldCharType="separate"/>
            </w:r>
            <w:r>
              <w:rPr>
                <w:noProof/>
                <w:webHidden/>
              </w:rPr>
              <w:t>211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44" w:history="1">
            <w:r>
              <w:rPr>
                <w:rStyle w:val="Hyperlink"/>
                <w:rFonts w:ascii="Times New Roman" w:hAnsi="Times New Roman" w:cs="Times New Roman"/>
                <w:noProof/>
                <w:lang w:val="en-IE"/>
                <w14:scene3d>
                  <w14:camera w14:prst="orthographicFront"/>
                  <w14:lightRig w14:rig="threePt" w14:dir="t">
                    <w14:rot w14:lat="0" w14:lon="0" w14:rev="0"/>
                  </w14:lightRig>
                </w14:scene3d>
              </w:rPr>
              <w:t>5.7.1</w:t>
            </w:r>
            <w:r>
              <w:rPr>
                <w:rFonts w:eastAsiaTheme="minorEastAsia"/>
                <w:noProof/>
                <w:lang w:eastAsia="en-GB"/>
              </w:rPr>
              <w:tab/>
            </w:r>
            <w:r>
              <w:rPr>
                <w:rStyle w:val="Hyperlink"/>
                <w:rFonts w:ascii="Times New Roman" w:hAnsi="Times New Roman" w:cs="Times New Roman"/>
                <w:noProof/>
                <w:lang w:val="en-IE"/>
              </w:rPr>
              <w:t>Main messa</w:t>
            </w:r>
            <w:r>
              <w:rPr>
                <w:rStyle w:val="Hyperlink"/>
                <w:rFonts w:ascii="Times New Roman" w:hAnsi="Times New Roman" w:cs="Times New Roman"/>
                <w:noProof/>
                <w:lang w:val="en-IE"/>
              </w:rPr>
              <w:t>ges from the Commission assessment of the NPF</w:t>
            </w:r>
            <w:r>
              <w:rPr>
                <w:noProof/>
                <w:webHidden/>
              </w:rPr>
              <w:tab/>
            </w:r>
            <w:r>
              <w:rPr>
                <w:noProof/>
                <w:webHidden/>
              </w:rPr>
              <w:fldChar w:fldCharType="begin"/>
            </w:r>
            <w:r>
              <w:rPr>
                <w:noProof/>
                <w:webHidden/>
              </w:rPr>
              <w:instrText xml:space="preserve"> PAGEREF _Toc56944144 \h </w:instrText>
            </w:r>
            <w:r>
              <w:rPr>
                <w:noProof/>
                <w:webHidden/>
              </w:rPr>
            </w:r>
            <w:r>
              <w:rPr>
                <w:noProof/>
                <w:webHidden/>
              </w:rPr>
              <w:fldChar w:fldCharType="separate"/>
            </w:r>
            <w:r>
              <w:rPr>
                <w:noProof/>
                <w:webHidden/>
              </w:rPr>
              <w:t>211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45" w:history="1">
            <w:r>
              <w:rPr>
                <w:rStyle w:val="Hyperlink"/>
                <w:rFonts w:ascii="Times New Roman" w:hAnsi="Times New Roman" w:cs="Times New Roman"/>
                <w:noProof/>
                <w:lang w:val="en-IE"/>
                <w14:scene3d>
                  <w14:camera w14:prst="orthographicFront"/>
                  <w14:lightRig w14:rig="threePt" w14:dir="t">
                    <w14:rot w14:lat="0" w14:lon="0" w14:rev="0"/>
                  </w14:lightRig>
                </w14:scene3d>
              </w:rPr>
              <w:t>5.7.2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w:instrText>
            </w:r>
            <w:r>
              <w:rPr>
                <w:noProof/>
                <w:webHidden/>
              </w:rPr>
              <w:instrText xml:space="preserve">_Toc56944145 \h </w:instrText>
            </w:r>
            <w:r>
              <w:rPr>
                <w:noProof/>
                <w:webHidden/>
              </w:rPr>
            </w:r>
            <w:r>
              <w:rPr>
                <w:noProof/>
                <w:webHidden/>
              </w:rPr>
              <w:fldChar w:fldCharType="separate"/>
            </w:r>
            <w:r>
              <w:rPr>
                <w:noProof/>
                <w:webHidden/>
              </w:rPr>
              <w:t>213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46" w:history="1">
            <w:r>
              <w:rPr>
                <w:rStyle w:val="Hyperlink"/>
                <w:rFonts w:ascii="Times New Roman" w:hAnsi="Times New Roman" w:cs="Times New Roman"/>
                <w:noProof/>
                <w:lang w:val="en-IE"/>
                <w14:scene3d>
                  <w14:camera w14:prst="orthographicFront"/>
                  <w14:lightRig w14:rig="threePt" w14:dir="t">
                    <w14:rot w14:lat="0" w14:lon="0" w14:rev="0"/>
                  </w14:lightRig>
                </w14:scene3d>
              </w:rPr>
              <w:t>5.7.3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_Toc56944146 \h </w:instrText>
            </w:r>
            <w:r>
              <w:rPr>
                <w:noProof/>
                <w:webHidden/>
              </w:rPr>
            </w:r>
            <w:r>
              <w:rPr>
                <w:noProof/>
                <w:webHidden/>
              </w:rPr>
              <w:fldChar w:fldCharType="separate"/>
            </w:r>
            <w:r>
              <w:rPr>
                <w:noProof/>
                <w:webHidden/>
              </w:rPr>
              <w:t>214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47" w:history="1">
            <w:r>
              <w:rPr>
                <w:rStyle w:val="Hyperlink"/>
                <w:rFonts w:ascii="Times New Roman" w:hAnsi="Times New Roman" w:cs="Times New Roman"/>
                <w:noProof/>
                <w:lang w:val="en-IE"/>
                <w14:scene3d>
                  <w14:camera w14:prst="orthographicFront"/>
                  <w14:lightRig w14:rig="threePt" w14:dir="t">
                    <w14:rot w14:lat="0" w14:lon="0" w14:rev="0"/>
                  </w14:lightRig>
                </w14:scene3d>
              </w:rPr>
              <w:t>5.7.4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_Toc56944147 \h </w:instrText>
            </w:r>
            <w:r>
              <w:rPr>
                <w:noProof/>
                <w:webHidden/>
              </w:rPr>
            </w:r>
            <w:r>
              <w:rPr>
                <w:noProof/>
                <w:webHidden/>
              </w:rPr>
              <w:fldChar w:fldCharType="separate"/>
            </w:r>
            <w:r>
              <w:rPr>
                <w:noProof/>
                <w:webHidden/>
              </w:rPr>
              <w:t>221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48" w:history="1">
            <w:r>
              <w:rPr>
                <w:rStyle w:val="Hyperlink"/>
                <w:rFonts w:ascii="Times New Roman" w:hAnsi="Times New Roman" w:cs="Times New Roman"/>
                <w:noProof/>
                <w:lang w:val="en-IE"/>
                <w14:scene3d>
                  <w14:camera w14:prst="orthographicFront"/>
                  <w14:lightRig w14:rig="threePt" w14:dir="t">
                    <w14:rot w14:lat="0" w14:lon="0" w14:rev="0"/>
                  </w14:lightRig>
                </w14:scene3d>
              </w:rPr>
              <w:t>5.7.5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_Toc56944148 \h </w:instrText>
            </w:r>
            <w:r>
              <w:rPr>
                <w:noProof/>
                <w:webHidden/>
              </w:rPr>
            </w:r>
            <w:r>
              <w:rPr>
                <w:noProof/>
                <w:webHidden/>
              </w:rPr>
              <w:fldChar w:fldCharType="separate"/>
            </w:r>
            <w:r>
              <w:rPr>
                <w:noProof/>
                <w:webHidden/>
              </w:rPr>
              <w:t>227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49" w:history="1">
            <w:r>
              <w:rPr>
                <w:rStyle w:val="Hyperlink"/>
                <w:rFonts w:ascii="Times New Roman" w:hAnsi="Times New Roman" w:cs="Times New Roman"/>
                <w:noProof/>
                <w:lang w:val="en-IE"/>
                <w14:scene3d>
                  <w14:camera w14:prst="orthographicFront"/>
                  <w14:lightRig w14:rig="threePt" w14:dir="t">
                    <w14:rot w14:lat="0" w14:lon="0" w14:rev="0"/>
                  </w14:lightRig>
                </w14:scene3d>
              </w:rPr>
              <w:t>5.7.6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_Toc56944149 \h</w:instrText>
            </w:r>
            <w:r>
              <w:rPr>
                <w:noProof/>
                <w:webHidden/>
              </w:rPr>
              <w:instrText xml:space="preserve"> </w:instrText>
            </w:r>
            <w:r>
              <w:rPr>
                <w:noProof/>
                <w:webHidden/>
              </w:rPr>
            </w:r>
            <w:r>
              <w:rPr>
                <w:noProof/>
                <w:webHidden/>
              </w:rPr>
              <w:fldChar w:fldCharType="separate"/>
            </w:r>
            <w:r>
              <w:rPr>
                <w:noProof/>
                <w:webHidden/>
              </w:rPr>
              <w:t>228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50" w:history="1">
            <w:r>
              <w:rPr>
                <w:rStyle w:val="Hyperlink"/>
                <w:rFonts w:ascii="Times New Roman" w:hAnsi="Times New Roman" w:cs="Times New Roman"/>
                <w:noProof/>
                <w:lang w:val="en-IE"/>
                <w14:scene3d>
                  <w14:camera w14:prst="orthographicFront"/>
                  <w14:lightRig w14:rig="threePt" w14:dir="t">
                    <w14:rot w14:lat="0" w14:lon="0" w14:rev="0"/>
                  </w14:lightRig>
                </w14:scene3d>
              </w:rPr>
              <w:t>5.7.7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_Toc56944150 \h </w:instrText>
            </w:r>
            <w:r>
              <w:rPr>
                <w:noProof/>
                <w:webHidden/>
              </w:rPr>
            </w:r>
            <w:r>
              <w:rPr>
                <w:noProof/>
                <w:webHidden/>
              </w:rPr>
              <w:fldChar w:fldCharType="separate"/>
            </w:r>
            <w:r>
              <w:rPr>
                <w:noProof/>
                <w:webHidden/>
              </w:rPr>
              <w:t>231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51" w:history="1">
            <w:r>
              <w:rPr>
                <w:rStyle w:val="Hyperlink"/>
                <w:rFonts w:ascii="Times New Roman" w:hAnsi="Times New Roman" w:cs="Times New Roman"/>
                <w:noProof/>
                <w:lang w:val="en-IE"/>
                <w14:scene3d>
                  <w14:camera w14:prst="orthographicFront"/>
                  <w14:lightRig w14:rig="threePt" w14:dir="t">
                    <w14:rot w14:lat="0" w14:lon="0" w14:rev="0"/>
                  </w14:lightRig>
                </w14:scene3d>
              </w:rPr>
              <w:t>5.7.8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_Toc56944151 \h </w:instrText>
            </w:r>
            <w:r>
              <w:rPr>
                <w:noProof/>
                <w:webHidden/>
              </w:rPr>
            </w:r>
            <w:r>
              <w:rPr>
                <w:noProof/>
                <w:webHidden/>
              </w:rPr>
              <w:fldChar w:fldCharType="separate"/>
            </w:r>
            <w:r>
              <w:rPr>
                <w:noProof/>
                <w:webHidden/>
              </w:rPr>
              <w:t>232</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52" w:history="1">
            <w:r>
              <w:rPr>
                <w:rStyle w:val="Hyperlink"/>
                <w:rFonts w:ascii="Times New Roman" w:hAnsi="Times New Roman" w:cs="Times New Roman"/>
                <w:noProof/>
                <w:lang w:val="en-IE"/>
              </w:rPr>
              <w:t>5.8</w:t>
            </w:r>
            <w:r>
              <w:rPr>
                <w:rFonts w:eastAsiaTheme="minorEastAsia"/>
                <w:noProof/>
                <w:lang w:eastAsia="en-GB"/>
              </w:rPr>
              <w:tab/>
            </w:r>
            <w:r>
              <w:rPr>
                <w:rStyle w:val="Hyperlink"/>
                <w:rFonts w:ascii="Times New Roman" w:hAnsi="Times New Roman" w:cs="Times New Roman"/>
                <w:noProof/>
                <w:lang w:val="en-IE"/>
              </w:rPr>
              <w:t>Greece (EL)</w:t>
            </w:r>
            <w:r>
              <w:rPr>
                <w:noProof/>
                <w:webHidden/>
              </w:rPr>
              <w:tab/>
            </w:r>
            <w:r>
              <w:rPr>
                <w:noProof/>
                <w:webHidden/>
              </w:rPr>
              <w:fldChar w:fldCharType="begin"/>
            </w:r>
            <w:r>
              <w:rPr>
                <w:noProof/>
                <w:webHidden/>
              </w:rPr>
              <w:instrText xml:space="preserve"> PAGEREF _Toc56944152 \h </w:instrText>
            </w:r>
            <w:r>
              <w:rPr>
                <w:noProof/>
                <w:webHidden/>
              </w:rPr>
            </w:r>
            <w:r>
              <w:rPr>
                <w:noProof/>
                <w:webHidden/>
              </w:rPr>
              <w:fldChar w:fldCharType="separate"/>
            </w:r>
            <w:r>
              <w:rPr>
                <w:noProof/>
                <w:webHidden/>
              </w:rPr>
              <w:t>233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53" w:history="1">
            <w:r>
              <w:rPr>
                <w:rStyle w:val="Hyperlink"/>
                <w:rFonts w:ascii="Times New Roman" w:hAnsi="Times New Roman" w:cs="Times New Roman"/>
                <w:noProof/>
                <w:lang w:val="en-IE"/>
                <w14:scene3d>
                  <w14:camera w14:prst="orthographicFront"/>
                  <w14:lightRig w14:rig="threePt" w14:dir="t">
                    <w14:rot w14:lat="0" w14:lon="0" w14:rev="0"/>
                  </w14:lightRig>
                </w14:scene3d>
              </w:rPr>
              <w:t>5.8.1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_Toc56944153 \h </w:instrText>
            </w:r>
            <w:r>
              <w:rPr>
                <w:noProof/>
                <w:webHidden/>
              </w:rPr>
            </w:r>
            <w:r>
              <w:rPr>
                <w:noProof/>
                <w:webHidden/>
              </w:rPr>
              <w:fldChar w:fldCharType="separate"/>
            </w:r>
            <w:r>
              <w:rPr>
                <w:noProof/>
                <w:webHidden/>
              </w:rPr>
              <w:t>233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54" w:history="1">
            <w:r>
              <w:rPr>
                <w:rStyle w:val="Hyperlink"/>
                <w:rFonts w:ascii="Times New Roman" w:hAnsi="Times New Roman" w:cs="Times New Roman"/>
                <w:noProof/>
                <w:lang w:val="en-IE"/>
                <w14:scene3d>
                  <w14:camera w14:prst="orthographicFront"/>
                  <w14:lightRig w14:rig="threePt" w14:dir="t">
                    <w14:rot w14:lat="0" w14:lon="0" w14:rev="0"/>
                  </w14:lightRig>
                </w14:scene3d>
              </w:rPr>
              <w:t>5.8.2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_Toc56944154 \h </w:instrText>
            </w:r>
            <w:r>
              <w:rPr>
                <w:noProof/>
                <w:webHidden/>
              </w:rPr>
            </w:r>
            <w:r>
              <w:rPr>
                <w:noProof/>
                <w:webHidden/>
              </w:rPr>
              <w:fldChar w:fldCharType="separate"/>
            </w:r>
            <w:r>
              <w:rPr>
                <w:noProof/>
                <w:webHidden/>
              </w:rPr>
              <w:t>235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55" w:history="1">
            <w:r>
              <w:rPr>
                <w:rStyle w:val="Hyperlink"/>
                <w:rFonts w:ascii="Times New Roman" w:hAnsi="Times New Roman" w:cs="Times New Roman"/>
                <w:noProof/>
                <w:lang w:val="fr-BE"/>
                <w14:scene3d>
                  <w14:camera w14:prst="orthographicFront"/>
                  <w14:lightRig w14:rig="threePt" w14:dir="t">
                    <w14:rot w14:lat="0" w14:lon="0" w14:rev="0"/>
                  </w14:lightRig>
                </w14:scene3d>
              </w:rPr>
              <w:t>5.8.3</w:t>
            </w:r>
            <w:r>
              <w:rPr>
                <w:rFonts w:eastAsiaTheme="minorEastAsia"/>
                <w:noProof/>
                <w:lang w:eastAsia="en-GB"/>
              </w:rPr>
              <w:tab/>
            </w:r>
            <w:r>
              <w:rPr>
                <w:rStyle w:val="Hyperlink"/>
                <w:rFonts w:ascii="Times New Roman" w:hAnsi="Times New Roman" w:cs="Times New Roman"/>
                <w:noProof/>
                <w:lang w:val="fr-BE"/>
              </w:rPr>
              <w:t>Quantitative assessment: Vehicles and infrastructure</w:t>
            </w:r>
            <w:r>
              <w:rPr>
                <w:noProof/>
                <w:webHidden/>
              </w:rPr>
              <w:tab/>
            </w:r>
            <w:r>
              <w:rPr>
                <w:noProof/>
                <w:webHidden/>
              </w:rPr>
              <w:fldChar w:fldCharType="begin"/>
            </w:r>
            <w:r>
              <w:rPr>
                <w:noProof/>
                <w:webHidden/>
              </w:rPr>
              <w:instrText xml:space="preserve"> PAGEREF _Toc56944155 \h </w:instrText>
            </w:r>
            <w:r>
              <w:rPr>
                <w:noProof/>
                <w:webHidden/>
              </w:rPr>
            </w:r>
            <w:r>
              <w:rPr>
                <w:noProof/>
                <w:webHidden/>
              </w:rPr>
              <w:fldChar w:fldCharType="separate"/>
            </w:r>
            <w:r>
              <w:rPr>
                <w:noProof/>
                <w:webHidden/>
              </w:rPr>
              <w:t>237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56" w:history="1">
            <w:r>
              <w:rPr>
                <w:rStyle w:val="Hyperlink"/>
                <w:rFonts w:ascii="Times New Roman" w:hAnsi="Times New Roman" w:cs="Times New Roman"/>
                <w:noProof/>
                <w:lang w:val="en-IE"/>
                <w14:scene3d>
                  <w14:camera w14:prst="orthographicFront"/>
                  <w14:lightRig w14:rig="threePt" w14:dir="t">
                    <w14:rot w14:lat="0" w14:lon="0" w14:rev="0"/>
                  </w14:lightRig>
                </w14:scene3d>
              </w:rPr>
              <w:t>5.8.4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_Toc56944156 \h </w:instrText>
            </w:r>
            <w:r>
              <w:rPr>
                <w:noProof/>
                <w:webHidden/>
              </w:rPr>
            </w:r>
            <w:r>
              <w:rPr>
                <w:noProof/>
                <w:webHidden/>
              </w:rPr>
              <w:fldChar w:fldCharType="separate"/>
            </w:r>
            <w:r>
              <w:rPr>
                <w:noProof/>
                <w:webHidden/>
              </w:rPr>
              <w:t>243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57" w:history="1">
            <w:r>
              <w:rPr>
                <w:rStyle w:val="Hyperlink"/>
                <w:rFonts w:ascii="Times New Roman" w:hAnsi="Times New Roman" w:cs="Times New Roman"/>
                <w:noProof/>
                <w:lang w:val="en-IE"/>
                <w14:scene3d>
                  <w14:camera w14:prst="orthographicFront"/>
                  <w14:lightRig w14:rig="threePt" w14:dir="t">
                    <w14:rot w14:lat="0" w14:lon="0" w14:rev="0"/>
                  </w14:lightRig>
                </w14:scene3d>
              </w:rPr>
              <w:t>5.8.5</w:t>
            </w:r>
            <w:r>
              <w:rPr>
                <w:rFonts w:eastAsiaTheme="minorEastAsia"/>
                <w:noProof/>
                <w:lang w:eastAsia="en-GB"/>
              </w:rPr>
              <w:tab/>
            </w:r>
            <w:r>
              <w:rPr>
                <w:rStyle w:val="Hyperlink"/>
                <w:rFonts w:ascii="Times New Roman" w:hAnsi="Times New Roman" w:cs="Times New Roman"/>
                <w:noProof/>
                <w:lang w:val="en-IE"/>
              </w:rPr>
              <w:t xml:space="preserve">Additional information on alternative fuels infrastructure </w:t>
            </w:r>
            <w:r>
              <w:rPr>
                <w:rStyle w:val="Hyperlink"/>
                <w:rFonts w:ascii="Times New Roman" w:hAnsi="Times New Roman" w:cs="Times New Roman"/>
                <w:noProof/>
                <w:lang w:val="en-IE"/>
              </w:rPr>
              <w:t>developments</w:t>
            </w:r>
            <w:r>
              <w:rPr>
                <w:noProof/>
                <w:webHidden/>
              </w:rPr>
              <w:tab/>
            </w:r>
            <w:r>
              <w:rPr>
                <w:noProof/>
                <w:webHidden/>
              </w:rPr>
              <w:fldChar w:fldCharType="begin"/>
            </w:r>
            <w:r>
              <w:rPr>
                <w:noProof/>
                <w:webHidden/>
              </w:rPr>
              <w:instrText xml:space="preserve"> PAGEREF _Toc56944157 \h </w:instrText>
            </w:r>
            <w:r>
              <w:rPr>
                <w:noProof/>
                <w:webHidden/>
              </w:rPr>
            </w:r>
            <w:r>
              <w:rPr>
                <w:noProof/>
                <w:webHidden/>
              </w:rPr>
              <w:fldChar w:fldCharType="separate"/>
            </w:r>
            <w:r>
              <w:rPr>
                <w:noProof/>
                <w:webHidden/>
              </w:rPr>
              <w:t>246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58" w:history="1">
            <w:r>
              <w:rPr>
                <w:rStyle w:val="Hyperlink"/>
                <w:rFonts w:ascii="Times New Roman" w:hAnsi="Times New Roman" w:cs="Times New Roman"/>
                <w:noProof/>
                <w:lang w:val="en-IE"/>
                <w14:scene3d>
                  <w14:camera w14:prst="orthographicFront"/>
                  <w14:lightRig w14:rig="threePt" w14:dir="t">
                    <w14:rot w14:lat="0" w14:lon="0" w14:rev="0"/>
                  </w14:lightRig>
                </w14:scene3d>
              </w:rPr>
              <w:t>5.8.6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_Toc56944158 \h </w:instrText>
            </w:r>
            <w:r>
              <w:rPr>
                <w:noProof/>
                <w:webHidden/>
              </w:rPr>
            </w:r>
            <w:r>
              <w:rPr>
                <w:noProof/>
                <w:webHidden/>
              </w:rPr>
              <w:fldChar w:fldCharType="separate"/>
            </w:r>
            <w:r>
              <w:rPr>
                <w:noProof/>
                <w:webHidden/>
              </w:rPr>
              <w:t>246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59" w:history="1">
            <w:r>
              <w:rPr>
                <w:rStyle w:val="Hyperlink"/>
                <w:rFonts w:ascii="Times New Roman" w:hAnsi="Times New Roman" w:cs="Times New Roman"/>
                <w:noProof/>
                <w:lang w:val="en-IE"/>
                <w14:scene3d>
                  <w14:camera w14:prst="orthographicFront"/>
                  <w14:lightRig w14:rig="threePt" w14:dir="t">
                    <w14:rot w14:lat="0" w14:lon="0" w14:rev="0"/>
                  </w14:lightRig>
                </w14:scene3d>
              </w:rPr>
              <w:t>5.8.7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_Toc56944159 \h </w:instrText>
            </w:r>
            <w:r>
              <w:rPr>
                <w:noProof/>
                <w:webHidden/>
              </w:rPr>
            </w:r>
            <w:r>
              <w:rPr>
                <w:noProof/>
                <w:webHidden/>
              </w:rPr>
              <w:fldChar w:fldCharType="separate"/>
            </w:r>
            <w:r>
              <w:rPr>
                <w:noProof/>
                <w:webHidden/>
              </w:rPr>
              <w:t>249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60" w:history="1">
            <w:r>
              <w:rPr>
                <w:rStyle w:val="Hyperlink"/>
                <w:rFonts w:ascii="Times New Roman" w:hAnsi="Times New Roman" w:cs="Times New Roman"/>
                <w:noProof/>
                <w:lang w:val="en-IE"/>
                <w14:scene3d>
                  <w14:camera w14:prst="orthographicFront"/>
                  <w14:lightRig w14:rig="threePt" w14:dir="t">
                    <w14:rot w14:lat="0" w14:lon="0" w14:rev="0"/>
                  </w14:lightRig>
                </w14:scene3d>
              </w:rPr>
              <w:t>5.8.8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w:instrText>
            </w:r>
            <w:r>
              <w:rPr>
                <w:noProof/>
                <w:webHidden/>
              </w:rPr>
              <w:instrText xml:space="preserve">160 \h </w:instrText>
            </w:r>
            <w:r>
              <w:rPr>
                <w:noProof/>
                <w:webHidden/>
              </w:rPr>
            </w:r>
            <w:r>
              <w:rPr>
                <w:noProof/>
                <w:webHidden/>
              </w:rPr>
              <w:fldChar w:fldCharType="separate"/>
            </w:r>
            <w:r>
              <w:rPr>
                <w:noProof/>
                <w:webHidden/>
              </w:rPr>
              <w:t>251</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61" w:history="1">
            <w:r>
              <w:rPr>
                <w:rStyle w:val="Hyperlink"/>
                <w:rFonts w:ascii="Times New Roman" w:hAnsi="Times New Roman" w:cs="Times New Roman"/>
                <w:noProof/>
                <w:lang w:val="en-IE"/>
              </w:rPr>
              <w:t>5.9</w:t>
            </w:r>
            <w:r>
              <w:rPr>
                <w:rFonts w:eastAsiaTheme="minorEastAsia"/>
                <w:noProof/>
                <w:lang w:eastAsia="en-GB"/>
              </w:rPr>
              <w:tab/>
            </w:r>
            <w:r>
              <w:rPr>
                <w:rStyle w:val="Hyperlink"/>
                <w:rFonts w:ascii="Times New Roman" w:hAnsi="Times New Roman" w:cs="Times New Roman"/>
                <w:noProof/>
                <w:lang w:val="en-IE"/>
              </w:rPr>
              <w:t>Spain (ES)</w:t>
            </w:r>
            <w:r>
              <w:rPr>
                <w:noProof/>
                <w:webHidden/>
              </w:rPr>
              <w:tab/>
            </w:r>
            <w:r>
              <w:rPr>
                <w:noProof/>
                <w:webHidden/>
              </w:rPr>
              <w:fldChar w:fldCharType="begin"/>
            </w:r>
            <w:r>
              <w:rPr>
                <w:noProof/>
                <w:webHidden/>
              </w:rPr>
              <w:instrText xml:space="preserve"> PAGEREF _Toc56944161 \h </w:instrText>
            </w:r>
            <w:r>
              <w:rPr>
                <w:noProof/>
                <w:webHidden/>
              </w:rPr>
            </w:r>
            <w:r>
              <w:rPr>
                <w:noProof/>
                <w:webHidden/>
              </w:rPr>
              <w:fldChar w:fldCharType="separate"/>
            </w:r>
            <w:r>
              <w:rPr>
                <w:noProof/>
                <w:webHidden/>
              </w:rPr>
              <w:t>252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62" w:history="1">
            <w:r>
              <w:rPr>
                <w:rStyle w:val="Hyperlink"/>
                <w:rFonts w:ascii="Times New Roman" w:hAnsi="Times New Roman" w:cs="Times New Roman"/>
                <w:noProof/>
                <w:lang w:val="en-IE"/>
                <w14:scene3d>
                  <w14:camera w14:prst="orthographicFront"/>
                  <w14:lightRig w14:rig="threePt" w14:dir="t">
                    <w14:rot w14:lat="0" w14:lon="0" w14:rev="0"/>
                  </w14:lightRig>
                </w14:scene3d>
              </w:rPr>
              <w:t>5.9.1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_Toc56944162 \h </w:instrText>
            </w:r>
            <w:r>
              <w:rPr>
                <w:noProof/>
                <w:webHidden/>
              </w:rPr>
            </w:r>
            <w:r>
              <w:rPr>
                <w:noProof/>
                <w:webHidden/>
              </w:rPr>
              <w:fldChar w:fldCharType="separate"/>
            </w:r>
            <w:r>
              <w:rPr>
                <w:noProof/>
                <w:webHidden/>
              </w:rPr>
              <w:t>252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63" w:history="1">
            <w:r>
              <w:rPr>
                <w:rStyle w:val="Hyperlink"/>
                <w:rFonts w:ascii="Times New Roman" w:hAnsi="Times New Roman" w:cs="Times New Roman"/>
                <w:noProof/>
                <w:lang w:val="en-IE"/>
                <w14:scene3d>
                  <w14:camera w14:prst="orthographicFront"/>
                  <w14:lightRig w14:rig="threePt" w14:dir="t">
                    <w14:rot w14:lat="0" w14:lon="0" w14:rev="0"/>
                  </w14:lightRig>
                </w14:scene3d>
              </w:rPr>
              <w:t>5.9.2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_Toc56944163 \h </w:instrText>
            </w:r>
            <w:r>
              <w:rPr>
                <w:noProof/>
                <w:webHidden/>
              </w:rPr>
            </w:r>
            <w:r>
              <w:rPr>
                <w:noProof/>
                <w:webHidden/>
              </w:rPr>
              <w:fldChar w:fldCharType="separate"/>
            </w:r>
            <w:r>
              <w:rPr>
                <w:noProof/>
                <w:webHidden/>
              </w:rPr>
              <w:t>253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64" w:history="1">
            <w:r>
              <w:rPr>
                <w:rStyle w:val="Hyperlink"/>
                <w:rFonts w:ascii="Times New Roman" w:hAnsi="Times New Roman" w:cs="Times New Roman"/>
                <w:noProof/>
                <w:lang w:val="en-IE"/>
                <w14:scene3d>
                  <w14:camera w14:prst="orthographicFront"/>
                  <w14:lightRig w14:rig="threePt" w14:dir="t">
                    <w14:rot w14:lat="0" w14:lon="0" w14:rev="0"/>
                  </w14:lightRig>
                </w14:scene3d>
              </w:rPr>
              <w:t>5.9.3</w:t>
            </w:r>
            <w:r>
              <w:rPr>
                <w:rFonts w:eastAsiaTheme="minorEastAsia"/>
                <w:noProof/>
                <w:lang w:eastAsia="en-GB"/>
              </w:rPr>
              <w:tab/>
            </w:r>
            <w:r>
              <w:rPr>
                <w:rStyle w:val="Hyperlink"/>
                <w:rFonts w:ascii="Times New Roman" w:hAnsi="Times New Roman" w:cs="Times New Roman"/>
                <w:noProof/>
                <w:lang w:val="en-IE"/>
              </w:rPr>
              <w:t>Quantitative assessm</w:t>
            </w:r>
            <w:r>
              <w:rPr>
                <w:rStyle w:val="Hyperlink"/>
                <w:rFonts w:ascii="Times New Roman" w:hAnsi="Times New Roman" w:cs="Times New Roman"/>
                <w:noProof/>
                <w:lang w:val="en-IE"/>
              </w:rPr>
              <w:t>ent: Vehicles and infrastructure</w:t>
            </w:r>
            <w:r>
              <w:rPr>
                <w:noProof/>
                <w:webHidden/>
              </w:rPr>
              <w:tab/>
            </w:r>
            <w:r>
              <w:rPr>
                <w:noProof/>
                <w:webHidden/>
              </w:rPr>
              <w:fldChar w:fldCharType="begin"/>
            </w:r>
            <w:r>
              <w:rPr>
                <w:noProof/>
                <w:webHidden/>
              </w:rPr>
              <w:instrText xml:space="preserve"> PAGEREF _Toc56944164 \h </w:instrText>
            </w:r>
            <w:r>
              <w:rPr>
                <w:noProof/>
                <w:webHidden/>
              </w:rPr>
            </w:r>
            <w:r>
              <w:rPr>
                <w:noProof/>
                <w:webHidden/>
              </w:rPr>
              <w:fldChar w:fldCharType="separate"/>
            </w:r>
            <w:r>
              <w:rPr>
                <w:noProof/>
                <w:webHidden/>
              </w:rPr>
              <w:t>255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65" w:history="1">
            <w:r>
              <w:rPr>
                <w:rStyle w:val="Hyperlink"/>
                <w:rFonts w:ascii="Times New Roman" w:hAnsi="Times New Roman" w:cs="Times New Roman"/>
                <w:noProof/>
                <w:lang w:val="en-IE"/>
                <w14:scene3d>
                  <w14:camera w14:prst="orthographicFront"/>
                  <w14:lightRig w14:rig="threePt" w14:dir="t">
                    <w14:rot w14:lat="0" w14:lon="0" w14:rev="0"/>
                  </w14:lightRig>
                </w14:scene3d>
              </w:rPr>
              <w:t>5.9.4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_Toc56944165 \h </w:instrText>
            </w:r>
            <w:r>
              <w:rPr>
                <w:noProof/>
                <w:webHidden/>
              </w:rPr>
            </w:r>
            <w:r>
              <w:rPr>
                <w:noProof/>
                <w:webHidden/>
              </w:rPr>
              <w:fldChar w:fldCharType="separate"/>
            </w:r>
            <w:r>
              <w:rPr>
                <w:noProof/>
                <w:webHidden/>
              </w:rPr>
              <w:t>264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66" w:history="1">
            <w:r>
              <w:rPr>
                <w:rStyle w:val="Hyperlink"/>
                <w:rFonts w:ascii="Times New Roman" w:hAnsi="Times New Roman" w:cs="Times New Roman"/>
                <w:noProof/>
                <w:lang w:val="en-IE"/>
                <w14:scene3d>
                  <w14:camera w14:prst="orthographicFront"/>
                  <w14:lightRig w14:rig="threePt" w14:dir="t">
                    <w14:rot w14:lat="0" w14:lon="0" w14:rev="0"/>
                  </w14:lightRig>
                </w14:scene3d>
              </w:rPr>
              <w:t>5.9.5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_Toc56944166 \h </w:instrText>
            </w:r>
            <w:r>
              <w:rPr>
                <w:noProof/>
                <w:webHidden/>
              </w:rPr>
            </w:r>
            <w:r>
              <w:rPr>
                <w:noProof/>
                <w:webHidden/>
              </w:rPr>
              <w:fldChar w:fldCharType="separate"/>
            </w:r>
            <w:r>
              <w:rPr>
                <w:noProof/>
                <w:webHidden/>
              </w:rPr>
              <w:t>270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67" w:history="1">
            <w:r>
              <w:rPr>
                <w:rStyle w:val="Hyperlink"/>
                <w:rFonts w:ascii="Times New Roman" w:hAnsi="Times New Roman" w:cs="Times New Roman"/>
                <w:noProof/>
                <w:lang w:val="en-IE"/>
                <w14:scene3d>
                  <w14:camera w14:prst="orthographicFront"/>
                  <w14:lightRig w14:rig="threePt" w14:dir="t">
                    <w14:rot w14:lat="0" w14:lon="0" w14:rev="0"/>
                  </w14:lightRig>
                </w14:scene3d>
              </w:rPr>
              <w:t>5.9.6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_Toc56944167 \h </w:instrText>
            </w:r>
            <w:r>
              <w:rPr>
                <w:noProof/>
                <w:webHidden/>
              </w:rPr>
            </w:r>
            <w:r>
              <w:rPr>
                <w:noProof/>
                <w:webHidden/>
              </w:rPr>
              <w:fldChar w:fldCharType="separate"/>
            </w:r>
            <w:r>
              <w:rPr>
                <w:noProof/>
                <w:webHidden/>
              </w:rPr>
              <w:t>271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68" w:history="1">
            <w:r>
              <w:rPr>
                <w:rStyle w:val="Hyperlink"/>
                <w:rFonts w:ascii="Times New Roman" w:hAnsi="Times New Roman" w:cs="Times New Roman"/>
                <w:noProof/>
                <w:lang w:val="en-IE"/>
                <w14:scene3d>
                  <w14:camera w14:prst="orthographicFront"/>
                  <w14:lightRig w14:rig="threePt" w14:dir="t">
                    <w14:rot w14:lat="0" w14:lon="0" w14:rev="0"/>
                  </w14:lightRig>
                </w14:scene3d>
              </w:rPr>
              <w:t>5.9.7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_Toc56944168 \h </w:instrText>
            </w:r>
            <w:r>
              <w:rPr>
                <w:noProof/>
                <w:webHidden/>
              </w:rPr>
            </w:r>
            <w:r>
              <w:rPr>
                <w:noProof/>
                <w:webHidden/>
              </w:rPr>
              <w:fldChar w:fldCharType="separate"/>
            </w:r>
            <w:r>
              <w:rPr>
                <w:noProof/>
                <w:webHidden/>
              </w:rPr>
              <w:t>274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69" w:history="1">
            <w:r>
              <w:rPr>
                <w:rStyle w:val="Hyperlink"/>
                <w:rFonts w:ascii="Times New Roman" w:hAnsi="Times New Roman" w:cs="Times New Roman"/>
                <w:noProof/>
                <w:lang w:val="en-IE"/>
                <w14:scene3d>
                  <w14:camera w14:prst="orthographicFront"/>
                  <w14:lightRig w14:rig="threePt" w14:dir="t">
                    <w14:rot w14:lat="0" w14:lon="0" w14:rev="0"/>
                  </w14:lightRig>
                </w14:scene3d>
              </w:rPr>
              <w:t>5.9.8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_Toc56944169 \h </w:instrText>
            </w:r>
            <w:r>
              <w:rPr>
                <w:noProof/>
                <w:webHidden/>
              </w:rPr>
            </w:r>
            <w:r>
              <w:rPr>
                <w:noProof/>
                <w:webHidden/>
              </w:rPr>
              <w:fldChar w:fldCharType="separate"/>
            </w:r>
            <w:r>
              <w:rPr>
                <w:noProof/>
                <w:webHidden/>
              </w:rPr>
              <w:t>276</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70" w:history="1">
            <w:r>
              <w:rPr>
                <w:rStyle w:val="Hyperlink"/>
                <w:rFonts w:ascii="Times New Roman" w:hAnsi="Times New Roman" w:cs="Times New Roman"/>
                <w:noProof/>
                <w:lang w:val="en-IE"/>
              </w:rPr>
              <w:t>5.10</w:t>
            </w:r>
            <w:r>
              <w:rPr>
                <w:rFonts w:eastAsiaTheme="minorEastAsia"/>
                <w:noProof/>
                <w:lang w:eastAsia="en-GB"/>
              </w:rPr>
              <w:tab/>
            </w:r>
            <w:r>
              <w:rPr>
                <w:rStyle w:val="Hyperlink"/>
                <w:rFonts w:ascii="Times New Roman" w:hAnsi="Times New Roman" w:cs="Times New Roman"/>
                <w:noProof/>
                <w:lang w:val="en-IE"/>
              </w:rPr>
              <w:t>France (FR)</w:t>
            </w:r>
            <w:r>
              <w:rPr>
                <w:noProof/>
                <w:webHidden/>
              </w:rPr>
              <w:tab/>
            </w:r>
            <w:r>
              <w:rPr>
                <w:noProof/>
                <w:webHidden/>
              </w:rPr>
              <w:fldChar w:fldCharType="begin"/>
            </w:r>
            <w:r>
              <w:rPr>
                <w:noProof/>
                <w:webHidden/>
              </w:rPr>
              <w:instrText xml:space="preserve"> PAGEREF _Toc56944170 \h </w:instrText>
            </w:r>
            <w:r>
              <w:rPr>
                <w:noProof/>
                <w:webHidden/>
              </w:rPr>
            </w:r>
            <w:r>
              <w:rPr>
                <w:noProof/>
                <w:webHidden/>
              </w:rPr>
              <w:fldChar w:fldCharType="separate"/>
            </w:r>
            <w:r>
              <w:rPr>
                <w:noProof/>
                <w:webHidden/>
              </w:rPr>
              <w:t>277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7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5.10.1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_Toc56944171 \h </w:instrText>
            </w:r>
            <w:r>
              <w:rPr>
                <w:noProof/>
                <w:webHidden/>
              </w:rPr>
            </w:r>
            <w:r>
              <w:rPr>
                <w:noProof/>
                <w:webHidden/>
              </w:rPr>
              <w:fldChar w:fldCharType="separate"/>
            </w:r>
            <w:r>
              <w:rPr>
                <w:noProof/>
                <w:webHidden/>
              </w:rPr>
              <w:t>277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72" w:history="1">
            <w:r>
              <w:rPr>
                <w:rStyle w:val="Hyperlink"/>
                <w:rFonts w:ascii="Times New Roman" w:hAnsi="Times New Roman" w:cs="Times New Roman"/>
                <w:noProof/>
                <w:lang w:val="en-IE"/>
                <w14:scene3d>
                  <w14:camera w14:prst="orthographicFront"/>
                  <w14:lightRig w14:rig="threePt" w14:dir="t">
                    <w14:rot w14:lat="0" w14:lon="0" w14:rev="0"/>
                  </w14:lightRig>
                </w14:scene3d>
              </w:rPr>
              <w:t>5.10.2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_Toc56944172 \h </w:instrText>
            </w:r>
            <w:r>
              <w:rPr>
                <w:noProof/>
                <w:webHidden/>
              </w:rPr>
            </w:r>
            <w:r>
              <w:rPr>
                <w:noProof/>
                <w:webHidden/>
              </w:rPr>
              <w:fldChar w:fldCharType="separate"/>
            </w:r>
            <w:r>
              <w:rPr>
                <w:noProof/>
                <w:webHidden/>
              </w:rPr>
              <w:t>279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73" w:history="1">
            <w:r>
              <w:rPr>
                <w:rStyle w:val="Hyperlink"/>
                <w:rFonts w:ascii="Times New Roman" w:hAnsi="Times New Roman" w:cs="Times New Roman"/>
                <w:noProof/>
                <w:lang w:val="en-IE"/>
                <w14:scene3d>
                  <w14:camera w14:prst="orthographicFront"/>
                  <w14:lightRig w14:rig="threePt" w14:dir="t">
                    <w14:rot w14:lat="0" w14:lon="0" w14:rev="0"/>
                  </w14:lightRig>
                </w14:scene3d>
              </w:rPr>
              <w:t>5.10.3</w:t>
            </w:r>
            <w:r>
              <w:rPr>
                <w:rFonts w:eastAsiaTheme="minorEastAsia"/>
                <w:noProof/>
                <w:lang w:eastAsia="en-GB"/>
              </w:rPr>
              <w:tab/>
            </w:r>
            <w:r>
              <w:rPr>
                <w:rStyle w:val="Hyperlink"/>
                <w:rFonts w:ascii="Times New Roman" w:hAnsi="Times New Roman" w:cs="Times New Roman"/>
                <w:noProof/>
                <w:lang w:val="en-IE"/>
              </w:rPr>
              <w:t>Quantitative asse</w:t>
            </w:r>
            <w:r>
              <w:rPr>
                <w:rStyle w:val="Hyperlink"/>
                <w:rFonts w:ascii="Times New Roman" w:hAnsi="Times New Roman" w:cs="Times New Roman"/>
                <w:noProof/>
                <w:lang w:val="en-IE"/>
              </w:rPr>
              <w:t>ssment: Vehicles and infrastructure</w:t>
            </w:r>
            <w:r>
              <w:rPr>
                <w:noProof/>
                <w:webHidden/>
              </w:rPr>
              <w:tab/>
            </w:r>
            <w:r>
              <w:rPr>
                <w:noProof/>
                <w:webHidden/>
              </w:rPr>
              <w:fldChar w:fldCharType="begin"/>
            </w:r>
            <w:r>
              <w:rPr>
                <w:noProof/>
                <w:webHidden/>
              </w:rPr>
              <w:instrText xml:space="preserve"> PAGEREF _Toc56944173 \h </w:instrText>
            </w:r>
            <w:r>
              <w:rPr>
                <w:noProof/>
                <w:webHidden/>
              </w:rPr>
            </w:r>
            <w:r>
              <w:rPr>
                <w:noProof/>
                <w:webHidden/>
              </w:rPr>
              <w:fldChar w:fldCharType="separate"/>
            </w:r>
            <w:r>
              <w:rPr>
                <w:noProof/>
                <w:webHidden/>
              </w:rPr>
              <w:t>280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74" w:history="1">
            <w:r>
              <w:rPr>
                <w:rStyle w:val="Hyperlink"/>
                <w:rFonts w:ascii="Times New Roman" w:hAnsi="Times New Roman" w:cs="Times New Roman"/>
                <w:noProof/>
                <w:lang w:val="en-IE"/>
                <w14:scene3d>
                  <w14:camera w14:prst="orthographicFront"/>
                  <w14:lightRig w14:rig="threePt" w14:dir="t">
                    <w14:rot w14:lat="0" w14:lon="0" w14:rev="0"/>
                  </w14:lightRig>
                </w14:scene3d>
              </w:rPr>
              <w:t>5.10.4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_Toc56944174 \h </w:instrText>
            </w:r>
            <w:r>
              <w:rPr>
                <w:noProof/>
                <w:webHidden/>
              </w:rPr>
            </w:r>
            <w:r>
              <w:rPr>
                <w:noProof/>
                <w:webHidden/>
              </w:rPr>
              <w:fldChar w:fldCharType="separate"/>
            </w:r>
            <w:r>
              <w:rPr>
                <w:noProof/>
                <w:webHidden/>
              </w:rPr>
              <w:t>289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75" w:history="1">
            <w:r>
              <w:rPr>
                <w:rStyle w:val="Hyperlink"/>
                <w:rFonts w:ascii="Times New Roman" w:hAnsi="Times New Roman" w:cs="Times New Roman"/>
                <w:noProof/>
                <w:lang w:val="en-IE"/>
                <w14:scene3d>
                  <w14:camera w14:prst="orthographicFront"/>
                  <w14:lightRig w14:rig="threePt" w14:dir="t">
                    <w14:rot w14:lat="0" w14:lon="0" w14:rev="0"/>
                  </w14:lightRig>
                </w14:scene3d>
              </w:rPr>
              <w:t>5.10.5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_Toc56944175 \h </w:instrText>
            </w:r>
            <w:r>
              <w:rPr>
                <w:noProof/>
                <w:webHidden/>
              </w:rPr>
            </w:r>
            <w:r>
              <w:rPr>
                <w:noProof/>
                <w:webHidden/>
              </w:rPr>
              <w:fldChar w:fldCharType="separate"/>
            </w:r>
            <w:r>
              <w:rPr>
                <w:noProof/>
                <w:webHidden/>
              </w:rPr>
              <w:t>296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76" w:history="1">
            <w:r>
              <w:rPr>
                <w:rStyle w:val="Hyperlink"/>
                <w:rFonts w:ascii="Times New Roman" w:hAnsi="Times New Roman" w:cs="Times New Roman"/>
                <w:noProof/>
                <w:lang w:val="en-IE"/>
                <w14:scene3d>
                  <w14:camera w14:prst="orthographicFront"/>
                  <w14:lightRig w14:rig="threePt" w14:dir="t">
                    <w14:rot w14:lat="0" w14:lon="0" w14:rev="0"/>
                  </w14:lightRig>
                </w14:scene3d>
              </w:rPr>
              <w:t>5.10.6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_Toc56944176 \h </w:instrText>
            </w:r>
            <w:r>
              <w:rPr>
                <w:noProof/>
                <w:webHidden/>
              </w:rPr>
            </w:r>
            <w:r>
              <w:rPr>
                <w:noProof/>
                <w:webHidden/>
              </w:rPr>
              <w:fldChar w:fldCharType="separate"/>
            </w:r>
            <w:r>
              <w:rPr>
                <w:noProof/>
                <w:webHidden/>
              </w:rPr>
              <w:t>297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77" w:history="1">
            <w:r>
              <w:rPr>
                <w:rStyle w:val="Hyperlink"/>
                <w:rFonts w:ascii="Times New Roman" w:hAnsi="Times New Roman" w:cs="Times New Roman"/>
                <w:noProof/>
                <w:lang w:val="en-IE"/>
                <w14:scene3d>
                  <w14:camera w14:prst="orthographicFront"/>
                  <w14:lightRig w14:rig="threePt" w14:dir="t">
                    <w14:rot w14:lat="0" w14:lon="0" w14:rev="0"/>
                  </w14:lightRig>
                </w14:scene3d>
              </w:rPr>
              <w:t>5.10.7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_Toc56944177 \h </w:instrText>
            </w:r>
            <w:r>
              <w:rPr>
                <w:noProof/>
                <w:webHidden/>
              </w:rPr>
            </w:r>
            <w:r>
              <w:rPr>
                <w:noProof/>
                <w:webHidden/>
              </w:rPr>
              <w:fldChar w:fldCharType="separate"/>
            </w:r>
            <w:r>
              <w:rPr>
                <w:noProof/>
                <w:webHidden/>
              </w:rPr>
              <w:t>300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78" w:history="1">
            <w:r>
              <w:rPr>
                <w:rStyle w:val="Hyperlink"/>
                <w:rFonts w:ascii="Times New Roman" w:hAnsi="Times New Roman" w:cs="Times New Roman"/>
                <w:noProof/>
                <w:lang w:val="en-IE"/>
                <w14:scene3d>
                  <w14:camera w14:prst="orthographicFront"/>
                  <w14:lightRig w14:rig="threePt" w14:dir="t">
                    <w14:rot w14:lat="0" w14:lon="0" w14:rev="0"/>
                  </w14:lightRig>
                </w14:scene3d>
              </w:rPr>
              <w:t>5.10.8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_Toc56944178 \h </w:instrText>
            </w:r>
            <w:r>
              <w:rPr>
                <w:noProof/>
                <w:webHidden/>
              </w:rPr>
            </w:r>
            <w:r>
              <w:rPr>
                <w:noProof/>
                <w:webHidden/>
              </w:rPr>
              <w:fldChar w:fldCharType="separate"/>
            </w:r>
            <w:r>
              <w:rPr>
                <w:noProof/>
                <w:webHidden/>
              </w:rPr>
              <w:t>302</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79" w:history="1">
            <w:r>
              <w:rPr>
                <w:rStyle w:val="Hyperlink"/>
                <w:rFonts w:ascii="Times New Roman" w:hAnsi="Times New Roman" w:cs="Times New Roman"/>
                <w:noProof/>
                <w:lang w:val="en-IE"/>
              </w:rPr>
              <w:t>5.11</w:t>
            </w:r>
            <w:r>
              <w:rPr>
                <w:rFonts w:eastAsiaTheme="minorEastAsia"/>
                <w:noProof/>
                <w:lang w:eastAsia="en-GB"/>
              </w:rPr>
              <w:tab/>
            </w:r>
            <w:r>
              <w:rPr>
                <w:rStyle w:val="Hyperlink"/>
                <w:rFonts w:ascii="Times New Roman" w:hAnsi="Times New Roman" w:cs="Times New Roman"/>
                <w:noProof/>
                <w:lang w:val="en-IE"/>
              </w:rPr>
              <w:t>Croatia (HR)</w:t>
            </w:r>
            <w:r>
              <w:rPr>
                <w:noProof/>
                <w:webHidden/>
              </w:rPr>
              <w:tab/>
            </w:r>
            <w:r>
              <w:rPr>
                <w:noProof/>
                <w:webHidden/>
              </w:rPr>
              <w:fldChar w:fldCharType="begin"/>
            </w:r>
            <w:r>
              <w:rPr>
                <w:noProof/>
                <w:webHidden/>
              </w:rPr>
              <w:instrText xml:space="preserve"> PAGEREF _Toc56944179 \h </w:instrText>
            </w:r>
            <w:r>
              <w:rPr>
                <w:noProof/>
                <w:webHidden/>
              </w:rPr>
            </w:r>
            <w:r>
              <w:rPr>
                <w:noProof/>
                <w:webHidden/>
              </w:rPr>
              <w:fldChar w:fldCharType="separate"/>
            </w:r>
            <w:r>
              <w:rPr>
                <w:noProof/>
                <w:webHidden/>
              </w:rPr>
              <w:t>303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80" w:history="1">
            <w:r>
              <w:rPr>
                <w:rStyle w:val="Hyperlink"/>
                <w:rFonts w:ascii="Times New Roman" w:hAnsi="Times New Roman" w:cs="Times New Roman"/>
                <w:noProof/>
                <w:lang w:val="en-IE"/>
                <w14:scene3d>
                  <w14:camera w14:prst="orthographicFront"/>
                  <w14:lightRig w14:rig="threePt" w14:dir="t">
                    <w14:rot w14:lat="0" w14:lon="0" w14:rev="0"/>
                  </w14:lightRig>
                </w14:scene3d>
              </w:rPr>
              <w:t>5.11.1</w:t>
            </w:r>
            <w:r>
              <w:rPr>
                <w:rFonts w:eastAsiaTheme="minorEastAsia"/>
                <w:noProof/>
                <w:lang w:eastAsia="en-GB"/>
              </w:rPr>
              <w:tab/>
            </w:r>
            <w:r>
              <w:rPr>
                <w:rStyle w:val="Hyperlink"/>
                <w:rFonts w:ascii="Times New Roman" w:hAnsi="Times New Roman" w:cs="Times New Roman"/>
                <w:noProof/>
                <w:lang w:val="en-IE"/>
              </w:rPr>
              <w:t>Main me</w:t>
            </w:r>
            <w:r>
              <w:rPr>
                <w:rStyle w:val="Hyperlink"/>
                <w:rFonts w:ascii="Times New Roman" w:hAnsi="Times New Roman" w:cs="Times New Roman"/>
                <w:noProof/>
                <w:lang w:val="en-IE"/>
              </w:rPr>
              <w:t>ssages from the Commission assessment of the NPF</w:t>
            </w:r>
            <w:r>
              <w:rPr>
                <w:noProof/>
                <w:webHidden/>
              </w:rPr>
              <w:tab/>
            </w:r>
            <w:r>
              <w:rPr>
                <w:noProof/>
                <w:webHidden/>
              </w:rPr>
              <w:fldChar w:fldCharType="begin"/>
            </w:r>
            <w:r>
              <w:rPr>
                <w:noProof/>
                <w:webHidden/>
              </w:rPr>
              <w:instrText xml:space="preserve"> PAGEREF _Toc56944180 \h </w:instrText>
            </w:r>
            <w:r>
              <w:rPr>
                <w:noProof/>
                <w:webHidden/>
              </w:rPr>
            </w:r>
            <w:r>
              <w:rPr>
                <w:noProof/>
                <w:webHidden/>
              </w:rPr>
              <w:fldChar w:fldCharType="separate"/>
            </w:r>
            <w:r>
              <w:rPr>
                <w:noProof/>
                <w:webHidden/>
              </w:rPr>
              <w:t>303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8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5.11.2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w:instrText>
            </w:r>
            <w:r>
              <w:rPr>
                <w:noProof/>
                <w:webHidden/>
              </w:rPr>
              <w:instrText xml:space="preserve">EF _Toc56944181 \h </w:instrText>
            </w:r>
            <w:r>
              <w:rPr>
                <w:noProof/>
                <w:webHidden/>
              </w:rPr>
            </w:r>
            <w:r>
              <w:rPr>
                <w:noProof/>
                <w:webHidden/>
              </w:rPr>
              <w:fldChar w:fldCharType="separate"/>
            </w:r>
            <w:r>
              <w:rPr>
                <w:noProof/>
                <w:webHidden/>
              </w:rPr>
              <w:t>304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82" w:history="1">
            <w:r>
              <w:rPr>
                <w:rStyle w:val="Hyperlink"/>
                <w:rFonts w:ascii="Times New Roman" w:hAnsi="Times New Roman" w:cs="Times New Roman"/>
                <w:noProof/>
                <w:lang w:val="en-IE"/>
                <w14:scene3d>
                  <w14:camera w14:prst="orthographicFront"/>
                  <w14:lightRig w14:rig="threePt" w14:dir="t">
                    <w14:rot w14:lat="0" w14:lon="0" w14:rev="0"/>
                  </w14:lightRig>
                </w14:scene3d>
              </w:rPr>
              <w:t>5.11.3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_Toc56944182 \h </w:instrText>
            </w:r>
            <w:r>
              <w:rPr>
                <w:noProof/>
                <w:webHidden/>
              </w:rPr>
            </w:r>
            <w:r>
              <w:rPr>
                <w:noProof/>
                <w:webHidden/>
              </w:rPr>
              <w:fldChar w:fldCharType="separate"/>
            </w:r>
            <w:r>
              <w:rPr>
                <w:noProof/>
                <w:webHidden/>
              </w:rPr>
              <w:t>306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83" w:history="1">
            <w:r>
              <w:rPr>
                <w:rStyle w:val="Hyperlink"/>
                <w:rFonts w:ascii="Times New Roman" w:hAnsi="Times New Roman" w:cs="Times New Roman"/>
                <w:noProof/>
                <w:lang w:val="en-IE"/>
                <w14:scene3d>
                  <w14:camera w14:prst="orthographicFront"/>
                  <w14:lightRig w14:rig="threePt" w14:dir="t">
                    <w14:rot w14:lat="0" w14:lon="0" w14:rev="0"/>
                  </w14:lightRig>
                </w14:scene3d>
              </w:rPr>
              <w:t>5.11.4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_Toc56944183 \h </w:instrText>
            </w:r>
            <w:r>
              <w:rPr>
                <w:noProof/>
                <w:webHidden/>
              </w:rPr>
            </w:r>
            <w:r>
              <w:rPr>
                <w:noProof/>
                <w:webHidden/>
              </w:rPr>
              <w:fldChar w:fldCharType="separate"/>
            </w:r>
            <w:r>
              <w:rPr>
                <w:noProof/>
                <w:webHidden/>
              </w:rPr>
              <w:t>312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84" w:history="1">
            <w:r>
              <w:rPr>
                <w:rStyle w:val="Hyperlink"/>
                <w:rFonts w:ascii="Times New Roman" w:hAnsi="Times New Roman" w:cs="Times New Roman"/>
                <w:noProof/>
                <w:lang w:val="en-IE"/>
                <w14:scene3d>
                  <w14:camera w14:prst="orthographicFront"/>
                  <w14:lightRig w14:rig="threePt" w14:dir="t">
                    <w14:rot w14:lat="0" w14:lon="0" w14:rev="0"/>
                  </w14:lightRig>
                </w14:scene3d>
              </w:rPr>
              <w:t>5.11.5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_Toc56944184 \h </w:instrText>
            </w:r>
            <w:r>
              <w:rPr>
                <w:noProof/>
                <w:webHidden/>
              </w:rPr>
            </w:r>
            <w:r>
              <w:rPr>
                <w:noProof/>
                <w:webHidden/>
              </w:rPr>
              <w:fldChar w:fldCharType="separate"/>
            </w:r>
            <w:r>
              <w:rPr>
                <w:noProof/>
                <w:webHidden/>
              </w:rPr>
              <w:t>316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85" w:history="1">
            <w:r>
              <w:rPr>
                <w:rStyle w:val="Hyperlink"/>
                <w:rFonts w:ascii="Times New Roman" w:hAnsi="Times New Roman" w:cs="Times New Roman"/>
                <w:noProof/>
                <w:lang w:val="en-IE"/>
                <w14:scene3d>
                  <w14:camera w14:prst="orthographicFront"/>
                  <w14:lightRig w14:rig="threePt" w14:dir="t">
                    <w14:rot w14:lat="0" w14:lon="0" w14:rev="0"/>
                  </w14:lightRig>
                </w14:scene3d>
              </w:rPr>
              <w:t>5.11.6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_Toc56944185 \</w:instrText>
            </w:r>
            <w:r>
              <w:rPr>
                <w:noProof/>
                <w:webHidden/>
              </w:rPr>
              <w:instrText xml:space="preserve">h </w:instrText>
            </w:r>
            <w:r>
              <w:rPr>
                <w:noProof/>
                <w:webHidden/>
              </w:rPr>
            </w:r>
            <w:r>
              <w:rPr>
                <w:noProof/>
                <w:webHidden/>
              </w:rPr>
              <w:fldChar w:fldCharType="separate"/>
            </w:r>
            <w:r>
              <w:rPr>
                <w:noProof/>
                <w:webHidden/>
              </w:rPr>
              <w:t>316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86" w:history="1">
            <w:r>
              <w:rPr>
                <w:rStyle w:val="Hyperlink"/>
                <w:rFonts w:ascii="Times New Roman" w:hAnsi="Times New Roman" w:cs="Times New Roman"/>
                <w:noProof/>
                <w:lang w:val="en-IE"/>
                <w14:scene3d>
                  <w14:camera w14:prst="orthographicFront"/>
                  <w14:lightRig w14:rig="threePt" w14:dir="t">
                    <w14:rot w14:lat="0" w14:lon="0" w14:rev="0"/>
                  </w14:lightRig>
                </w14:scene3d>
              </w:rPr>
              <w:t>5.11.7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_Toc56944186 \h </w:instrText>
            </w:r>
            <w:r>
              <w:rPr>
                <w:noProof/>
                <w:webHidden/>
              </w:rPr>
            </w:r>
            <w:r>
              <w:rPr>
                <w:noProof/>
                <w:webHidden/>
              </w:rPr>
              <w:fldChar w:fldCharType="separate"/>
            </w:r>
            <w:r>
              <w:rPr>
                <w:noProof/>
                <w:webHidden/>
              </w:rPr>
              <w:t>319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87" w:history="1">
            <w:r>
              <w:rPr>
                <w:rStyle w:val="Hyperlink"/>
                <w:rFonts w:ascii="Times New Roman" w:hAnsi="Times New Roman" w:cs="Times New Roman"/>
                <w:noProof/>
                <w:lang w:val="en-IE"/>
                <w14:scene3d>
                  <w14:camera w14:prst="orthographicFront"/>
                  <w14:lightRig w14:rig="threePt" w14:dir="t">
                    <w14:rot w14:lat="0" w14:lon="0" w14:rev="0"/>
                  </w14:lightRig>
                </w14:scene3d>
              </w:rPr>
              <w:t>5.11.8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_Toc56944187 \h </w:instrText>
            </w:r>
            <w:r>
              <w:rPr>
                <w:noProof/>
                <w:webHidden/>
              </w:rPr>
            </w:r>
            <w:r>
              <w:rPr>
                <w:noProof/>
                <w:webHidden/>
              </w:rPr>
              <w:fldChar w:fldCharType="separate"/>
            </w:r>
            <w:r>
              <w:rPr>
                <w:noProof/>
                <w:webHidden/>
              </w:rPr>
              <w:t>321</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88" w:history="1">
            <w:r>
              <w:rPr>
                <w:rStyle w:val="Hyperlink"/>
                <w:rFonts w:ascii="Times New Roman" w:hAnsi="Times New Roman" w:cs="Times New Roman"/>
                <w:noProof/>
                <w:lang w:val="en-IE"/>
              </w:rPr>
              <w:t>5.12</w:t>
            </w:r>
            <w:r>
              <w:rPr>
                <w:rFonts w:eastAsiaTheme="minorEastAsia"/>
                <w:noProof/>
                <w:lang w:eastAsia="en-GB"/>
              </w:rPr>
              <w:tab/>
            </w:r>
            <w:r>
              <w:rPr>
                <w:rStyle w:val="Hyperlink"/>
                <w:rFonts w:ascii="Times New Roman" w:hAnsi="Times New Roman" w:cs="Times New Roman"/>
                <w:noProof/>
                <w:lang w:val="en-IE"/>
              </w:rPr>
              <w:t>Italy (IT)</w:t>
            </w:r>
            <w:r>
              <w:rPr>
                <w:noProof/>
                <w:webHidden/>
              </w:rPr>
              <w:tab/>
            </w:r>
            <w:r>
              <w:rPr>
                <w:noProof/>
                <w:webHidden/>
              </w:rPr>
              <w:fldChar w:fldCharType="begin"/>
            </w:r>
            <w:r>
              <w:rPr>
                <w:noProof/>
                <w:webHidden/>
              </w:rPr>
              <w:instrText xml:space="preserve"> PAGEREF _Toc56944188 \h </w:instrText>
            </w:r>
            <w:r>
              <w:rPr>
                <w:noProof/>
                <w:webHidden/>
              </w:rPr>
            </w:r>
            <w:r>
              <w:rPr>
                <w:noProof/>
                <w:webHidden/>
              </w:rPr>
              <w:fldChar w:fldCharType="separate"/>
            </w:r>
            <w:r>
              <w:rPr>
                <w:noProof/>
                <w:webHidden/>
              </w:rPr>
              <w:t>322</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89" w:history="1">
            <w:r>
              <w:rPr>
                <w:rStyle w:val="Hyperlink"/>
                <w:rFonts w:ascii="Times New Roman" w:hAnsi="Times New Roman" w:cs="Times New Roman"/>
                <w:noProof/>
                <w:lang w:val="en-IE"/>
              </w:rPr>
              <w:t>5.13</w:t>
            </w:r>
            <w:r>
              <w:rPr>
                <w:rFonts w:eastAsiaTheme="minorEastAsia"/>
                <w:noProof/>
                <w:lang w:eastAsia="en-GB"/>
              </w:rPr>
              <w:tab/>
            </w:r>
            <w:r>
              <w:rPr>
                <w:rStyle w:val="Hyperlink"/>
                <w:rFonts w:ascii="Times New Roman" w:hAnsi="Times New Roman" w:cs="Times New Roman"/>
                <w:noProof/>
                <w:lang w:val="en-IE"/>
              </w:rPr>
              <w:t>Cyprus (CY)</w:t>
            </w:r>
            <w:r>
              <w:rPr>
                <w:noProof/>
                <w:webHidden/>
              </w:rPr>
              <w:tab/>
            </w:r>
            <w:r>
              <w:rPr>
                <w:noProof/>
                <w:webHidden/>
              </w:rPr>
              <w:fldChar w:fldCharType="begin"/>
            </w:r>
            <w:r>
              <w:rPr>
                <w:noProof/>
                <w:webHidden/>
              </w:rPr>
              <w:instrText xml:space="preserve"> PAGEREF _Toc56944189 \h </w:instrText>
            </w:r>
            <w:r>
              <w:rPr>
                <w:noProof/>
                <w:webHidden/>
              </w:rPr>
            </w:r>
            <w:r>
              <w:rPr>
                <w:noProof/>
                <w:webHidden/>
              </w:rPr>
              <w:fldChar w:fldCharType="separate"/>
            </w:r>
            <w:r>
              <w:rPr>
                <w:noProof/>
                <w:webHidden/>
              </w:rPr>
              <w:t>323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90" w:history="1">
            <w:r>
              <w:rPr>
                <w:rStyle w:val="Hyperlink"/>
                <w:rFonts w:ascii="Times New Roman" w:hAnsi="Times New Roman" w:cs="Times New Roman"/>
                <w:noProof/>
                <w:lang w:val="en-IE"/>
                <w14:scene3d>
                  <w14:camera w14:prst="orthographicFront"/>
                  <w14:lightRig w14:rig="threePt" w14:dir="t">
                    <w14:rot w14:lat="0" w14:lon="0" w14:rev="0"/>
                  </w14:lightRig>
                </w14:scene3d>
              </w:rPr>
              <w:t>5.13.1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_Toc56944190 \h </w:instrText>
            </w:r>
            <w:r>
              <w:rPr>
                <w:noProof/>
                <w:webHidden/>
              </w:rPr>
            </w:r>
            <w:r>
              <w:rPr>
                <w:noProof/>
                <w:webHidden/>
              </w:rPr>
              <w:fldChar w:fldCharType="separate"/>
            </w:r>
            <w:r>
              <w:rPr>
                <w:noProof/>
                <w:webHidden/>
              </w:rPr>
              <w:t>323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9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5.13.2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_Toc56944191 \h </w:instrText>
            </w:r>
            <w:r>
              <w:rPr>
                <w:noProof/>
                <w:webHidden/>
              </w:rPr>
            </w:r>
            <w:r>
              <w:rPr>
                <w:noProof/>
                <w:webHidden/>
              </w:rPr>
              <w:fldChar w:fldCharType="separate"/>
            </w:r>
            <w:r>
              <w:rPr>
                <w:noProof/>
                <w:webHidden/>
              </w:rPr>
              <w:t>325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92" w:history="1">
            <w:r>
              <w:rPr>
                <w:rStyle w:val="Hyperlink"/>
                <w:rFonts w:ascii="Times New Roman" w:hAnsi="Times New Roman" w:cs="Times New Roman"/>
                <w:noProof/>
                <w:lang w:val="fr-BE"/>
                <w14:scene3d>
                  <w14:camera w14:prst="orthographicFront"/>
                  <w14:lightRig w14:rig="threePt" w14:dir="t">
                    <w14:rot w14:lat="0" w14:lon="0" w14:rev="0"/>
                  </w14:lightRig>
                </w14:scene3d>
              </w:rPr>
              <w:t>5.13.3</w:t>
            </w:r>
            <w:r>
              <w:rPr>
                <w:rFonts w:eastAsiaTheme="minorEastAsia"/>
                <w:noProof/>
                <w:lang w:eastAsia="en-GB"/>
              </w:rPr>
              <w:tab/>
            </w:r>
            <w:r>
              <w:rPr>
                <w:rStyle w:val="Hyperlink"/>
                <w:rFonts w:ascii="Times New Roman" w:hAnsi="Times New Roman" w:cs="Times New Roman"/>
                <w:noProof/>
                <w:lang w:val="fr-BE"/>
              </w:rPr>
              <w:t>Quantitative assessment: Vehicles and infrastructure</w:t>
            </w:r>
            <w:r>
              <w:rPr>
                <w:noProof/>
                <w:webHidden/>
              </w:rPr>
              <w:tab/>
            </w:r>
            <w:r>
              <w:rPr>
                <w:noProof/>
                <w:webHidden/>
              </w:rPr>
              <w:fldChar w:fldCharType="begin"/>
            </w:r>
            <w:r>
              <w:rPr>
                <w:noProof/>
                <w:webHidden/>
              </w:rPr>
              <w:instrText xml:space="preserve"> PAGEREF _Toc56944192 \h </w:instrText>
            </w:r>
            <w:r>
              <w:rPr>
                <w:noProof/>
                <w:webHidden/>
              </w:rPr>
            </w:r>
            <w:r>
              <w:rPr>
                <w:noProof/>
                <w:webHidden/>
              </w:rPr>
              <w:fldChar w:fldCharType="separate"/>
            </w:r>
            <w:r>
              <w:rPr>
                <w:noProof/>
                <w:webHidden/>
              </w:rPr>
              <w:t>326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93" w:history="1">
            <w:r>
              <w:rPr>
                <w:rStyle w:val="Hyperlink"/>
                <w:rFonts w:ascii="Times New Roman" w:hAnsi="Times New Roman" w:cs="Times New Roman"/>
                <w:noProof/>
                <w:lang w:val="en-IE"/>
                <w14:scene3d>
                  <w14:camera w14:prst="orthographicFront"/>
                  <w14:lightRig w14:rig="threePt" w14:dir="t">
                    <w14:rot w14:lat="0" w14:lon="0" w14:rev="0"/>
                  </w14:lightRig>
                </w14:scene3d>
              </w:rPr>
              <w:t>5.13.4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_Toc56944193 \h </w:instrText>
            </w:r>
            <w:r>
              <w:rPr>
                <w:noProof/>
                <w:webHidden/>
              </w:rPr>
            </w:r>
            <w:r>
              <w:rPr>
                <w:noProof/>
                <w:webHidden/>
              </w:rPr>
              <w:fldChar w:fldCharType="separate"/>
            </w:r>
            <w:r>
              <w:rPr>
                <w:noProof/>
                <w:webHidden/>
              </w:rPr>
              <w:t>331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94" w:history="1">
            <w:r>
              <w:rPr>
                <w:rStyle w:val="Hyperlink"/>
                <w:rFonts w:ascii="Times New Roman" w:hAnsi="Times New Roman" w:cs="Times New Roman"/>
                <w:noProof/>
                <w:lang w:val="en-IE"/>
                <w14:scene3d>
                  <w14:camera w14:prst="orthographicFront"/>
                  <w14:lightRig w14:rig="threePt" w14:dir="t">
                    <w14:rot w14:lat="0" w14:lon="0" w14:rev="0"/>
                  </w14:lightRig>
                </w14:scene3d>
              </w:rPr>
              <w:t>5.13.5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_Toc56944194 \h </w:instrText>
            </w:r>
            <w:r>
              <w:rPr>
                <w:noProof/>
                <w:webHidden/>
              </w:rPr>
            </w:r>
            <w:r>
              <w:rPr>
                <w:noProof/>
                <w:webHidden/>
              </w:rPr>
              <w:fldChar w:fldCharType="separate"/>
            </w:r>
            <w:r>
              <w:rPr>
                <w:noProof/>
                <w:webHidden/>
              </w:rPr>
              <w:t>334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95" w:history="1">
            <w:r>
              <w:rPr>
                <w:rStyle w:val="Hyperlink"/>
                <w:rFonts w:ascii="Times New Roman" w:hAnsi="Times New Roman" w:cs="Times New Roman"/>
                <w:noProof/>
                <w:lang w:val="en-IE"/>
                <w14:scene3d>
                  <w14:camera w14:prst="orthographicFront"/>
                  <w14:lightRig w14:rig="threePt" w14:dir="t">
                    <w14:rot w14:lat="0" w14:lon="0" w14:rev="0"/>
                  </w14:lightRig>
                </w14:scene3d>
              </w:rPr>
              <w:t>5.13.6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_Toc56944195 \h </w:instrText>
            </w:r>
            <w:r>
              <w:rPr>
                <w:noProof/>
                <w:webHidden/>
              </w:rPr>
            </w:r>
            <w:r>
              <w:rPr>
                <w:noProof/>
                <w:webHidden/>
              </w:rPr>
              <w:fldChar w:fldCharType="separate"/>
            </w:r>
            <w:r>
              <w:rPr>
                <w:noProof/>
                <w:webHidden/>
              </w:rPr>
              <w:t>335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96" w:history="1">
            <w:r>
              <w:rPr>
                <w:rStyle w:val="Hyperlink"/>
                <w:rFonts w:ascii="Times New Roman" w:hAnsi="Times New Roman" w:cs="Times New Roman"/>
                <w:noProof/>
                <w:lang w:val="en-IE"/>
                <w14:scene3d>
                  <w14:camera w14:prst="orthographicFront"/>
                  <w14:lightRig w14:rig="threePt" w14:dir="t">
                    <w14:rot w14:lat="0" w14:lon="0" w14:rev="0"/>
                  </w14:lightRig>
                </w14:scene3d>
              </w:rPr>
              <w:t>5.13.7</w:t>
            </w:r>
            <w:r>
              <w:rPr>
                <w:rFonts w:eastAsiaTheme="minorEastAsia"/>
                <w:noProof/>
                <w:lang w:eastAsia="en-GB"/>
              </w:rPr>
              <w:tab/>
            </w:r>
            <w:r>
              <w:rPr>
                <w:rStyle w:val="Hyperlink"/>
                <w:rFonts w:ascii="Times New Roman" w:hAnsi="Times New Roman" w:cs="Times New Roman"/>
                <w:noProof/>
                <w:lang w:val="en-IE"/>
              </w:rPr>
              <w:t>Final remar</w:t>
            </w:r>
            <w:r>
              <w:rPr>
                <w:rStyle w:val="Hyperlink"/>
                <w:rFonts w:ascii="Times New Roman" w:hAnsi="Times New Roman" w:cs="Times New Roman"/>
                <w:noProof/>
                <w:lang w:val="en-IE"/>
              </w:rPr>
              <w:t>ks</w:t>
            </w:r>
            <w:r>
              <w:rPr>
                <w:noProof/>
                <w:webHidden/>
              </w:rPr>
              <w:tab/>
            </w:r>
            <w:r>
              <w:rPr>
                <w:noProof/>
                <w:webHidden/>
              </w:rPr>
              <w:fldChar w:fldCharType="begin"/>
            </w:r>
            <w:r>
              <w:rPr>
                <w:noProof/>
                <w:webHidden/>
              </w:rPr>
              <w:instrText xml:space="preserve"> PAGEREF _Toc56944196 \h </w:instrText>
            </w:r>
            <w:r>
              <w:rPr>
                <w:noProof/>
                <w:webHidden/>
              </w:rPr>
            </w:r>
            <w:r>
              <w:rPr>
                <w:noProof/>
                <w:webHidden/>
              </w:rPr>
              <w:fldChar w:fldCharType="separate"/>
            </w:r>
            <w:r>
              <w:rPr>
                <w:noProof/>
                <w:webHidden/>
              </w:rPr>
              <w:t>337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97" w:history="1">
            <w:r>
              <w:rPr>
                <w:rStyle w:val="Hyperlink"/>
                <w:rFonts w:ascii="Times New Roman" w:hAnsi="Times New Roman" w:cs="Times New Roman"/>
                <w:noProof/>
                <w:lang w:val="en-IE"/>
                <w14:scene3d>
                  <w14:camera w14:prst="orthographicFront"/>
                  <w14:lightRig w14:rig="threePt" w14:dir="t">
                    <w14:rot w14:lat="0" w14:lon="0" w14:rev="0"/>
                  </w14:lightRig>
                </w14:scene3d>
              </w:rPr>
              <w:t>5.13.8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_Toc56944197 \h </w:instrText>
            </w:r>
            <w:r>
              <w:rPr>
                <w:noProof/>
                <w:webHidden/>
              </w:rPr>
            </w:r>
            <w:r>
              <w:rPr>
                <w:noProof/>
                <w:webHidden/>
              </w:rPr>
              <w:fldChar w:fldCharType="separate"/>
            </w:r>
            <w:r>
              <w:rPr>
                <w:noProof/>
                <w:webHidden/>
              </w:rPr>
              <w:t>339</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198" w:history="1">
            <w:r>
              <w:rPr>
                <w:rStyle w:val="Hyperlink"/>
                <w:rFonts w:ascii="Times New Roman" w:hAnsi="Times New Roman" w:cs="Times New Roman"/>
                <w:noProof/>
                <w:lang w:val="en-IE"/>
              </w:rPr>
              <w:t>5.14</w:t>
            </w:r>
            <w:r>
              <w:rPr>
                <w:rFonts w:eastAsiaTheme="minorEastAsia"/>
                <w:noProof/>
                <w:lang w:eastAsia="en-GB"/>
              </w:rPr>
              <w:tab/>
            </w:r>
            <w:r>
              <w:rPr>
                <w:rStyle w:val="Hyperlink"/>
                <w:rFonts w:ascii="Times New Roman" w:hAnsi="Times New Roman" w:cs="Times New Roman"/>
                <w:noProof/>
                <w:lang w:val="en-IE"/>
              </w:rPr>
              <w:t>Latvia (LV)</w:t>
            </w:r>
            <w:r>
              <w:rPr>
                <w:noProof/>
                <w:webHidden/>
              </w:rPr>
              <w:tab/>
            </w:r>
            <w:r>
              <w:rPr>
                <w:noProof/>
                <w:webHidden/>
              </w:rPr>
              <w:fldChar w:fldCharType="begin"/>
            </w:r>
            <w:r>
              <w:rPr>
                <w:noProof/>
                <w:webHidden/>
              </w:rPr>
              <w:instrText xml:space="preserve"> PAGEREF _Toc56944198 \h </w:instrText>
            </w:r>
            <w:r>
              <w:rPr>
                <w:noProof/>
                <w:webHidden/>
              </w:rPr>
            </w:r>
            <w:r>
              <w:rPr>
                <w:noProof/>
                <w:webHidden/>
              </w:rPr>
              <w:fldChar w:fldCharType="separate"/>
            </w:r>
            <w:r>
              <w:rPr>
                <w:noProof/>
                <w:webHidden/>
              </w:rPr>
              <w:t>340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199" w:history="1">
            <w:r>
              <w:rPr>
                <w:rStyle w:val="Hyperlink"/>
                <w:rFonts w:ascii="Times New Roman" w:hAnsi="Times New Roman" w:cs="Times New Roman"/>
                <w:noProof/>
                <w:lang w:val="en-IE"/>
                <w14:scene3d>
                  <w14:camera w14:prst="orthographicFront"/>
                  <w14:lightRig w14:rig="threePt" w14:dir="t">
                    <w14:rot w14:lat="0" w14:lon="0" w14:rev="0"/>
                  </w14:lightRig>
                </w14:scene3d>
              </w:rPr>
              <w:t>5.14.1</w:t>
            </w:r>
            <w:r>
              <w:rPr>
                <w:rFonts w:eastAsiaTheme="minorEastAsia"/>
                <w:noProof/>
                <w:lang w:eastAsia="en-GB"/>
              </w:rPr>
              <w:tab/>
            </w:r>
            <w:r>
              <w:rPr>
                <w:rStyle w:val="Hyperlink"/>
                <w:rFonts w:ascii="Times New Roman" w:hAnsi="Times New Roman" w:cs="Times New Roman"/>
                <w:noProof/>
                <w:lang w:val="en-IE"/>
              </w:rPr>
              <w:t>Main mess</w:t>
            </w:r>
            <w:r>
              <w:rPr>
                <w:rStyle w:val="Hyperlink"/>
                <w:rFonts w:ascii="Times New Roman" w:hAnsi="Times New Roman" w:cs="Times New Roman"/>
                <w:noProof/>
                <w:lang w:val="en-IE"/>
              </w:rPr>
              <w:t>ages from the Commission assessment of the NPF</w:t>
            </w:r>
            <w:r>
              <w:rPr>
                <w:noProof/>
                <w:webHidden/>
              </w:rPr>
              <w:tab/>
            </w:r>
            <w:r>
              <w:rPr>
                <w:noProof/>
                <w:webHidden/>
              </w:rPr>
              <w:fldChar w:fldCharType="begin"/>
            </w:r>
            <w:r>
              <w:rPr>
                <w:noProof/>
                <w:webHidden/>
              </w:rPr>
              <w:instrText xml:space="preserve"> PAGEREF _Toc56944199 \h </w:instrText>
            </w:r>
            <w:r>
              <w:rPr>
                <w:noProof/>
                <w:webHidden/>
              </w:rPr>
            </w:r>
            <w:r>
              <w:rPr>
                <w:noProof/>
                <w:webHidden/>
              </w:rPr>
              <w:fldChar w:fldCharType="separate"/>
            </w:r>
            <w:r>
              <w:rPr>
                <w:noProof/>
                <w:webHidden/>
              </w:rPr>
              <w:t>340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00" w:history="1">
            <w:r>
              <w:rPr>
                <w:rStyle w:val="Hyperlink"/>
                <w:rFonts w:ascii="Times New Roman" w:hAnsi="Times New Roman" w:cs="Times New Roman"/>
                <w:noProof/>
                <w:lang w:val="en-IE"/>
                <w14:scene3d>
                  <w14:camera w14:prst="orthographicFront"/>
                  <w14:lightRig w14:rig="threePt" w14:dir="t">
                    <w14:rot w14:lat="0" w14:lon="0" w14:rev="0"/>
                  </w14:lightRig>
                </w14:scene3d>
              </w:rPr>
              <w:t>5.14.2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w:instrText>
            </w:r>
            <w:r>
              <w:rPr>
                <w:noProof/>
                <w:webHidden/>
              </w:rPr>
              <w:instrText xml:space="preserve"> _Toc56944200 \h </w:instrText>
            </w:r>
            <w:r>
              <w:rPr>
                <w:noProof/>
                <w:webHidden/>
              </w:rPr>
            </w:r>
            <w:r>
              <w:rPr>
                <w:noProof/>
                <w:webHidden/>
              </w:rPr>
              <w:fldChar w:fldCharType="separate"/>
            </w:r>
            <w:r>
              <w:rPr>
                <w:noProof/>
                <w:webHidden/>
              </w:rPr>
              <w:t>341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0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5.14.3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_Toc56944201 \h </w:instrText>
            </w:r>
            <w:r>
              <w:rPr>
                <w:noProof/>
                <w:webHidden/>
              </w:rPr>
            </w:r>
            <w:r>
              <w:rPr>
                <w:noProof/>
                <w:webHidden/>
              </w:rPr>
              <w:fldChar w:fldCharType="separate"/>
            </w:r>
            <w:r>
              <w:rPr>
                <w:noProof/>
                <w:webHidden/>
              </w:rPr>
              <w:t>342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02" w:history="1">
            <w:r>
              <w:rPr>
                <w:rStyle w:val="Hyperlink"/>
                <w:rFonts w:ascii="Times New Roman" w:hAnsi="Times New Roman" w:cs="Times New Roman"/>
                <w:noProof/>
                <w:lang w:val="en-IE"/>
                <w14:scene3d>
                  <w14:camera w14:prst="orthographicFront"/>
                  <w14:lightRig w14:rig="threePt" w14:dir="t">
                    <w14:rot w14:lat="0" w14:lon="0" w14:rev="0"/>
                  </w14:lightRig>
                </w14:scene3d>
              </w:rPr>
              <w:t>5.14.4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_Toc56944202 \h </w:instrText>
            </w:r>
            <w:r>
              <w:rPr>
                <w:noProof/>
                <w:webHidden/>
              </w:rPr>
            </w:r>
            <w:r>
              <w:rPr>
                <w:noProof/>
                <w:webHidden/>
              </w:rPr>
              <w:fldChar w:fldCharType="separate"/>
            </w:r>
            <w:r>
              <w:rPr>
                <w:noProof/>
                <w:webHidden/>
              </w:rPr>
              <w:t>348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03" w:history="1">
            <w:r>
              <w:rPr>
                <w:rStyle w:val="Hyperlink"/>
                <w:rFonts w:ascii="Times New Roman" w:hAnsi="Times New Roman" w:cs="Times New Roman"/>
                <w:noProof/>
                <w:lang w:val="en-IE"/>
                <w14:scene3d>
                  <w14:camera w14:prst="orthographicFront"/>
                  <w14:lightRig w14:rig="threePt" w14:dir="t">
                    <w14:rot w14:lat="0" w14:lon="0" w14:rev="0"/>
                  </w14:lightRig>
                </w14:scene3d>
              </w:rPr>
              <w:t>5.14.5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_Toc56944203 \h </w:instrText>
            </w:r>
            <w:r>
              <w:rPr>
                <w:noProof/>
                <w:webHidden/>
              </w:rPr>
            </w:r>
            <w:r>
              <w:rPr>
                <w:noProof/>
                <w:webHidden/>
              </w:rPr>
              <w:fldChar w:fldCharType="separate"/>
            </w:r>
            <w:r>
              <w:rPr>
                <w:noProof/>
                <w:webHidden/>
              </w:rPr>
              <w:t>351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04" w:history="1">
            <w:r>
              <w:rPr>
                <w:rStyle w:val="Hyperlink"/>
                <w:rFonts w:ascii="Times New Roman" w:hAnsi="Times New Roman" w:cs="Times New Roman"/>
                <w:noProof/>
                <w:lang w:val="en-IE"/>
                <w14:scene3d>
                  <w14:camera w14:prst="orthographicFront"/>
                  <w14:lightRig w14:rig="threePt" w14:dir="t">
                    <w14:rot w14:lat="0" w14:lon="0" w14:rev="0"/>
                  </w14:lightRig>
                </w14:scene3d>
              </w:rPr>
              <w:t>5.14.6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_Toc56944204 \h </w:instrText>
            </w:r>
            <w:r>
              <w:rPr>
                <w:noProof/>
                <w:webHidden/>
              </w:rPr>
            </w:r>
            <w:r>
              <w:rPr>
                <w:noProof/>
                <w:webHidden/>
              </w:rPr>
              <w:fldChar w:fldCharType="separate"/>
            </w:r>
            <w:r>
              <w:rPr>
                <w:noProof/>
                <w:webHidden/>
              </w:rPr>
              <w:t>352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05" w:history="1">
            <w:r>
              <w:rPr>
                <w:rStyle w:val="Hyperlink"/>
                <w:rFonts w:ascii="Times New Roman" w:hAnsi="Times New Roman" w:cs="Times New Roman"/>
                <w:noProof/>
                <w:lang w:val="en-IE"/>
                <w14:scene3d>
                  <w14:camera w14:prst="orthographicFront"/>
                  <w14:lightRig w14:rig="threePt" w14:dir="t">
                    <w14:rot w14:lat="0" w14:lon="0" w14:rev="0"/>
                  </w14:lightRig>
                </w14:scene3d>
              </w:rPr>
              <w:t>5.14.7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_Toc56944205 \h </w:instrText>
            </w:r>
            <w:r>
              <w:rPr>
                <w:noProof/>
                <w:webHidden/>
              </w:rPr>
            </w:r>
            <w:r>
              <w:rPr>
                <w:noProof/>
                <w:webHidden/>
              </w:rPr>
              <w:fldChar w:fldCharType="separate"/>
            </w:r>
            <w:r>
              <w:rPr>
                <w:noProof/>
                <w:webHidden/>
              </w:rPr>
              <w:t>354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06" w:history="1">
            <w:r>
              <w:rPr>
                <w:rStyle w:val="Hyperlink"/>
                <w:rFonts w:ascii="Times New Roman" w:hAnsi="Times New Roman" w:cs="Times New Roman"/>
                <w:noProof/>
                <w:lang w:val="en-IE"/>
                <w14:scene3d>
                  <w14:camera w14:prst="orthographicFront"/>
                  <w14:lightRig w14:rig="threePt" w14:dir="t">
                    <w14:rot w14:lat="0" w14:lon="0" w14:rev="0"/>
                  </w14:lightRig>
                </w14:scene3d>
              </w:rPr>
              <w:t>5.14.8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_Toc56944206 \h </w:instrText>
            </w:r>
            <w:r>
              <w:rPr>
                <w:noProof/>
                <w:webHidden/>
              </w:rPr>
            </w:r>
            <w:r>
              <w:rPr>
                <w:noProof/>
                <w:webHidden/>
              </w:rPr>
              <w:fldChar w:fldCharType="separate"/>
            </w:r>
            <w:r>
              <w:rPr>
                <w:noProof/>
                <w:webHidden/>
              </w:rPr>
              <w:t>356</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207" w:history="1">
            <w:r>
              <w:rPr>
                <w:rStyle w:val="Hyperlink"/>
                <w:rFonts w:ascii="Times New Roman" w:hAnsi="Times New Roman" w:cs="Times New Roman"/>
                <w:noProof/>
                <w:lang w:val="en-IE"/>
              </w:rPr>
              <w:t>5.15</w:t>
            </w:r>
            <w:r>
              <w:rPr>
                <w:rFonts w:eastAsiaTheme="minorEastAsia"/>
                <w:noProof/>
                <w:lang w:eastAsia="en-GB"/>
              </w:rPr>
              <w:tab/>
            </w:r>
            <w:r>
              <w:rPr>
                <w:rStyle w:val="Hyperlink"/>
                <w:rFonts w:ascii="Times New Roman" w:hAnsi="Times New Roman" w:cs="Times New Roman"/>
                <w:noProof/>
                <w:lang w:val="en-IE"/>
              </w:rPr>
              <w:t>Lithuania (LT)</w:t>
            </w:r>
            <w:r>
              <w:rPr>
                <w:noProof/>
                <w:webHidden/>
              </w:rPr>
              <w:tab/>
            </w:r>
            <w:r>
              <w:rPr>
                <w:noProof/>
                <w:webHidden/>
              </w:rPr>
              <w:fldChar w:fldCharType="begin"/>
            </w:r>
            <w:r>
              <w:rPr>
                <w:noProof/>
                <w:webHidden/>
              </w:rPr>
              <w:instrText xml:space="preserve"> PAGEREF _Toc56944207 \h </w:instrText>
            </w:r>
            <w:r>
              <w:rPr>
                <w:noProof/>
                <w:webHidden/>
              </w:rPr>
            </w:r>
            <w:r>
              <w:rPr>
                <w:noProof/>
                <w:webHidden/>
              </w:rPr>
              <w:fldChar w:fldCharType="separate"/>
            </w:r>
            <w:r>
              <w:rPr>
                <w:noProof/>
                <w:webHidden/>
              </w:rPr>
              <w:t>357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08" w:history="1">
            <w:r>
              <w:rPr>
                <w:rStyle w:val="Hyperlink"/>
                <w:rFonts w:ascii="Times New Roman" w:hAnsi="Times New Roman" w:cs="Times New Roman"/>
                <w:noProof/>
                <w:lang w:val="en-IE"/>
                <w14:scene3d>
                  <w14:camera w14:prst="orthographicFront"/>
                  <w14:lightRig w14:rig="threePt" w14:dir="t">
                    <w14:rot w14:lat="0" w14:lon="0" w14:rev="0"/>
                  </w14:lightRig>
                </w14:scene3d>
              </w:rPr>
              <w:t>5.15.1</w:t>
            </w:r>
            <w:r>
              <w:rPr>
                <w:rFonts w:eastAsiaTheme="minorEastAsia"/>
                <w:noProof/>
                <w:lang w:eastAsia="en-GB"/>
              </w:rPr>
              <w:tab/>
            </w:r>
            <w:r>
              <w:rPr>
                <w:rStyle w:val="Hyperlink"/>
                <w:rFonts w:ascii="Times New Roman" w:hAnsi="Times New Roman" w:cs="Times New Roman"/>
                <w:noProof/>
                <w:lang w:val="en-IE"/>
              </w:rPr>
              <w:t xml:space="preserve">Main </w:t>
            </w:r>
            <w:r>
              <w:rPr>
                <w:rStyle w:val="Hyperlink"/>
                <w:rFonts w:ascii="Times New Roman" w:hAnsi="Times New Roman" w:cs="Times New Roman"/>
                <w:noProof/>
                <w:lang w:val="en-IE"/>
              </w:rPr>
              <w:t>messages from the Commission assessment of the NPF</w:t>
            </w:r>
            <w:r>
              <w:rPr>
                <w:noProof/>
                <w:webHidden/>
              </w:rPr>
              <w:tab/>
            </w:r>
            <w:r>
              <w:rPr>
                <w:noProof/>
                <w:webHidden/>
              </w:rPr>
              <w:fldChar w:fldCharType="begin"/>
            </w:r>
            <w:r>
              <w:rPr>
                <w:noProof/>
                <w:webHidden/>
              </w:rPr>
              <w:instrText xml:space="preserve"> PAGEREF _Toc56944208 \h </w:instrText>
            </w:r>
            <w:r>
              <w:rPr>
                <w:noProof/>
                <w:webHidden/>
              </w:rPr>
            </w:r>
            <w:r>
              <w:rPr>
                <w:noProof/>
                <w:webHidden/>
              </w:rPr>
              <w:fldChar w:fldCharType="separate"/>
            </w:r>
            <w:r>
              <w:rPr>
                <w:noProof/>
                <w:webHidden/>
              </w:rPr>
              <w:t>357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09" w:history="1">
            <w:r>
              <w:rPr>
                <w:rStyle w:val="Hyperlink"/>
                <w:rFonts w:ascii="Times New Roman" w:hAnsi="Times New Roman" w:cs="Times New Roman"/>
                <w:noProof/>
                <w:lang w:val="en-IE"/>
                <w14:scene3d>
                  <w14:camera w14:prst="orthographicFront"/>
                  <w14:lightRig w14:rig="threePt" w14:dir="t">
                    <w14:rot w14:lat="0" w14:lon="0" w14:rev="0"/>
                  </w14:lightRig>
                </w14:scene3d>
              </w:rPr>
              <w:t>5.15.2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w:instrText>
            </w:r>
            <w:r>
              <w:rPr>
                <w:noProof/>
                <w:webHidden/>
              </w:rPr>
              <w:instrText xml:space="preserve">EREF _Toc56944209 \h </w:instrText>
            </w:r>
            <w:r>
              <w:rPr>
                <w:noProof/>
                <w:webHidden/>
              </w:rPr>
            </w:r>
            <w:r>
              <w:rPr>
                <w:noProof/>
                <w:webHidden/>
              </w:rPr>
              <w:fldChar w:fldCharType="separate"/>
            </w:r>
            <w:r>
              <w:rPr>
                <w:noProof/>
                <w:webHidden/>
              </w:rPr>
              <w:t>358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10" w:history="1">
            <w:r>
              <w:rPr>
                <w:rStyle w:val="Hyperlink"/>
                <w:rFonts w:ascii="Times New Roman" w:hAnsi="Times New Roman" w:cs="Times New Roman"/>
                <w:noProof/>
                <w:lang w:val="en-IE"/>
                <w14:scene3d>
                  <w14:camera w14:prst="orthographicFront"/>
                  <w14:lightRig w14:rig="threePt" w14:dir="t">
                    <w14:rot w14:lat="0" w14:lon="0" w14:rev="0"/>
                  </w14:lightRig>
                </w14:scene3d>
              </w:rPr>
              <w:t>5.15.3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_Toc56944210 \h </w:instrText>
            </w:r>
            <w:r>
              <w:rPr>
                <w:noProof/>
                <w:webHidden/>
              </w:rPr>
            </w:r>
            <w:r>
              <w:rPr>
                <w:noProof/>
                <w:webHidden/>
              </w:rPr>
              <w:fldChar w:fldCharType="separate"/>
            </w:r>
            <w:r>
              <w:rPr>
                <w:noProof/>
                <w:webHidden/>
              </w:rPr>
              <w:t>359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1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5.15.4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_Toc56944211 \h </w:instrText>
            </w:r>
            <w:r>
              <w:rPr>
                <w:noProof/>
                <w:webHidden/>
              </w:rPr>
            </w:r>
            <w:r>
              <w:rPr>
                <w:noProof/>
                <w:webHidden/>
              </w:rPr>
              <w:fldChar w:fldCharType="separate"/>
            </w:r>
            <w:r>
              <w:rPr>
                <w:noProof/>
                <w:webHidden/>
              </w:rPr>
              <w:t>368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12" w:history="1">
            <w:r>
              <w:rPr>
                <w:rStyle w:val="Hyperlink"/>
                <w:rFonts w:ascii="Times New Roman" w:hAnsi="Times New Roman" w:cs="Times New Roman"/>
                <w:noProof/>
                <w:lang w:val="en-IE"/>
                <w14:scene3d>
                  <w14:camera w14:prst="orthographicFront"/>
                  <w14:lightRig w14:rig="threePt" w14:dir="t">
                    <w14:rot w14:lat="0" w14:lon="0" w14:rev="0"/>
                  </w14:lightRig>
                </w14:scene3d>
              </w:rPr>
              <w:t>5.15.5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_Toc56944212 \h </w:instrText>
            </w:r>
            <w:r>
              <w:rPr>
                <w:noProof/>
                <w:webHidden/>
              </w:rPr>
            </w:r>
            <w:r>
              <w:rPr>
                <w:noProof/>
                <w:webHidden/>
              </w:rPr>
              <w:fldChar w:fldCharType="separate"/>
            </w:r>
            <w:r>
              <w:rPr>
                <w:noProof/>
                <w:webHidden/>
              </w:rPr>
              <w:t>374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13" w:history="1">
            <w:r>
              <w:rPr>
                <w:rStyle w:val="Hyperlink"/>
                <w:rFonts w:ascii="Times New Roman" w:hAnsi="Times New Roman" w:cs="Times New Roman"/>
                <w:noProof/>
                <w:lang w:val="en-IE"/>
                <w14:scene3d>
                  <w14:camera w14:prst="orthographicFront"/>
                  <w14:lightRig w14:rig="threePt" w14:dir="t">
                    <w14:rot w14:lat="0" w14:lon="0" w14:rev="0"/>
                  </w14:lightRig>
                </w14:scene3d>
              </w:rPr>
              <w:t>5.15.6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_Toc56944213 \</w:instrText>
            </w:r>
            <w:r>
              <w:rPr>
                <w:noProof/>
                <w:webHidden/>
              </w:rPr>
              <w:instrText xml:space="preserve">h </w:instrText>
            </w:r>
            <w:r>
              <w:rPr>
                <w:noProof/>
                <w:webHidden/>
              </w:rPr>
            </w:r>
            <w:r>
              <w:rPr>
                <w:noProof/>
                <w:webHidden/>
              </w:rPr>
              <w:fldChar w:fldCharType="separate"/>
            </w:r>
            <w:r>
              <w:rPr>
                <w:noProof/>
                <w:webHidden/>
              </w:rPr>
              <w:t>374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14" w:history="1">
            <w:r>
              <w:rPr>
                <w:rStyle w:val="Hyperlink"/>
                <w:rFonts w:ascii="Times New Roman" w:hAnsi="Times New Roman" w:cs="Times New Roman"/>
                <w:noProof/>
                <w:lang w:val="en-IE"/>
                <w14:scene3d>
                  <w14:camera w14:prst="orthographicFront"/>
                  <w14:lightRig w14:rig="threePt" w14:dir="t">
                    <w14:rot w14:lat="0" w14:lon="0" w14:rev="0"/>
                  </w14:lightRig>
                </w14:scene3d>
              </w:rPr>
              <w:t>5.15.7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_Toc56944214 \h </w:instrText>
            </w:r>
            <w:r>
              <w:rPr>
                <w:noProof/>
                <w:webHidden/>
              </w:rPr>
            </w:r>
            <w:r>
              <w:rPr>
                <w:noProof/>
                <w:webHidden/>
              </w:rPr>
              <w:fldChar w:fldCharType="separate"/>
            </w:r>
            <w:r>
              <w:rPr>
                <w:noProof/>
                <w:webHidden/>
              </w:rPr>
              <w:t>378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15" w:history="1">
            <w:r>
              <w:rPr>
                <w:rStyle w:val="Hyperlink"/>
                <w:rFonts w:ascii="Times New Roman" w:hAnsi="Times New Roman" w:cs="Times New Roman"/>
                <w:noProof/>
                <w:lang w:val="en-IE"/>
                <w14:scene3d>
                  <w14:camera w14:prst="orthographicFront"/>
                  <w14:lightRig w14:rig="threePt" w14:dir="t">
                    <w14:rot w14:lat="0" w14:lon="0" w14:rev="0"/>
                  </w14:lightRig>
                </w14:scene3d>
              </w:rPr>
              <w:t>5.15.8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_Toc56944215 \h </w:instrText>
            </w:r>
            <w:r>
              <w:rPr>
                <w:noProof/>
                <w:webHidden/>
              </w:rPr>
            </w:r>
            <w:r>
              <w:rPr>
                <w:noProof/>
                <w:webHidden/>
              </w:rPr>
              <w:fldChar w:fldCharType="separate"/>
            </w:r>
            <w:r>
              <w:rPr>
                <w:noProof/>
                <w:webHidden/>
              </w:rPr>
              <w:t>380</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216" w:history="1">
            <w:r>
              <w:rPr>
                <w:rStyle w:val="Hyperlink"/>
                <w:rFonts w:ascii="Times New Roman" w:hAnsi="Times New Roman" w:cs="Times New Roman"/>
                <w:noProof/>
                <w:lang w:val="en-IE"/>
              </w:rPr>
              <w:t>5.16</w:t>
            </w:r>
            <w:r>
              <w:rPr>
                <w:rFonts w:eastAsiaTheme="minorEastAsia"/>
                <w:noProof/>
                <w:lang w:eastAsia="en-GB"/>
              </w:rPr>
              <w:tab/>
            </w:r>
            <w:r>
              <w:rPr>
                <w:rStyle w:val="Hyperlink"/>
                <w:rFonts w:ascii="Times New Roman" w:hAnsi="Times New Roman" w:cs="Times New Roman"/>
                <w:noProof/>
                <w:lang w:val="en-IE"/>
              </w:rPr>
              <w:t>Luxembourg (LU)</w:t>
            </w:r>
            <w:r>
              <w:rPr>
                <w:noProof/>
                <w:webHidden/>
              </w:rPr>
              <w:tab/>
            </w:r>
            <w:r>
              <w:rPr>
                <w:noProof/>
                <w:webHidden/>
              </w:rPr>
              <w:fldChar w:fldCharType="begin"/>
            </w:r>
            <w:r>
              <w:rPr>
                <w:noProof/>
                <w:webHidden/>
              </w:rPr>
              <w:instrText xml:space="preserve"> PAGEREF _Toc56944216 \h </w:instrText>
            </w:r>
            <w:r>
              <w:rPr>
                <w:noProof/>
                <w:webHidden/>
              </w:rPr>
            </w:r>
            <w:r>
              <w:rPr>
                <w:noProof/>
                <w:webHidden/>
              </w:rPr>
              <w:fldChar w:fldCharType="separate"/>
            </w:r>
            <w:r>
              <w:rPr>
                <w:noProof/>
                <w:webHidden/>
              </w:rPr>
              <w:t>381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17" w:history="1">
            <w:r>
              <w:rPr>
                <w:rStyle w:val="Hyperlink"/>
                <w:rFonts w:ascii="Times New Roman" w:hAnsi="Times New Roman" w:cs="Times New Roman"/>
                <w:noProof/>
                <w:lang w:val="en-IE"/>
                <w14:scene3d>
                  <w14:camera w14:prst="orthographicFront"/>
                  <w14:lightRig w14:rig="threePt" w14:dir="t">
                    <w14:rot w14:lat="0" w14:lon="0" w14:rev="0"/>
                  </w14:lightRig>
                </w14:scene3d>
              </w:rPr>
              <w:t>5.16.1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_Toc56944217 \h </w:instrText>
            </w:r>
            <w:r>
              <w:rPr>
                <w:noProof/>
                <w:webHidden/>
              </w:rPr>
            </w:r>
            <w:r>
              <w:rPr>
                <w:noProof/>
                <w:webHidden/>
              </w:rPr>
              <w:fldChar w:fldCharType="separate"/>
            </w:r>
            <w:r>
              <w:rPr>
                <w:noProof/>
                <w:webHidden/>
              </w:rPr>
              <w:t>381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18" w:history="1">
            <w:r>
              <w:rPr>
                <w:rStyle w:val="Hyperlink"/>
                <w:rFonts w:ascii="Times New Roman" w:hAnsi="Times New Roman" w:cs="Times New Roman"/>
                <w:noProof/>
                <w:lang w:val="en-IE"/>
                <w14:scene3d>
                  <w14:camera w14:prst="orthographicFront"/>
                  <w14:lightRig w14:rig="threePt" w14:dir="t">
                    <w14:rot w14:lat="0" w14:lon="0" w14:rev="0"/>
                  </w14:lightRig>
                </w14:scene3d>
              </w:rPr>
              <w:t>5.16.2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_Toc56944218 \h </w:instrText>
            </w:r>
            <w:r>
              <w:rPr>
                <w:noProof/>
                <w:webHidden/>
              </w:rPr>
            </w:r>
            <w:r>
              <w:rPr>
                <w:noProof/>
                <w:webHidden/>
              </w:rPr>
              <w:fldChar w:fldCharType="separate"/>
            </w:r>
            <w:r>
              <w:rPr>
                <w:noProof/>
                <w:webHidden/>
              </w:rPr>
              <w:t>383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19" w:history="1">
            <w:r>
              <w:rPr>
                <w:rStyle w:val="Hyperlink"/>
                <w:rFonts w:ascii="Times New Roman" w:hAnsi="Times New Roman" w:cs="Times New Roman"/>
                <w:noProof/>
                <w:lang w:val="en-IE"/>
                <w14:scene3d>
                  <w14:camera w14:prst="orthographicFront"/>
                  <w14:lightRig w14:rig="threePt" w14:dir="t">
                    <w14:rot w14:lat="0" w14:lon="0" w14:rev="0"/>
                  </w14:lightRig>
                </w14:scene3d>
              </w:rPr>
              <w:t>5.16.3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_Toc56944219 \h </w:instrText>
            </w:r>
            <w:r>
              <w:rPr>
                <w:noProof/>
                <w:webHidden/>
              </w:rPr>
            </w:r>
            <w:r>
              <w:rPr>
                <w:noProof/>
                <w:webHidden/>
              </w:rPr>
              <w:fldChar w:fldCharType="separate"/>
            </w:r>
            <w:r>
              <w:rPr>
                <w:noProof/>
                <w:webHidden/>
              </w:rPr>
              <w:t>385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20" w:history="1">
            <w:r>
              <w:rPr>
                <w:rStyle w:val="Hyperlink"/>
                <w:rFonts w:ascii="Times New Roman" w:hAnsi="Times New Roman" w:cs="Times New Roman"/>
                <w:noProof/>
                <w:lang w:val="en-IE"/>
                <w14:scene3d>
                  <w14:camera w14:prst="orthographicFront"/>
                  <w14:lightRig w14:rig="threePt" w14:dir="t">
                    <w14:rot w14:lat="0" w14:lon="0" w14:rev="0"/>
                  </w14:lightRig>
                </w14:scene3d>
              </w:rPr>
              <w:t>5.16.4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_Toc56944220 \h </w:instrText>
            </w:r>
            <w:r>
              <w:rPr>
                <w:noProof/>
                <w:webHidden/>
              </w:rPr>
            </w:r>
            <w:r>
              <w:rPr>
                <w:noProof/>
                <w:webHidden/>
              </w:rPr>
              <w:fldChar w:fldCharType="separate"/>
            </w:r>
            <w:r>
              <w:rPr>
                <w:noProof/>
                <w:webHidden/>
              </w:rPr>
              <w:t>391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2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5.16.5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w:t>
            </w:r>
            <w:r>
              <w:rPr>
                <w:rStyle w:val="Hyperlink"/>
                <w:rFonts w:ascii="Times New Roman" w:hAnsi="Times New Roman" w:cs="Times New Roman"/>
                <w:noProof/>
                <w:lang w:val="en-IE"/>
              </w:rPr>
              <w:t>ents</w:t>
            </w:r>
            <w:r>
              <w:rPr>
                <w:noProof/>
                <w:webHidden/>
              </w:rPr>
              <w:tab/>
            </w:r>
            <w:r>
              <w:rPr>
                <w:noProof/>
                <w:webHidden/>
              </w:rPr>
              <w:fldChar w:fldCharType="begin"/>
            </w:r>
            <w:r>
              <w:rPr>
                <w:noProof/>
                <w:webHidden/>
              </w:rPr>
              <w:instrText xml:space="preserve"> PAGEREF _Toc56944221 \h </w:instrText>
            </w:r>
            <w:r>
              <w:rPr>
                <w:noProof/>
                <w:webHidden/>
              </w:rPr>
            </w:r>
            <w:r>
              <w:rPr>
                <w:noProof/>
                <w:webHidden/>
              </w:rPr>
              <w:fldChar w:fldCharType="separate"/>
            </w:r>
            <w:r>
              <w:rPr>
                <w:noProof/>
                <w:webHidden/>
              </w:rPr>
              <w:t>394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22" w:history="1">
            <w:r>
              <w:rPr>
                <w:rStyle w:val="Hyperlink"/>
                <w:rFonts w:ascii="Times New Roman" w:hAnsi="Times New Roman" w:cs="Times New Roman"/>
                <w:noProof/>
                <w:lang w:val="en-IE"/>
                <w14:scene3d>
                  <w14:camera w14:prst="orthographicFront"/>
                  <w14:lightRig w14:rig="threePt" w14:dir="t">
                    <w14:rot w14:lat="0" w14:lon="0" w14:rev="0"/>
                  </w14:lightRig>
                </w14:scene3d>
              </w:rPr>
              <w:t>5.16.6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_Toc56944222 \h </w:instrText>
            </w:r>
            <w:r>
              <w:rPr>
                <w:noProof/>
                <w:webHidden/>
              </w:rPr>
            </w:r>
            <w:r>
              <w:rPr>
                <w:noProof/>
                <w:webHidden/>
              </w:rPr>
              <w:fldChar w:fldCharType="separate"/>
            </w:r>
            <w:r>
              <w:rPr>
                <w:noProof/>
                <w:webHidden/>
              </w:rPr>
              <w:t>395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23" w:history="1">
            <w:r>
              <w:rPr>
                <w:rStyle w:val="Hyperlink"/>
                <w:rFonts w:ascii="Times New Roman" w:hAnsi="Times New Roman" w:cs="Times New Roman"/>
                <w:noProof/>
                <w:lang w:val="en-IE"/>
                <w14:scene3d>
                  <w14:camera w14:prst="orthographicFront"/>
                  <w14:lightRig w14:rig="threePt" w14:dir="t">
                    <w14:rot w14:lat="0" w14:lon="0" w14:rev="0"/>
                  </w14:lightRig>
                </w14:scene3d>
              </w:rPr>
              <w:t>5.16.7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_Toc56944223 \h </w:instrText>
            </w:r>
            <w:r>
              <w:rPr>
                <w:noProof/>
                <w:webHidden/>
              </w:rPr>
            </w:r>
            <w:r>
              <w:rPr>
                <w:noProof/>
                <w:webHidden/>
              </w:rPr>
              <w:fldChar w:fldCharType="separate"/>
            </w:r>
            <w:r>
              <w:rPr>
                <w:noProof/>
                <w:webHidden/>
              </w:rPr>
              <w:t>397</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24" w:history="1">
            <w:r>
              <w:rPr>
                <w:rStyle w:val="Hyperlink"/>
                <w:rFonts w:ascii="Times New Roman" w:hAnsi="Times New Roman" w:cs="Times New Roman"/>
                <w:noProof/>
                <w:lang w:val="en-IE"/>
                <w14:scene3d>
                  <w14:camera w14:prst="orthographicFront"/>
                  <w14:lightRig w14:rig="threePt" w14:dir="t">
                    <w14:rot w14:lat="0" w14:lon="0" w14:rev="0"/>
                  </w14:lightRig>
                </w14:scene3d>
              </w:rPr>
              <w:t>5.16.8</w:t>
            </w:r>
            <w:r>
              <w:rPr>
                <w:rFonts w:eastAsiaTheme="minorEastAsia"/>
                <w:noProof/>
                <w:lang w:eastAsia="en-GB"/>
              </w:rPr>
              <w:tab/>
            </w:r>
            <w:r>
              <w:rPr>
                <w:rStyle w:val="Hyperlink"/>
                <w:rFonts w:ascii="Times New Roman" w:hAnsi="Times New Roman" w:cs="Times New Roman"/>
                <w:noProof/>
                <w:lang w:val="en-IE"/>
              </w:rPr>
              <w:t>ANNEX</w:t>
            </w:r>
            <w:r>
              <w:rPr>
                <w:rStyle w:val="Hyperlink"/>
                <w:rFonts w:ascii="Times New Roman" w:hAnsi="Times New Roman" w:cs="Times New Roman"/>
                <w:noProof/>
                <w:lang w:val="en-IE"/>
              </w:rPr>
              <w:t xml:space="preserve"> - Description of the Member State</w:t>
            </w:r>
            <w:r>
              <w:rPr>
                <w:noProof/>
                <w:webHidden/>
              </w:rPr>
              <w:tab/>
            </w:r>
            <w:r>
              <w:rPr>
                <w:noProof/>
                <w:webHidden/>
              </w:rPr>
              <w:fldChar w:fldCharType="begin"/>
            </w:r>
            <w:r>
              <w:rPr>
                <w:noProof/>
                <w:webHidden/>
              </w:rPr>
              <w:instrText xml:space="preserve"> PAGEREF _Toc56944224 \h </w:instrText>
            </w:r>
            <w:r>
              <w:rPr>
                <w:noProof/>
                <w:webHidden/>
              </w:rPr>
            </w:r>
            <w:r>
              <w:rPr>
                <w:noProof/>
                <w:webHidden/>
              </w:rPr>
              <w:fldChar w:fldCharType="separate"/>
            </w:r>
            <w:r>
              <w:rPr>
                <w:noProof/>
                <w:webHidden/>
              </w:rPr>
              <w:t>399</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225" w:history="1">
            <w:r>
              <w:rPr>
                <w:rStyle w:val="Hyperlink"/>
                <w:rFonts w:ascii="Times New Roman" w:hAnsi="Times New Roman" w:cs="Times New Roman"/>
                <w:noProof/>
                <w:lang w:val="en-IE"/>
              </w:rPr>
              <w:t>5.17</w:t>
            </w:r>
            <w:r>
              <w:rPr>
                <w:rFonts w:eastAsiaTheme="minorEastAsia"/>
                <w:noProof/>
                <w:lang w:eastAsia="en-GB"/>
              </w:rPr>
              <w:tab/>
            </w:r>
            <w:r>
              <w:rPr>
                <w:rStyle w:val="Hyperlink"/>
                <w:rFonts w:ascii="Times New Roman" w:hAnsi="Times New Roman" w:cs="Times New Roman"/>
                <w:noProof/>
                <w:lang w:val="en-IE"/>
              </w:rPr>
              <w:t>Hungary (HU)</w:t>
            </w:r>
            <w:r>
              <w:rPr>
                <w:noProof/>
                <w:webHidden/>
              </w:rPr>
              <w:tab/>
            </w:r>
            <w:r>
              <w:rPr>
                <w:noProof/>
                <w:webHidden/>
              </w:rPr>
              <w:fldChar w:fldCharType="begin"/>
            </w:r>
            <w:r>
              <w:rPr>
                <w:noProof/>
                <w:webHidden/>
              </w:rPr>
              <w:instrText xml:space="preserve"> PAGEREF _Toc56944225 \h </w:instrText>
            </w:r>
            <w:r>
              <w:rPr>
                <w:noProof/>
                <w:webHidden/>
              </w:rPr>
            </w:r>
            <w:r>
              <w:rPr>
                <w:noProof/>
                <w:webHidden/>
              </w:rPr>
              <w:fldChar w:fldCharType="separate"/>
            </w:r>
            <w:r>
              <w:rPr>
                <w:noProof/>
                <w:webHidden/>
              </w:rPr>
              <w:t>400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26" w:history="1">
            <w:r>
              <w:rPr>
                <w:rStyle w:val="Hyperlink"/>
                <w:rFonts w:ascii="Times New Roman" w:hAnsi="Times New Roman" w:cs="Times New Roman"/>
                <w:noProof/>
                <w:lang w:val="en-IE"/>
                <w14:scene3d>
                  <w14:camera w14:prst="orthographicFront"/>
                  <w14:lightRig w14:rig="threePt" w14:dir="t">
                    <w14:rot w14:lat="0" w14:lon="0" w14:rev="0"/>
                  </w14:lightRig>
                </w14:scene3d>
              </w:rPr>
              <w:t>5.17.1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_Toc56944226 \h </w:instrText>
            </w:r>
            <w:r>
              <w:rPr>
                <w:noProof/>
                <w:webHidden/>
              </w:rPr>
            </w:r>
            <w:r>
              <w:rPr>
                <w:noProof/>
                <w:webHidden/>
              </w:rPr>
              <w:fldChar w:fldCharType="separate"/>
            </w:r>
            <w:r>
              <w:rPr>
                <w:noProof/>
                <w:webHidden/>
              </w:rPr>
              <w:t>400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27" w:history="1">
            <w:r>
              <w:rPr>
                <w:rStyle w:val="Hyperlink"/>
                <w:rFonts w:ascii="Times New Roman" w:hAnsi="Times New Roman" w:cs="Times New Roman"/>
                <w:noProof/>
                <w:lang w:val="en-IE"/>
                <w14:scene3d>
                  <w14:camera w14:prst="orthographicFront"/>
                  <w14:lightRig w14:rig="threePt" w14:dir="t">
                    <w14:rot w14:lat="0" w14:lon="0" w14:rev="0"/>
                  </w14:lightRig>
                </w14:scene3d>
              </w:rPr>
              <w:t>5.17.2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_Toc56944227 \h </w:instrText>
            </w:r>
            <w:r>
              <w:rPr>
                <w:noProof/>
                <w:webHidden/>
              </w:rPr>
            </w:r>
            <w:r>
              <w:rPr>
                <w:noProof/>
                <w:webHidden/>
              </w:rPr>
              <w:fldChar w:fldCharType="separate"/>
            </w:r>
            <w:r>
              <w:rPr>
                <w:noProof/>
                <w:webHidden/>
              </w:rPr>
              <w:t>401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28" w:history="1">
            <w:r>
              <w:rPr>
                <w:rStyle w:val="Hyperlink"/>
                <w:rFonts w:ascii="Times New Roman" w:hAnsi="Times New Roman" w:cs="Times New Roman"/>
                <w:noProof/>
                <w:lang w:val="en-IE"/>
                <w14:scene3d>
                  <w14:camera w14:prst="orthographicFront"/>
                  <w14:lightRig w14:rig="threePt" w14:dir="t">
                    <w14:rot w14:lat="0" w14:lon="0" w14:rev="0"/>
                  </w14:lightRig>
                </w14:scene3d>
              </w:rPr>
              <w:t>5.17.3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_Toc56944228 \h </w:instrText>
            </w:r>
            <w:r>
              <w:rPr>
                <w:noProof/>
                <w:webHidden/>
              </w:rPr>
            </w:r>
            <w:r>
              <w:rPr>
                <w:noProof/>
                <w:webHidden/>
              </w:rPr>
              <w:fldChar w:fldCharType="separate"/>
            </w:r>
            <w:r>
              <w:rPr>
                <w:noProof/>
                <w:webHidden/>
              </w:rPr>
              <w:t>402</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29" w:history="1">
            <w:r>
              <w:rPr>
                <w:rStyle w:val="Hyperlink"/>
                <w:rFonts w:ascii="Times New Roman" w:hAnsi="Times New Roman" w:cs="Times New Roman"/>
                <w:noProof/>
                <w:lang w:val="en-IE"/>
                <w14:scene3d>
                  <w14:camera w14:prst="orthographicFront"/>
                  <w14:lightRig w14:rig="threePt" w14:dir="t">
                    <w14:rot w14:lat="0" w14:lon="0" w14:rev="0"/>
                  </w14:lightRig>
                </w14:scene3d>
              </w:rPr>
              <w:t>5.17.4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_Toc56944229 \h </w:instrText>
            </w:r>
            <w:r>
              <w:rPr>
                <w:noProof/>
                <w:webHidden/>
              </w:rPr>
            </w:r>
            <w:r>
              <w:rPr>
                <w:noProof/>
                <w:webHidden/>
              </w:rPr>
              <w:fldChar w:fldCharType="separate"/>
            </w:r>
            <w:r>
              <w:rPr>
                <w:noProof/>
                <w:webHidden/>
              </w:rPr>
              <w:t>410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30" w:history="1">
            <w:r>
              <w:rPr>
                <w:rStyle w:val="Hyperlink"/>
                <w:rFonts w:ascii="Times New Roman" w:hAnsi="Times New Roman" w:cs="Times New Roman"/>
                <w:noProof/>
                <w:lang w:val="en-IE"/>
                <w14:scene3d>
                  <w14:camera w14:prst="orthographicFront"/>
                  <w14:lightRig w14:rig="threePt" w14:dir="t">
                    <w14:rot w14:lat="0" w14:lon="0" w14:rev="0"/>
                  </w14:lightRig>
                </w14:scene3d>
              </w:rPr>
              <w:t>5.17.5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_Toc56944230 \h </w:instrText>
            </w:r>
            <w:r>
              <w:rPr>
                <w:noProof/>
                <w:webHidden/>
              </w:rPr>
            </w:r>
            <w:r>
              <w:rPr>
                <w:noProof/>
                <w:webHidden/>
              </w:rPr>
              <w:fldChar w:fldCharType="separate"/>
            </w:r>
            <w:r>
              <w:rPr>
                <w:noProof/>
                <w:webHidden/>
              </w:rPr>
              <w:t>413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3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5.17.6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_Toc56944231 \h </w:instrText>
            </w:r>
            <w:r>
              <w:rPr>
                <w:noProof/>
                <w:webHidden/>
              </w:rPr>
            </w:r>
            <w:r>
              <w:rPr>
                <w:noProof/>
                <w:webHidden/>
              </w:rPr>
              <w:fldChar w:fldCharType="separate"/>
            </w:r>
            <w:r>
              <w:rPr>
                <w:noProof/>
                <w:webHidden/>
              </w:rPr>
              <w:t>415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32" w:history="1">
            <w:r>
              <w:rPr>
                <w:rStyle w:val="Hyperlink"/>
                <w:rFonts w:ascii="Times New Roman" w:hAnsi="Times New Roman" w:cs="Times New Roman"/>
                <w:noProof/>
                <w:lang w:val="en-IE"/>
                <w14:scene3d>
                  <w14:camera w14:prst="orthographicFront"/>
                  <w14:lightRig w14:rig="threePt" w14:dir="t">
                    <w14:rot w14:lat="0" w14:lon="0" w14:rev="0"/>
                  </w14:lightRig>
                </w14:scene3d>
              </w:rPr>
              <w:t>5.17.7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_Toc56944232 \h </w:instrText>
            </w:r>
            <w:r>
              <w:rPr>
                <w:noProof/>
                <w:webHidden/>
              </w:rPr>
            </w:r>
            <w:r>
              <w:rPr>
                <w:noProof/>
                <w:webHidden/>
              </w:rPr>
              <w:fldChar w:fldCharType="separate"/>
            </w:r>
            <w:r>
              <w:rPr>
                <w:noProof/>
                <w:webHidden/>
              </w:rPr>
              <w:t>418</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33" w:history="1">
            <w:r>
              <w:rPr>
                <w:rStyle w:val="Hyperlink"/>
                <w:rFonts w:ascii="Times New Roman" w:hAnsi="Times New Roman" w:cs="Times New Roman"/>
                <w:noProof/>
                <w:lang w:val="en-IE"/>
                <w14:scene3d>
                  <w14:camera w14:prst="orthographicFront"/>
                  <w14:lightRig w14:rig="threePt" w14:dir="t">
                    <w14:rot w14:lat="0" w14:lon="0" w14:rev="0"/>
                  </w14:lightRig>
                </w14:scene3d>
              </w:rPr>
              <w:t>5.17.8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_Toc56944233 \h </w:instrText>
            </w:r>
            <w:r>
              <w:rPr>
                <w:noProof/>
                <w:webHidden/>
              </w:rPr>
            </w:r>
            <w:r>
              <w:rPr>
                <w:noProof/>
                <w:webHidden/>
              </w:rPr>
              <w:fldChar w:fldCharType="separate"/>
            </w:r>
            <w:r>
              <w:rPr>
                <w:noProof/>
                <w:webHidden/>
              </w:rPr>
              <w:t>420</w:t>
            </w:r>
            <w:r>
              <w:rPr>
                <w:noProof/>
                <w:webHidden/>
              </w:rPr>
              <w:fldChar w:fldCharType="end"/>
            </w:r>
          </w:hyperlink>
        </w:p>
        <w:p w:rsidR="003C43BF" w:rsidRDefault="006C3212">
          <w:pPr>
            <w:pStyle w:val="TOC2"/>
            <w:tabs>
              <w:tab w:val="left" w:pos="880"/>
              <w:tab w:val="right" w:leader="dot" w:pos="9062"/>
            </w:tabs>
            <w:rPr>
              <w:rFonts w:eastAsiaTheme="minorEastAsia"/>
              <w:noProof/>
              <w:lang w:eastAsia="en-GB"/>
            </w:rPr>
          </w:pPr>
          <w:hyperlink w:anchor="_Toc56944234" w:history="1">
            <w:r>
              <w:rPr>
                <w:rStyle w:val="Hyperlink"/>
                <w:rFonts w:ascii="Times New Roman" w:hAnsi="Times New Roman" w:cs="Times New Roman"/>
                <w:noProof/>
                <w:lang w:val="en-IE"/>
              </w:rPr>
              <w:t>5.18</w:t>
            </w:r>
            <w:r>
              <w:rPr>
                <w:rFonts w:eastAsiaTheme="minorEastAsia"/>
                <w:noProof/>
                <w:lang w:eastAsia="en-GB"/>
              </w:rPr>
              <w:tab/>
            </w:r>
            <w:r>
              <w:rPr>
                <w:rStyle w:val="Hyperlink"/>
                <w:rFonts w:ascii="Times New Roman" w:hAnsi="Times New Roman" w:cs="Times New Roman"/>
                <w:noProof/>
                <w:lang w:val="en-IE"/>
              </w:rPr>
              <w:t>Malta (MT)</w:t>
            </w:r>
            <w:r>
              <w:rPr>
                <w:noProof/>
                <w:webHidden/>
              </w:rPr>
              <w:tab/>
            </w:r>
            <w:r>
              <w:rPr>
                <w:noProof/>
                <w:webHidden/>
              </w:rPr>
              <w:fldChar w:fldCharType="begin"/>
            </w:r>
            <w:r>
              <w:rPr>
                <w:noProof/>
                <w:webHidden/>
              </w:rPr>
              <w:instrText xml:space="preserve"> PAGEREF _Toc56944234 \h </w:instrText>
            </w:r>
            <w:r>
              <w:rPr>
                <w:noProof/>
                <w:webHidden/>
              </w:rPr>
            </w:r>
            <w:r>
              <w:rPr>
                <w:noProof/>
                <w:webHidden/>
              </w:rPr>
              <w:fldChar w:fldCharType="separate"/>
            </w:r>
            <w:r>
              <w:rPr>
                <w:noProof/>
                <w:webHidden/>
              </w:rPr>
              <w:t>421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35" w:history="1">
            <w:r>
              <w:rPr>
                <w:rStyle w:val="Hyperlink"/>
                <w:rFonts w:ascii="Times New Roman" w:hAnsi="Times New Roman" w:cs="Times New Roman"/>
                <w:noProof/>
                <w:lang w:val="en-IE"/>
                <w14:scene3d>
                  <w14:camera w14:prst="orthographicFront"/>
                  <w14:lightRig w14:rig="threePt" w14:dir="t">
                    <w14:rot w14:lat="0" w14:lon="0" w14:rev="0"/>
                  </w14:lightRig>
                </w14:scene3d>
              </w:rPr>
              <w:t>5.18.1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_Toc56944235 \h </w:instrText>
            </w:r>
            <w:r>
              <w:rPr>
                <w:noProof/>
                <w:webHidden/>
              </w:rPr>
            </w:r>
            <w:r>
              <w:rPr>
                <w:noProof/>
                <w:webHidden/>
              </w:rPr>
              <w:fldChar w:fldCharType="separate"/>
            </w:r>
            <w:r>
              <w:rPr>
                <w:noProof/>
                <w:webHidden/>
              </w:rPr>
              <w:t>421</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36" w:history="1">
            <w:r>
              <w:rPr>
                <w:rStyle w:val="Hyperlink"/>
                <w:rFonts w:ascii="Times New Roman" w:hAnsi="Times New Roman" w:cs="Times New Roman"/>
                <w:noProof/>
                <w:lang w:val="en-IE"/>
                <w14:scene3d>
                  <w14:camera w14:prst="orthographicFront"/>
                  <w14:lightRig w14:rig="threePt" w14:dir="t">
                    <w14:rot w14:lat="0" w14:lon="0" w14:rev="0"/>
                  </w14:lightRig>
                </w14:scene3d>
              </w:rPr>
              <w:t>5.18.2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_Toc56944236 \h </w:instrText>
            </w:r>
            <w:r>
              <w:rPr>
                <w:noProof/>
                <w:webHidden/>
              </w:rPr>
            </w:r>
            <w:r>
              <w:rPr>
                <w:noProof/>
                <w:webHidden/>
              </w:rPr>
              <w:fldChar w:fldCharType="separate"/>
            </w:r>
            <w:r>
              <w:rPr>
                <w:noProof/>
                <w:webHidden/>
              </w:rPr>
              <w:t>423</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37" w:history="1">
            <w:r>
              <w:rPr>
                <w:rStyle w:val="Hyperlink"/>
                <w:rFonts w:ascii="Times New Roman" w:hAnsi="Times New Roman" w:cs="Times New Roman"/>
                <w:noProof/>
                <w:lang w:val="en-IE"/>
                <w14:scene3d>
                  <w14:camera w14:prst="orthographicFront"/>
                  <w14:lightRig w14:rig="threePt" w14:dir="t">
                    <w14:rot w14:lat="0" w14:lon="0" w14:rev="0"/>
                  </w14:lightRig>
                </w14:scene3d>
              </w:rPr>
              <w:t>5.18.3</w:t>
            </w:r>
            <w:r>
              <w:rPr>
                <w:rFonts w:eastAsiaTheme="minorEastAsia"/>
                <w:noProof/>
                <w:lang w:eastAsia="en-GB"/>
              </w:rPr>
              <w:tab/>
            </w:r>
            <w:r>
              <w:rPr>
                <w:rStyle w:val="Hyperlink"/>
                <w:rFonts w:ascii="Times New Roman" w:hAnsi="Times New Roman" w:cs="Times New Roman"/>
                <w:noProof/>
                <w:lang w:val="en-IE"/>
              </w:rPr>
              <w:t>Quantitative asse</w:t>
            </w:r>
            <w:r>
              <w:rPr>
                <w:rStyle w:val="Hyperlink"/>
                <w:rFonts w:ascii="Times New Roman" w:hAnsi="Times New Roman" w:cs="Times New Roman"/>
                <w:noProof/>
                <w:lang w:val="en-IE"/>
              </w:rPr>
              <w:t>ssment: Vehicles and infrastructure</w:t>
            </w:r>
            <w:r>
              <w:rPr>
                <w:noProof/>
                <w:webHidden/>
              </w:rPr>
              <w:tab/>
            </w:r>
            <w:r>
              <w:rPr>
                <w:noProof/>
                <w:webHidden/>
              </w:rPr>
              <w:fldChar w:fldCharType="begin"/>
            </w:r>
            <w:r>
              <w:rPr>
                <w:noProof/>
                <w:webHidden/>
              </w:rPr>
              <w:instrText xml:space="preserve"> PAGEREF _Toc56944237 \h </w:instrText>
            </w:r>
            <w:r>
              <w:rPr>
                <w:noProof/>
                <w:webHidden/>
              </w:rPr>
            </w:r>
            <w:r>
              <w:rPr>
                <w:noProof/>
                <w:webHidden/>
              </w:rPr>
              <w:fldChar w:fldCharType="separate"/>
            </w:r>
            <w:r>
              <w:rPr>
                <w:noProof/>
                <w:webHidden/>
              </w:rPr>
              <w:t>424</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38" w:history="1">
            <w:r>
              <w:rPr>
                <w:rStyle w:val="Hyperlink"/>
                <w:rFonts w:ascii="Times New Roman" w:hAnsi="Times New Roman" w:cs="Times New Roman"/>
                <w:noProof/>
                <w:lang w:val="en-IE"/>
                <w14:scene3d>
                  <w14:camera w14:prst="orthographicFront"/>
                  <w14:lightRig w14:rig="threePt" w14:dir="t">
                    <w14:rot w14:lat="0" w14:lon="0" w14:rev="0"/>
                  </w14:lightRig>
                </w14:scene3d>
              </w:rPr>
              <w:t>5.18.4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_Toc56944238 \h </w:instrText>
            </w:r>
            <w:r>
              <w:rPr>
                <w:noProof/>
                <w:webHidden/>
              </w:rPr>
            </w:r>
            <w:r>
              <w:rPr>
                <w:noProof/>
                <w:webHidden/>
              </w:rPr>
              <w:fldChar w:fldCharType="separate"/>
            </w:r>
            <w:r>
              <w:rPr>
                <w:noProof/>
                <w:webHidden/>
              </w:rPr>
              <w:t>430</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39" w:history="1">
            <w:r>
              <w:rPr>
                <w:rStyle w:val="Hyperlink"/>
                <w:rFonts w:ascii="Times New Roman" w:hAnsi="Times New Roman" w:cs="Times New Roman"/>
                <w:noProof/>
                <w:lang w:val="en-IE"/>
                <w14:scene3d>
                  <w14:camera w14:prst="orthographicFront"/>
                  <w14:lightRig w14:rig="threePt" w14:dir="t">
                    <w14:rot w14:lat="0" w14:lon="0" w14:rev="0"/>
                  </w14:lightRig>
                </w14:scene3d>
              </w:rPr>
              <w:t>5.18.5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_Toc56944239 \h </w:instrText>
            </w:r>
            <w:r>
              <w:rPr>
                <w:noProof/>
                <w:webHidden/>
              </w:rPr>
            </w:r>
            <w:r>
              <w:rPr>
                <w:noProof/>
                <w:webHidden/>
              </w:rPr>
              <w:fldChar w:fldCharType="separate"/>
            </w:r>
            <w:r>
              <w:rPr>
                <w:noProof/>
                <w:webHidden/>
              </w:rPr>
              <w:t>435</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40" w:history="1">
            <w:r>
              <w:rPr>
                <w:rStyle w:val="Hyperlink"/>
                <w:rFonts w:ascii="Times New Roman" w:hAnsi="Times New Roman" w:cs="Times New Roman"/>
                <w:noProof/>
                <w:lang w:val="en-IE"/>
                <w14:scene3d>
                  <w14:camera w14:prst="orthographicFront"/>
                  <w14:lightRig w14:rig="threePt" w14:dir="t">
                    <w14:rot w14:lat="0" w14:lon="0" w14:rev="0"/>
                  </w14:lightRig>
                </w14:scene3d>
              </w:rPr>
              <w:t>5.18.6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_Toc56944240 \h </w:instrText>
            </w:r>
            <w:r>
              <w:rPr>
                <w:noProof/>
                <w:webHidden/>
              </w:rPr>
            </w:r>
            <w:r>
              <w:rPr>
                <w:noProof/>
                <w:webHidden/>
              </w:rPr>
              <w:fldChar w:fldCharType="separate"/>
            </w:r>
            <w:r>
              <w:rPr>
                <w:noProof/>
                <w:webHidden/>
              </w:rPr>
              <w:t>436</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4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5.18.7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_Toc56944241 \h </w:instrText>
            </w:r>
            <w:r>
              <w:rPr>
                <w:noProof/>
                <w:webHidden/>
              </w:rPr>
            </w:r>
            <w:r>
              <w:rPr>
                <w:noProof/>
                <w:webHidden/>
              </w:rPr>
              <w:fldChar w:fldCharType="separate"/>
            </w:r>
            <w:r>
              <w:rPr>
                <w:noProof/>
                <w:webHidden/>
              </w:rPr>
              <w:t>439</w:t>
            </w:r>
            <w:r>
              <w:rPr>
                <w:noProof/>
                <w:webHidden/>
              </w:rPr>
              <w:fldChar w:fldCharType="end"/>
            </w:r>
          </w:hyperlink>
        </w:p>
        <w:p w:rsidR="003C43BF" w:rsidRDefault="006C3212">
          <w:pPr>
            <w:pStyle w:val="TOC3"/>
            <w:tabs>
              <w:tab w:val="left" w:pos="1320"/>
              <w:tab w:val="right" w:leader="dot" w:pos="9062"/>
            </w:tabs>
            <w:rPr>
              <w:rFonts w:eastAsiaTheme="minorEastAsia"/>
              <w:noProof/>
              <w:lang w:eastAsia="en-GB"/>
            </w:rPr>
          </w:pPr>
          <w:hyperlink w:anchor="_Toc56944242" w:history="1">
            <w:r>
              <w:rPr>
                <w:rStyle w:val="Hyperlink"/>
                <w:rFonts w:ascii="Times New Roman" w:hAnsi="Times New Roman" w:cs="Times New Roman"/>
                <w:noProof/>
                <w:lang w:val="en-IE"/>
                <w14:scene3d>
                  <w14:camera w14:prst="orthographicFront"/>
                  <w14:lightRig w14:rig="threePt" w14:dir="t">
                    <w14:rot w14:lat="0" w14:lon="0" w14:rev="0"/>
                  </w14:lightRig>
                </w14:scene3d>
              </w:rPr>
              <w:t>5.18.8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_Toc56944242 \h </w:instrText>
            </w:r>
            <w:r>
              <w:rPr>
                <w:noProof/>
                <w:webHidden/>
              </w:rPr>
            </w:r>
            <w:r>
              <w:rPr>
                <w:noProof/>
                <w:webHidden/>
              </w:rPr>
              <w:fldChar w:fldCharType="separate"/>
            </w:r>
            <w:r>
              <w:rPr>
                <w:noProof/>
                <w:webHidden/>
              </w:rPr>
              <w:t>440</w:t>
            </w:r>
            <w:r>
              <w:rPr>
                <w:noProof/>
                <w:webHidden/>
              </w:rPr>
              <w:fldChar w:fldCharType="end"/>
            </w:r>
          </w:hyperlink>
        </w:p>
        <w:p w:rsidR="003C43BF" w:rsidRDefault="006C3212">
          <w:pPr>
            <w:rPr>
              <w:rFonts w:ascii="Times New Roman" w:hAnsi="Times New Roman" w:cs="Times New Roman"/>
              <w:noProof/>
              <w:sz w:val="24"/>
              <w:szCs w:val="24"/>
              <w:lang w:val="en-IE"/>
            </w:rPr>
          </w:pPr>
          <w:r>
            <w:rPr>
              <w:rFonts w:ascii="Times New Roman" w:hAnsi="Times New Roman" w:cs="Times New Roman"/>
              <w:b/>
              <w:bCs/>
              <w:noProof/>
              <w:sz w:val="24"/>
              <w:szCs w:val="24"/>
              <w:lang w:val="en-IE"/>
            </w:rPr>
            <w:fldChar w:fldCharType="end"/>
          </w:r>
        </w:p>
      </w:sdtContent>
    </w:sdt>
    <w:p w:rsidR="003C43BF" w:rsidRDefault="003C43BF">
      <w:pPr>
        <w:rPr>
          <w:rFonts w:ascii="Times New Roman" w:hAnsi="Times New Roman" w:cs="Times New Roman"/>
          <w:noProof/>
          <w:sz w:val="24"/>
          <w:szCs w:val="24"/>
          <w:lang w:val="en-IE"/>
        </w:rPr>
      </w:pPr>
    </w:p>
    <w:p w:rsidR="003C43BF" w:rsidRDefault="006C3212">
      <w:pPr>
        <w:rPr>
          <w:rFonts w:ascii="Times New Roman" w:hAnsi="Times New Roman" w:cs="Times New Roman"/>
          <w:noProof/>
          <w:lang w:val="en-IE"/>
        </w:rPr>
      </w:pPr>
      <w:r>
        <w:rPr>
          <w:rFonts w:ascii="Times New Roman" w:hAnsi="Times New Roman" w:cs="Times New Roman"/>
          <w:noProof/>
          <w:lang w:val="en-IE"/>
        </w:rPr>
        <w:br w:type="page"/>
      </w:r>
    </w:p>
    <w:p w:rsidR="003C43BF" w:rsidRDefault="006C3212">
      <w:pPr>
        <w:pStyle w:val="Heading1"/>
        <w:rPr>
          <w:rFonts w:ascii="Times New Roman" w:hAnsi="Times New Roman"/>
          <w:noProof/>
          <w:sz w:val="24"/>
          <w:lang w:val="en-IE"/>
        </w:rPr>
      </w:pPr>
      <w:bookmarkStart w:id="3" w:name="_Toc55301712"/>
      <w:bookmarkStart w:id="4" w:name="_Toc55301713"/>
      <w:bookmarkStart w:id="5" w:name="_Toc55301714"/>
      <w:bookmarkStart w:id="6" w:name="_Toc56944078"/>
      <w:bookmarkStart w:id="7" w:name="_Toc496259423"/>
      <w:bookmarkEnd w:id="1"/>
      <w:bookmarkEnd w:id="3"/>
      <w:bookmarkEnd w:id="4"/>
      <w:r>
        <w:rPr>
          <w:rFonts w:ascii="Times New Roman" w:hAnsi="Times New Roman"/>
          <w:noProof/>
          <w:sz w:val="24"/>
          <w:lang w:val="en-IE"/>
        </w:rPr>
        <w:lastRenderedPageBreak/>
        <w:t>Full assessment of Member States' NIRs</w:t>
      </w:r>
      <w:bookmarkEnd w:id="5"/>
      <w:bookmarkEnd w:id="6"/>
      <w:r>
        <w:rPr>
          <w:rFonts w:ascii="Times New Roman" w:hAnsi="Times New Roman"/>
          <w:noProof/>
          <w:sz w:val="24"/>
          <w:lang w:val="en-IE"/>
        </w:rPr>
        <w:t xml:space="preserve"> </w:t>
      </w:r>
    </w:p>
    <w:p w:rsidR="003C43BF" w:rsidRDefault="006C3212">
      <w:pPr>
        <w:pStyle w:val="Heading2"/>
        <w:numPr>
          <w:ilvl w:val="1"/>
          <w:numId w:val="17"/>
        </w:numPr>
        <w:rPr>
          <w:rFonts w:ascii="Times New Roman" w:hAnsi="Times New Roman" w:cs="Times New Roman"/>
          <w:noProof/>
          <w:sz w:val="24"/>
          <w:lang w:val="en-IE"/>
        </w:rPr>
      </w:pPr>
      <w:bookmarkStart w:id="8" w:name="_Toc55301715"/>
      <w:bookmarkStart w:id="9" w:name="_Toc56944079"/>
      <w:r>
        <w:rPr>
          <w:rFonts w:ascii="Times New Roman" w:hAnsi="Times New Roman" w:cs="Times New Roman"/>
          <w:noProof/>
          <w:sz w:val="24"/>
          <w:lang w:val="en-IE"/>
        </w:rPr>
        <w:t>Assessment of the Member States National Implementation Reports (NIRs)</w:t>
      </w:r>
      <w:bookmarkEnd w:id="8"/>
      <w:bookmarkEnd w:id="9"/>
    </w:p>
    <w:p w:rsidR="003C43BF" w:rsidRDefault="006C3212">
      <w:pPr>
        <w:spacing w:before="120" w:after="120"/>
        <w:jc w:val="both"/>
        <w:rPr>
          <w:rFonts w:ascii="Times New Roman" w:hAnsi="Times New Roman" w:cs="Times New Roman"/>
          <w:noProof/>
          <w:sz w:val="24"/>
          <w:lang w:val="en-IE"/>
        </w:rPr>
      </w:pPr>
      <w:r>
        <w:rPr>
          <w:rFonts w:ascii="Times New Roman" w:hAnsi="Times New Roman" w:cs="Times New Roman"/>
          <w:noProof/>
          <w:sz w:val="24"/>
          <w:lang w:val="en-IE"/>
        </w:rPr>
        <w:t>The following sections present the assessments of each individual NIR</w:t>
      </w:r>
      <w:r>
        <w:rPr>
          <w:rStyle w:val="FootnoteReference"/>
          <w:rFonts w:ascii="Times New Roman" w:hAnsi="Times New Roman" w:cs="Times New Roman"/>
          <w:noProof/>
          <w:sz w:val="24"/>
          <w:lang w:val="en-IE"/>
        </w:rPr>
        <w:footnoteReference w:id="1"/>
      </w:r>
      <w:r>
        <w:rPr>
          <w:rFonts w:ascii="Times New Roman" w:hAnsi="Times New Roman" w:cs="Times New Roman"/>
          <w:noProof/>
          <w:sz w:val="24"/>
          <w:lang w:val="en-IE"/>
        </w:rPr>
        <w:t xml:space="preserve">. </w:t>
      </w:r>
      <w:r>
        <w:rPr>
          <w:rFonts w:ascii="Times New Roman" w:hAnsi="Times New Roman" w:cs="Times New Roman"/>
          <w:noProof/>
          <w:sz w:val="24"/>
          <w:lang w:val="en-IE"/>
        </w:rPr>
        <w:t>The official date for the submission of the NIRs to the Commission was 18 November 2019. By that date only nine of the expected 28 NIRs had been delivered (by Belgium, Czechia, Germany, Ireland, Greece, Spain, Austria, Poland and Slovakia). Thus, an extens</w:t>
      </w:r>
      <w:r>
        <w:rPr>
          <w:rFonts w:ascii="Times New Roman" w:hAnsi="Times New Roman" w:cs="Times New Roman"/>
          <w:noProof/>
          <w:sz w:val="24"/>
          <w:lang w:val="en-IE"/>
        </w:rPr>
        <w:t>ion was granted to the remaining MSs to submit their NIRs. By the 1st of May 2020, which was the ultimate date for submitting the missing NIRs, as agreed between the Commission and the Member States, 3 NIRs were still outstanding.</w:t>
      </w:r>
    </w:p>
    <w:p w:rsidR="003C43BF" w:rsidRDefault="006C3212">
      <w:pPr>
        <w:spacing w:before="120" w:after="120"/>
        <w:jc w:val="both"/>
        <w:rPr>
          <w:rFonts w:ascii="Times New Roman" w:hAnsi="Times New Roman" w:cs="Times New Roman"/>
          <w:noProof/>
          <w:sz w:val="24"/>
          <w:lang w:val="en-IE"/>
        </w:rPr>
      </w:pPr>
      <w:r>
        <w:rPr>
          <w:rFonts w:ascii="Times New Roman" w:hAnsi="Times New Roman" w:cs="Times New Roman"/>
          <w:noProof/>
          <w:sz w:val="24"/>
          <w:lang w:val="en-IE"/>
        </w:rPr>
        <w:t>Later, the United Kingdom</w:t>
      </w:r>
      <w:r>
        <w:rPr>
          <w:rFonts w:ascii="Times New Roman" w:hAnsi="Times New Roman" w:cs="Times New Roman"/>
          <w:noProof/>
          <w:sz w:val="24"/>
          <w:lang w:val="en-IE"/>
        </w:rPr>
        <w:t xml:space="preserve"> delivered its NIR in the beginning of September, followed by Portugal. Italy, despite announcing the submission of its NIR by 30 September, had not yet delivered it by the time this document was finalised.</w:t>
      </w:r>
    </w:p>
    <w:p w:rsidR="003C43BF" w:rsidRDefault="006C3212">
      <w:pPr>
        <w:spacing w:before="120" w:after="120"/>
        <w:jc w:val="both"/>
        <w:rPr>
          <w:rFonts w:ascii="Times New Roman" w:hAnsi="Times New Roman" w:cs="Times New Roman"/>
          <w:noProof/>
          <w:sz w:val="24"/>
          <w:lang w:val="en-IE"/>
        </w:rPr>
      </w:pPr>
      <w:r>
        <w:rPr>
          <w:rFonts w:ascii="Times New Roman" w:hAnsi="Times New Roman" w:cs="Times New Roman"/>
          <w:noProof/>
          <w:sz w:val="24"/>
          <w:lang w:val="en-IE"/>
        </w:rPr>
        <w:t>Similarly to the NPF reports, the 25 NIRs receive</w:t>
      </w:r>
      <w:r>
        <w:rPr>
          <w:rFonts w:ascii="Times New Roman" w:hAnsi="Times New Roman" w:cs="Times New Roman"/>
          <w:noProof/>
          <w:sz w:val="24"/>
          <w:lang w:val="en-IE"/>
        </w:rPr>
        <w:t>d and assessed vary in terms of length (from a minimum of 3 pages to a maximum of 205 pages) and level of detail provided for each of the subsections. However, there is an overall improvement in the consistency of the reports among MSs compared to the NPFs</w:t>
      </w:r>
      <w:r>
        <w:rPr>
          <w:rFonts w:ascii="Times New Roman" w:hAnsi="Times New Roman" w:cs="Times New Roman"/>
          <w:noProof/>
          <w:sz w:val="24"/>
          <w:lang w:val="en-IE"/>
        </w:rPr>
        <w:t>. Several MSs followed more closely the structure of the requirements listed in Annex I of the Directive and the guidance documents provided by the Commission for the reporting. The remaining countries structured their reports differently, with some substa</w:t>
      </w:r>
      <w:r>
        <w:rPr>
          <w:rFonts w:ascii="Times New Roman" w:hAnsi="Times New Roman" w:cs="Times New Roman"/>
          <w:noProof/>
          <w:sz w:val="24"/>
          <w:lang w:val="en-IE"/>
        </w:rPr>
        <w:t xml:space="preserve">ntial deviations from both Annex 1 and the guidance documents. </w:t>
      </w:r>
    </w:p>
    <w:p w:rsidR="003C43BF" w:rsidRDefault="006C3212">
      <w:pPr>
        <w:spacing w:before="120" w:after="120"/>
        <w:jc w:val="both"/>
        <w:rPr>
          <w:rFonts w:ascii="Times New Roman" w:hAnsi="Times New Roman" w:cs="Times New Roman"/>
          <w:noProof/>
          <w:sz w:val="24"/>
          <w:lang w:val="en-IE"/>
        </w:rPr>
      </w:pPr>
      <w:r>
        <w:rPr>
          <w:rFonts w:ascii="Times New Roman" w:hAnsi="Times New Roman" w:cs="Times New Roman"/>
          <w:noProof/>
          <w:sz w:val="24"/>
          <w:lang w:val="en-IE"/>
        </w:rPr>
        <w:t xml:space="preserve">Although the completion and delivery of the Excel® reporting template provided by the Commission was not a mandatory requirement of the Directive, 19 </w:t>
      </w:r>
      <w:bookmarkStart w:id="10" w:name="x__ftnref3"/>
      <w:r>
        <w:rPr>
          <w:rFonts w:ascii="Times New Roman" w:hAnsi="Times New Roman" w:cs="Times New Roman"/>
          <w:noProof/>
          <w:sz w:val="24"/>
          <w:lang w:val="en-IE"/>
        </w:rPr>
        <w:t xml:space="preserve">MSs </w:t>
      </w:r>
      <w:bookmarkEnd w:id="10"/>
      <w:r>
        <w:rPr>
          <w:rFonts w:ascii="Times New Roman" w:hAnsi="Times New Roman" w:cs="Times New Roman"/>
          <w:noProof/>
          <w:sz w:val="24"/>
          <w:lang w:val="en-IE"/>
        </w:rPr>
        <w:t xml:space="preserve">have submitted the template as an annex separate to the report. From the remaining 6 MSs that have not submitted a separate Excel® template, 4 MSs included some tables into the main body of the report. </w:t>
      </w:r>
    </w:p>
    <w:p w:rsidR="003C43BF" w:rsidRDefault="006C3212">
      <w:p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In conclusion, although there has been an overall imp</w:t>
      </w:r>
      <w:r>
        <w:rPr>
          <w:rFonts w:ascii="Times New Roman" w:hAnsi="Times New Roman" w:cs="Times New Roman"/>
          <w:noProof/>
          <w:sz w:val="24"/>
          <w:lang w:val="en-IE"/>
        </w:rPr>
        <w:t xml:space="preserve">rovement in the quality and consistency of the NIRs when compared to the NPFs, there are still several important gaps and flaws in the information reported by the MSs. When there was the suspicion that a NIR presented mistakes, the MS was asked to provide </w:t>
      </w:r>
      <w:r>
        <w:rPr>
          <w:rFonts w:ascii="Times New Roman" w:hAnsi="Times New Roman" w:cs="Times New Roman"/>
          <w:noProof/>
          <w:sz w:val="24"/>
          <w:lang w:val="en-IE"/>
        </w:rPr>
        <w:t>clarification. Unfortunately this was not always feasible and the assessment of some NIRs would not have been possible without filling some gaps, or retrieving additional information. In such circumstances, the assessor would collect the necessary data (fo</w:t>
      </w:r>
      <w:r>
        <w:rPr>
          <w:rFonts w:ascii="Times New Roman" w:hAnsi="Times New Roman" w:cs="Times New Roman"/>
          <w:noProof/>
          <w:sz w:val="24"/>
          <w:lang w:val="en-IE"/>
        </w:rPr>
        <w:t>r example from the NPF, when such value was not reported in the NIR, or using a value from EAFO</w:t>
      </w:r>
      <w:r>
        <w:rPr>
          <w:rStyle w:val="FootnoteReference"/>
          <w:rFonts w:ascii="Times New Roman" w:hAnsi="Times New Roman" w:cs="Times New Roman"/>
          <w:noProof/>
          <w:sz w:val="24"/>
          <w:lang w:val="en-IE"/>
        </w:rPr>
        <w:footnoteReference w:id="2"/>
      </w:r>
      <w:r>
        <w:rPr>
          <w:rFonts w:ascii="Times New Roman" w:hAnsi="Times New Roman" w:cs="Times New Roman"/>
          <w:noProof/>
          <w:sz w:val="24"/>
          <w:lang w:val="en-IE"/>
        </w:rPr>
        <w:t>, when both the NIR and NPF were lacking information), and highlight it in the assessment report. However, this has shifted the burden of the reporting (</w:t>
      </w:r>
      <w:r>
        <w:rPr>
          <w:rFonts w:ascii="Times New Roman" w:hAnsi="Times New Roman" w:cs="Times New Roman"/>
          <w:noProof/>
          <w:color w:val="000000" w:themeColor="text1"/>
          <w:sz w:val="24"/>
          <w:lang w:val="en-IE"/>
        </w:rPr>
        <w:t>and the</w:t>
      </w:r>
      <w:r>
        <w:rPr>
          <w:rFonts w:ascii="Times New Roman" w:hAnsi="Times New Roman" w:cs="Times New Roman"/>
          <w:noProof/>
          <w:color w:val="000000" w:themeColor="text1"/>
          <w:sz w:val="24"/>
          <w:lang w:val="en-IE"/>
        </w:rPr>
        <w:t xml:space="preserve"> assumptions that underpin such process) onto the Commission.</w:t>
      </w:r>
      <w:r>
        <w:rPr>
          <w:rFonts w:ascii="Times New Roman" w:hAnsi="Times New Roman" w:cs="Times New Roman"/>
          <w:noProof/>
          <w:sz w:val="24"/>
          <w:lang w:val="en-IE"/>
        </w:rPr>
        <w:t xml:space="preserve"> </w:t>
      </w:r>
    </w:p>
    <w:p w:rsidR="003C43BF" w:rsidRDefault="006C3212">
      <w:pPr>
        <w:pStyle w:val="Heading3"/>
        <w:ind w:left="720"/>
        <w:rPr>
          <w:rFonts w:ascii="Times New Roman" w:hAnsi="Times New Roman" w:cs="Times New Roman"/>
          <w:noProof/>
          <w:sz w:val="24"/>
          <w:lang w:val="en-IE"/>
        </w:rPr>
      </w:pPr>
      <w:bookmarkStart w:id="11" w:name="_Toc55301716"/>
      <w:bookmarkStart w:id="12" w:name="_Toc56944080"/>
      <w:r>
        <w:rPr>
          <w:rFonts w:ascii="Times New Roman" w:hAnsi="Times New Roman" w:cs="Times New Roman"/>
          <w:noProof/>
          <w:sz w:val="24"/>
          <w:lang w:val="en-IE"/>
        </w:rPr>
        <w:t>Structure of the assessment report</w:t>
      </w:r>
      <w:bookmarkEnd w:id="11"/>
      <w:bookmarkEnd w:id="12"/>
    </w:p>
    <w:p w:rsidR="003C43BF" w:rsidRDefault="006C3212">
      <w:p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The assessment of the individual NIR is based on the assessment methodology described in Chapter 2 and follows a fixed structure, which consists of:</w:t>
      </w:r>
    </w:p>
    <w:p w:rsidR="003C43BF" w:rsidRDefault="006C3212">
      <w:pPr>
        <w:pStyle w:val="ListParagraph"/>
        <w:numPr>
          <w:ilvl w:val="0"/>
          <w:numId w:val="20"/>
        </w:num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lastRenderedPageBreak/>
        <w:t>Main mess</w:t>
      </w:r>
      <w:r>
        <w:rPr>
          <w:rFonts w:ascii="Times New Roman" w:hAnsi="Times New Roman" w:cs="Times New Roman"/>
          <w:noProof/>
          <w:sz w:val="24"/>
          <w:lang w:val="en-IE"/>
        </w:rPr>
        <w:t>ages from the Commission assessment of the NPF</w:t>
      </w:r>
    </w:p>
    <w:p w:rsidR="003C43BF" w:rsidRDefault="006C3212">
      <w:pPr>
        <w:pStyle w:val="ListParagraph"/>
        <w:numPr>
          <w:ilvl w:val="0"/>
          <w:numId w:val="20"/>
        </w:num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Overview of the fulfilment of the requirements in Annex I of the Directive</w:t>
      </w:r>
    </w:p>
    <w:p w:rsidR="003C43BF" w:rsidRDefault="006C3212">
      <w:pPr>
        <w:pStyle w:val="ListParagraph"/>
        <w:numPr>
          <w:ilvl w:val="0"/>
          <w:numId w:val="20"/>
        </w:num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Quantitative assessment: Vehicles and infrastructure</w:t>
      </w:r>
    </w:p>
    <w:p w:rsidR="003C43BF" w:rsidRDefault="006C3212">
      <w:pPr>
        <w:pStyle w:val="ListParagraph"/>
        <w:numPr>
          <w:ilvl w:val="0"/>
          <w:numId w:val="20"/>
        </w:num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Measures assessment</w:t>
      </w:r>
    </w:p>
    <w:p w:rsidR="003C43BF" w:rsidRDefault="006C3212">
      <w:pPr>
        <w:pStyle w:val="ListParagraph"/>
        <w:numPr>
          <w:ilvl w:val="0"/>
          <w:numId w:val="20"/>
        </w:num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Additional information on alternative fuels infrastructure de</w:t>
      </w:r>
      <w:r>
        <w:rPr>
          <w:rFonts w:ascii="Times New Roman" w:hAnsi="Times New Roman" w:cs="Times New Roman"/>
          <w:noProof/>
          <w:sz w:val="24"/>
          <w:lang w:val="en-IE"/>
        </w:rPr>
        <w:t>velopments</w:t>
      </w:r>
    </w:p>
    <w:p w:rsidR="003C43BF" w:rsidRDefault="006C3212">
      <w:pPr>
        <w:pStyle w:val="ListParagraph"/>
        <w:numPr>
          <w:ilvl w:val="0"/>
          <w:numId w:val="20"/>
        </w:num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Summary of the assessment</w:t>
      </w:r>
    </w:p>
    <w:p w:rsidR="003C43BF" w:rsidRDefault="006C3212">
      <w:pPr>
        <w:pStyle w:val="ListParagraph"/>
        <w:numPr>
          <w:ilvl w:val="0"/>
          <w:numId w:val="20"/>
        </w:num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 xml:space="preserve">Final remarks </w:t>
      </w:r>
    </w:p>
    <w:p w:rsidR="003C43BF" w:rsidRDefault="006C3212">
      <w:pPr>
        <w:pStyle w:val="ListParagraph"/>
        <w:numPr>
          <w:ilvl w:val="0"/>
          <w:numId w:val="20"/>
        </w:num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ANNEX: Description of the Member State</w:t>
      </w:r>
    </w:p>
    <w:p w:rsidR="003C43BF" w:rsidRDefault="006C3212">
      <w:pPr>
        <w:spacing w:before="240" w:after="120"/>
        <w:jc w:val="both"/>
        <w:rPr>
          <w:rFonts w:ascii="Times New Roman" w:hAnsi="Times New Roman" w:cs="Times New Roman"/>
          <w:noProof/>
          <w:sz w:val="24"/>
          <w:lang w:val="en-IE"/>
        </w:rPr>
      </w:pPr>
      <w:r>
        <w:rPr>
          <w:rFonts w:ascii="Times New Roman" w:hAnsi="Times New Roman" w:cs="Times New Roman"/>
          <w:noProof/>
          <w:sz w:val="24"/>
          <w:lang w:val="en-IE"/>
        </w:rPr>
        <w:t xml:space="preserve">Before explaining each point in more detail, it is important to stress that the assessment of the MS NIRs is carried out principally with reference to the Directive </w:t>
      </w:r>
      <w:r>
        <w:rPr>
          <w:rFonts w:ascii="Times New Roman" w:hAnsi="Times New Roman" w:cs="Times New Roman"/>
          <w:noProof/>
          <w:sz w:val="24"/>
          <w:lang w:val="en-IE"/>
        </w:rPr>
        <w:t>and to the respective NPF. This is particularly important when looking at the comparison of the ambition level between NIR and NPF concerning the AFV estimates and AFI targets, and concerning the measures. These assessments are “internal”, in the sense tha</w:t>
      </w:r>
      <w:r>
        <w:rPr>
          <w:rFonts w:ascii="Times New Roman" w:hAnsi="Times New Roman" w:cs="Times New Roman"/>
          <w:noProof/>
          <w:sz w:val="24"/>
          <w:lang w:val="en-IE"/>
        </w:rPr>
        <w:t>t they refer to what has been presented in the NIR compared to what had been presented in the NPF by the same MS. It would be wrong to make a comparison among Member States based on such considerations. Furthermore, point seven (Final remarks) contains the</w:t>
      </w:r>
      <w:r>
        <w:rPr>
          <w:rFonts w:ascii="Times New Roman" w:hAnsi="Times New Roman" w:cs="Times New Roman"/>
          <w:noProof/>
          <w:sz w:val="24"/>
          <w:lang w:val="en-IE"/>
        </w:rPr>
        <w:t xml:space="preserve"> concluding remarks from the Commission, based on the assessment of the national implementation reports of each Member State. In this section, the Commission might provide some additional comments on the latest development of the European policies on alter</w:t>
      </w:r>
      <w:r>
        <w:rPr>
          <w:rFonts w:ascii="Times New Roman" w:hAnsi="Times New Roman" w:cs="Times New Roman"/>
          <w:noProof/>
          <w:sz w:val="24"/>
          <w:lang w:val="en-IE"/>
        </w:rPr>
        <w:t xml:space="preserve">native fuels transport systems and infrastructure (for example the Green Deal). </w:t>
      </w:r>
    </w:p>
    <w:p w:rsidR="003C43BF" w:rsidRDefault="003C43BF">
      <w:pPr>
        <w:spacing w:before="240" w:after="12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13" w:name="_Toc55301717"/>
      <w:bookmarkStart w:id="14" w:name="_Toc56944081"/>
      <w:r>
        <w:rPr>
          <w:rFonts w:ascii="Times New Roman" w:hAnsi="Times New Roman" w:cs="Times New Roman"/>
          <w:noProof/>
          <w:sz w:val="24"/>
          <w:lang w:val="en-IE"/>
        </w:rPr>
        <w:t xml:space="preserve">Main messages from the </w:t>
      </w:r>
      <w:bookmarkEnd w:id="13"/>
      <w:bookmarkEnd w:id="14"/>
      <w:r>
        <w:rPr>
          <w:rFonts w:ascii="Times New Roman" w:hAnsi="Times New Roman" w:cs="Times New Roman"/>
          <w:noProof/>
          <w:sz w:val="24"/>
          <w:lang w:val="en-IE"/>
        </w:rPr>
        <w:t>Commission assessment of the NPF</w:t>
      </w:r>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The NIR assessment reports start with an excerpt from the Commission assessment of the NPFs</w:t>
      </w:r>
      <w:sdt>
        <w:sdtPr>
          <w:rPr>
            <w:rFonts w:ascii="Times New Roman" w:hAnsi="Times New Roman" w:cs="Times New Roman"/>
            <w:noProof/>
            <w:sz w:val="24"/>
            <w:lang w:val="en-IE"/>
          </w:rPr>
          <w:id w:val="1386916224"/>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Eur191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 xml:space="preserve"> (</w:t>
          </w:r>
          <w:r>
            <w:rPr>
              <w:rFonts w:ascii="Times New Roman" w:hAnsi="Times New Roman" w:cs="Times New Roman"/>
              <w:noProof/>
              <w:sz w:val="24"/>
              <w:lang w:val="en-IE"/>
            </w:rPr>
            <w:t>European Commission, 2019)</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This excerpt is the summary of the NPF assessment for each MS and provides the background for a better understanding of how the NIRs relate to the initial plans of the MS, as reported in the NPF.</w:t>
      </w:r>
    </w:p>
    <w:p w:rsidR="003C43BF" w:rsidRDefault="006C3212">
      <w:pPr>
        <w:pStyle w:val="Heading3"/>
        <w:ind w:left="720"/>
        <w:rPr>
          <w:rFonts w:ascii="Times New Roman" w:hAnsi="Times New Roman" w:cs="Times New Roman"/>
          <w:noProof/>
          <w:sz w:val="24"/>
          <w:lang w:val="en-IE"/>
        </w:rPr>
      </w:pPr>
      <w:bookmarkStart w:id="15" w:name="_Toc55301718"/>
      <w:bookmarkStart w:id="16" w:name="_Toc56944082"/>
      <w:r>
        <w:rPr>
          <w:rFonts w:ascii="Times New Roman" w:hAnsi="Times New Roman" w:cs="Times New Roman"/>
          <w:noProof/>
          <w:sz w:val="24"/>
          <w:lang w:val="en-IE"/>
        </w:rPr>
        <w:t xml:space="preserve">Overview of requirements’ </w:t>
      </w:r>
      <w:r>
        <w:rPr>
          <w:rFonts w:ascii="Times New Roman" w:hAnsi="Times New Roman" w:cs="Times New Roman"/>
          <w:noProof/>
          <w:sz w:val="24"/>
          <w:lang w:val="en-IE"/>
        </w:rPr>
        <w:t>fulfilment from Annex I of the Directive</w:t>
      </w:r>
      <w:bookmarkEnd w:id="15"/>
      <w:bookmarkEnd w:id="16"/>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The Directive requested the MSs to prepare and submit their NIRs in accordance with the requirements listed in Annex I. In this second section of the assessment report, a table (the Check List) that looks like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w:instrText>
      </w:r>
      <w:r>
        <w:rPr>
          <w:rFonts w:ascii="Times New Roman" w:hAnsi="Times New Roman" w:cs="Times New Roman"/>
          <w:noProof/>
          <w:sz w:val="24"/>
          <w:lang w:val="en-IE"/>
        </w:rPr>
        <w:instrText xml:space="preserve">_Ref51312328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noProof/>
          <w:sz w:val="24"/>
          <w:lang w:val="en-IE"/>
        </w:rPr>
        <w:t>Table 5.0.3</w:t>
      </w:r>
      <w:r w:rsidRPr="006C3212">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how each MS complied with this request.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Caption"/>
        <w:rPr>
          <w:rFonts w:ascii="Times New Roman" w:hAnsi="Times New Roman" w:cs="Times New Roman"/>
          <w:b w:val="0"/>
          <w:i/>
          <w:noProof/>
          <w:sz w:val="20"/>
          <w:szCs w:val="18"/>
          <w:lang w:val="en-IE"/>
        </w:rPr>
      </w:pPr>
      <w:bookmarkStart w:id="17" w:name="_Ref51312328"/>
      <w:r>
        <w:rPr>
          <w:rFonts w:ascii="Times New Roman" w:hAnsi="Times New Roman" w:cs="Times New Roman"/>
          <w:b w:val="0"/>
          <w:i/>
          <w:noProof/>
          <w:sz w:val="20"/>
          <w:szCs w:val="18"/>
          <w:lang w:val="en-IE"/>
        </w:rPr>
        <w:t xml:space="preserve">Table </w:t>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STYLEREF 3 \s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5.0.3</w:t>
      </w:r>
      <w:r>
        <w:rPr>
          <w:rFonts w:ascii="Times New Roman" w:hAnsi="Times New Roman" w:cs="Times New Roman"/>
          <w:b w:val="0"/>
          <w:i/>
          <w:noProof/>
          <w:sz w:val="20"/>
          <w:szCs w:val="18"/>
          <w:lang w:val="en-IE"/>
        </w:rPr>
        <w:fldChar w:fldCharType="end"/>
      </w:r>
      <w:r>
        <w:rPr>
          <w:rFonts w:ascii="Times New Roman" w:hAnsi="Times New Roman" w:cs="Times New Roman"/>
          <w:b w:val="0"/>
          <w:i/>
          <w:noProof/>
          <w:sz w:val="20"/>
          <w:szCs w:val="18"/>
          <w:lang w:val="en-IE"/>
        </w:rPr>
        <w:noBreakHyphen/>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SEQ Table \* ARABIC \s 3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1</w:t>
      </w:r>
      <w:r>
        <w:rPr>
          <w:rFonts w:ascii="Times New Roman" w:hAnsi="Times New Roman" w:cs="Times New Roman"/>
          <w:b w:val="0"/>
          <w:i/>
          <w:noProof/>
          <w:sz w:val="20"/>
          <w:szCs w:val="18"/>
          <w:lang w:val="en-IE"/>
        </w:rPr>
        <w:fldChar w:fldCharType="end"/>
      </w:r>
      <w:bookmarkEnd w:id="17"/>
      <w:r>
        <w:rPr>
          <w:rFonts w:ascii="Times New Roman" w:hAnsi="Times New Roman" w:cs="Times New Roman"/>
          <w:b w:val="0"/>
          <w:i/>
          <w:noProof/>
          <w:sz w:val="20"/>
          <w:szCs w:val="18"/>
          <w:lang w:val="en-IE"/>
        </w:rPr>
        <w:t xml:space="preserve"> Checklist Table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07660" cy="7791450"/>
            <wp:effectExtent l="0" t="0" r="254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7660" cy="7791450"/>
                    </a:xfrm>
                    <a:prstGeom prst="rect">
                      <a:avLst/>
                    </a:prstGeom>
                    <a:noFill/>
                  </pic:spPr>
                </pic:pic>
              </a:graphicData>
            </a:graphic>
          </wp:inline>
        </w:drawing>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The first two col</w:t>
      </w:r>
      <w:r>
        <w:rPr>
          <w:rFonts w:ascii="Times New Roman" w:hAnsi="Times New Roman" w:cs="Times New Roman"/>
          <w:noProof/>
          <w:sz w:val="24"/>
          <w:lang w:val="en-IE"/>
        </w:rPr>
        <w:t>umns report the content of Annex I to the Directive. The third column shows for which transport mode and alternative fuels the MS provided the required information in its NIR. When an alternative fuel or a transport mode is explicitly mentioned in the NIR,</w:t>
      </w:r>
      <w:r>
        <w:rPr>
          <w:rFonts w:ascii="Times New Roman" w:hAnsi="Times New Roman" w:cs="Times New Roman"/>
          <w:noProof/>
          <w:sz w:val="24"/>
          <w:lang w:val="en-IE"/>
        </w:rPr>
        <w:t xml:space="preserve"> then it is mentioned also in column three; when all alternative fuels and/or transport modes are mentioned, this is indicated by the word “All”. If instead in the NIR there was just a generic mention of the AF/transport mode, this is indicated by using th</w:t>
      </w:r>
      <w:r>
        <w:rPr>
          <w:rFonts w:ascii="Times New Roman" w:hAnsi="Times New Roman" w:cs="Times New Roman"/>
          <w:noProof/>
          <w:sz w:val="24"/>
          <w:lang w:val="en-IE"/>
        </w:rPr>
        <w:t>e word “Combination” or “AF (in general)”.</w:t>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Because there was no agreed methodology to assign a score to the level of quality and detail of the information provided, no score is provided here, but only a flag. When at least some information is reported in t</w:t>
      </w:r>
      <w:r>
        <w:rPr>
          <w:rFonts w:ascii="Times New Roman" w:hAnsi="Times New Roman" w:cs="Times New Roman"/>
          <w:noProof/>
          <w:sz w:val="24"/>
          <w:lang w:val="en-IE"/>
        </w:rPr>
        <w:t>he third column, in the fourth column there is a “Y or Yes” (on a green background), otherwise there is an “N or No” (on an orange background)</w:t>
      </w:r>
      <w:r>
        <w:rPr>
          <w:rStyle w:val="FootnoteReference"/>
          <w:rFonts w:ascii="Times New Roman" w:hAnsi="Times New Roman" w:cs="Times New Roman"/>
          <w:noProof/>
          <w:sz w:val="24"/>
          <w:lang w:val="en-IE"/>
        </w:rPr>
        <w:t xml:space="preserve"> </w:t>
      </w:r>
      <w:r>
        <w:rPr>
          <w:rStyle w:val="FootnoteReference"/>
          <w:rFonts w:ascii="Times New Roman" w:hAnsi="Times New Roman" w:cs="Times New Roman"/>
          <w:noProof/>
          <w:sz w:val="24"/>
          <w:lang w:val="en-IE"/>
        </w:rPr>
        <w:footnoteReference w:id="3"/>
      </w:r>
      <w:r>
        <w:rPr>
          <w:rFonts w:ascii="Times New Roman" w:hAnsi="Times New Roman" w:cs="Times New Roman"/>
          <w:noProof/>
          <w:sz w:val="24"/>
          <w:lang w:val="en-IE"/>
        </w:rPr>
        <w:t xml:space="preserve">. </w:t>
      </w:r>
    </w:p>
    <w:p w:rsidR="003C43BF" w:rsidRDefault="003C43BF">
      <w:pPr>
        <w:spacing w:after="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18" w:name="_Ref51313435"/>
      <w:bookmarkStart w:id="19" w:name="_Toc55301719"/>
      <w:bookmarkStart w:id="20" w:name="_Toc56944083"/>
      <w:r>
        <w:rPr>
          <w:rFonts w:ascii="Times New Roman" w:hAnsi="Times New Roman" w:cs="Times New Roman"/>
          <w:noProof/>
          <w:sz w:val="24"/>
          <w:lang w:val="en-IE"/>
        </w:rPr>
        <w:t>Quantitative assessment: Vehicles and infrastructure</w:t>
      </w:r>
      <w:bookmarkEnd w:id="18"/>
      <w:bookmarkEnd w:id="19"/>
      <w:bookmarkEnd w:id="20"/>
    </w:p>
    <w:p w:rsidR="003C43BF" w:rsidRDefault="006C3212">
      <w:pPr>
        <w:spacing w:before="120"/>
        <w:rPr>
          <w:rFonts w:ascii="Times New Roman" w:hAnsi="Times New Roman" w:cs="Times New Roman"/>
          <w:noProof/>
          <w:sz w:val="24"/>
          <w:lang w:val="en-IE"/>
        </w:rPr>
      </w:pPr>
      <w:r>
        <w:rPr>
          <w:rFonts w:ascii="Times New Roman" w:hAnsi="Times New Roman" w:cs="Times New Roman"/>
          <w:noProof/>
          <w:sz w:val="24"/>
          <w:lang w:val="en-IE"/>
        </w:rPr>
        <w:t xml:space="preserve">This section starts with a table that looks like the </w:t>
      </w:r>
      <w:r>
        <w:rPr>
          <w:rFonts w:ascii="Times New Roman" w:hAnsi="Times New Roman" w:cs="Times New Roman"/>
          <w:noProof/>
          <w:sz w:val="24"/>
          <w:lang w:val="en-IE"/>
        </w:rPr>
        <w:t>following:</w:t>
      </w:r>
    </w:p>
    <w:p w:rsidR="003C43BF" w:rsidRDefault="006C3212">
      <w:pPr>
        <w:jc w:val="both"/>
        <w:rPr>
          <w:rFonts w:ascii="Times New Roman" w:hAnsi="Times New Roman" w:cs="Times New Roman"/>
          <w:i/>
          <w:noProof/>
          <w:sz w:val="20"/>
          <w:szCs w:val="18"/>
          <w:lang w:val="en-IE"/>
        </w:rPr>
      </w:pPr>
      <w:bookmarkStart w:id="21" w:name="_Ref51312381"/>
      <w:r>
        <w:rPr>
          <w:rFonts w:ascii="Times New Roman" w:hAnsi="Times New Roman" w:cs="Times New Roman"/>
          <w:i/>
          <w:noProof/>
          <w:sz w:val="20"/>
          <w:szCs w:val="18"/>
          <w:lang w:val="en-IE"/>
        </w:rPr>
        <w:t xml:space="preserve">Table </w:t>
      </w:r>
      <w:r>
        <w:rPr>
          <w:rFonts w:ascii="Times New Roman" w:hAnsi="Times New Roman" w:cs="Times New Roman"/>
          <w:i/>
          <w:noProof/>
          <w:sz w:val="20"/>
          <w:szCs w:val="18"/>
          <w:lang w:val="en-IE"/>
        </w:rPr>
        <w:fldChar w:fldCharType="begin"/>
      </w:r>
      <w:r>
        <w:rPr>
          <w:rFonts w:ascii="Times New Roman" w:hAnsi="Times New Roman" w:cs="Times New Roman"/>
          <w:i/>
          <w:noProof/>
          <w:sz w:val="20"/>
          <w:szCs w:val="18"/>
          <w:lang w:val="en-IE"/>
        </w:rPr>
        <w:instrText xml:space="preserve"> STYLEREF 3 \s </w:instrText>
      </w:r>
      <w:r>
        <w:rPr>
          <w:rFonts w:ascii="Times New Roman" w:hAnsi="Times New Roman" w:cs="Times New Roman"/>
          <w:i/>
          <w:noProof/>
          <w:sz w:val="20"/>
          <w:szCs w:val="18"/>
          <w:lang w:val="en-IE"/>
        </w:rPr>
        <w:fldChar w:fldCharType="separate"/>
      </w:r>
      <w:r>
        <w:rPr>
          <w:rFonts w:ascii="Times New Roman" w:hAnsi="Times New Roman" w:cs="Times New Roman"/>
          <w:i/>
          <w:noProof/>
          <w:sz w:val="20"/>
          <w:szCs w:val="18"/>
          <w:lang w:val="en-IE"/>
        </w:rPr>
        <w:t>5.0.4</w:t>
      </w:r>
      <w:r>
        <w:rPr>
          <w:rFonts w:ascii="Times New Roman" w:hAnsi="Times New Roman" w:cs="Times New Roman"/>
          <w:i/>
          <w:noProof/>
          <w:sz w:val="20"/>
          <w:szCs w:val="18"/>
          <w:lang w:val="en-IE"/>
        </w:rPr>
        <w:fldChar w:fldCharType="end"/>
      </w:r>
      <w:r>
        <w:rPr>
          <w:rFonts w:ascii="Times New Roman" w:hAnsi="Times New Roman" w:cs="Times New Roman"/>
          <w:i/>
          <w:noProof/>
          <w:sz w:val="20"/>
          <w:szCs w:val="18"/>
          <w:lang w:val="en-IE"/>
        </w:rPr>
        <w:noBreakHyphen/>
      </w:r>
      <w:r>
        <w:rPr>
          <w:rFonts w:ascii="Times New Roman" w:hAnsi="Times New Roman" w:cs="Times New Roman"/>
          <w:i/>
          <w:noProof/>
          <w:sz w:val="20"/>
          <w:szCs w:val="18"/>
          <w:lang w:val="en-IE"/>
        </w:rPr>
        <w:fldChar w:fldCharType="begin"/>
      </w:r>
      <w:r>
        <w:rPr>
          <w:rFonts w:ascii="Times New Roman" w:hAnsi="Times New Roman" w:cs="Times New Roman"/>
          <w:i/>
          <w:noProof/>
          <w:sz w:val="20"/>
          <w:szCs w:val="18"/>
          <w:lang w:val="en-IE"/>
        </w:rPr>
        <w:instrText xml:space="preserve"> SEQ Table \* ARABIC \s 3 </w:instrText>
      </w:r>
      <w:r>
        <w:rPr>
          <w:rFonts w:ascii="Times New Roman" w:hAnsi="Times New Roman" w:cs="Times New Roman"/>
          <w:i/>
          <w:noProof/>
          <w:sz w:val="20"/>
          <w:szCs w:val="18"/>
          <w:lang w:val="en-IE"/>
        </w:rPr>
        <w:fldChar w:fldCharType="separate"/>
      </w:r>
      <w:r>
        <w:rPr>
          <w:rFonts w:ascii="Times New Roman" w:hAnsi="Times New Roman" w:cs="Times New Roman"/>
          <w:i/>
          <w:noProof/>
          <w:sz w:val="20"/>
          <w:szCs w:val="18"/>
          <w:lang w:val="en-IE"/>
        </w:rPr>
        <w:t>1</w:t>
      </w:r>
      <w:r>
        <w:rPr>
          <w:rFonts w:ascii="Times New Roman" w:hAnsi="Times New Roman" w:cs="Times New Roman"/>
          <w:i/>
          <w:noProof/>
          <w:sz w:val="20"/>
          <w:szCs w:val="18"/>
          <w:lang w:val="en-IE"/>
        </w:rPr>
        <w:fldChar w:fldCharType="end"/>
      </w:r>
      <w:bookmarkEnd w:id="21"/>
      <w:r>
        <w:rPr>
          <w:rFonts w:ascii="Times New Roman" w:hAnsi="Times New Roman" w:cs="Times New Roman"/>
          <w:i/>
          <w:noProof/>
          <w:sz w:val="20"/>
          <w:szCs w:val="18"/>
          <w:lang w:val="en-IE"/>
        </w:rPr>
        <w:t xml:space="preserve"> National AFV estimates and AFI targets established in one NIR at the horizon 2020, 2025 and 2030 and their comparison with the NPF situation</w:t>
      </w:r>
    </w:p>
    <w:p w:rsidR="003C43BF" w:rsidRDefault="006C3212">
      <w:pPr>
        <w:pStyle w:val="Caption"/>
        <w:rPr>
          <w:rFonts w:ascii="Times New Roman" w:hAnsi="Times New Roman" w:cs="Times New Roman"/>
          <w:noProof/>
          <w:sz w:val="24"/>
          <w:lang w:val="en-IE"/>
        </w:rPr>
      </w:pPr>
      <w:r>
        <w:rPr>
          <w:noProof/>
          <w:lang w:eastAsia="en-GB"/>
        </w:rPr>
        <w:drawing>
          <wp:inline distT="0" distB="0" distL="0" distR="0">
            <wp:extent cx="5760720" cy="553805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538058"/>
                    </a:xfrm>
                    <a:prstGeom prst="rect">
                      <a:avLst/>
                    </a:prstGeom>
                    <a:noFill/>
                    <a:ln>
                      <a:noFill/>
                    </a:ln>
                  </pic:spPr>
                </pic:pic>
              </a:graphicData>
            </a:graphic>
          </wp:inline>
        </w:drawing>
      </w:r>
    </w:p>
    <w:p w:rsidR="003C43BF" w:rsidRDefault="006C3212">
      <w:pPr>
        <w:spacing w:before="120"/>
        <w:jc w:val="both"/>
        <w:rPr>
          <w:rFonts w:ascii="Times New Roman" w:hAnsi="Times New Roman" w:cs="Times New Roman"/>
          <w:iCs/>
          <w:noProof/>
          <w:sz w:val="24"/>
          <w:lang w:val="en-IE"/>
        </w:rPr>
      </w:pPr>
      <w:r>
        <w:rPr>
          <w:rFonts w:ascii="Times New Roman" w:hAnsi="Times New Roman" w:cs="Times New Roman"/>
          <w:iCs/>
          <w:noProof/>
          <w:sz w:val="24"/>
          <w:lang w:val="en-IE"/>
        </w:rPr>
        <w:t>For each AF/transport mode pair, the tabl</w:t>
      </w:r>
      <w:r>
        <w:rPr>
          <w:rFonts w:ascii="Times New Roman" w:hAnsi="Times New Roman" w:cs="Times New Roman"/>
          <w:iCs/>
          <w:noProof/>
          <w:sz w:val="24"/>
          <w:lang w:val="en-IE"/>
        </w:rPr>
        <w:t>e shows three rows. The first row displays the state of play reported by the MS in the NIR in 2018 for AF vehicles/vessels/locomotives/airplanes (AFV) and for their respective infrastructure (AFI). If the NIR did not report any data but the NPF did, then t</w:t>
      </w:r>
      <w:r>
        <w:rPr>
          <w:rFonts w:ascii="Times New Roman" w:hAnsi="Times New Roman" w:cs="Times New Roman"/>
          <w:iCs/>
          <w:noProof/>
          <w:sz w:val="24"/>
          <w:lang w:val="en-IE"/>
        </w:rPr>
        <w:t>he latter is shown</w:t>
      </w:r>
      <w:r>
        <w:rPr>
          <w:rStyle w:val="FootnoteReference"/>
          <w:rFonts w:ascii="Times New Roman" w:hAnsi="Times New Roman" w:cs="Times New Roman"/>
          <w:iCs/>
          <w:noProof/>
          <w:sz w:val="24"/>
          <w:lang w:val="en-IE"/>
        </w:rPr>
        <w:footnoteReference w:id="4"/>
      </w:r>
      <w:r>
        <w:rPr>
          <w:rFonts w:ascii="Times New Roman" w:hAnsi="Times New Roman" w:cs="Times New Roman"/>
          <w:iCs/>
          <w:noProof/>
          <w:sz w:val="24"/>
          <w:lang w:val="en-IE"/>
        </w:rPr>
        <w:t>. Then, the AFV estimates and AFI targets for the years 2020, 2025 and 2030 are also reported as given in the NIR. The second and third rows present the results of the calculations regarding changes between NIR and NPF, and attainment. T</w:t>
      </w:r>
      <w:r>
        <w:rPr>
          <w:rFonts w:ascii="Times New Roman" w:hAnsi="Times New Roman" w:cs="Times New Roman"/>
          <w:iCs/>
          <w:noProof/>
          <w:sz w:val="24"/>
          <w:lang w:val="en-IE"/>
        </w:rPr>
        <w:t>hese calculations follow the procedure explained in subsection 2.1.2 and subsection 2.1.4 of the assessment methodology.</w:t>
      </w:r>
    </w:p>
    <w:p w:rsidR="003C43BF" w:rsidRDefault="006C3212">
      <w:pPr>
        <w:spacing w:before="120"/>
        <w:jc w:val="both"/>
        <w:rPr>
          <w:rFonts w:ascii="Times New Roman" w:hAnsi="Times New Roman" w:cs="Times New Roman"/>
          <w:iCs/>
          <w:noProof/>
          <w:sz w:val="24"/>
          <w:lang w:val="en-IE"/>
        </w:rPr>
      </w:pPr>
      <w:r>
        <w:rPr>
          <w:rFonts w:ascii="Times New Roman" w:hAnsi="Times New Roman" w:cs="Times New Roman"/>
          <w:iCs/>
          <w:noProof/>
          <w:sz w:val="24"/>
          <w:lang w:val="en-IE"/>
        </w:rPr>
        <w:t>As a general rule, the table shows the following AF/transport mode pairs for which the AFI Directive included specific infrastructure d</w:t>
      </w:r>
      <w:r>
        <w:rPr>
          <w:rFonts w:ascii="Times New Roman" w:hAnsi="Times New Roman" w:cs="Times New Roman"/>
          <w:iCs/>
          <w:noProof/>
          <w:sz w:val="24"/>
          <w:lang w:val="en-IE"/>
        </w:rPr>
        <w:t>eployment requirements in its articles:</w:t>
      </w:r>
    </w:p>
    <w:p w:rsidR="003C43BF" w:rsidRDefault="006C3212">
      <w:pPr>
        <w:pStyle w:val="ListParagraph"/>
        <w:numPr>
          <w:ilvl w:val="0"/>
          <w:numId w:val="21"/>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Electricity/road (Article 4(1))</w:t>
      </w:r>
    </w:p>
    <w:p w:rsidR="003C43BF" w:rsidRDefault="006C3212">
      <w:pPr>
        <w:pStyle w:val="ListParagraph"/>
        <w:numPr>
          <w:ilvl w:val="0"/>
          <w:numId w:val="21"/>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CNG/road (Article 6(7))</w:t>
      </w:r>
    </w:p>
    <w:p w:rsidR="003C43BF" w:rsidRDefault="006C3212">
      <w:pPr>
        <w:pStyle w:val="ListParagraph"/>
        <w:numPr>
          <w:ilvl w:val="0"/>
          <w:numId w:val="21"/>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LNG/road (Article 6(4))</w:t>
      </w:r>
    </w:p>
    <w:p w:rsidR="003C43BF" w:rsidRDefault="006C3212">
      <w:pPr>
        <w:pStyle w:val="ListParagraph"/>
        <w:numPr>
          <w:ilvl w:val="0"/>
          <w:numId w:val="21"/>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LNG/waterborne maritime (if applicable to the MS) (Article 6(1))</w:t>
      </w:r>
    </w:p>
    <w:p w:rsidR="003C43BF" w:rsidRDefault="006C3212">
      <w:pPr>
        <w:pStyle w:val="ListParagraph"/>
        <w:numPr>
          <w:ilvl w:val="0"/>
          <w:numId w:val="21"/>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LNG/waterborne inland (if applicable to the MS) (Article 6(2))</w:t>
      </w:r>
    </w:p>
    <w:p w:rsidR="003C43BF" w:rsidRDefault="006C3212">
      <w:pPr>
        <w:spacing w:before="12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If the MS has provided additional information in its NIR regarding other AF/transport mode pairs, these are also shown in the table. For example, the </w:t>
      </w:r>
      <w:r>
        <w:rPr>
          <w:rFonts w:ascii="Times New Roman" w:hAnsi="Times New Roman" w:cs="Times New Roman"/>
          <w:noProof/>
          <w:sz w:val="24"/>
          <w:lang w:val="en-IE"/>
        </w:rPr>
        <w:fldChar w:fldCharType="begin"/>
      </w:r>
      <w:r>
        <w:rPr>
          <w:rFonts w:ascii="Times New Roman" w:hAnsi="Times New Roman" w:cs="Times New Roman"/>
          <w:iCs/>
          <w:noProof/>
          <w:sz w:val="24"/>
          <w:lang w:val="en-IE"/>
        </w:rPr>
        <w:instrText xml:space="preserve"> REF _Ref51312381 \h </w:instrText>
      </w:r>
      <w:r>
        <w:rPr>
          <w:rFonts w:ascii="Times New Roman" w:hAnsi="Times New Roman" w:cs="Times New Roman"/>
          <w:noProof/>
          <w:sz w:val="24"/>
          <w:lang w:val="en-IE"/>
        </w:rPr>
        <w:instrText xml:space="preserve">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noProof/>
          <w:sz w:val="24"/>
          <w:lang w:val="en-IE"/>
        </w:rPr>
        <w:t>Table 5.0.4</w:t>
      </w:r>
      <w:r w:rsidRPr="006C3212">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r>
        <w:rPr>
          <w:rFonts w:ascii="Times New Roman" w:hAnsi="Times New Roman" w:cs="Times New Roman"/>
          <w:iCs/>
          <w:noProof/>
          <w:sz w:val="24"/>
          <w:lang w:val="en-IE"/>
        </w:rPr>
        <w:t>also includes data on hydrogen/road because they were in the NIR of that MS.</w:t>
      </w:r>
    </w:p>
    <w:p w:rsidR="003C43BF" w:rsidRDefault="006C3212">
      <w:pPr>
        <w:spacing w:before="12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assessment report continues with the presentation and analysis of the most important points from </w:t>
      </w:r>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REF _Ref51312381 \h  \* MERGEFORMAT </w:instrText>
      </w:r>
      <w:r>
        <w:rPr>
          <w:rFonts w:ascii="Times New Roman" w:hAnsi="Times New Roman" w:cs="Times New Roman"/>
          <w:iCs/>
          <w:noProof/>
          <w:sz w:val="24"/>
          <w:lang w:val="en-IE"/>
        </w:rPr>
      </w:r>
      <w:r>
        <w:rPr>
          <w:rFonts w:ascii="Times New Roman" w:hAnsi="Times New Roman" w:cs="Times New Roman"/>
          <w:iCs/>
          <w:noProof/>
          <w:sz w:val="24"/>
          <w:lang w:val="en-IE"/>
        </w:rPr>
        <w:fldChar w:fldCharType="separate"/>
      </w:r>
      <w:r w:rsidRPr="006C3212">
        <w:rPr>
          <w:rFonts w:ascii="Times New Roman" w:hAnsi="Times New Roman" w:cs="Times New Roman"/>
          <w:noProof/>
          <w:sz w:val="24"/>
          <w:lang w:val="en-IE"/>
        </w:rPr>
        <w:t>Table 5.0.4</w:t>
      </w:r>
      <w:r w:rsidRPr="006C3212">
        <w:rPr>
          <w:rFonts w:ascii="Times New Roman" w:hAnsi="Times New Roman" w:cs="Times New Roman"/>
          <w:noProof/>
          <w:sz w:val="24"/>
          <w:lang w:val="en-IE"/>
        </w:rPr>
        <w:noBreakHyphen/>
        <w:t>1</w:t>
      </w:r>
      <w:r>
        <w:rPr>
          <w:rFonts w:ascii="Times New Roman" w:hAnsi="Times New Roman" w:cs="Times New Roman"/>
          <w:iCs/>
          <w:noProof/>
          <w:sz w:val="24"/>
          <w:lang w:val="en-IE"/>
        </w:rPr>
        <w:fldChar w:fldCharType="end"/>
      </w:r>
      <w:r>
        <w:rPr>
          <w:rFonts w:ascii="Times New Roman" w:hAnsi="Times New Roman" w:cs="Times New Roman"/>
          <w:iCs/>
          <w:noProof/>
          <w:sz w:val="24"/>
          <w:lang w:val="en-IE"/>
        </w:rPr>
        <w:t>. The order of such presentation is the following:</w:t>
      </w:r>
    </w:p>
    <w:p w:rsidR="003C43BF" w:rsidRDefault="006C3212">
      <w:pPr>
        <w:pStyle w:val="ListParagraph"/>
        <w:numPr>
          <w:ilvl w:val="0"/>
          <w:numId w:val="22"/>
        </w:numPr>
        <w:spacing w:before="120"/>
        <w:rPr>
          <w:rFonts w:ascii="Times New Roman" w:hAnsi="Times New Roman" w:cs="Times New Roman"/>
          <w:b/>
          <w:iCs/>
          <w:noProof/>
          <w:sz w:val="24"/>
          <w:lang w:val="en-IE"/>
        </w:rPr>
      </w:pPr>
      <w:r>
        <w:rPr>
          <w:rFonts w:ascii="Times New Roman" w:hAnsi="Times New Roman" w:cs="Times New Roman"/>
          <w:b/>
          <w:iCs/>
          <w:noProof/>
          <w:sz w:val="24"/>
          <w:lang w:val="en-IE"/>
        </w:rPr>
        <w:t>Road</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Electricity</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Ratio</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Information on charging efficiency</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CNG</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 xml:space="preserve">Infrastructure </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Ratio</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LNG</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 xml:space="preserve">Infrastructure </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Ratio</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Hydrogen</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 xml:space="preserve">Infrastructure </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Ratio</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Biofuels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 xml:space="preserve">Infrastructure </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Ratio</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LPG</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 xml:space="preserve">Infrastructure </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Ratio</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Other AF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 xml:space="preserve">Infrastructure </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Ratio</w:t>
      </w:r>
    </w:p>
    <w:p w:rsidR="003C43BF" w:rsidRDefault="006C3212">
      <w:pPr>
        <w:pStyle w:val="ListParagraph"/>
        <w:numPr>
          <w:ilvl w:val="0"/>
          <w:numId w:val="22"/>
        </w:numPr>
        <w:spacing w:before="120"/>
        <w:rPr>
          <w:rFonts w:ascii="Times New Roman" w:hAnsi="Times New Roman" w:cs="Times New Roman"/>
          <w:b/>
          <w:iCs/>
          <w:noProof/>
          <w:sz w:val="24"/>
          <w:lang w:val="en-IE"/>
        </w:rPr>
      </w:pPr>
      <w:r>
        <w:rPr>
          <w:rFonts w:ascii="Times New Roman" w:hAnsi="Times New Roman" w:cs="Times New Roman"/>
          <w:b/>
          <w:iCs/>
          <w:noProof/>
          <w:sz w:val="24"/>
          <w:lang w:val="en-IE"/>
        </w:rPr>
        <w:t>Rail</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Electricity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LNG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Hydrogen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Biofuels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Vehicles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w:t>
      </w:r>
    </w:p>
    <w:p w:rsidR="003C43BF" w:rsidRDefault="006C3212">
      <w:pPr>
        <w:pStyle w:val="ListParagraph"/>
        <w:numPr>
          <w:ilvl w:val="0"/>
          <w:numId w:val="22"/>
        </w:numPr>
        <w:spacing w:before="120"/>
        <w:rPr>
          <w:rFonts w:ascii="Times New Roman" w:hAnsi="Times New Roman" w:cs="Times New Roman"/>
          <w:b/>
          <w:iCs/>
          <w:noProof/>
          <w:sz w:val="24"/>
          <w:lang w:val="en-IE"/>
        </w:rPr>
      </w:pPr>
      <w:r>
        <w:rPr>
          <w:rFonts w:ascii="Times New Roman" w:hAnsi="Times New Roman" w:cs="Times New Roman"/>
          <w:b/>
          <w:iCs/>
          <w:noProof/>
          <w:sz w:val="24"/>
          <w:lang w:val="en-IE"/>
        </w:rPr>
        <w:t>Waterborne maritime (if applicable to the MS)</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Electricity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Vessels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 (shore-side electricity supply)</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 xml:space="preserve">LNG (if </w:t>
      </w:r>
      <w:r>
        <w:rPr>
          <w:rFonts w:ascii="Times New Roman" w:hAnsi="Times New Roman" w:cs="Times New Roman"/>
          <w:iCs/>
          <w:noProof/>
          <w:sz w:val="24"/>
          <w:lang w:val="en-IE"/>
        </w:rPr>
        <w:t>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Vessels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Hydrogen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Vessels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Biofuels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Vessels</w:t>
      </w:r>
    </w:p>
    <w:p w:rsidR="003C43BF" w:rsidRDefault="006C3212">
      <w:pPr>
        <w:pStyle w:val="ListParagraph"/>
        <w:numPr>
          <w:ilvl w:val="2"/>
          <w:numId w:val="22"/>
        </w:numPr>
        <w:spacing w:before="120" w:after="360"/>
        <w:ind w:left="1225" w:hanging="505"/>
        <w:rPr>
          <w:rFonts w:ascii="Times New Roman" w:hAnsi="Times New Roman" w:cs="Times New Roman"/>
          <w:iCs/>
          <w:noProof/>
          <w:sz w:val="24"/>
          <w:lang w:val="en-IE"/>
        </w:rPr>
      </w:pPr>
      <w:r>
        <w:rPr>
          <w:rFonts w:ascii="Times New Roman" w:hAnsi="Times New Roman" w:cs="Times New Roman"/>
          <w:iCs/>
          <w:noProof/>
          <w:sz w:val="24"/>
          <w:lang w:val="en-IE"/>
        </w:rPr>
        <w:t>Infrastructure</w:t>
      </w:r>
    </w:p>
    <w:p w:rsidR="003C43BF" w:rsidRDefault="006C3212">
      <w:pPr>
        <w:pStyle w:val="ListParagraph"/>
        <w:numPr>
          <w:ilvl w:val="0"/>
          <w:numId w:val="22"/>
        </w:numPr>
        <w:spacing w:before="240"/>
        <w:ind w:left="357" w:hanging="357"/>
        <w:rPr>
          <w:rFonts w:ascii="Times New Roman" w:hAnsi="Times New Roman" w:cs="Times New Roman"/>
          <w:b/>
          <w:iCs/>
          <w:noProof/>
          <w:sz w:val="24"/>
          <w:lang w:val="en-IE"/>
        </w:rPr>
      </w:pPr>
      <w:r>
        <w:rPr>
          <w:rFonts w:ascii="Times New Roman" w:hAnsi="Times New Roman" w:cs="Times New Roman"/>
          <w:b/>
          <w:iCs/>
          <w:noProof/>
          <w:sz w:val="24"/>
          <w:lang w:val="en-IE"/>
        </w:rPr>
        <w:t>Waterborne inland (if applicable to the MS)</w:t>
      </w:r>
    </w:p>
    <w:p w:rsidR="003C43BF" w:rsidRDefault="006C3212">
      <w:pPr>
        <w:pStyle w:val="ListParagraph"/>
        <w:spacing w:before="120"/>
        <w:ind w:left="426"/>
        <w:rPr>
          <w:rFonts w:ascii="Times New Roman" w:hAnsi="Times New Roman" w:cs="Times New Roman"/>
          <w:iCs/>
          <w:noProof/>
          <w:sz w:val="24"/>
          <w:lang w:val="en-IE"/>
        </w:rPr>
      </w:pPr>
      <w:r>
        <w:rPr>
          <w:rFonts w:ascii="Times New Roman" w:hAnsi="Times New Roman" w:cs="Times New Roman"/>
          <w:iCs/>
          <w:noProof/>
          <w:sz w:val="24"/>
          <w:lang w:val="en-IE"/>
        </w:rPr>
        <w:t>Same scheme as for waterborne maritime</w:t>
      </w:r>
    </w:p>
    <w:p w:rsidR="003C43BF" w:rsidRDefault="006C3212">
      <w:pPr>
        <w:pStyle w:val="ListParagraph"/>
        <w:numPr>
          <w:ilvl w:val="0"/>
          <w:numId w:val="22"/>
        </w:numPr>
        <w:spacing w:before="120"/>
        <w:rPr>
          <w:rFonts w:ascii="Times New Roman" w:hAnsi="Times New Roman" w:cs="Times New Roman"/>
          <w:b/>
          <w:iCs/>
          <w:noProof/>
          <w:sz w:val="24"/>
          <w:lang w:val="en-IE"/>
        </w:rPr>
      </w:pPr>
      <w:r>
        <w:rPr>
          <w:rFonts w:ascii="Times New Roman" w:hAnsi="Times New Roman" w:cs="Times New Roman"/>
          <w:b/>
          <w:iCs/>
          <w:noProof/>
          <w:sz w:val="24"/>
          <w:lang w:val="en-IE"/>
        </w:rPr>
        <w:t xml:space="preserve">Air </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Electricity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Airplanes</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 (electricity supply for stationary airplanes)</w:t>
      </w:r>
    </w:p>
    <w:p w:rsidR="003C43BF" w:rsidRDefault="006C3212">
      <w:pPr>
        <w:pStyle w:val="ListParagraph"/>
        <w:numPr>
          <w:ilvl w:val="1"/>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Biofuels (if applicable)</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 xml:space="preserve">Airplanes </w:t>
      </w:r>
    </w:p>
    <w:p w:rsidR="003C43BF" w:rsidRDefault="006C3212">
      <w:pPr>
        <w:pStyle w:val="ListParagraph"/>
        <w:numPr>
          <w:ilvl w:val="2"/>
          <w:numId w:val="22"/>
        </w:numPr>
        <w:spacing w:before="120"/>
        <w:rPr>
          <w:rFonts w:ascii="Times New Roman" w:hAnsi="Times New Roman" w:cs="Times New Roman"/>
          <w:iCs/>
          <w:noProof/>
          <w:sz w:val="24"/>
          <w:lang w:val="en-IE"/>
        </w:rPr>
      </w:pPr>
      <w:r>
        <w:rPr>
          <w:rFonts w:ascii="Times New Roman" w:hAnsi="Times New Roman" w:cs="Times New Roman"/>
          <w:iCs/>
          <w:noProof/>
          <w:sz w:val="24"/>
          <w:lang w:val="en-IE"/>
        </w:rPr>
        <w:t>Infrastructure (renewable jet fuel refuelling points in airports within the TEN-T Core Network)</w:t>
      </w:r>
    </w:p>
    <w:p w:rsidR="003C43BF" w:rsidRDefault="006C3212">
      <w:pPr>
        <w:spacing w:after="0"/>
        <w:jc w:val="both"/>
        <w:rPr>
          <w:rFonts w:ascii="Times New Roman" w:hAnsi="Times New Roman" w:cs="Times New Roman"/>
          <w:iCs/>
          <w:noProof/>
          <w:sz w:val="24"/>
          <w:lang w:val="en-IE"/>
        </w:rPr>
      </w:pPr>
      <w:r>
        <w:rPr>
          <w:rFonts w:ascii="Times New Roman" w:hAnsi="Times New Roman" w:cs="Times New Roman"/>
          <w:iCs/>
          <w:noProof/>
          <w:sz w:val="24"/>
          <w:lang w:val="en-IE"/>
        </w:rPr>
        <w:t>It shall be noted that only for the pairs of alternative fuels</w:t>
      </w:r>
      <w:r>
        <w:rPr>
          <w:rFonts w:ascii="Times New Roman" w:hAnsi="Times New Roman" w:cs="Times New Roman"/>
          <w:iCs/>
          <w:noProof/>
          <w:sz w:val="24"/>
          <w:lang w:val="en-IE"/>
        </w:rPr>
        <w:t xml:space="preserve"> and road, in addition to the analysis of vehicles and infrastructure, there is a point called “Ratio”, which is also indicated as “Sufficiency index”, representing the proportional relation between alternative fuels vehicles and infrastructure (see subsec</w:t>
      </w:r>
      <w:r>
        <w:rPr>
          <w:rFonts w:ascii="Times New Roman" w:hAnsi="Times New Roman" w:cs="Times New Roman"/>
          <w:iCs/>
          <w:noProof/>
          <w:sz w:val="24"/>
          <w:lang w:val="en-IE"/>
        </w:rPr>
        <w:t xml:space="preserve">tion 2.1.5 of the assessment methodology and </w:t>
      </w:r>
      <w:sdt>
        <w:sdtPr>
          <w:rPr>
            <w:rFonts w:ascii="Times New Roman" w:hAnsi="Times New Roman" w:cs="Times New Roman"/>
            <w:iCs/>
            <w:noProof/>
            <w:sz w:val="24"/>
            <w:lang w:val="en-IE"/>
          </w:rPr>
          <w:id w:val="-1082826569"/>
          <w:citation/>
        </w:sdtPr>
        <w:sdtEndPr/>
        <w:sdtContent>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CITATION Eur191 \l 1033 </w:instrText>
          </w:r>
          <w:r>
            <w:rPr>
              <w:rFonts w:ascii="Times New Roman" w:hAnsi="Times New Roman" w:cs="Times New Roman"/>
              <w:iCs/>
              <w:noProof/>
              <w:sz w:val="24"/>
              <w:lang w:val="en-IE"/>
            </w:rPr>
            <w:fldChar w:fldCharType="separate"/>
          </w:r>
          <w:r>
            <w:rPr>
              <w:rFonts w:ascii="Times New Roman" w:hAnsi="Times New Roman" w:cs="Times New Roman"/>
              <w:noProof/>
              <w:sz w:val="24"/>
              <w:lang w:val="en-IE"/>
            </w:rPr>
            <w:t>(European Commission, 2019)</w:t>
          </w:r>
          <w:r>
            <w:rPr>
              <w:rFonts w:ascii="Times New Roman" w:hAnsi="Times New Roman" w:cs="Times New Roman"/>
              <w:iCs/>
              <w:noProof/>
              <w:sz w:val="24"/>
              <w:lang w:val="en-IE"/>
            </w:rPr>
            <w:fldChar w:fldCharType="end"/>
          </w:r>
        </w:sdtContent>
      </w:sdt>
      <w:r>
        <w:rPr>
          <w:rFonts w:ascii="Times New Roman" w:hAnsi="Times New Roman" w:cs="Times New Roman"/>
          <w:iCs/>
          <w:noProof/>
          <w:sz w:val="24"/>
          <w:lang w:val="en-IE"/>
        </w:rPr>
        <w:t xml:space="preserve">). In particular, for the electricity/road pair, an assessment is provided concerning the adequacy of the ratio between the number of vehicles and the </w:t>
      </w:r>
      <w:r>
        <w:rPr>
          <w:rFonts w:ascii="Times New Roman" w:hAnsi="Times New Roman" w:cs="Times New Roman"/>
          <w:iCs/>
          <w:noProof/>
          <w:sz w:val="24"/>
          <w:lang w:val="en-IE"/>
        </w:rPr>
        <w:t>number of recharging points, either for the period 2016 - 2018, or estimated for 2020, 2025 and 2030. The adequacy assessment is based mainly on the indicative threshold value of 10, as mentioned by the Directive</w:t>
      </w:r>
      <w:r>
        <w:rPr>
          <w:rStyle w:val="FootnoteReference"/>
          <w:rFonts w:ascii="Times New Roman" w:hAnsi="Times New Roman" w:cs="Times New Roman"/>
          <w:iCs/>
          <w:noProof/>
          <w:sz w:val="24"/>
          <w:lang w:val="en-IE"/>
        </w:rPr>
        <w:footnoteReference w:id="5"/>
      </w:r>
      <w:r>
        <w:rPr>
          <w:rFonts w:ascii="Times New Roman" w:hAnsi="Times New Roman" w:cs="Times New Roman"/>
          <w:iCs/>
          <w:noProof/>
          <w:sz w:val="24"/>
          <w:lang w:val="en-IE"/>
        </w:rPr>
        <w:t xml:space="preserve">. However, the share of high power (&gt;22kW) </w:t>
      </w:r>
      <w:r>
        <w:rPr>
          <w:rFonts w:ascii="Times New Roman" w:hAnsi="Times New Roman" w:cs="Times New Roman"/>
          <w:iCs/>
          <w:noProof/>
          <w:sz w:val="24"/>
          <w:lang w:val="en-IE"/>
        </w:rPr>
        <w:t>recharging points in the total recharging points is also taken in consideration.</w:t>
      </w:r>
    </w:p>
    <w:p w:rsidR="003C43BF" w:rsidRDefault="006C3212">
      <w:pPr>
        <w:spacing w:after="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For the CNG/road pair, the adequacy assessment is based on the indicative value of 600 as considered in </w:t>
      </w:r>
      <w:sdt>
        <w:sdtPr>
          <w:rPr>
            <w:rFonts w:ascii="Times New Roman" w:hAnsi="Times New Roman" w:cs="Times New Roman"/>
            <w:iCs/>
            <w:noProof/>
            <w:sz w:val="24"/>
            <w:lang w:val="en-IE"/>
          </w:rPr>
          <w:id w:val="345370758"/>
          <w:citation/>
        </w:sdtPr>
        <w:sdtEndPr/>
        <w:sdtContent>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CITATION Eur191 \l 1033 </w:instrText>
          </w:r>
          <w:r>
            <w:rPr>
              <w:rFonts w:ascii="Times New Roman" w:hAnsi="Times New Roman" w:cs="Times New Roman"/>
              <w:iCs/>
              <w:noProof/>
              <w:sz w:val="24"/>
              <w:lang w:val="en-IE"/>
            </w:rPr>
            <w:fldChar w:fldCharType="separate"/>
          </w:r>
          <w:r>
            <w:rPr>
              <w:rFonts w:ascii="Times New Roman" w:hAnsi="Times New Roman" w:cs="Times New Roman"/>
              <w:noProof/>
              <w:sz w:val="24"/>
              <w:lang w:val="en-IE"/>
            </w:rPr>
            <w:t>(European Commission, 2019)</w:t>
          </w:r>
          <w:r>
            <w:rPr>
              <w:rFonts w:ascii="Times New Roman" w:hAnsi="Times New Roman" w:cs="Times New Roman"/>
              <w:iCs/>
              <w:noProof/>
              <w:sz w:val="24"/>
              <w:lang w:val="en-IE"/>
            </w:rPr>
            <w:fldChar w:fldCharType="end"/>
          </w:r>
        </w:sdtContent>
      </w:sdt>
      <w:r>
        <w:rPr>
          <w:rStyle w:val="FootnoteReference"/>
          <w:rFonts w:ascii="Times New Roman" w:hAnsi="Times New Roman" w:cs="Times New Roman"/>
          <w:iCs/>
          <w:noProof/>
          <w:sz w:val="24"/>
          <w:lang w:val="en-IE"/>
        </w:rPr>
        <w:footnoteReference w:id="6"/>
      </w:r>
      <w:r>
        <w:rPr>
          <w:rFonts w:ascii="Times New Roman" w:hAnsi="Times New Roman" w:cs="Times New Roman"/>
          <w:iCs/>
          <w:noProof/>
          <w:sz w:val="24"/>
          <w:lang w:val="en-IE"/>
        </w:rPr>
        <w:t>. For all the</w:t>
      </w:r>
      <w:r>
        <w:rPr>
          <w:rFonts w:ascii="Times New Roman" w:hAnsi="Times New Roman" w:cs="Times New Roman"/>
          <w:iCs/>
          <w:noProof/>
          <w:sz w:val="24"/>
          <w:lang w:val="en-IE"/>
        </w:rPr>
        <w:t xml:space="preserve"> other AFs/road pairs, only the sufficiency index is shown, without any comment.</w:t>
      </w:r>
    </w:p>
    <w:p w:rsidR="003C43BF" w:rsidRDefault="006C3212">
      <w:pPr>
        <w:spacing w:after="0"/>
        <w:jc w:val="both"/>
        <w:rPr>
          <w:rFonts w:ascii="Times New Roman" w:hAnsi="Times New Roman" w:cs="Times New Roman"/>
          <w:iCs/>
          <w:noProof/>
          <w:sz w:val="24"/>
          <w:lang w:val="en-IE"/>
        </w:rPr>
      </w:pPr>
      <w:r>
        <w:rPr>
          <w:rFonts w:ascii="Times New Roman" w:hAnsi="Times New Roman" w:cs="Times New Roman"/>
          <w:iCs/>
          <w:noProof/>
          <w:sz w:val="24"/>
          <w:lang w:val="en-IE"/>
        </w:rPr>
        <w:t>The electricity/road pair has also an additional point on “Information on charging efficiency”, which is a specific requirement of Annex I to the Directive</w:t>
      </w:r>
      <w:r>
        <w:rPr>
          <w:rStyle w:val="FootnoteReference"/>
          <w:rFonts w:ascii="Times New Roman" w:hAnsi="Times New Roman" w:cs="Times New Roman"/>
          <w:iCs/>
          <w:noProof/>
          <w:sz w:val="24"/>
          <w:lang w:val="en-IE"/>
        </w:rPr>
        <w:footnoteReference w:id="7"/>
      </w:r>
      <w:r>
        <w:rPr>
          <w:rFonts w:ascii="Times New Roman" w:hAnsi="Times New Roman" w:cs="Times New Roman"/>
          <w:iCs/>
          <w:noProof/>
          <w:sz w:val="24"/>
          <w:lang w:val="en-IE"/>
        </w:rPr>
        <w:t>. When available in</w:t>
      </w:r>
      <w:r>
        <w:rPr>
          <w:rFonts w:ascii="Times New Roman" w:hAnsi="Times New Roman" w:cs="Times New Roman"/>
          <w:iCs/>
          <w:noProof/>
          <w:sz w:val="24"/>
          <w:lang w:val="en-IE"/>
        </w:rPr>
        <w:t xml:space="preserve"> the NIR, this information is summarised in the assessment report.</w:t>
      </w:r>
    </w:p>
    <w:p w:rsidR="003C43BF" w:rsidRDefault="003C43BF">
      <w:pPr>
        <w:pStyle w:val="ListParagraph"/>
        <w:spacing w:before="120"/>
        <w:ind w:left="1224"/>
        <w:rPr>
          <w:rFonts w:ascii="Times New Roman" w:hAnsi="Times New Roman" w:cs="Times New Roman"/>
          <w:iCs/>
          <w:noProof/>
          <w:color w:val="44546A" w:themeColor="text2"/>
          <w:sz w:val="20"/>
          <w:szCs w:val="18"/>
          <w:lang w:val="en-IE"/>
        </w:rPr>
      </w:pPr>
    </w:p>
    <w:p w:rsidR="003C43BF" w:rsidRDefault="006C3212">
      <w:pPr>
        <w:pStyle w:val="Heading3"/>
        <w:ind w:left="720"/>
        <w:rPr>
          <w:rFonts w:ascii="Times New Roman" w:hAnsi="Times New Roman" w:cs="Times New Roman"/>
          <w:noProof/>
          <w:sz w:val="24"/>
          <w:lang w:val="en-IE"/>
        </w:rPr>
      </w:pPr>
      <w:bookmarkStart w:id="22" w:name="_Toc55301720"/>
      <w:bookmarkStart w:id="23" w:name="_Toc56944084"/>
      <w:r>
        <w:rPr>
          <w:rFonts w:ascii="Times New Roman" w:hAnsi="Times New Roman" w:cs="Times New Roman"/>
          <w:noProof/>
          <w:sz w:val="24"/>
          <w:lang w:val="en-IE"/>
        </w:rPr>
        <w:t>Measures assessment</w:t>
      </w:r>
      <w:bookmarkEnd w:id="22"/>
      <w:bookmarkEnd w:id="23"/>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This part of the assessment report is carried out as described in the assessment methodology (Section 2.2). It contains five headings. Headings 1, 2, 3 and 5 are dedica</w:t>
      </w:r>
      <w:r>
        <w:rPr>
          <w:rFonts w:ascii="Times New Roman" w:hAnsi="Times New Roman" w:cs="Times New Roman"/>
          <w:noProof/>
          <w:sz w:val="24"/>
          <w:lang w:val="en-IE"/>
        </w:rPr>
        <w:t>ted to the description and analysis of the main points related to the four different classes of measures required by Annex I of the Directive; heading 4 shows the result of a more detailed assessment of the Policy and Deployment &amp; Manufacturing measures, a</w:t>
      </w:r>
      <w:r>
        <w:rPr>
          <w:rFonts w:ascii="Times New Roman" w:hAnsi="Times New Roman" w:cs="Times New Roman"/>
          <w:noProof/>
          <w:sz w:val="24"/>
          <w:lang w:val="en-IE"/>
        </w:rPr>
        <w:t>s described in Section 2.2.</w:t>
      </w:r>
    </w:p>
    <w:p w:rsidR="003C43BF" w:rsidRDefault="006C3212">
      <w:pPr>
        <w:pStyle w:val="ListParagraph"/>
        <w:numPr>
          <w:ilvl w:val="0"/>
          <w:numId w:val="25"/>
        </w:numPr>
        <w:spacing w:before="120"/>
        <w:ind w:left="0" w:firstLine="0"/>
        <w:jc w:val="both"/>
        <w:rPr>
          <w:rFonts w:ascii="Times New Roman" w:hAnsi="Times New Roman" w:cs="Times New Roman"/>
          <w:noProof/>
          <w:sz w:val="24"/>
          <w:lang w:val="en-IE"/>
        </w:rPr>
      </w:pPr>
      <w:r>
        <w:rPr>
          <w:rFonts w:ascii="Times New Roman" w:hAnsi="Times New Roman" w:cs="Times New Roman"/>
          <w:noProof/>
          <w:sz w:val="24"/>
          <w:lang w:val="en-IE"/>
        </w:rPr>
        <w:t>Legal measures</w:t>
      </w:r>
    </w:p>
    <w:p w:rsidR="003C43BF" w:rsidRDefault="006C3212">
      <w:pPr>
        <w:pStyle w:val="ListParagraph"/>
        <w:numPr>
          <w:ilvl w:val="1"/>
          <w:numId w:val="25"/>
        </w:numPr>
        <w:spacing w:before="120"/>
        <w:jc w:val="both"/>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pStyle w:val="ListParagraph"/>
        <w:numPr>
          <w:ilvl w:val="1"/>
          <w:numId w:val="25"/>
        </w:numPr>
        <w:spacing w:before="120"/>
        <w:jc w:val="both"/>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pStyle w:val="ListParagraph"/>
        <w:numPr>
          <w:ilvl w:val="0"/>
          <w:numId w:val="25"/>
        </w:numPr>
        <w:spacing w:before="120"/>
        <w:ind w:left="0" w:firstLine="0"/>
        <w:jc w:val="both"/>
        <w:rPr>
          <w:rFonts w:ascii="Times New Roman" w:hAnsi="Times New Roman" w:cs="Times New Roman"/>
          <w:noProof/>
          <w:sz w:val="24"/>
          <w:lang w:val="en-IE"/>
        </w:rPr>
      </w:pPr>
      <w:r>
        <w:rPr>
          <w:rFonts w:ascii="Times New Roman" w:hAnsi="Times New Roman" w:cs="Times New Roman"/>
          <w:noProof/>
          <w:sz w:val="24"/>
          <w:lang w:val="en-IE"/>
        </w:rPr>
        <w:t>Policy measures</w:t>
      </w:r>
    </w:p>
    <w:p w:rsidR="003C43BF" w:rsidRDefault="006C3212">
      <w:pPr>
        <w:pStyle w:val="ListParagraph"/>
        <w:numPr>
          <w:ilvl w:val="0"/>
          <w:numId w:val="26"/>
        </w:numPr>
        <w:spacing w:before="120"/>
        <w:jc w:val="both"/>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pStyle w:val="ListParagraph"/>
        <w:numPr>
          <w:ilvl w:val="0"/>
          <w:numId w:val="26"/>
        </w:numPr>
        <w:spacing w:before="120"/>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pStyle w:val="ListParagraph"/>
        <w:numPr>
          <w:ilvl w:val="0"/>
          <w:numId w:val="26"/>
        </w:numPr>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Measures that can promote the deployment of </w:t>
      </w:r>
      <w:r>
        <w:rPr>
          <w:rFonts w:ascii="Times New Roman" w:hAnsi="Times New Roman" w:cs="Times New Roman"/>
          <w:noProof/>
          <w:sz w:val="24"/>
          <w:lang w:val="en-IE"/>
        </w:rPr>
        <w:t>private electro-mobility infrastructure</w:t>
      </w:r>
    </w:p>
    <w:p w:rsidR="003C43BF" w:rsidRDefault="006C3212">
      <w:pPr>
        <w:pStyle w:val="ListParagraph"/>
        <w:numPr>
          <w:ilvl w:val="0"/>
          <w:numId w:val="25"/>
        </w:numPr>
        <w:spacing w:before="120"/>
        <w:ind w:left="0" w:firstLine="0"/>
        <w:jc w:val="both"/>
        <w:rPr>
          <w:rFonts w:ascii="Times New Roman" w:hAnsi="Times New Roman" w:cs="Times New Roman"/>
          <w:noProof/>
          <w:sz w:val="24"/>
          <w:lang w:val="en-IE"/>
        </w:rPr>
      </w:pPr>
      <w:r>
        <w:rPr>
          <w:rFonts w:ascii="Times New Roman" w:hAnsi="Times New Roman" w:cs="Times New Roman"/>
          <w:noProof/>
          <w:sz w:val="24"/>
          <w:lang w:val="en-IE"/>
        </w:rPr>
        <w:t>Deployment and manufacturing support</w:t>
      </w:r>
    </w:p>
    <w:p w:rsidR="003C43BF" w:rsidRDefault="006C3212">
      <w:pPr>
        <w:pStyle w:val="ListParagraph"/>
        <w:numPr>
          <w:ilvl w:val="1"/>
          <w:numId w:val="25"/>
        </w:numPr>
        <w:spacing w:before="120"/>
        <w:jc w:val="both"/>
        <w:rPr>
          <w:rFonts w:ascii="Times New Roman" w:hAnsi="Times New Roman" w:cs="Times New Roman"/>
          <w:noProof/>
          <w:sz w:val="24"/>
          <w:lang w:val="en-IE"/>
        </w:rPr>
      </w:pPr>
      <w:r>
        <w:rPr>
          <w:rFonts w:ascii="Times New Roman" w:hAnsi="Times New Roman" w:cs="Times New Roman"/>
          <w:noProof/>
          <w:sz w:val="24"/>
          <w:lang w:val="en-IE"/>
        </w:rPr>
        <w:t>AFI deployment</w:t>
      </w:r>
    </w:p>
    <w:p w:rsidR="003C43BF" w:rsidRDefault="006C3212">
      <w:pPr>
        <w:pStyle w:val="ListParagraph"/>
        <w:numPr>
          <w:ilvl w:val="1"/>
          <w:numId w:val="25"/>
        </w:numPr>
        <w:spacing w:before="120"/>
        <w:jc w:val="both"/>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pStyle w:val="ListParagraph"/>
        <w:numPr>
          <w:ilvl w:val="1"/>
          <w:numId w:val="25"/>
        </w:numPr>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Consideration of any particular needs during the initial phase of the deployment of alternative fuels </w:t>
      </w:r>
      <w:r>
        <w:rPr>
          <w:rFonts w:ascii="Times New Roman" w:hAnsi="Times New Roman" w:cs="Times New Roman"/>
          <w:noProof/>
          <w:sz w:val="24"/>
          <w:lang w:val="en-IE"/>
        </w:rPr>
        <w:t>infrastructures</w:t>
      </w:r>
    </w:p>
    <w:p w:rsidR="003C43BF" w:rsidRDefault="006C3212">
      <w:pPr>
        <w:pStyle w:val="ListParagraph"/>
        <w:numPr>
          <w:ilvl w:val="0"/>
          <w:numId w:val="25"/>
        </w:numPr>
        <w:spacing w:before="120"/>
        <w:ind w:left="0" w:firstLine="0"/>
        <w:jc w:val="both"/>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support measures</w:t>
      </w:r>
    </w:p>
    <w:p w:rsidR="003C43BF" w:rsidRDefault="006C3212">
      <w:pPr>
        <w:pStyle w:val="ListParagraph"/>
        <w:numPr>
          <w:ilvl w:val="0"/>
          <w:numId w:val="25"/>
        </w:numPr>
        <w:spacing w:before="120"/>
        <w:ind w:left="0" w:firstLine="0"/>
        <w:jc w:val="both"/>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Concerning heading 4, the results of the quantitative assessment of Policy and Deployment &amp; Manufacturing </w:t>
      </w:r>
      <w:r>
        <w:rPr>
          <w:rFonts w:ascii="Times New Roman" w:hAnsi="Times New Roman" w:cs="Times New Roman"/>
          <w:noProof/>
          <w:sz w:val="24"/>
          <w:lang w:val="en-IE"/>
        </w:rPr>
        <w:t>support measures are presented in a table like the following (see also Section 2.2.6):</w:t>
      </w:r>
    </w:p>
    <w:p w:rsidR="003C43BF" w:rsidRDefault="006C3212">
      <w:pPr>
        <w:spacing w:after="0"/>
        <w:rPr>
          <w:rFonts w:ascii="Times New Roman" w:hAnsi="Times New Roman" w:cs="Times New Roman"/>
          <w:i/>
          <w:noProof/>
          <w:sz w:val="20"/>
          <w:szCs w:val="18"/>
          <w:lang w:val="en-IE"/>
        </w:rPr>
      </w:pPr>
      <w:r>
        <w:rPr>
          <w:rFonts w:ascii="Times New Roman" w:hAnsi="Times New Roman" w:cs="Times New Roman"/>
          <w:i/>
          <w:noProof/>
          <w:sz w:val="20"/>
          <w:szCs w:val="18"/>
          <w:lang w:val="en-IE"/>
        </w:rPr>
        <w:t xml:space="preserve">Table </w:t>
      </w:r>
      <w:r>
        <w:rPr>
          <w:rFonts w:ascii="Times New Roman" w:hAnsi="Times New Roman" w:cs="Times New Roman"/>
          <w:i/>
          <w:noProof/>
          <w:sz w:val="20"/>
          <w:szCs w:val="18"/>
          <w:lang w:val="en-IE"/>
        </w:rPr>
        <w:fldChar w:fldCharType="begin"/>
      </w:r>
      <w:r>
        <w:rPr>
          <w:rFonts w:ascii="Times New Roman" w:hAnsi="Times New Roman" w:cs="Times New Roman"/>
          <w:i/>
          <w:noProof/>
          <w:sz w:val="20"/>
          <w:szCs w:val="18"/>
          <w:lang w:val="en-IE"/>
        </w:rPr>
        <w:instrText xml:space="preserve"> STYLEREF 3 \s </w:instrText>
      </w:r>
      <w:r>
        <w:rPr>
          <w:rFonts w:ascii="Times New Roman" w:hAnsi="Times New Roman" w:cs="Times New Roman"/>
          <w:i/>
          <w:noProof/>
          <w:sz w:val="20"/>
          <w:szCs w:val="18"/>
          <w:lang w:val="en-IE"/>
        </w:rPr>
        <w:fldChar w:fldCharType="separate"/>
      </w:r>
      <w:r>
        <w:rPr>
          <w:rFonts w:ascii="Times New Roman" w:hAnsi="Times New Roman" w:cs="Times New Roman"/>
          <w:i/>
          <w:noProof/>
          <w:sz w:val="20"/>
          <w:szCs w:val="18"/>
          <w:lang w:val="en-IE"/>
        </w:rPr>
        <w:t>5.0.5</w:t>
      </w:r>
      <w:r>
        <w:rPr>
          <w:rFonts w:ascii="Times New Roman" w:hAnsi="Times New Roman" w:cs="Times New Roman"/>
          <w:i/>
          <w:noProof/>
          <w:sz w:val="20"/>
          <w:szCs w:val="18"/>
          <w:lang w:val="en-IE"/>
        </w:rPr>
        <w:fldChar w:fldCharType="end"/>
      </w:r>
      <w:r>
        <w:rPr>
          <w:rFonts w:ascii="Times New Roman" w:hAnsi="Times New Roman" w:cs="Times New Roman"/>
          <w:i/>
          <w:noProof/>
          <w:sz w:val="20"/>
          <w:szCs w:val="18"/>
          <w:lang w:val="en-IE"/>
        </w:rPr>
        <w:noBreakHyphen/>
      </w:r>
      <w:r>
        <w:rPr>
          <w:rFonts w:ascii="Times New Roman" w:hAnsi="Times New Roman" w:cs="Times New Roman"/>
          <w:i/>
          <w:noProof/>
          <w:sz w:val="20"/>
          <w:szCs w:val="18"/>
          <w:lang w:val="en-IE"/>
        </w:rPr>
        <w:fldChar w:fldCharType="begin"/>
      </w:r>
      <w:r>
        <w:rPr>
          <w:rFonts w:ascii="Times New Roman" w:hAnsi="Times New Roman" w:cs="Times New Roman"/>
          <w:i/>
          <w:noProof/>
          <w:sz w:val="20"/>
          <w:szCs w:val="18"/>
          <w:lang w:val="en-IE"/>
        </w:rPr>
        <w:instrText xml:space="preserve"> SEQ Table \* ARABIC \s 3 </w:instrText>
      </w:r>
      <w:r>
        <w:rPr>
          <w:rFonts w:ascii="Times New Roman" w:hAnsi="Times New Roman" w:cs="Times New Roman"/>
          <w:i/>
          <w:noProof/>
          <w:sz w:val="20"/>
          <w:szCs w:val="18"/>
          <w:lang w:val="en-IE"/>
        </w:rPr>
        <w:fldChar w:fldCharType="separate"/>
      </w:r>
      <w:r>
        <w:rPr>
          <w:rFonts w:ascii="Times New Roman" w:hAnsi="Times New Roman" w:cs="Times New Roman"/>
          <w:i/>
          <w:noProof/>
          <w:sz w:val="20"/>
          <w:szCs w:val="18"/>
          <w:lang w:val="en-IE"/>
        </w:rPr>
        <w:t>1</w:t>
      </w:r>
      <w:r>
        <w:rPr>
          <w:rFonts w:ascii="Times New Roman" w:hAnsi="Times New Roman" w:cs="Times New Roman"/>
          <w:i/>
          <w:noProof/>
          <w:sz w:val="20"/>
          <w:szCs w:val="18"/>
          <w:lang w:val="en-IE"/>
        </w:rPr>
        <w:fldChar w:fldCharType="end"/>
      </w:r>
      <w:r>
        <w:rPr>
          <w:rFonts w:ascii="Times New Roman" w:hAnsi="Times New Roman" w:cs="Times New Roman"/>
          <w:i/>
          <w:noProof/>
          <w:sz w:val="20"/>
          <w:szCs w:val="18"/>
          <w:lang w:val="en-IE"/>
        </w:rPr>
        <w:t xml:space="preserve"> Quantitative assessment of Policy and Deployment &amp; Manufacturing support measures</w:t>
      </w:r>
    </w:p>
    <w:p w:rsidR="003C43BF" w:rsidRDefault="006C3212">
      <w:pPr>
        <w:spacing w:before="120"/>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18810" cy="1701165"/>
            <wp:effectExtent l="0" t="0" r="0" b="0"/>
            <wp:docPr id="7942" name="Picture 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810" cy="1701165"/>
                    </a:xfrm>
                    <a:prstGeom prst="rect">
                      <a:avLst/>
                    </a:prstGeom>
                    <a:noFill/>
                  </pic:spPr>
                </pic:pic>
              </a:graphicData>
            </a:graphic>
          </wp:inline>
        </w:drawing>
      </w:r>
    </w:p>
    <w:p w:rsidR="003C43BF" w:rsidRDefault="006C3212">
      <w:pPr>
        <w:spacing w:before="120"/>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w:t>
      </w:r>
      <w:r>
        <w:rPr>
          <w:rFonts w:ascii="Times New Roman" w:eastAsia="Calibri" w:hAnsi="Times New Roman" w:cs="Times New Roman"/>
          <w:noProof/>
          <w:sz w:val="20"/>
          <w:szCs w:val="18"/>
          <w:lang w:val="en-IE"/>
        </w:rPr>
        <w:t>: H = high; M = medium; L = low; X = not assessable. Comprehensiveness: C = comprehensive; N = Not comprehensive. Ambition level: ‘+’ means ‘higher’; ‘=’ means ‘comparable’; ‘-‘ means ‘lower’.</w:t>
      </w:r>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Similarly to the quantitative assessment of vehicles and infras</w:t>
      </w:r>
      <w:r>
        <w:rPr>
          <w:rFonts w:ascii="Times New Roman" w:hAnsi="Times New Roman" w:cs="Times New Roman"/>
          <w:noProof/>
          <w:sz w:val="24"/>
          <w:lang w:val="en-IE"/>
        </w:rPr>
        <w:t>tructure, the table presents always the results for the five pairs, regardless of whether a cluster of measures was found or not: electricity/road, CNG/road, LNG/road, LNG/waterborne maritime (if applicable to the MS) and LNG/waterborne inland (if applicab</w:t>
      </w:r>
      <w:r>
        <w:rPr>
          <w:rFonts w:ascii="Times New Roman" w:hAnsi="Times New Roman" w:cs="Times New Roman"/>
          <w:noProof/>
          <w:sz w:val="24"/>
          <w:lang w:val="en-IE"/>
        </w:rPr>
        <w:t>le to the MS). In addition to that, if the NIR has provided evidence of Policy and Deployment &amp; Manufacturing support measures for other AF/transport mode pairs, they are shown in the table. In the example above, the MS has not presented any measure regard</w:t>
      </w:r>
      <w:r>
        <w:rPr>
          <w:rFonts w:ascii="Times New Roman" w:hAnsi="Times New Roman" w:cs="Times New Roman"/>
          <w:noProof/>
          <w:sz w:val="24"/>
          <w:lang w:val="en-IE"/>
        </w:rPr>
        <w:t>ing LNG/water-maritime transport, while the pair LNG/water-inland transport was not applicable to that MS (thus it is not shown).</w:t>
      </w:r>
    </w:p>
    <w:p w:rsidR="003C43BF" w:rsidRDefault="003C43BF">
      <w:pPr>
        <w:spacing w:before="12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24" w:name="_Toc55301721"/>
      <w:bookmarkStart w:id="25" w:name="_Toc56944085"/>
      <w:r>
        <w:rPr>
          <w:rFonts w:ascii="Times New Roman" w:hAnsi="Times New Roman" w:cs="Times New Roman"/>
          <w:noProof/>
          <w:sz w:val="24"/>
          <w:lang w:val="en-IE"/>
        </w:rPr>
        <w:t>Additional information on alternative fuels infrastructure developments</w:t>
      </w:r>
      <w:bookmarkEnd w:id="24"/>
      <w:bookmarkEnd w:id="25"/>
    </w:p>
    <w:p w:rsidR="003C43BF" w:rsidRDefault="006C3212">
      <w:pPr>
        <w:spacing w:before="120" w:after="0"/>
        <w:jc w:val="both"/>
        <w:rPr>
          <w:rFonts w:ascii="Times New Roman" w:hAnsi="Times New Roman" w:cs="Times New Roman"/>
          <w:iCs/>
          <w:noProof/>
          <w:sz w:val="24"/>
          <w:lang w:val="en-IE"/>
        </w:rPr>
      </w:pPr>
      <w:r>
        <w:rPr>
          <w:rFonts w:ascii="Times New Roman" w:hAnsi="Times New Roman" w:cs="Times New Roman"/>
          <w:iCs/>
          <w:noProof/>
          <w:sz w:val="24"/>
          <w:lang w:val="en-IE"/>
        </w:rPr>
        <w:t>Annex I to the Directive also offered Member States t</w:t>
      </w:r>
      <w:r>
        <w:rPr>
          <w:rFonts w:ascii="Times New Roman" w:hAnsi="Times New Roman" w:cs="Times New Roman"/>
          <w:iCs/>
          <w:noProof/>
          <w:sz w:val="24"/>
          <w:lang w:val="en-IE"/>
        </w:rPr>
        <w:t>he possibility to provide additional information in their NIR on AF consumption data, past and projected, plus any other comment or data not included in the list of the requirements for the compilation of the NIR.</w:t>
      </w:r>
    </w:p>
    <w:p w:rsidR="003C43BF" w:rsidRDefault="006C3212">
      <w:pPr>
        <w:jc w:val="both"/>
        <w:rPr>
          <w:rFonts w:ascii="Times New Roman" w:hAnsi="Times New Roman" w:cs="Times New Roman"/>
          <w:noProof/>
          <w:sz w:val="24"/>
          <w:lang w:val="en-IE"/>
        </w:rPr>
      </w:pPr>
      <w:r>
        <w:rPr>
          <w:rFonts w:ascii="Times New Roman" w:hAnsi="Times New Roman" w:cs="Times New Roman"/>
          <w:iCs/>
          <w:noProof/>
          <w:sz w:val="24"/>
          <w:lang w:val="en-IE"/>
        </w:rPr>
        <w:t xml:space="preserve">Any information provided by the MS in its </w:t>
      </w:r>
      <w:r>
        <w:rPr>
          <w:rFonts w:ascii="Times New Roman" w:hAnsi="Times New Roman" w:cs="Times New Roman"/>
          <w:iCs/>
          <w:noProof/>
          <w:sz w:val="24"/>
          <w:lang w:val="en-IE"/>
        </w:rPr>
        <w:t xml:space="preserve">NIR is presented and commented in this section. </w:t>
      </w:r>
    </w:p>
    <w:p w:rsidR="003C43BF" w:rsidRDefault="006C3212">
      <w:pPr>
        <w:pStyle w:val="Heading3"/>
        <w:ind w:left="720"/>
        <w:rPr>
          <w:rFonts w:ascii="Times New Roman" w:hAnsi="Times New Roman" w:cs="Times New Roman"/>
          <w:noProof/>
          <w:sz w:val="24"/>
          <w:lang w:val="en-IE"/>
        </w:rPr>
      </w:pPr>
      <w:bookmarkStart w:id="26" w:name="_Toc55301722"/>
      <w:bookmarkStart w:id="27" w:name="_Toc56944086"/>
      <w:r>
        <w:rPr>
          <w:rFonts w:ascii="Times New Roman" w:hAnsi="Times New Roman" w:cs="Times New Roman"/>
          <w:noProof/>
          <w:sz w:val="24"/>
          <w:lang w:val="en-IE"/>
        </w:rPr>
        <w:t>Summary of the assessment</w:t>
      </w:r>
      <w:bookmarkEnd w:id="26"/>
      <w:bookmarkEnd w:id="27"/>
    </w:p>
    <w:p w:rsidR="003C43BF" w:rsidRDefault="006C3212">
      <w:pPr>
        <w:spacing w:before="120"/>
        <w:rPr>
          <w:rFonts w:ascii="Times New Roman" w:hAnsi="Times New Roman" w:cs="Times New Roman"/>
          <w:noProof/>
          <w:sz w:val="24"/>
          <w:lang w:val="en-IE"/>
        </w:rPr>
      </w:pPr>
      <w:r>
        <w:rPr>
          <w:rFonts w:ascii="Times New Roman" w:hAnsi="Times New Roman" w:cs="Times New Roman"/>
          <w:noProof/>
          <w:sz w:val="24"/>
          <w:lang w:val="en-IE"/>
        </w:rPr>
        <w:t>This section starts with a table providing an overview as follows:</w:t>
      </w:r>
    </w:p>
    <w:p w:rsidR="003C43BF" w:rsidRDefault="006C3212">
      <w:pPr>
        <w:spacing w:after="0"/>
        <w:rPr>
          <w:rFonts w:ascii="Times New Roman" w:hAnsi="Times New Roman" w:cs="Times New Roman"/>
          <w:noProof/>
          <w:sz w:val="24"/>
          <w:lang w:val="en-IE"/>
        </w:rPr>
      </w:pPr>
      <w:bookmarkStart w:id="28" w:name="_Ref51320038"/>
      <w:r>
        <w:rPr>
          <w:rFonts w:ascii="Times New Roman" w:hAnsi="Times New Roman" w:cs="Times New Roman"/>
          <w:i/>
          <w:noProof/>
          <w:sz w:val="20"/>
          <w:szCs w:val="18"/>
          <w:lang w:val="en-IE"/>
        </w:rPr>
        <w:t xml:space="preserve">Table </w:t>
      </w:r>
      <w:r>
        <w:rPr>
          <w:rFonts w:ascii="Times New Roman" w:hAnsi="Times New Roman" w:cs="Times New Roman"/>
          <w:i/>
          <w:noProof/>
          <w:sz w:val="20"/>
          <w:szCs w:val="18"/>
          <w:lang w:val="en-IE"/>
        </w:rPr>
        <w:fldChar w:fldCharType="begin"/>
      </w:r>
      <w:r>
        <w:rPr>
          <w:rFonts w:ascii="Times New Roman" w:hAnsi="Times New Roman" w:cs="Times New Roman"/>
          <w:i/>
          <w:noProof/>
          <w:sz w:val="20"/>
          <w:szCs w:val="18"/>
          <w:lang w:val="en-IE"/>
        </w:rPr>
        <w:instrText xml:space="preserve"> STYLEREF 3 \s </w:instrText>
      </w:r>
      <w:r>
        <w:rPr>
          <w:rFonts w:ascii="Times New Roman" w:hAnsi="Times New Roman" w:cs="Times New Roman"/>
          <w:i/>
          <w:noProof/>
          <w:sz w:val="20"/>
          <w:szCs w:val="18"/>
          <w:lang w:val="en-IE"/>
        </w:rPr>
        <w:fldChar w:fldCharType="separate"/>
      </w:r>
      <w:r>
        <w:rPr>
          <w:rFonts w:ascii="Times New Roman" w:hAnsi="Times New Roman" w:cs="Times New Roman"/>
          <w:i/>
          <w:noProof/>
          <w:sz w:val="20"/>
          <w:szCs w:val="18"/>
          <w:lang w:val="en-IE"/>
        </w:rPr>
        <w:t>5.0.7</w:t>
      </w:r>
      <w:r>
        <w:rPr>
          <w:rFonts w:ascii="Times New Roman" w:hAnsi="Times New Roman" w:cs="Times New Roman"/>
          <w:i/>
          <w:noProof/>
          <w:sz w:val="20"/>
          <w:szCs w:val="18"/>
          <w:lang w:val="en-IE"/>
        </w:rPr>
        <w:fldChar w:fldCharType="end"/>
      </w:r>
      <w:r>
        <w:rPr>
          <w:rFonts w:ascii="Times New Roman" w:hAnsi="Times New Roman" w:cs="Times New Roman"/>
          <w:i/>
          <w:noProof/>
          <w:sz w:val="20"/>
          <w:szCs w:val="18"/>
          <w:lang w:val="en-IE"/>
        </w:rPr>
        <w:noBreakHyphen/>
      </w:r>
      <w:r>
        <w:rPr>
          <w:rFonts w:ascii="Times New Roman" w:hAnsi="Times New Roman" w:cs="Times New Roman"/>
          <w:i/>
          <w:noProof/>
          <w:sz w:val="20"/>
          <w:szCs w:val="18"/>
          <w:lang w:val="en-IE"/>
        </w:rPr>
        <w:fldChar w:fldCharType="begin"/>
      </w:r>
      <w:r>
        <w:rPr>
          <w:rFonts w:ascii="Times New Roman" w:hAnsi="Times New Roman" w:cs="Times New Roman"/>
          <w:i/>
          <w:noProof/>
          <w:sz w:val="20"/>
          <w:szCs w:val="18"/>
          <w:lang w:val="en-IE"/>
        </w:rPr>
        <w:instrText xml:space="preserve"> SEQ Table \* ARABIC \s 3 </w:instrText>
      </w:r>
      <w:r>
        <w:rPr>
          <w:rFonts w:ascii="Times New Roman" w:hAnsi="Times New Roman" w:cs="Times New Roman"/>
          <w:i/>
          <w:noProof/>
          <w:sz w:val="20"/>
          <w:szCs w:val="18"/>
          <w:lang w:val="en-IE"/>
        </w:rPr>
        <w:fldChar w:fldCharType="separate"/>
      </w:r>
      <w:r>
        <w:rPr>
          <w:rFonts w:ascii="Times New Roman" w:hAnsi="Times New Roman" w:cs="Times New Roman"/>
          <w:i/>
          <w:noProof/>
          <w:sz w:val="20"/>
          <w:szCs w:val="18"/>
          <w:lang w:val="en-IE"/>
        </w:rPr>
        <w:t>1</w:t>
      </w:r>
      <w:r>
        <w:rPr>
          <w:rFonts w:ascii="Times New Roman" w:hAnsi="Times New Roman" w:cs="Times New Roman"/>
          <w:i/>
          <w:noProof/>
          <w:sz w:val="20"/>
          <w:szCs w:val="18"/>
          <w:lang w:val="en-IE"/>
        </w:rPr>
        <w:fldChar w:fldCharType="end"/>
      </w:r>
      <w:bookmarkEnd w:id="28"/>
      <w:r>
        <w:rPr>
          <w:rFonts w:ascii="Times New Roman" w:hAnsi="Times New Roman" w:cs="Times New Roman"/>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30875" cy="3987165"/>
            <wp:effectExtent l="0" t="0" r="3175" b="0"/>
            <wp:docPr id="7215"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987165"/>
                    </a:xfrm>
                    <a:prstGeom prst="rect">
                      <a:avLst/>
                    </a:prstGeom>
                    <a:noFill/>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_Ref51320038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noProof/>
          <w:sz w:val="24"/>
          <w:lang w:val="en-IE"/>
        </w:rPr>
        <w:t>Table 5.0.7</w:t>
      </w:r>
      <w:r w:rsidRPr="006C3212">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provides a synthesis of the following elements:</w:t>
      </w:r>
    </w:p>
    <w:p w:rsidR="003C43BF" w:rsidRDefault="006C3212">
      <w:pPr>
        <w:pStyle w:val="ListParagraph"/>
        <w:numPr>
          <w:ilvl w:val="1"/>
          <w:numId w:val="23"/>
        </w:numPr>
        <w:rPr>
          <w:rFonts w:ascii="Times New Roman" w:hAnsi="Times New Roman" w:cs="Times New Roman"/>
          <w:noProof/>
          <w:sz w:val="24"/>
          <w:lang w:val="en-IE"/>
        </w:rPr>
      </w:pPr>
      <w:r>
        <w:rPr>
          <w:rFonts w:ascii="Times New Roman" w:hAnsi="Times New Roman" w:cs="Times New Roman"/>
          <w:noProof/>
          <w:sz w:val="24"/>
          <w:lang w:val="en-IE"/>
        </w:rPr>
        <w:t>AFV/AFI state of play in 2016</w:t>
      </w:r>
    </w:p>
    <w:p w:rsidR="003C43BF" w:rsidRDefault="006C3212">
      <w:pPr>
        <w:pStyle w:val="ListParagraph"/>
        <w:numPr>
          <w:ilvl w:val="1"/>
          <w:numId w:val="23"/>
        </w:numPr>
        <w:rPr>
          <w:rFonts w:ascii="Times New Roman" w:hAnsi="Times New Roman" w:cs="Times New Roman"/>
          <w:noProof/>
          <w:sz w:val="24"/>
          <w:lang w:val="en-IE"/>
        </w:rPr>
      </w:pPr>
      <w:r>
        <w:rPr>
          <w:rFonts w:ascii="Times New Roman" w:hAnsi="Times New Roman" w:cs="Times New Roman"/>
          <w:noProof/>
          <w:sz w:val="24"/>
          <w:lang w:val="en-IE"/>
        </w:rPr>
        <w:t xml:space="preserve">Main elements of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_Ref51312381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noProof/>
          <w:sz w:val="24"/>
          <w:lang w:val="en-IE"/>
        </w:rPr>
        <w:t>Table 5.0.4</w:t>
      </w:r>
      <w:r w:rsidRPr="006C3212">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presented in point 5.0.3 (i.e. the situation at the end of 2018 and the objectives for 2030)</w:t>
      </w:r>
    </w:p>
    <w:p w:rsidR="003C43BF" w:rsidRDefault="006C3212">
      <w:pPr>
        <w:pStyle w:val="ListParagraph"/>
        <w:numPr>
          <w:ilvl w:val="1"/>
          <w:numId w:val="23"/>
        </w:numPr>
        <w:rPr>
          <w:rFonts w:ascii="Times New Roman" w:hAnsi="Times New Roman" w:cs="Times New Roman"/>
          <w:noProof/>
          <w:sz w:val="24"/>
          <w:lang w:val="en-IE"/>
        </w:rPr>
      </w:pPr>
      <w:r>
        <w:rPr>
          <w:rFonts w:ascii="Times New Roman" w:hAnsi="Times New Roman" w:cs="Times New Roman"/>
          <w:noProof/>
          <w:sz w:val="24"/>
          <w:lang w:val="en-IE"/>
        </w:rPr>
        <w:t>Sufficiency indexes for the pairs AF/road</w:t>
      </w:r>
    </w:p>
    <w:p w:rsidR="003C43BF" w:rsidRDefault="006C3212">
      <w:pPr>
        <w:pStyle w:val="ListParagraph"/>
        <w:numPr>
          <w:ilvl w:val="1"/>
          <w:numId w:val="23"/>
        </w:numPr>
        <w:rPr>
          <w:rFonts w:ascii="Times New Roman" w:hAnsi="Times New Roman" w:cs="Times New Roman"/>
          <w:noProof/>
          <w:sz w:val="24"/>
          <w:lang w:val="en-IE"/>
        </w:rPr>
      </w:pPr>
      <w:r>
        <w:rPr>
          <w:rFonts w:ascii="Times New Roman" w:hAnsi="Times New Roman" w:cs="Times New Roman"/>
          <w:noProof/>
          <w:sz w:val="24"/>
          <w:lang w:val="en-IE"/>
        </w:rPr>
        <w:t>Main outcome of the measure assessment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w:t>
      </w:r>
      <w:r>
        <w:rPr>
          <w:rFonts w:ascii="Times New Roman" w:hAnsi="Times New Roman" w:cs="Times New Roman"/>
          <w:noProof/>
          <w:sz w:val="24"/>
          <w:lang w:val="en-IE"/>
        </w:rPr>
        <w:t>addition to the above, for the vehicle and the infrastructure parts of the table, information on the progress in 2018 is provided, calculated according to the procedure described in the assessment methodology (Section 2.1.3). For the vehicle part, the futu</w:t>
      </w:r>
      <w:r>
        <w:rPr>
          <w:rFonts w:ascii="Times New Roman" w:hAnsi="Times New Roman" w:cs="Times New Roman"/>
          <w:noProof/>
          <w:sz w:val="24"/>
          <w:lang w:val="en-IE"/>
        </w:rPr>
        <w:t>re share in 2030 of AF vehicles is also provided for each alternative fuel. This share is calculated by dividing the 2030 vehicle estimate provided in the NIR by the total vehicle fleet in the same year</w:t>
      </w:r>
      <w:r>
        <w:rPr>
          <w:rStyle w:val="FootnoteReference"/>
          <w:rFonts w:ascii="Times New Roman" w:hAnsi="Times New Roman" w:cs="Times New Roman"/>
          <w:noProof/>
          <w:sz w:val="24"/>
          <w:lang w:val="en-IE"/>
        </w:rPr>
        <w:footnoteReference w:id="8"/>
      </w:r>
      <w:r>
        <w:rPr>
          <w:rFonts w:ascii="Times New Roman" w:hAnsi="Times New Roman" w:cs="Times New Roman"/>
          <w:noProof/>
          <w:sz w:val="24"/>
          <w:lang w:val="en-IE"/>
        </w:rPr>
        <w:t>. For all alternative fuels (excepting LNG) correspon</w:t>
      </w:r>
      <w:r>
        <w:rPr>
          <w:rFonts w:ascii="Times New Roman" w:hAnsi="Times New Roman" w:cs="Times New Roman"/>
          <w:noProof/>
          <w:sz w:val="24"/>
          <w:lang w:val="en-IE"/>
        </w:rPr>
        <w:t>ding to road transport mode, the total number of relevant vehicles was considered as the number of all vehicles excluding powered two wheelers (i.e. sum of light and heavy-duty categories of vehicles). For LNG vehicles, only the heavy-duty category was con</w:t>
      </w:r>
      <w:r>
        <w:rPr>
          <w:rFonts w:ascii="Times New Roman" w:hAnsi="Times New Roman" w:cs="Times New Roman"/>
          <w:noProof/>
          <w:sz w:val="24"/>
          <w:lang w:val="en-IE"/>
        </w:rPr>
        <w:t>sidered.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After the table, this section of the assessment report presents a summary of all the preceding sections, in the same order.</w:t>
      </w:r>
    </w:p>
    <w:p w:rsidR="003C43BF" w:rsidRDefault="003C43BF">
      <w:pPr>
        <w:rPr>
          <w:noProof/>
          <w:lang w:val="en-IE"/>
        </w:rPr>
      </w:pPr>
    </w:p>
    <w:p w:rsidR="003C43BF" w:rsidRDefault="006C3212">
      <w:pPr>
        <w:pStyle w:val="Heading3"/>
        <w:rPr>
          <w:rFonts w:ascii="Times New Roman" w:hAnsi="Times New Roman" w:cs="Times New Roman"/>
          <w:noProof/>
          <w:sz w:val="24"/>
          <w:lang w:val="en-IE"/>
        </w:rPr>
      </w:pPr>
      <w:bookmarkStart w:id="29" w:name="_Toc56944087"/>
      <w:bookmarkEnd w:id="7"/>
      <w:r>
        <w:rPr>
          <w:rFonts w:ascii="Times New Roman" w:hAnsi="Times New Roman" w:cs="Times New Roman"/>
          <w:noProof/>
          <w:sz w:val="24"/>
          <w:lang w:val="en-IE"/>
        </w:rPr>
        <w:t>Final remarks</w:t>
      </w:r>
      <w:bookmarkEnd w:id="29"/>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This section provides final remarks addressing the following common elements:</w:t>
      </w:r>
    </w:p>
    <w:p w:rsidR="003C43BF" w:rsidRDefault="006C3212">
      <w:pPr>
        <w:pStyle w:val="ListParagraph"/>
        <w:numPr>
          <w:ilvl w:val="0"/>
          <w:numId w:val="24"/>
        </w:numPr>
        <w:rPr>
          <w:rFonts w:ascii="Times New Roman" w:hAnsi="Times New Roman" w:cs="Times New Roman"/>
          <w:noProof/>
          <w:sz w:val="24"/>
          <w:lang w:val="en-IE"/>
        </w:rPr>
      </w:pPr>
      <w:r>
        <w:rPr>
          <w:rFonts w:ascii="Times New Roman" w:hAnsi="Times New Roman" w:cs="Times New Roman"/>
          <w:noProof/>
          <w:sz w:val="24"/>
          <w:lang w:val="en-IE"/>
        </w:rPr>
        <w:t>to what extent the Member Stat</w:t>
      </w:r>
      <w:r>
        <w:rPr>
          <w:rFonts w:ascii="Times New Roman" w:hAnsi="Times New Roman" w:cs="Times New Roman"/>
          <w:noProof/>
          <w:sz w:val="24"/>
          <w:lang w:val="en-IE"/>
        </w:rPr>
        <w:t>e has fulfilled the requirements of Annex I to Directive</w:t>
      </w:r>
    </w:p>
    <w:p w:rsidR="003C43BF" w:rsidRDefault="006C3212">
      <w:pPr>
        <w:pStyle w:val="ListParagraph"/>
        <w:numPr>
          <w:ilvl w:val="0"/>
          <w:numId w:val="24"/>
        </w:numPr>
        <w:rPr>
          <w:rFonts w:ascii="Times New Roman" w:hAnsi="Times New Roman" w:cs="Times New Roman"/>
          <w:noProof/>
          <w:sz w:val="24"/>
          <w:lang w:val="en-IE"/>
        </w:rPr>
      </w:pPr>
      <w:r>
        <w:rPr>
          <w:rFonts w:ascii="Times New Roman" w:hAnsi="Times New Roman" w:cs="Times New Roman"/>
          <w:noProof/>
          <w:sz w:val="24"/>
          <w:lang w:val="en-IE"/>
        </w:rPr>
        <w:t>to what extent the Member State is aligned with the overall objectives of the Directive</w:t>
      </w:r>
    </w:p>
    <w:p w:rsidR="003C43BF" w:rsidRDefault="006C3212">
      <w:pPr>
        <w:pStyle w:val="ListParagraph"/>
        <w:numPr>
          <w:ilvl w:val="0"/>
          <w:numId w:val="24"/>
        </w:numPr>
        <w:jc w:val="both"/>
        <w:rPr>
          <w:rFonts w:ascii="Times New Roman" w:hAnsi="Times New Roman" w:cs="Times New Roman"/>
          <w:noProof/>
          <w:sz w:val="24"/>
          <w:lang w:val="en-IE"/>
        </w:rPr>
      </w:pPr>
      <w:r>
        <w:rPr>
          <w:rFonts w:ascii="Times New Roman" w:hAnsi="Times New Roman" w:cs="Times New Roman"/>
          <w:noProof/>
          <w:sz w:val="24"/>
          <w:lang w:val="en-IE"/>
        </w:rPr>
        <w:t>how do the Member State planning, presented in the NPF and revised in the NIR, fits with the new objectives set</w:t>
      </w:r>
      <w:r>
        <w:rPr>
          <w:rFonts w:ascii="Times New Roman" w:hAnsi="Times New Roman" w:cs="Times New Roman"/>
          <w:noProof/>
          <w:sz w:val="24"/>
          <w:lang w:val="en-IE"/>
        </w:rPr>
        <w:t xml:space="preserve"> in the Green Deal</w:t>
      </w:r>
    </w:p>
    <w:p w:rsidR="003C43BF" w:rsidRDefault="006C3212">
      <w:pPr>
        <w:pStyle w:val="ListParagraph"/>
        <w:numPr>
          <w:ilvl w:val="0"/>
          <w:numId w:val="24"/>
        </w:numPr>
        <w:ind w:left="714" w:hanging="357"/>
        <w:rPr>
          <w:rFonts w:ascii="Times New Roman" w:hAnsi="Times New Roman" w:cs="Times New Roman"/>
          <w:noProof/>
          <w:sz w:val="24"/>
          <w:lang w:val="en-IE"/>
        </w:rPr>
      </w:pPr>
      <w:r>
        <w:rPr>
          <w:rFonts w:ascii="Times New Roman" w:hAnsi="Times New Roman" w:cs="Times New Roman"/>
          <w:noProof/>
          <w:sz w:val="24"/>
          <w:lang w:val="en-IE"/>
        </w:rPr>
        <w:t>observations on benefits of additional action in specific areas</w:t>
      </w:r>
    </w:p>
    <w:p w:rsidR="003C43BF" w:rsidRDefault="006C3212">
      <w:pPr>
        <w:pStyle w:val="Heading3"/>
        <w:rPr>
          <w:rFonts w:ascii="Times New Roman" w:hAnsi="Times New Roman" w:cs="Times New Roman"/>
          <w:noProof/>
          <w:sz w:val="24"/>
          <w:lang w:val="en-IE"/>
        </w:rPr>
      </w:pPr>
      <w:bookmarkStart w:id="30" w:name="_Toc56944088"/>
      <w:r>
        <w:rPr>
          <w:rFonts w:ascii="Times New Roman" w:hAnsi="Times New Roman" w:cs="Times New Roman"/>
          <w:noProof/>
          <w:sz w:val="24"/>
          <w:lang w:val="en-IE"/>
        </w:rPr>
        <w:t>ANNEX: Description of the Member State</w:t>
      </w:r>
      <w:bookmarkEnd w:id="30"/>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This section provides a general description of the Member State with special focus on the transport sector. This is similar to what ha</w:t>
      </w:r>
      <w:r>
        <w:rPr>
          <w:rFonts w:ascii="Times New Roman" w:hAnsi="Times New Roman" w:cs="Times New Roman"/>
          <w:noProof/>
          <w:sz w:val="24"/>
          <w:lang w:val="en-IE"/>
        </w:rPr>
        <w:t xml:space="preserve">d been presented in the NPF assessment report </w:t>
      </w:r>
      <w:sdt>
        <w:sdtPr>
          <w:rPr>
            <w:rFonts w:ascii="Times New Roman" w:hAnsi="Times New Roman" w:cs="Times New Roman"/>
            <w:noProof/>
            <w:sz w:val="24"/>
            <w:lang w:val="en-IE"/>
          </w:rPr>
          <w:id w:val="-515924937"/>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Eur191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(European Commission, 2019)</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with the only difference that now all the data are updated to reflect the situation in 2018. A brief explanation on the data sources used is provided b</w:t>
      </w:r>
      <w:r>
        <w:rPr>
          <w:rFonts w:ascii="Times New Roman" w:hAnsi="Times New Roman" w:cs="Times New Roman"/>
          <w:noProof/>
          <w:sz w:val="24"/>
          <w:lang w:val="en-IE"/>
        </w:rPr>
        <w:t>elow.</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Data on surface area and population is retrieved from the European Commission’s Statistical Pocketbook 2019 </w:t>
      </w:r>
      <w:sdt>
        <w:sdtPr>
          <w:rPr>
            <w:rFonts w:ascii="Times New Roman" w:hAnsi="Times New Roman" w:cs="Times New Roman"/>
            <w:noProof/>
            <w:sz w:val="24"/>
            <w:lang w:val="en-IE"/>
          </w:rPr>
          <w:id w:val="-1515915217"/>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Eur192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(European Commission, 2019)</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Information on the number of main urban agglomerations </w:t>
      </w:r>
      <w:sdt>
        <w:sdtPr>
          <w:rPr>
            <w:rFonts w:ascii="Times New Roman" w:hAnsi="Times New Roman" w:cs="Times New Roman"/>
            <w:noProof/>
            <w:sz w:val="24"/>
            <w:lang w:val="en-IE"/>
          </w:rPr>
          <w:id w:val="-883253700"/>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CITATION Eur202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w:t>
          </w:r>
          <w:r>
            <w:rPr>
              <w:rFonts w:ascii="Times New Roman" w:hAnsi="Times New Roman" w:cs="Times New Roman"/>
              <w:noProof/>
              <w:sz w:val="24"/>
              <w:lang w:val="en-IE"/>
            </w:rPr>
            <w:t>ostat, 2020a)</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and on the per capita gross domestic product at market prices and in purchasing power standards expressed in relation to the EU-28 average </w:t>
      </w:r>
      <w:sdt>
        <w:sdtPr>
          <w:rPr>
            <w:rFonts w:ascii="Times New Roman" w:hAnsi="Times New Roman" w:cs="Times New Roman"/>
            <w:noProof/>
            <w:sz w:val="24"/>
            <w:lang w:val="en-IE"/>
          </w:rPr>
          <w:id w:val="386377491"/>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CITATION Eur201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(Eurostat, 2020b)</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is retrieved from Eurostat.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information </w:t>
      </w:r>
      <w:r>
        <w:rPr>
          <w:rFonts w:ascii="Times New Roman" w:hAnsi="Times New Roman" w:cs="Times New Roman"/>
          <w:noProof/>
          <w:sz w:val="24"/>
          <w:lang w:val="en-IE"/>
        </w:rPr>
        <w:t xml:space="preserve">on the TEN-T Core Network two sources exist. The lengths of roads and inland waterways of the TEN-T Core Network are obtained from the TENtec portal </w:t>
      </w:r>
      <w:sdt>
        <w:sdtPr>
          <w:rPr>
            <w:rFonts w:ascii="Times New Roman" w:hAnsi="Times New Roman" w:cs="Times New Roman"/>
            <w:noProof/>
            <w:sz w:val="24"/>
            <w:lang w:val="en-IE"/>
          </w:rPr>
          <w:id w:val="432951441"/>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CITATION Mob20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(Mobility and Transport - European Commission, 2020)</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and complemented by genera</w:t>
      </w:r>
      <w:r>
        <w:rPr>
          <w:rFonts w:ascii="Times New Roman" w:hAnsi="Times New Roman" w:cs="Times New Roman"/>
          <w:noProof/>
          <w:sz w:val="24"/>
          <w:lang w:val="en-IE"/>
        </w:rPr>
        <w:t xml:space="preserve">l country-specific road network length data retrieved from the Statistical Pocketbook </w:t>
      </w:r>
      <w:sdt>
        <w:sdtPr>
          <w:rPr>
            <w:rFonts w:ascii="Times New Roman" w:hAnsi="Times New Roman" w:cs="Times New Roman"/>
            <w:noProof/>
            <w:sz w:val="24"/>
            <w:lang w:val="en-IE"/>
          </w:rPr>
          <w:id w:val="433412551"/>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Eur192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(European Commission, 2019)</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and </w:t>
      </w:r>
      <w:sdt>
        <w:sdtPr>
          <w:rPr>
            <w:rFonts w:ascii="Times New Roman" w:hAnsi="Times New Roman" w:cs="Times New Roman"/>
            <w:noProof/>
            <w:sz w:val="24"/>
            <w:lang w:val="en-IE"/>
          </w:rPr>
          <w:id w:val="-609050993"/>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Eur0c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(Eurostat, 2020c)</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Other specific information on the TEN-T Network, such as num</w:t>
      </w:r>
      <w:r>
        <w:rPr>
          <w:rFonts w:ascii="Times New Roman" w:hAnsi="Times New Roman" w:cs="Times New Roman"/>
          <w:noProof/>
          <w:sz w:val="24"/>
          <w:lang w:val="en-IE"/>
        </w:rPr>
        <w:t xml:space="preserve">ber of ports and airports, is in accordance with Regulation (EU) No 1315/2013 </w:t>
      </w:r>
      <w:sdt>
        <w:sdtPr>
          <w:rPr>
            <w:rFonts w:ascii="Times New Roman" w:hAnsi="Times New Roman" w:cs="Times New Roman"/>
            <w:noProof/>
            <w:sz w:val="24"/>
            <w:lang w:val="en-IE"/>
          </w:rPr>
          <w:id w:val="1760095995"/>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Eur13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(European Parliament, 2013)</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on the number of registered road vehicles for all vehicle categories is obtained from Eurostat (passenger ca</w:t>
      </w:r>
      <w:r>
        <w:rPr>
          <w:rFonts w:ascii="Times New Roman" w:hAnsi="Times New Roman" w:cs="Times New Roman"/>
          <w:noProof/>
          <w:sz w:val="24"/>
          <w:lang w:val="en-IE"/>
        </w:rPr>
        <w:t>rs</w:t>
      </w:r>
      <w:sdt>
        <w:sdtPr>
          <w:rPr>
            <w:rFonts w:ascii="Times New Roman" w:hAnsi="Times New Roman" w:cs="Times New Roman"/>
            <w:noProof/>
            <w:sz w:val="24"/>
            <w:lang w:val="en-IE"/>
          </w:rPr>
          <w:id w:val="1248620616"/>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CITATION Eur0d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 xml:space="preserve"> (Eurostat, 2020d)</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light goods vehicles </w:t>
      </w:r>
      <w:sdt>
        <w:sdtPr>
          <w:rPr>
            <w:rFonts w:ascii="Times New Roman" w:hAnsi="Times New Roman" w:cs="Times New Roman"/>
            <w:noProof/>
            <w:sz w:val="24"/>
            <w:lang w:val="en-IE"/>
          </w:rPr>
          <w:id w:val="180085666"/>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US"/>
            </w:rPr>
            <w:instrText xml:space="preserve"> CITATION Eur0e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US"/>
            </w:rPr>
            <w:t>(Eurostat, 2020e)</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heavy goods vehicles </w:t>
      </w:r>
      <w:sdt>
        <w:sdtPr>
          <w:rPr>
            <w:rFonts w:ascii="Times New Roman" w:hAnsi="Times New Roman" w:cs="Times New Roman"/>
            <w:noProof/>
            <w:sz w:val="24"/>
            <w:lang w:val="en-IE"/>
          </w:rPr>
          <w:id w:val="1637371116"/>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US"/>
            </w:rPr>
            <w:instrText xml:space="preserve"> CITATION Eur0f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US"/>
            </w:rPr>
            <w:t>(Eurostat, 2020f)</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and </w:t>
      </w:r>
      <w:sdt>
        <w:sdtPr>
          <w:rPr>
            <w:rFonts w:ascii="Times New Roman" w:hAnsi="Times New Roman" w:cs="Times New Roman"/>
            <w:noProof/>
            <w:sz w:val="24"/>
            <w:lang w:val="en-IE"/>
          </w:rPr>
          <w:id w:val="284627494"/>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US"/>
            </w:rPr>
            <w:instrText xml:space="preserve">CITATION Eur1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US"/>
            </w:rPr>
            <w:t>(Eurostat, 2020g)</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buses and coaches </w:t>
      </w:r>
      <w:sdt>
        <w:sdtPr>
          <w:rPr>
            <w:rFonts w:ascii="Times New Roman" w:hAnsi="Times New Roman" w:cs="Times New Roman"/>
            <w:noProof/>
            <w:sz w:val="24"/>
            <w:lang w:val="en-IE"/>
          </w:rPr>
          <w:id w:val="-1735155473"/>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US"/>
            </w:rPr>
            <w:instrText xml:space="preserve"> CITATION Eur0h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US"/>
            </w:rPr>
            <w:t>(Eurostat, 2020h)</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or the Statistical Pocketbook </w:t>
      </w:r>
      <w:sdt>
        <w:sdtPr>
          <w:rPr>
            <w:rFonts w:ascii="Times New Roman" w:hAnsi="Times New Roman" w:cs="Times New Roman"/>
            <w:noProof/>
            <w:sz w:val="24"/>
            <w:lang w:val="en-IE"/>
          </w:rPr>
          <w:id w:val="1984508293"/>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Eur192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(European Commission, 2019)</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When available and relevant, information from the Member State’s NPF and/or NIR has also been considered.</w:t>
      </w:r>
    </w:p>
    <w:p w:rsidR="003C43BF" w:rsidRDefault="003C43BF">
      <w:pPr>
        <w:pStyle w:val="Bibliography"/>
        <w:ind w:left="720" w:hanging="720"/>
        <w:rPr>
          <w:rFonts w:ascii="Times New Roman" w:hAnsi="Times New Roman" w:cs="Times New Roman"/>
          <w:noProof/>
          <w:lang w:val="en-IE"/>
        </w:rPr>
      </w:pPr>
    </w:p>
    <w:p w:rsidR="003C43BF" w:rsidRDefault="003C43BF">
      <w:pPr>
        <w:rPr>
          <w:rFonts w:ascii="Times New Roman" w:hAnsi="Times New Roman" w:cs="Times New Roman"/>
          <w:noProof/>
          <w:lang w:val="en-IE"/>
        </w:rPr>
      </w:pPr>
    </w:p>
    <w:p w:rsidR="003C43BF" w:rsidRDefault="003C43BF">
      <w:pPr>
        <w:rPr>
          <w:rFonts w:ascii="Times New Roman" w:hAnsi="Times New Roman" w:cs="Times New Roman"/>
          <w:noProof/>
          <w:lang w:val="en-IE"/>
        </w:rPr>
      </w:pPr>
    </w:p>
    <w:p w:rsidR="003C43BF" w:rsidRDefault="006C3212">
      <w:pPr>
        <w:rPr>
          <w:rFonts w:ascii="Times New Roman" w:hAnsi="Times New Roman" w:cs="Times New Roman"/>
          <w:noProof/>
          <w:lang w:val="en-IE"/>
        </w:rPr>
      </w:pPr>
      <w:r>
        <w:rPr>
          <w:rFonts w:ascii="Times New Roman" w:hAnsi="Times New Roman" w:cs="Times New Roman"/>
          <w:noProof/>
          <w:lang w:val="en-IE"/>
        </w:rPr>
        <w:br w:type="page"/>
      </w:r>
    </w:p>
    <w:p w:rsidR="003C43BF" w:rsidRDefault="006C3212">
      <w:pPr>
        <w:pStyle w:val="Heading2"/>
        <w:rPr>
          <w:rFonts w:ascii="Times New Roman" w:hAnsi="Times New Roman" w:cs="Times New Roman"/>
          <w:noProof/>
          <w:sz w:val="24"/>
          <w:lang w:val="en-IE"/>
        </w:rPr>
      </w:pPr>
      <w:bookmarkStart w:id="31" w:name="_Toc55301725"/>
      <w:bookmarkStart w:id="32" w:name="_Toc55301726"/>
      <w:bookmarkStart w:id="33" w:name="_Toc55301727"/>
      <w:bookmarkStart w:id="34" w:name="_Toc55301728"/>
      <w:bookmarkStart w:id="35" w:name="_Toc55301729"/>
      <w:bookmarkStart w:id="36" w:name="_Toc55301730"/>
      <w:bookmarkStart w:id="37" w:name="_Toc56944089"/>
      <w:bookmarkEnd w:id="31"/>
      <w:bookmarkEnd w:id="32"/>
      <w:bookmarkEnd w:id="33"/>
      <w:bookmarkEnd w:id="34"/>
      <w:bookmarkEnd w:id="35"/>
      <w:r>
        <w:rPr>
          <w:rFonts w:ascii="Times New Roman" w:hAnsi="Times New Roman" w:cs="Times New Roman"/>
          <w:noProof/>
          <w:sz w:val="24"/>
          <w:lang w:val="en-IE"/>
        </w:rPr>
        <w:t xml:space="preserve">Belgium </w:t>
      </w:r>
      <w:r>
        <w:rPr>
          <w:rFonts w:ascii="Times New Roman" w:hAnsi="Times New Roman" w:cs="Times New Roman"/>
          <w:noProof/>
          <w:sz w:val="24"/>
          <w:lang w:val="en-IE"/>
        </w:rPr>
        <w:t>(BE)</w:t>
      </w:r>
      <w:bookmarkEnd w:id="36"/>
      <w:bookmarkEnd w:id="37"/>
    </w:p>
    <w:p w:rsidR="003C43BF" w:rsidRDefault="006C3212">
      <w:pPr>
        <w:pStyle w:val="Heading3"/>
        <w:ind w:left="720"/>
        <w:rPr>
          <w:rFonts w:ascii="Times New Roman" w:hAnsi="Times New Roman" w:cs="Times New Roman"/>
          <w:noProof/>
          <w:sz w:val="24"/>
          <w:lang w:val="en-IE"/>
        </w:rPr>
      </w:pPr>
      <w:bookmarkStart w:id="38" w:name="_Toc55301731"/>
      <w:bookmarkStart w:id="39" w:name="_Toc56944090"/>
      <w:r>
        <w:rPr>
          <w:rFonts w:ascii="Times New Roman" w:hAnsi="Times New Roman" w:cs="Times New Roman"/>
          <w:noProof/>
          <w:sz w:val="24"/>
          <w:lang w:val="en-IE"/>
        </w:rPr>
        <w:t xml:space="preserve">Main messages from the </w:t>
      </w:r>
      <w:bookmarkEnd w:id="38"/>
      <w:bookmarkEnd w:id="39"/>
      <w:r>
        <w:rPr>
          <w:rFonts w:ascii="Times New Roman" w:hAnsi="Times New Roman" w:cs="Times New Roman"/>
          <w:noProof/>
          <w:sz w:val="24"/>
          <w:lang w:val="en-IE"/>
        </w:rPr>
        <w:t>Commission assessment of the NPF</w:t>
      </w:r>
    </w:p>
    <w:p w:rsidR="003C43BF" w:rsidRDefault="006C3212">
      <w:pPr>
        <w:pStyle w:val="Text1"/>
        <w:spacing w:after="120" w:line="240" w:lineRule="auto"/>
        <w:ind w:left="0"/>
        <w:jc w:val="both"/>
        <w:rPr>
          <w:rFonts w:ascii="Times New Roman" w:hAnsi="Times New Roman" w:cs="Times New Roman"/>
          <w:noProof/>
          <w:color w:val="000000" w:themeColor="text1"/>
          <w:sz w:val="24"/>
          <w:highlight w:val="lightGray"/>
          <w:lang w:val="en-IE"/>
        </w:rPr>
      </w:pPr>
      <w:r>
        <w:rPr>
          <w:rFonts w:ascii="Times New Roman" w:hAnsi="Times New Roman" w:cs="Times New Roman"/>
          <w:noProof/>
          <w:color w:val="000000" w:themeColor="text1"/>
          <w:sz w:val="24"/>
          <w:lang w:val="en-IE"/>
        </w:rPr>
        <w:t>In its original assessment of the Belgian NPF the Commission concluded:</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Belgian NPF fully addresses the requirements of Article 3. It contains tables of the current state and future estimates</w:t>
      </w:r>
      <w:r>
        <w:rPr>
          <w:rFonts w:ascii="Times New Roman" w:hAnsi="Times New Roman" w:cs="Times New Roman"/>
          <w:i/>
          <w:noProof/>
          <w:sz w:val="24"/>
          <w:lang w:val="en-IE"/>
        </w:rPr>
        <w:t xml:space="preserve"> for alternative fuels vehicles in the transport sector. For all fuels and modes, it establishes targets as required by Article 3 of the Directive.</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Belgian NPF puts a lot of emphasis on electric cars. It contains high estimates for the future </w:t>
      </w:r>
      <w:r>
        <w:rPr>
          <w:rFonts w:ascii="Times New Roman" w:hAnsi="Times New Roman" w:cs="Times New Roman"/>
          <w:i/>
          <w:noProof/>
          <w:sz w:val="24"/>
          <w:lang w:val="en-IE"/>
        </w:rPr>
        <w:t>deployment of EV with an estimated roughly 1.3% electric vehicles on the road in 2020. Today, the spatial distribution of recharging points seems to appropriately cover the needs of electric vehicles in terms of distance requirements in Belgium. For the fu</w:t>
      </w:r>
      <w:r>
        <w:rPr>
          <w:rFonts w:ascii="Times New Roman" w:hAnsi="Times New Roman" w:cs="Times New Roman"/>
          <w:i/>
          <w:noProof/>
          <w:sz w:val="24"/>
          <w:lang w:val="en-IE"/>
        </w:rPr>
        <w:t>ture, the targeted ratio of less than one public recharging point per 10 electric vehicles estimated for 2020 could evolve to become a barrier for the further market deployment of electric vehicles, especially in the Walloon and Brussels-Capital Region. Th</w:t>
      </w:r>
      <w:r>
        <w:rPr>
          <w:rFonts w:ascii="Times New Roman" w:hAnsi="Times New Roman" w:cs="Times New Roman"/>
          <w:i/>
          <w:noProof/>
          <w:sz w:val="24"/>
          <w:lang w:val="en-IE"/>
        </w:rPr>
        <w:t>is could also lead to market fragmentation within the EU. It will be important to closely monitor this development and correct infrastructure targets in line with the market developments. Belgium has also defined ambitious targets for electric buses, espec</w:t>
      </w:r>
      <w:r>
        <w:rPr>
          <w:rFonts w:ascii="Times New Roman" w:hAnsi="Times New Roman" w:cs="Times New Roman"/>
          <w:i/>
          <w:noProof/>
          <w:sz w:val="24"/>
          <w:lang w:val="en-IE"/>
        </w:rPr>
        <w:t>ially in the Brussels-Capital Region. Other initiatives for electrifying public transport, such as taxi fleets and carpooling are presented in the Belgian NPF. Electric bikes as well as their infrastructure also receive support. The Belgian NPF contains ta</w:t>
      </w:r>
      <w:r>
        <w:rPr>
          <w:rFonts w:ascii="Times New Roman" w:hAnsi="Times New Roman" w:cs="Times New Roman"/>
          <w:i/>
          <w:noProof/>
          <w:sz w:val="24"/>
          <w:lang w:val="en-IE"/>
        </w:rPr>
        <w:t>rgets for further increasing shore-side electricity in its ports but no plans to increase the electricity supply for stationary airplanes.</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Belgian NPF sees a growing role for CNG cars. It contains modest estimates for the further evolution of CNG cars,</w:t>
      </w:r>
      <w:r>
        <w:rPr>
          <w:rFonts w:ascii="Times New Roman" w:hAnsi="Times New Roman" w:cs="Times New Roman"/>
          <w:i/>
          <w:noProof/>
          <w:sz w:val="24"/>
          <w:lang w:val="en-IE"/>
        </w:rPr>
        <w:t xml:space="preserve"> with an estimated share of 0.6% on the road in 2020. Belgium has today a sufficient network of public recharging and CNG refuelling points.</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LNG refuelling is planned for all maritime ports in the TEN-T Core Network and several inland ports. Furthermore, a</w:t>
      </w:r>
      <w:r>
        <w:rPr>
          <w:rFonts w:ascii="Times New Roman" w:hAnsi="Times New Roman" w:cs="Times New Roman"/>
          <w:i/>
          <w:noProof/>
          <w:sz w:val="24"/>
          <w:lang w:val="en-IE"/>
        </w:rPr>
        <w:t>t least 2 LNG refuelling points for heavy-duty vehicles are targeted in the ports of Antwerp and Oostende. According to the results of a sector survey, that is mentioned in the NPF, these targets could be significantly exceeded. Altogether, the planned LNG</w:t>
      </w:r>
      <w:r>
        <w:rPr>
          <w:rFonts w:ascii="Times New Roman" w:hAnsi="Times New Roman" w:cs="Times New Roman"/>
          <w:i/>
          <w:noProof/>
          <w:sz w:val="24"/>
          <w:lang w:val="en-IE"/>
        </w:rPr>
        <w:t xml:space="preserve"> refuelling points could guarantee that the maximum distance requirement for LNG refuelling points along the TEN-T Core Network would be fulfilled on Belgian territory.</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Belgian NPF displays a strong commitment towards hydrogen. The deployment of 19 pub</w:t>
      </w:r>
      <w:r>
        <w:rPr>
          <w:rFonts w:ascii="Times New Roman" w:hAnsi="Times New Roman" w:cs="Times New Roman"/>
          <w:i/>
          <w:noProof/>
          <w:sz w:val="24"/>
          <w:lang w:val="en-IE"/>
        </w:rPr>
        <w:t>licly accessible hydrogen refuelling points in addition to the three existing is planned.</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Belgian NPF contains a comprehensive list of measures, most already in place and foreseen to stay. Most of them can be considered having a medium impact on market</w:t>
      </w:r>
      <w:r>
        <w:rPr>
          <w:rFonts w:ascii="Times New Roman" w:hAnsi="Times New Roman" w:cs="Times New Roman"/>
          <w:i/>
          <w:noProof/>
          <w:sz w:val="24"/>
          <w:lang w:val="en-IE"/>
        </w:rPr>
        <w:t xml:space="preserve"> actor's decisions, especially for electric and CNG cars as well as electrification of public transport. The measures listed in the Belgian NPF differ for the three different regions (Flemish Region, Walloon Region, and Brussels Capital Region). A number o</w:t>
      </w:r>
      <w:r>
        <w:rPr>
          <w:rFonts w:ascii="Times New Roman" w:hAnsi="Times New Roman" w:cs="Times New Roman"/>
          <w:i/>
          <w:noProof/>
          <w:sz w:val="24"/>
          <w:lang w:val="en-IE"/>
        </w:rPr>
        <w:t>f measures are defined at the federal level and apply for all three regions. The level of support varies greatly across the three regions. This could lead to a certain market fragmentation within the country.</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consideration of the interests of regional </w:t>
      </w:r>
      <w:r>
        <w:rPr>
          <w:rFonts w:ascii="Times New Roman" w:hAnsi="Times New Roman" w:cs="Times New Roman"/>
          <w:i/>
          <w:noProof/>
          <w:sz w:val="24"/>
          <w:lang w:val="en-IE"/>
        </w:rPr>
        <w:t>and local authorities, as well as stakeholders during the drafting of the Belgian NPF is evident throughout the text of the NPF.</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Belgium is actively involved in coordinating its plans on alternative fuels infrastructure with the Benelux countries and is co</w:t>
      </w:r>
      <w:r>
        <w:rPr>
          <w:rFonts w:ascii="Times New Roman" w:hAnsi="Times New Roman" w:cs="Times New Roman"/>
          <w:i/>
          <w:noProof/>
          <w:sz w:val="24"/>
          <w:lang w:val="en-IE"/>
        </w:rPr>
        <w:t>llaborating with them in this field. It may be advisable to extend this cooperation effort also towards other neighbouring countries such as France and Germany.</w:t>
      </w:r>
    </w:p>
    <w:p w:rsidR="003C43BF" w:rsidRDefault="003C43BF">
      <w:pPr>
        <w:pStyle w:val="Text1"/>
        <w:spacing w:after="120" w:line="240" w:lineRule="auto"/>
        <w:ind w:left="0"/>
        <w:jc w:val="both"/>
        <w:rPr>
          <w:rFonts w:ascii="Times New Roman" w:hAnsi="Times New Roman" w:cs="Times New Roman"/>
          <w:noProof/>
          <w:sz w:val="24"/>
          <w:lang w:val="en-IE"/>
        </w:rPr>
      </w:pPr>
    </w:p>
    <w:p w:rsidR="003C43BF" w:rsidRDefault="003C43BF">
      <w:pPr>
        <w:pStyle w:val="Text1"/>
        <w:spacing w:after="120" w:line="240" w:lineRule="auto"/>
        <w:ind w:left="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color w:val="000000" w:themeColor="text1"/>
          <w:sz w:val="24"/>
          <w:lang w:val="en-IE"/>
        </w:rPr>
      </w:pPr>
      <w:bookmarkStart w:id="40" w:name="_Toc55301732"/>
      <w:bookmarkStart w:id="41" w:name="_Toc56944091"/>
      <w:r>
        <w:rPr>
          <w:rFonts w:ascii="Times New Roman" w:hAnsi="Times New Roman" w:cs="Times New Roman"/>
          <w:noProof/>
          <w:sz w:val="24"/>
          <w:lang w:val="en-IE"/>
        </w:rPr>
        <w:t>Overview of requirements’ fulfilment from Annex I of the Directive</w:t>
      </w:r>
      <w:bookmarkEnd w:id="40"/>
      <w:bookmarkEnd w:id="41"/>
      <w:r>
        <w:rPr>
          <w:rFonts w:ascii="Times New Roman" w:hAnsi="Times New Roman" w:cs="Times New Roman"/>
          <w:noProof/>
          <w:color w:val="000000" w:themeColor="text1"/>
          <w:sz w:val="24"/>
          <w:lang w:val="en-IE"/>
        </w:rPr>
        <w:tab/>
      </w:r>
    </w:p>
    <w:p w:rsidR="003C43BF" w:rsidRDefault="006C3212">
      <w:pPr>
        <w:rPr>
          <w:rFonts w:ascii="Times New Roman" w:hAnsi="Times New Roman" w:cs="Times New Roman"/>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lang w:val="en-IE"/>
        </w:rPr>
        <w:t xml:space="preserve"> Checklist Table</w:t>
      </w:r>
    </w:p>
    <w:p w:rsidR="003C43BF" w:rsidRDefault="006C3212">
      <w:pPr>
        <w:spacing w:after="120" w:line="240" w:lineRule="auto"/>
        <w:jc w:val="both"/>
        <w:rPr>
          <w:rFonts w:ascii="Times New Roman" w:hAnsi="Times New Roman" w:cs="Times New Roman"/>
          <w:noProof/>
          <w:color w:val="222222"/>
          <w:sz w:val="24"/>
          <w:shd w:val="clear" w:color="auto" w:fill="FFFFFF"/>
          <w:lang w:val="en-IE"/>
        </w:rPr>
      </w:pPr>
      <w:r>
        <w:rPr>
          <w:rFonts w:ascii="Times New Roman" w:hAnsi="Times New Roman" w:cs="Times New Roman"/>
          <w:noProof/>
          <w:color w:val="222222"/>
          <w:sz w:val="24"/>
          <w:shd w:val="clear" w:color="auto" w:fill="FFFFFF"/>
          <w:lang w:eastAsia="en-GB"/>
        </w:rPr>
        <w:drawing>
          <wp:inline distT="0" distB="0" distL="0" distR="0">
            <wp:extent cx="5706110" cy="716978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6110" cy="7169785"/>
                    </a:xfrm>
                    <a:prstGeom prst="rect">
                      <a:avLst/>
                    </a:prstGeom>
                    <a:noFill/>
                  </pic:spPr>
                </pic:pic>
              </a:graphicData>
            </a:graphic>
          </wp:inline>
        </w:drawing>
      </w:r>
    </w:p>
    <w:p w:rsidR="003C43BF" w:rsidRDefault="006C3212">
      <w:pPr>
        <w:pStyle w:val="Text1"/>
        <w:tabs>
          <w:tab w:val="left" w:pos="720"/>
        </w:tabs>
        <w:spacing w:before="240"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checklist shows that almost all the requirements of Annex I from the Directive are covered, though not necessarily at federal level (see Section 5.1.3).</w:t>
      </w: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Regarding the combination of AF/AFV/AFI with </w:t>
      </w:r>
      <w:r>
        <w:rPr>
          <w:rFonts w:ascii="Times New Roman" w:hAnsi="Times New Roman" w:cs="Times New Roman"/>
          <w:noProof/>
          <w:color w:val="000000" w:themeColor="text1"/>
          <w:sz w:val="24"/>
          <w:lang w:val="en-IE"/>
        </w:rPr>
        <w:t>transport mode, electricity is covered for all modes; LNG for road and waterborne (inland and maritime) transport; CNG, hydrogen and LPG are partially covered for road transport; all the other combinations are either absent or not applicable.</w:t>
      </w: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The Belgian N</w:t>
      </w:r>
      <w:r>
        <w:rPr>
          <w:rFonts w:ascii="Times New Roman" w:hAnsi="Times New Roman" w:cs="Times New Roman"/>
          <w:noProof/>
          <w:sz w:val="24"/>
          <w:lang w:val="en-IE"/>
        </w:rPr>
        <w:t xml:space="preserve">IR reports 119 measures, most of them regional ones. </w:t>
      </w:r>
      <w:r>
        <w:rPr>
          <w:rFonts w:ascii="Times New Roman" w:hAnsi="Times New Roman" w:cs="Times New Roman"/>
          <w:iCs/>
          <w:noProof/>
          <w:sz w:val="24"/>
          <w:lang w:val="en-IE"/>
        </w:rPr>
        <w:t>Under the Policy and Deployment &amp; Manufacturing sections it was possible to identify eight AF/transport mode clusters of measures, of which six were assessable.</w:t>
      </w:r>
    </w:p>
    <w:p w:rsidR="003C43BF" w:rsidRDefault="006C3212">
      <w:pPr>
        <w:pStyle w:val="Heading3"/>
        <w:ind w:left="720"/>
        <w:rPr>
          <w:rFonts w:ascii="Times New Roman" w:hAnsi="Times New Roman" w:cs="Times New Roman"/>
          <w:noProof/>
          <w:sz w:val="24"/>
          <w:lang w:val="en-IE"/>
        </w:rPr>
      </w:pPr>
      <w:bookmarkStart w:id="42" w:name="_Toc55301733"/>
      <w:bookmarkStart w:id="43" w:name="_Toc56944092"/>
      <w:r>
        <w:rPr>
          <w:rFonts w:ascii="Times New Roman" w:hAnsi="Times New Roman" w:cs="Times New Roman"/>
          <w:noProof/>
          <w:sz w:val="24"/>
          <w:lang w:val="en-IE"/>
        </w:rPr>
        <w:t xml:space="preserve">Quantitative assessment: Vehicles and </w:t>
      </w:r>
      <w:r>
        <w:rPr>
          <w:rFonts w:ascii="Times New Roman" w:hAnsi="Times New Roman" w:cs="Times New Roman"/>
          <w:noProof/>
          <w:sz w:val="24"/>
          <w:lang w:val="en-IE"/>
        </w:rPr>
        <w:t>infrastructure</w:t>
      </w:r>
      <w:bookmarkEnd w:id="42"/>
      <w:bookmarkEnd w:id="43"/>
      <w:r>
        <w:rPr>
          <w:rFonts w:ascii="Times New Roman" w:hAnsi="Times New Roman" w:cs="Times New Roman"/>
          <w:noProof/>
          <w:sz w:val="24"/>
          <w:lang w:val="en-IE"/>
        </w:rPr>
        <w:t xml:space="preserve"> </w:t>
      </w:r>
    </w:p>
    <w:p w:rsidR="003C43BF" w:rsidRDefault="006C3212">
      <w:pPr>
        <w:pBdr>
          <w:top w:val="single" w:sz="4" w:space="1" w:color="auto"/>
          <w:left w:val="single" w:sz="4" w:space="4" w:color="auto"/>
          <w:bottom w:val="single" w:sz="4" w:space="1" w:color="auto"/>
          <w:right w:val="single" w:sz="4" w:space="4" w:color="auto"/>
        </w:pBdr>
        <w:tabs>
          <w:tab w:val="left" w:pos="291"/>
          <w:tab w:val="right" w:leader="dot" w:pos="9040"/>
        </w:tabs>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Belgian NIR reports historical data and future vehicle estimates and infrastructure targets by region, without providing an aggregation at national level. Information on the number of locomotives is the only exception of figures being r</w:t>
      </w:r>
      <w:r>
        <w:rPr>
          <w:rFonts w:ascii="Times New Roman" w:hAnsi="Times New Roman" w:cs="Times New Roman"/>
          <w:noProof/>
          <w:color w:val="000000" w:themeColor="text1"/>
          <w:sz w:val="24"/>
          <w:lang w:val="en-IE"/>
        </w:rPr>
        <w:t>eported at federal level. Maritime-related data, which concerns only the region of Flanders, can also be considered an exception (i.e. representing the national level). To address this issue, we summed up the relevant values reported by the NIR for Flander</w:t>
      </w:r>
      <w:r>
        <w:rPr>
          <w:rFonts w:ascii="Times New Roman" w:hAnsi="Times New Roman" w:cs="Times New Roman"/>
          <w:noProof/>
          <w:color w:val="000000" w:themeColor="text1"/>
          <w:sz w:val="24"/>
          <w:lang w:val="en-IE"/>
        </w:rPr>
        <w:t xml:space="preserve">s, Walloon and Brussels-Capital. Since there are differences in the type of information available in the NIR for each region, the values aggregated and used in this assessment sometimes reflect the values of two or even just one region. In the exceptional </w:t>
      </w:r>
      <w:r>
        <w:rPr>
          <w:rFonts w:ascii="Times New Roman" w:hAnsi="Times New Roman" w:cs="Times New Roman"/>
          <w:noProof/>
          <w:color w:val="000000" w:themeColor="text1"/>
          <w:sz w:val="24"/>
          <w:lang w:val="en-IE"/>
        </w:rPr>
        <w:t xml:space="preserve">cases that this posed a clear distortion in comparison with the NPF, as in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_Ref53043033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sidRPr="006C3212">
        <w:rPr>
          <w:rFonts w:ascii="Times New Roman" w:hAnsi="Times New Roman" w:cs="Times New Roman"/>
          <w:iCs/>
          <w:noProof/>
          <w:color w:val="000000" w:themeColor="text1"/>
          <w:sz w:val="24"/>
          <w:lang w:val="en-IE"/>
        </w:rPr>
        <w:t>Table 5.1.3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color w:val="000000" w:themeColor="text1"/>
          <w:sz w:val="24"/>
          <w:lang w:val="en-IE"/>
        </w:rPr>
        <w:t xml:space="preserve">, we ignored the regional value(s) and indicated that the </w:t>
      </w:r>
      <w:r>
        <w:rPr>
          <w:rFonts w:ascii="Times New Roman" w:hAnsi="Times New Roman" w:cs="Times New Roman"/>
          <w:noProof/>
          <w:color w:val="000000" w:themeColor="text1"/>
          <w:sz w:val="24"/>
          <w:lang w:val="en-IE"/>
        </w:rPr>
        <w:t>aggregate value was not available (NA). For simplicity, we do not indicate in this written assessment which value refers to which region(s) and we do not report values for specific regions, with the exception of LNG and hydrogen infrastructure. Thus, the r</w:t>
      </w:r>
      <w:r>
        <w:rPr>
          <w:rFonts w:ascii="Times New Roman" w:hAnsi="Times New Roman" w:cs="Times New Roman"/>
          <w:noProof/>
          <w:color w:val="000000" w:themeColor="text1"/>
          <w:sz w:val="24"/>
          <w:lang w:val="en-IE"/>
        </w:rPr>
        <w:t>eader should refer to the Belgian NIR for further details and be mindful that the Walloon data on infrastructure targets and vehicle estimates is, as the NIR states, “</w:t>
      </w:r>
      <w:r>
        <w:rPr>
          <w:rFonts w:ascii="Times New Roman" w:hAnsi="Times New Roman" w:cs="Times New Roman"/>
          <w:i/>
          <w:noProof/>
          <w:color w:val="000000" w:themeColor="text1"/>
          <w:sz w:val="24"/>
          <w:lang w:val="en-IE"/>
        </w:rPr>
        <w:t>for information only, as the Walloon Energy and Climate Plan is being amended in response</w:t>
      </w:r>
      <w:r>
        <w:rPr>
          <w:rFonts w:ascii="Times New Roman" w:hAnsi="Times New Roman" w:cs="Times New Roman"/>
          <w:i/>
          <w:noProof/>
          <w:color w:val="000000" w:themeColor="text1"/>
          <w:sz w:val="24"/>
          <w:lang w:val="en-IE"/>
        </w:rPr>
        <w:t xml:space="preserve"> to the Commission’s comments</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It is recommended that for the next exercise the Belgian NIR is compiled at federal level only.</w:t>
      </w:r>
    </w:p>
    <w:p w:rsidR="003C43BF" w:rsidRDefault="003C43BF">
      <w:pPr>
        <w:pStyle w:val="Caption"/>
        <w:rPr>
          <w:rFonts w:ascii="Times New Roman" w:hAnsi="Times New Roman" w:cs="Times New Roman"/>
          <w:noProof/>
          <w:sz w:val="24"/>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3C43BF">
      <w:pPr>
        <w:pStyle w:val="Caption"/>
        <w:rPr>
          <w:rFonts w:ascii="Times New Roman" w:hAnsi="Times New Roman" w:cs="Times New Roman"/>
          <w:b w:val="0"/>
          <w:i/>
          <w:iCs/>
          <w:noProof/>
          <w:color w:val="000000" w:themeColor="text1"/>
          <w:sz w:val="20"/>
          <w:szCs w:val="18"/>
          <w:lang w:val="en-IE"/>
        </w:rPr>
      </w:pPr>
    </w:p>
    <w:p w:rsidR="003C43BF" w:rsidRDefault="006C3212">
      <w:pPr>
        <w:pStyle w:val="Caption"/>
        <w:jc w:val="both"/>
        <w:rPr>
          <w:rFonts w:ascii="Times New Roman" w:hAnsi="Times New Roman" w:cs="Times New Roman"/>
          <w:b w:val="0"/>
          <w:i/>
          <w:noProof/>
          <w:color w:val="000000" w:themeColor="text1"/>
          <w:sz w:val="20"/>
          <w:szCs w:val="18"/>
          <w:lang w:val="en-IE"/>
        </w:rPr>
      </w:pPr>
      <w:bookmarkStart w:id="44" w:name="_Ref53043033"/>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44"/>
      <w:r>
        <w:rPr>
          <w:rFonts w:ascii="Times New Roman" w:hAnsi="Times New Roman" w:cs="Times New Roman"/>
          <w:b w:val="0"/>
          <w:i/>
          <w:noProof/>
          <w:sz w:val="20"/>
          <w:szCs w:val="18"/>
          <w:lang w:val="en-IE"/>
        </w:rPr>
        <w:t xml:space="preserve"> National AFV estimates and AFI targets established</w:t>
      </w:r>
      <w:r>
        <w:rPr>
          <w:rFonts w:ascii="Times New Roman" w:hAnsi="Times New Roman" w:cs="Times New Roman"/>
          <w:b w:val="0"/>
          <w:i/>
          <w:noProof/>
          <w:sz w:val="20"/>
          <w:szCs w:val="18"/>
          <w:lang w:val="en-IE"/>
        </w:rPr>
        <w:t xml:space="preserve"> in the NIR at the horizon 2020, 2025 and 2030 and their comparison with the NPF situation</w:t>
      </w:r>
    </w:p>
    <w:p w:rsidR="003C43BF" w:rsidRDefault="006C3212">
      <w:pPr>
        <w:pStyle w:val="Caption"/>
        <w:rPr>
          <w:rFonts w:ascii="Times New Roman" w:hAnsi="Times New Roman" w:cs="Times New Roman"/>
          <w:noProof/>
          <w:sz w:val="24"/>
          <w:lang w:val="en-IE"/>
        </w:rPr>
      </w:pPr>
      <w:r>
        <w:rPr>
          <w:noProof/>
          <w:lang w:eastAsia="en-GB"/>
        </w:rPr>
        <w:drawing>
          <wp:inline distT="0" distB="0" distL="0" distR="0">
            <wp:extent cx="5760720" cy="738239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382394"/>
                    </a:xfrm>
                    <a:prstGeom prst="rect">
                      <a:avLst/>
                    </a:prstGeom>
                    <a:noFill/>
                    <a:ln>
                      <a:noFill/>
                    </a:ln>
                  </pic:spPr>
                </pic:pic>
              </a:graphicData>
            </a:graphic>
          </wp:inline>
        </w:drawing>
      </w:r>
    </w:p>
    <w:p w:rsidR="003C43BF" w:rsidRDefault="006C3212">
      <w:pPr>
        <w:spacing w:after="0"/>
        <w:rPr>
          <w:rFonts w:ascii="Times New Roman" w:hAnsi="Times New Roman" w:cs="Times New Roman"/>
          <w:noProof/>
          <w:sz w:val="20"/>
          <w:lang w:val="en-IE"/>
        </w:rPr>
      </w:pPr>
      <w:r>
        <w:rPr>
          <w:rFonts w:ascii="Times New Roman" w:hAnsi="Times New Roman" w:cs="Times New Roman"/>
          <w:noProof/>
          <w:sz w:val="24"/>
          <w:lang w:eastAsia="en-GB"/>
        </w:rPr>
        <w:drawing>
          <wp:inline distT="0" distB="0" distL="0" distR="0">
            <wp:extent cx="3630304" cy="437362"/>
            <wp:effectExtent l="0" t="0" r="0"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spacing w:before="120" w:after="0"/>
        <w:jc w:val="both"/>
        <w:rPr>
          <w:rFonts w:ascii="Times New Roman" w:hAnsi="Times New Roman" w:cs="Times New Roman"/>
          <w:noProof/>
          <w:sz w:val="20"/>
          <w:lang w:val="en-IE"/>
        </w:rPr>
      </w:pPr>
      <w:r>
        <w:rPr>
          <w:rFonts w:ascii="Times New Roman" w:hAnsi="Times New Roman" w:cs="Times New Roman"/>
          <w:noProof/>
          <w:sz w:val="20"/>
          <w:lang w:val="en-IE"/>
        </w:rPr>
        <w:t>* Value taken from EAFO 2018; **See Sections 5.1.3.3.2 and 5.1.3.4.2</w:t>
      </w:r>
    </w:p>
    <w:p w:rsidR="003C43BF" w:rsidRDefault="006C3212">
      <w:pPr>
        <w:spacing w:before="120" w:after="0"/>
        <w:jc w:val="both"/>
        <w:rPr>
          <w:rFonts w:ascii="Times New Roman" w:hAnsi="Times New Roman" w:cs="Times New Roman"/>
          <w:noProof/>
          <w:sz w:val="20"/>
          <w:lang w:val="en-IE"/>
        </w:rPr>
      </w:pPr>
      <w:r>
        <w:rPr>
          <w:rFonts w:ascii="Times New Roman" w:hAnsi="Times New Roman" w:cs="Times New Roman"/>
          <w:noProof/>
          <w:sz w:val="20"/>
          <w:lang w:val="en-IE"/>
        </w:rPr>
        <w:t xml:space="preserve">Note: The </w:t>
      </w:r>
      <w:r>
        <w:rPr>
          <w:rFonts w:ascii="Times New Roman" w:hAnsi="Times New Roman" w:cs="Times New Roman"/>
          <w:b/>
          <w:noProof/>
          <w:sz w:val="20"/>
          <w:lang w:val="en-IE"/>
        </w:rPr>
        <w:t>bold</w:t>
      </w:r>
      <w:r>
        <w:rPr>
          <w:rFonts w:ascii="Times New Roman" w:hAnsi="Times New Roman" w:cs="Times New Roman"/>
          <w:noProof/>
          <w:sz w:val="20"/>
          <w:lang w:val="en-IE"/>
        </w:rPr>
        <w:t xml:space="preserve"> values reflect the fact that the information was available for all the regions. AFI 2020 and 2025 values for CNG are reported in the NIR for the regions of Brussels-Capital and Flanders. However, they are not reported in this assessment due to the fact th</w:t>
      </w:r>
      <w:r>
        <w:rPr>
          <w:rFonts w:ascii="Times New Roman" w:hAnsi="Times New Roman" w:cs="Times New Roman"/>
          <w:noProof/>
          <w:sz w:val="20"/>
          <w:lang w:val="en-IE"/>
        </w:rPr>
        <w:t>at this would have led to a strong reduction in percentage change NIR vs. NPF, which may not reflect the actual (unreported) country-wide target. Consequently, the 2020 and 2025 values are not shown in the ratio table of Section 5.1.3.1.2 either.</w:t>
      </w:r>
    </w:p>
    <w:p w:rsidR="003C43BF" w:rsidRDefault="003C43BF">
      <w:pPr>
        <w:spacing w:before="120" w:after="0"/>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w:t>
      </w:r>
      <w:r>
        <w:rPr>
          <w:rFonts w:ascii="Times New Roman" w:hAnsi="Times New Roman" w:cs="Times New Roman"/>
          <w:noProof/>
          <w:sz w:val="24"/>
          <w:lang w:val="en-IE"/>
        </w:rPr>
        <w:t>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strike/>
          <w:noProof/>
          <w:sz w:val="24"/>
          <w:lang w:val="en-IE"/>
        </w:rPr>
      </w:pPr>
      <w:r>
        <w:rPr>
          <w:rFonts w:ascii="Times New Roman" w:hAnsi="Times New Roman" w:cs="Times New Roman"/>
          <w:noProof/>
          <w:sz w:val="24"/>
          <w:lang w:val="en-IE"/>
        </w:rPr>
        <w:t>It is estimated that Belgium recorded around 43,599 battery-electric and plug-in hybrid electric vehicles in use in 2018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_Ref53043033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sidRPr="006C3212">
        <w:rPr>
          <w:rFonts w:ascii="Times New Roman" w:hAnsi="Times New Roman" w:cs="Times New Roman"/>
          <w:iCs/>
          <w:noProof/>
          <w:color w:val="000000" w:themeColor="text1"/>
          <w:sz w:val="24"/>
          <w:lang w:val="en-IE"/>
        </w:rPr>
        <w:t>Table 5.1.3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sz w:val="24"/>
          <w:lang w:val="en-IE"/>
        </w:rPr>
        <w:t>), of which 43,181 were passenger cars (75% were plug-in hybrids). The estimate of 83,669 EVs for 2020 is 3.43% lower than the NPF estimate, signalling a slight decline in the level of ambition</w:t>
      </w:r>
      <w:r>
        <w:rPr>
          <w:rFonts w:ascii="Times New Roman" w:hAnsi="Times New Roman" w:cs="Times New Roman"/>
          <w:noProof/>
          <w:sz w:val="24"/>
          <w:lang w:val="en-IE"/>
        </w:rPr>
        <w:t>. The NPF lacked 2025 and 2030 estimates. The NIR reports an estimated value of 359,402 EVs in 2025 and 1,446,286 EVs in 2030. Specific data on the heavy-duty sector were not available.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52.11% for 2020 and 3.01</w:t>
      </w:r>
      <w:r>
        <w:rPr>
          <w:rFonts w:ascii="Times New Roman" w:hAnsi="Times New Roman" w:cs="Times New Roman"/>
          <w:iCs/>
          <w:noProof/>
          <w:sz w:val="24"/>
          <w:lang w:val="en-IE"/>
        </w:rPr>
        <w:t xml:space="preserve">%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w:t>
      </w:r>
      <w:r>
        <w:rPr>
          <w:rFonts w:ascii="Times New Roman" w:hAnsi="Times New Roman" w:cs="Times New Roman"/>
          <w:iCs/>
          <w:noProof/>
          <w:color w:val="000000" w:themeColor="text1"/>
          <w:sz w:val="24"/>
          <w:lang w:val="en-IE"/>
        </w:rPr>
        <w:t xml:space="preserve">0 for EV fleet evolution planned by Belgium is equal to </w:t>
      </w:r>
      <w:r>
        <w:rPr>
          <w:rFonts w:ascii="Times New Roman" w:hAnsi="Times New Roman" w:cs="Times New Roman"/>
          <w:iCs/>
          <w:noProof/>
          <w:sz w:val="24"/>
          <w:lang w:val="en-IE"/>
        </w:rPr>
        <w:t>37%.</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strike/>
          <w:noProof/>
          <w:sz w:val="24"/>
          <w:lang w:val="en-IE"/>
        </w:rPr>
      </w:pPr>
      <w:r>
        <w:rPr>
          <w:rFonts w:ascii="Times New Roman" w:hAnsi="Times New Roman" w:cs="Times New Roman"/>
          <w:noProof/>
          <w:sz w:val="24"/>
          <w:lang w:val="en-IE"/>
        </w:rPr>
        <w:t>It is estimated that Belgium recorded around 3,530 publicly accessible recharging points in 2018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_Ref53043033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sidRPr="006C3212">
        <w:rPr>
          <w:rFonts w:ascii="Times New Roman" w:hAnsi="Times New Roman" w:cs="Times New Roman"/>
          <w:iCs/>
          <w:noProof/>
          <w:color w:val="000000" w:themeColor="text1"/>
          <w:sz w:val="24"/>
          <w:lang w:val="en-IE"/>
        </w:rPr>
        <w:t>Table 5.1.3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sz w:val="24"/>
          <w:lang w:val="en-IE"/>
        </w:rPr>
        <w:t>). Limited information on the split between normal and high-power points is available in the NIR at regional level only. The estimated target of 7,300 points for 2020 is 12.30% lower than the N</w:t>
      </w:r>
      <w:r>
        <w:rPr>
          <w:rFonts w:ascii="Times New Roman" w:hAnsi="Times New Roman" w:cs="Times New Roman"/>
          <w:noProof/>
          <w:sz w:val="24"/>
          <w:lang w:val="en-IE"/>
        </w:rPr>
        <w:t xml:space="preserve">PF target, signalling a slight decline in the level of ambition. The NPF lacked 2025 and 2030 target. The NIR reports a target of 35,400 points in 2025 and 94,500 points in 2030.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Limited information on the number of private recharging points is available </w:t>
      </w:r>
      <w:r>
        <w:rPr>
          <w:rFonts w:ascii="Times New Roman" w:hAnsi="Times New Roman" w:cs="Times New Roman"/>
          <w:noProof/>
          <w:sz w:val="24"/>
          <w:lang w:val="en-IE"/>
        </w:rPr>
        <w:t>in the NIR at regional level only.</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public recharging infrastructure targets is 48.36% for 2020 and 3.74% for 2030. According to the assessment methodology described in Section 2.1, the 2018 situation corresponds to an </w:t>
      </w:r>
      <w:r>
        <w:rPr>
          <w:rFonts w:ascii="Times New Roman" w:hAnsi="Times New Roman" w:cs="Times New Roman"/>
          <w:b/>
          <w:i/>
          <w:iCs/>
          <w:noProof/>
          <w:sz w:val="24"/>
          <w:lang w:val="en-IE"/>
        </w:rPr>
        <w:t>adequate</w:t>
      </w:r>
      <w:r>
        <w:rPr>
          <w:rFonts w:ascii="Times New Roman" w:hAnsi="Times New Roman" w:cs="Times New Roman"/>
          <w:b/>
          <w:i/>
          <w:iCs/>
          <w:noProof/>
          <w:sz w:val="24"/>
          <w:lang w:val="en-IE"/>
        </w:rPr>
        <w:t xml:space="preserve">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Belgium is equal to</w:t>
      </w:r>
      <w:r>
        <w:rPr>
          <w:rFonts w:ascii="Times New Roman" w:hAnsi="Times New Roman" w:cs="Times New Roman"/>
          <w:iCs/>
          <w:noProof/>
          <w:sz w:val="24"/>
          <w:lang w:val="en-IE"/>
        </w:rPr>
        <w:t xml:space="preserve"> 41%.</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BE NIR, </w:t>
      </w:r>
      <w:r>
        <w:rPr>
          <w:rFonts w:ascii="Times New Roman" w:hAnsi="Times New Roman" w:cs="Times New Roman"/>
          <w:noProof/>
          <w:sz w:val="24"/>
          <w:lang w:val="en-IE"/>
        </w:rPr>
        <w:t>the following table shows the ratio between vehicles and publicly accessible recharging points (i.e. sufficiency index) for the pair electricity/road. It can be seen that the sufficiency index was 12.35 in 2018. The foreseen sufficiency index is 11.46 in 2</w:t>
      </w:r>
      <w:r>
        <w:rPr>
          <w:rFonts w:ascii="Times New Roman" w:hAnsi="Times New Roman" w:cs="Times New Roman"/>
          <w:noProof/>
          <w:sz w:val="24"/>
          <w:lang w:val="en-IE"/>
        </w:rPr>
        <w:t>020, 10.15 in 2025 and 15.30 in 2030. Without specific information on the share of high power (&gt;22kW) recharging points, it is not possible to assess the adequacy of the sufficiency index in 2030.</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866005" cy="50101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6005" cy="501015"/>
                    </a:xfrm>
                    <a:prstGeom prst="rect">
                      <a:avLst/>
                    </a:prstGeom>
                    <a:noFill/>
                    <a:ln>
                      <a:noFill/>
                    </a:ln>
                  </pic:spPr>
                </pic:pic>
              </a:graphicData>
            </a:graphic>
          </wp:inline>
        </w:drawing>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only information f</w:t>
      </w:r>
      <w:r>
        <w:rPr>
          <w:rFonts w:ascii="Times New Roman" w:hAnsi="Times New Roman" w:cs="Times New Roman"/>
          <w:noProof/>
          <w:sz w:val="24"/>
          <w:lang w:val="en-IE"/>
        </w:rPr>
        <w:t>ound in the Belgian NIR relates to a project for the development of an AFI data collection methodology.</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It is estimated that Belgium recorded around 11,721 CNG vehicles in use in 2018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_Ref53043033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sidRPr="006C3212">
        <w:rPr>
          <w:rFonts w:ascii="Times New Roman" w:hAnsi="Times New Roman" w:cs="Times New Roman"/>
          <w:iCs/>
          <w:noProof/>
          <w:color w:val="000000" w:themeColor="text1"/>
          <w:sz w:val="24"/>
          <w:lang w:val="en-IE"/>
        </w:rPr>
        <w:t>Table 5.1.3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sz w:val="24"/>
          <w:lang w:val="en-IE"/>
        </w:rPr>
        <w:t xml:space="preserve">), of which 11,184 were passenger cars. The estimate of 46,305 CNG vehicles for 2020 is 8.75% higher than the NPF estimate, signalling a slight increase in the level of ambition. The NPF lacked </w:t>
      </w:r>
      <w:r>
        <w:rPr>
          <w:rFonts w:ascii="Times New Roman" w:hAnsi="Times New Roman" w:cs="Times New Roman"/>
          <w:noProof/>
          <w:sz w:val="24"/>
          <w:lang w:val="en-IE"/>
        </w:rPr>
        <w:t>2025 and 2030 estimates. The NIR reports an estimated value of 151,744 CNG vehicles in 2025 and CNG vehicles 644,393 in 2030. Also in this case it was not possible to extract specific information on the heavy-duty sector.</w:t>
      </w:r>
    </w:p>
    <w:p w:rsidR="003C43BF" w:rsidRDefault="006C3212">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CNG </w:t>
      </w:r>
      <w:r>
        <w:rPr>
          <w:rFonts w:ascii="Times New Roman" w:hAnsi="Times New Roman" w:cs="Times New Roman"/>
          <w:iCs/>
          <w:noProof/>
          <w:sz w:val="24"/>
          <w:lang w:val="en-IE"/>
        </w:rPr>
        <w:t xml:space="preserve">vehicles estimates is 25.31% for 2020 and 1.82%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CNG vehicles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b/>
          <w:i/>
          <w:iCs/>
          <w:noProof/>
          <w:color w:val="000000" w:themeColor="text1"/>
          <w:sz w:val="24"/>
          <w:lang w:val="en-IE"/>
        </w:rPr>
        <w:t xml:space="preserv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Belgium is equal to</w:t>
      </w:r>
      <w:r>
        <w:rPr>
          <w:rFonts w:ascii="Times New Roman" w:hAnsi="Times New Roman" w:cs="Times New Roman"/>
          <w:iCs/>
          <w:noProof/>
          <w:sz w:val="24"/>
          <w:lang w:val="en-IE"/>
        </w:rPr>
        <w:t xml:space="preserve"> 41%.</w:t>
      </w:r>
      <w:r>
        <w:rPr>
          <w:rFonts w:ascii="Times New Roman" w:hAnsi="Times New Roman" w:cs="Times New Roman"/>
          <w:noProof/>
          <w:sz w:val="28"/>
          <w:szCs w:val="24"/>
          <w:lang w:val="en-IE"/>
        </w:rPr>
        <w:t xml:space="preserv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strike/>
          <w:noProof/>
          <w:sz w:val="24"/>
          <w:lang w:val="en-IE"/>
        </w:rPr>
      </w:pPr>
      <w:r>
        <w:rPr>
          <w:rFonts w:ascii="Times New Roman" w:hAnsi="Times New Roman" w:cs="Times New Roman"/>
          <w:noProof/>
          <w:sz w:val="24"/>
          <w:lang w:val="en-IE"/>
        </w:rPr>
        <w:t>It is estimated that Belgium recorded around 126 publicly accessible CNG refuelling points in 2018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_Ref53043033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sidRPr="006C3212">
        <w:rPr>
          <w:rFonts w:ascii="Times New Roman" w:hAnsi="Times New Roman" w:cs="Times New Roman"/>
          <w:iCs/>
          <w:noProof/>
          <w:color w:val="000000" w:themeColor="text1"/>
          <w:sz w:val="24"/>
          <w:lang w:val="en-IE"/>
        </w:rPr>
        <w:t>Table 5.1.3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sz w:val="24"/>
          <w:lang w:val="en-IE"/>
        </w:rPr>
        <w:t>), an increase compared to the 98 points available in the three regions in the previous year. Concerning the 2020 and 2025 targets, the lim</w:t>
      </w:r>
      <w:r>
        <w:rPr>
          <w:rFonts w:ascii="Times New Roman" w:hAnsi="Times New Roman" w:cs="Times New Roman"/>
          <w:noProof/>
          <w:sz w:val="24"/>
          <w:lang w:val="en-IE"/>
        </w:rPr>
        <w:t xml:space="preserve">ited regional values reported in the NIR are well below the target of 333 points indicated in the NPF for 2020. The NPF lacked 2025 and 2030 targets. The NIR reports a target of 593 points in 2030. </w:t>
      </w:r>
    </w:p>
    <w:p w:rsidR="003C43BF" w:rsidRDefault="006C3212">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future public CNG refuelling infra</w:t>
      </w:r>
      <w:r>
        <w:rPr>
          <w:rFonts w:ascii="Times New Roman" w:hAnsi="Times New Roman" w:cs="Times New Roman"/>
          <w:iCs/>
          <w:noProof/>
          <w:sz w:val="24"/>
          <w:lang w:val="en-IE"/>
        </w:rPr>
        <w:t xml:space="preserve">structure targets is 21.25%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w:t>
      </w:r>
      <w:r>
        <w:rPr>
          <w:rFonts w:ascii="Times New Roman" w:hAnsi="Times New Roman" w:cs="Times New Roman"/>
          <w:iCs/>
          <w:noProof/>
          <w:color w:val="000000" w:themeColor="text1"/>
          <w:sz w:val="24"/>
          <w:lang w:val="en-IE"/>
        </w:rPr>
        <w:t xml:space="preserve"> to the period 2016-2030 for publicly accessible CNG refuelling infrastructure evolution planned by Belgium is equal to</w:t>
      </w:r>
      <w:r>
        <w:rPr>
          <w:rFonts w:ascii="Times New Roman" w:hAnsi="Times New Roman" w:cs="Times New Roman"/>
          <w:iCs/>
          <w:noProof/>
          <w:sz w:val="24"/>
          <w:lang w:val="en-IE"/>
        </w:rPr>
        <w:t xml:space="preserve"> 18%.</w:t>
      </w:r>
      <w:r>
        <w:rPr>
          <w:rFonts w:ascii="Times New Roman" w:hAnsi="Times New Roman" w:cs="Times New Roman"/>
          <w:noProof/>
          <w:sz w:val="28"/>
          <w:szCs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BE NIR, the following table shows the ratio between vehicles and publicly accessible refuelling points (i.e. </w:t>
      </w:r>
      <w:r>
        <w:rPr>
          <w:rFonts w:ascii="Times New Roman" w:hAnsi="Times New Roman" w:cs="Times New Roman"/>
          <w:noProof/>
          <w:sz w:val="24"/>
          <w:lang w:val="en-IE"/>
        </w:rPr>
        <w:t>sufficiency index) for the pair CNG/road. It can be seen that the sufficiency index was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in 2018 and was thus adequate to support CNG vehicle uptake. The foreseen sufficiency index instead exceeds t</w:t>
      </w:r>
      <w:r>
        <w:rPr>
          <w:rFonts w:ascii="Times New Roman" w:hAnsi="Times New Roman" w:cs="Times New Roman"/>
          <w:noProof/>
          <w:sz w:val="24"/>
          <w:lang w:val="en-IE"/>
        </w:rPr>
        <w:t>his value by a large margin in 2030. As indicated above, the 2020 and 2025 values can only be computed at regional level.</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866005" cy="413385"/>
            <wp:effectExtent l="0" t="0" r="0"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6005" cy="413385"/>
                    </a:xfrm>
                    <a:prstGeom prst="rect">
                      <a:avLst/>
                    </a:prstGeom>
                    <a:noFill/>
                    <a:ln>
                      <a:noFill/>
                    </a:ln>
                  </pic:spPr>
                </pic:pic>
              </a:graphicData>
            </a:graphic>
          </wp:inline>
        </w:drawing>
      </w:r>
    </w:p>
    <w:p w:rsidR="003C43BF" w:rsidRDefault="003C43BF">
      <w:pPr>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Belgian NIR does not provide information on the number of LNG vehicles in use between 2016 and 2018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_Ref5304</w:instrText>
      </w:r>
      <w:r>
        <w:rPr>
          <w:rFonts w:ascii="Times New Roman" w:hAnsi="Times New Roman" w:cs="Times New Roman"/>
          <w:noProof/>
          <w:color w:val="000000" w:themeColor="text1"/>
          <w:sz w:val="24"/>
          <w:lang w:val="en-IE"/>
        </w:rPr>
        <w:instrText xml:space="preserve">3033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sidRPr="006C3212">
        <w:rPr>
          <w:rFonts w:ascii="Times New Roman" w:hAnsi="Times New Roman" w:cs="Times New Roman"/>
          <w:iCs/>
          <w:noProof/>
          <w:color w:val="000000" w:themeColor="text1"/>
          <w:sz w:val="24"/>
          <w:lang w:val="en-IE"/>
        </w:rPr>
        <w:t>Table 5.1.3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sz w:val="24"/>
          <w:lang w:val="en-IE"/>
        </w:rPr>
        <w:t xml:space="preserve">). Both the NPF and NIR lacked future LNG vehicle estimates. For this reason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3C43BF">
      <w:pPr>
        <w:tabs>
          <w:tab w:val="left" w:pos="360"/>
        </w:tabs>
        <w:jc w:val="both"/>
        <w:rPr>
          <w:rFonts w:ascii="Times New Roman" w:hAnsi="Times New Roman" w:cs="Times New Roman"/>
          <w:noProof/>
          <w:color w:val="000000" w:themeColor="text1"/>
          <w:sz w:val="28"/>
          <w:szCs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Belgian NIR does not provide information on the number of publicly accessible LNG refuelling points in 2018. EAFO provides a value of four refuelling points in 2018. Whereas the NPF lacked targets for 2025 and 2030, the NIR provides only one regional t</w:t>
      </w:r>
      <w:r>
        <w:rPr>
          <w:rFonts w:ascii="Times New Roman" w:hAnsi="Times New Roman" w:cs="Times New Roman"/>
          <w:noProof/>
          <w:sz w:val="24"/>
          <w:lang w:val="en-IE"/>
        </w:rPr>
        <w:t xml:space="preserve">arget for 2030: 25 refuelling points in Walloon.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Based on the EAFO value, t</w:t>
      </w:r>
      <w:r>
        <w:rPr>
          <w:rFonts w:ascii="Times New Roman" w:hAnsi="Times New Roman" w:cs="Times New Roman"/>
          <w:iCs/>
          <w:noProof/>
          <w:sz w:val="24"/>
          <w:lang w:val="en-IE"/>
        </w:rPr>
        <w:t xml:space="preserve">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future public LNG refuelling infrastructure targets is 16.00% for 2030. Due to the lack of data, the</w:t>
      </w:r>
      <w:r>
        <w:rPr>
          <w:rFonts w:ascii="Times New Roman" w:hAnsi="Times New Roman" w:cs="Times New Roman"/>
          <w:noProof/>
          <w:sz w:val="24"/>
          <w:lang w:val="en-IE"/>
        </w:rPr>
        <w:t xml:space="preserv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Due to the lack of </w:t>
      </w:r>
      <w:r>
        <w:rPr>
          <w:rFonts w:ascii="Times New Roman" w:hAnsi="Times New Roman" w:cs="Times New Roman"/>
          <w:noProof/>
          <w:sz w:val="24"/>
          <w:lang w:val="en-IE"/>
        </w:rPr>
        <w:t>information in the BE NIR, the ratio between vehicles and publicly accessible refuelling points (i.e. sufficiency index) could not be computed for the pair LNG/road.</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It is estimated that Belgium recorded around 27 hydrogen vehicles in use</w:t>
      </w:r>
      <w:r>
        <w:rPr>
          <w:rFonts w:ascii="Times New Roman" w:hAnsi="Times New Roman" w:cs="Times New Roman"/>
          <w:noProof/>
          <w:sz w:val="24"/>
          <w:lang w:val="en-IE"/>
        </w:rPr>
        <w:t xml:space="preserve"> in 2018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_Ref53043033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sidRPr="006C3212">
        <w:rPr>
          <w:rFonts w:ascii="Times New Roman" w:hAnsi="Times New Roman" w:cs="Times New Roman"/>
          <w:iCs/>
          <w:noProof/>
          <w:color w:val="000000" w:themeColor="text1"/>
          <w:sz w:val="24"/>
          <w:lang w:val="en-IE"/>
        </w:rPr>
        <w:t>Table 5.1.3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sz w:val="24"/>
          <w:lang w:val="en-IE"/>
        </w:rPr>
        <w:t>), all of them being passenger cars. The NPF lacked future estimates. The NIR lacks 2025 estimates but provides the following ones for the Walloon region: 32 hydrogen vehicles in 2020 and 23,71</w:t>
      </w:r>
      <w:r>
        <w:rPr>
          <w:rFonts w:ascii="Times New Roman" w:hAnsi="Times New Roman" w:cs="Times New Roman"/>
          <w:noProof/>
          <w:sz w:val="24"/>
          <w:lang w:val="en-IE"/>
        </w:rPr>
        <w:t xml:space="preserve">9 vehicles in 2030. </w:t>
      </w:r>
    </w:p>
    <w:p w:rsidR="003C43BF" w:rsidRDefault="006C3212">
      <w:pPr>
        <w:tabs>
          <w:tab w:val="left" w:pos="360"/>
        </w:tabs>
        <w:spacing w:line="276" w:lineRule="auto"/>
        <w:jc w:val="both"/>
        <w:rPr>
          <w:rFonts w:ascii="Times New Roman" w:eastAsia="Calibri" w:hAnsi="Times New Roman" w:cs="Times New Roman"/>
          <w:noProof/>
          <w:color w:val="000000"/>
          <w:sz w:val="28"/>
          <w:szCs w:val="24"/>
          <w:lang w:val="en-IE"/>
        </w:rPr>
      </w:pPr>
      <w:r>
        <w:rPr>
          <w:rFonts w:ascii="Times New Roman" w:eastAsia="Calibri" w:hAnsi="Times New Roman" w:cs="Times New Roman"/>
          <w:noProof/>
          <w:sz w:val="24"/>
          <w:lang w:val="en-IE"/>
        </w:rPr>
        <w:t xml:space="preserve">The 2018 </w:t>
      </w:r>
      <w:r>
        <w:rPr>
          <w:rFonts w:ascii="Times New Roman" w:eastAsia="Calibri" w:hAnsi="Times New Roman" w:cs="Times New Roman"/>
          <w:b/>
          <w:i/>
          <w:noProof/>
          <w:sz w:val="24"/>
          <w:lang w:val="en-IE"/>
        </w:rPr>
        <w:t>attainment</w:t>
      </w:r>
      <w:r>
        <w:rPr>
          <w:rFonts w:ascii="Times New Roman" w:eastAsia="Calibri" w:hAnsi="Times New Roman" w:cs="Times New Roman"/>
          <w:noProof/>
          <w:sz w:val="24"/>
          <w:lang w:val="en-IE"/>
        </w:rPr>
        <w:t xml:space="preserve"> of future hydrogen vehicles estimates is </w:t>
      </w:r>
      <w:r>
        <w:rPr>
          <w:rFonts w:ascii="Times New Roman" w:eastAsia="Calibri" w:hAnsi="Times New Roman" w:cs="Times New Roman"/>
          <w:iCs/>
          <w:noProof/>
          <w:color w:val="000000"/>
          <w:sz w:val="24"/>
          <w:lang w:val="en-IE"/>
        </w:rPr>
        <w:t xml:space="preserve">84.38% for 2020 and 0.11% for 2030. According to the assessment methodology described in </w:t>
      </w:r>
      <w:r>
        <w:rPr>
          <w:rFonts w:ascii="Times New Roman" w:hAnsi="Times New Roman" w:cs="Times New Roman"/>
          <w:iCs/>
          <w:noProof/>
          <w:sz w:val="24"/>
          <w:lang w:val="en-IE"/>
        </w:rPr>
        <w:t>Section 2.1</w:t>
      </w:r>
      <w:r>
        <w:rPr>
          <w:rFonts w:ascii="Times New Roman" w:eastAsia="Calibri" w:hAnsi="Times New Roman" w:cs="Times New Roman"/>
          <w:iCs/>
          <w:noProof/>
          <w:color w:val="000000"/>
          <w:sz w:val="24"/>
          <w:lang w:val="en-IE"/>
        </w:rPr>
        <w:t xml:space="preserve">, the </w:t>
      </w:r>
      <w:r>
        <w:rPr>
          <w:rFonts w:ascii="Times New Roman" w:eastAsia="Calibri" w:hAnsi="Times New Roman" w:cs="Times New Roman"/>
          <w:b/>
          <w:i/>
          <w:iCs/>
          <w:noProof/>
          <w:color w:val="000000"/>
          <w:sz w:val="24"/>
          <w:lang w:val="en-IE"/>
        </w:rPr>
        <w:t>progress</w:t>
      </w:r>
      <w:r>
        <w:rPr>
          <w:rFonts w:ascii="Times New Roman" w:eastAsia="Calibri" w:hAnsi="Times New Roman" w:cs="Times New Roman"/>
          <w:iCs/>
          <w:noProof/>
          <w:color w:val="000000"/>
          <w:sz w:val="24"/>
          <w:lang w:val="en-IE"/>
        </w:rPr>
        <w:t xml:space="preserve"> obtained by </w:t>
      </w:r>
      <w:r>
        <w:rPr>
          <w:rFonts w:ascii="Times New Roman" w:hAnsi="Times New Roman" w:cs="Times New Roman"/>
          <w:iCs/>
          <w:noProof/>
          <w:color w:val="000000" w:themeColor="text1"/>
          <w:sz w:val="24"/>
          <w:lang w:val="en-IE"/>
        </w:rPr>
        <w:t>Belgium</w:t>
      </w:r>
      <w:r>
        <w:rPr>
          <w:rFonts w:ascii="Times New Roman" w:eastAsia="Calibri" w:hAnsi="Times New Roman" w:cs="Times New Roman"/>
          <w:iCs/>
          <w:noProof/>
          <w:color w:val="000000"/>
          <w:sz w:val="24"/>
          <w:lang w:val="en-IE"/>
        </w:rPr>
        <w:t xml:space="preserve"> from 2016 until 2018 for hydrogen vehic</w:t>
      </w:r>
      <w:r>
        <w:rPr>
          <w:rFonts w:ascii="Times New Roman" w:eastAsia="Calibri" w:hAnsi="Times New Roman" w:cs="Times New Roman"/>
          <w:iCs/>
          <w:noProof/>
          <w:color w:val="000000"/>
          <w:sz w:val="24"/>
          <w:lang w:val="en-IE"/>
        </w:rPr>
        <w:t xml:space="preserve">les deployment is 0.07% of the overall planned deployment during the period 2016-2030.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NIR does not provide information on the state of play at end of 2018, but reports that two publicly accessible hydrogen refuelling points were </w:t>
      </w:r>
      <w:r>
        <w:rPr>
          <w:rFonts w:ascii="Times New Roman" w:hAnsi="Times New Roman" w:cs="Times New Roman"/>
          <w:noProof/>
          <w:sz w:val="24"/>
          <w:lang w:val="en-IE"/>
        </w:rPr>
        <w:t>available in Belgium in 2019, both in Flanders. Concerning the 2020 target, the only value reported in the NIR is for Walloon, with two points, thereby remaining well below the target of 22 points indicated in the NPF for 2020. The NIR also reports two pri</w:t>
      </w:r>
      <w:r>
        <w:rPr>
          <w:rFonts w:ascii="Times New Roman" w:hAnsi="Times New Roman" w:cs="Times New Roman"/>
          <w:noProof/>
          <w:sz w:val="24"/>
          <w:lang w:val="en-IE"/>
        </w:rPr>
        <w:t>vate refuelling points for this region. Whereas the NPF lacked targets for 2025 and 2030, the NIR provides only the following two targets for Walloon: 10 refuelling points in 2025 and 20 in 2030.</w:t>
      </w:r>
    </w:p>
    <w:p w:rsidR="003C43BF" w:rsidRDefault="006C3212" w:rsidP="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As the 2018 value of hydrogen refuelling points was not prov</w:t>
      </w:r>
      <w:r>
        <w:rPr>
          <w:rFonts w:ascii="Times New Roman" w:hAnsi="Times New Roman" w:cs="Times New Roman"/>
          <w:noProof/>
          <w:sz w:val="24"/>
          <w:lang w:val="en-IE"/>
        </w:rPr>
        <w:t xml:space="preserve">ided,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r>
        <w:rPr>
          <w:rFonts w:ascii="Times New Roman" w:hAnsi="Times New Roman" w:cs="Times New Roman"/>
          <w:noProof/>
          <w:sz w:val="24"/>
          <w:lang w:val="en-IE"/>
        </w:rPr>
        <w:br w:type="page"/>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BE NIR, the ratio between vehicles and publicly accessible refuelling points (i.e. sufficiency index) for the pair hydrogen/road could be computed only on a regional basis. </w:t>
      </w:r>
      <w:r>
        <w:rPr>
          <w:rFonts w:ascii="Times New Roman" w:hAnsi="Times New Roman" w:cs="Times New Roman"/>
          <w:noProof/>
          <w:sz w:val="24"/>
          <w:lang w:val="en-IE"/>
        </w:rPr>
        <w:t>The sufficiency index was equal to 5.00 in 2016 in Flanders, and is expected to be equal to of 16.00 in 2020 in Walloon and equal to 1,185.95 in 2030 again in Walloon.</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Belgian NIR.</w:t>
      </w:r>
    </w:p>
    <w:p w:rsidR="003C43BF" w:rsidRDefault="006C3212">
      <w:pPr>
        <w:pStyle w:val="Heading6"/>
        <w:numPr>
          <w:ilvl w:val="0"/>
          <w:numId w:val="0"/>
        </w:numPr>
        <w:rPr>
          <w:noProof/>
          <w:szCs w:val="24"/>
        </w:rPr>
      </w:pPr>
      <w:r>
        <w:rPr>
          <w:rStyle w:val="Heading4Char"/>
          <w:rFonts w:ascii="Times New Roman" w:hAnsi="Times New Roman" w:cs="Times New Roman"/>
          <w:noProof/>
          <w:sz w:val="24"/>
          <w:lang w:val="en-IE"/>
        </w:rPr>
        <w:t>Infrastructur</w:t>
      </w:r>
      <w:r>
        <w:rPr>
          <w:noProof/>
          <w:szCs w:val="24"/>
        </w:rPr>
        <w:t>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Belgian NIR.</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Based on the limited information provided in the NIR, Belgium recorded at least 10,219 LPG vehicles in use in 2018, all of them being cars. See also Section 5.1.4.1.1 for a relevant regional mea</w:t>
      </w:r>
      <w:r>
        <w:rPr>
          <w:rFonts w:ascii="Times New Roman" w:hAnsi="Times New Roman" w:cs="Times New Roman"/>
          <w:noProof/>
          <w:sz w:val="24"/>
          <w:lang w:val="en-IE"/>
        </w:rPr>
        <w:t>sure related to LPG vehicles.</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Because there are no </w:t>
      </w:r>
      <w:r>
        <w:rPr>
          <w:rFonts w:ascii="Times New Roman" w:hAnsi="Times New Roman" w:cs="Times New Roman"/>
          <w:iCs/>
          <w:noProof/>
          <w:sz w:val="24"/>
          <w:lang w:val="en-IE"/>
        </w:rPr>
        <w:t xml:space="preserve">LPG vehicles estimates </w:t>
      </w:r>
      <w:r>
        <w:rPr>
          <w:rFonts w:ascii="Times New Roman" w:hAnsi="Times New Roman" w:cs="Times New Roman"/>
          <w:noProof/>
          <w:sz w:val="24"/>
          <w:lang w:val="en-IE"/>
        </w:rPr>
        <w:t xml:space="preserve">in the Belgian NIR,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Belgian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Due to the lack of information in </w:t>
      </w:r>
      <w:r>
        <w:rPr>
          <w:rFonts w:ascii="Times New Roman" w:hAnsi="Times New Roman" w:cs="Times New Roman"/>
          <w:noProof/>
          <w:sz w:val="24"/>
          <w:lang w:val="en-IE"/>
        </w:rPr>
        <w:t>the BE NIR, the ratio between vehicles and publicly accessible refuelling points (i.e. sufficiency index) could not be computed for the pair LPG/road.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Belgian NIR indicates that the stock of electric railway vehicle</w:t>
      </w:r>
      <w:r>
        <w:rPr>
          <w:rFonts w:ascii="Times New Roman" w:hAnsi="Times New Roman" w:cs="Times New Roman"/>
          <w:noProof/>
          <w:sz w:val="24"/>
          <w:lang w:val="en-IE"/>
        </w:rPr>
        <w:t>s was 1,036 in 2018, compared to 1,090 in 2016. The NIR provides the following estimates: 982 in 2020, 937 in 2025 and 950 in 2030.</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Belgian NIR.</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Belgian NIR indicates that “there are </w:t>
      </w:r>
      <w:r>
        <w:rPr>
          <w:rFonts w:ascii="Times New Roman" w:hAnsi="Times New Roman" w:cs="Times New Roman"/>
          <w:noProof/>
          <w:sz w:val="24"/>
          <w:lang w:val="en-IE"/>
        </w:rPr>
        <w:t>no plans to purchase any hydrogen locomotives”.</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Belgian NIR.</w:t>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Belgian NIR.</w:t>
      </w:r>
    </w:p>
    <w:p w:rsidR="003C43BF" w:rsidRDefault="006C3212">
      <w:pPr>
        <w:pStyle w:val="Heading6"/>
        <w:numPr>
          <w:ilvl w:val="0"/>
          <w:numId w:val="0"/>
        </w:numPr>
        <w:rPr>
          <w:rStyle w:val="Heading4Char"/>
          <w:rFonts w:ascii="Times New Roman" w:hAnsi="Times New Roman" w:cs="Times New Roman"/>
          <w:i w:val="0"/>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Belgian NIR does not present data for 2018, but reports 11 shore-side electricity supply points in maritime ports in 2019, compared to 9 in 2016. The NIR target of 13 for 2020 is 18.18% higher than the NPF target, signalling an increase in the level of</w:t>
      </w:r>
      <w:r>
        <w:rPr>
          <w:rFonts w:ascii="Times New Roman" w:hAnsi="Times New Roman" w:cs="Times New Roman"/>
          <w:noProof/>
          <w:sz w:val="24"/>
          <w:lang w:val="en-IE"/>
        </w:rPr>
        <w:t xml:space="preserve"> ambition. In contrast to the NPF, the NIR does not report 2025 and 2030 targets for shore-side electricity supply in maritime ports.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the 2018 value of shore-side electricity supply points was not provided,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w:t>
      </w:r>
      <w:r>
        <w:rPr>
          <w:rFonts w:ascii="Times New Roman" w:hAnsi="Times New Roman" w:cs="Times New Roman"/>
          <w:noProof/>
          <w:sz w:val="24"/>
          <w:lang w:val="en-IE"/>
        </w:rPr>
        <w:t>ot be computed.</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only information found in the Belgian NIR relates to the statement that LNG maritime vessels are under construction.</w:t>
      </w:r>
    </w:p>
    <w:p w:rsidR="003C43BF" w:rsidRDefault="006C3212">
      <w:pPr>
        <w:pStyle w:val="Heading6"/>
        <w:numPr>
          <w:ilvl w:val="0"/>
          <w:numId w:val="0"/>
        </w:numPr>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Belgian NIR indicates only that the availability of LNG in maritime ports went up from zero refuelling points to five between 2016 and 2019. The latter value can be compared with the NPF targets of at least four points in 2020, 2025 and 2030. </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Because </w:t>
      </w:r>
      <w:r>
        <w:rPr>
          <w:rFonts w:ascii="Times New Roman" w:hAnsi="Times New Roman" w:cs="Times New Roman"/>
          <w:noProof/>
          <w:sz w:val="24"/>
          <w:lang w:val="en-IE"/>
        </w:rPr>
        <w:t xml:space="preserve">the Belgian NIR does not report data on LNG refuelling points in 2018, the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for that year could not be computed.</w:t>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Belgian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Due to</w:t>
      </w:r>
      <w:r>
        <w:rPr>
          <w:rFonts w:ascii="Times New Roman" w:hAnsi="Times New Roman" w:cs="Times New Roman"/>
          <w:noProof/>
          <w:sz w:val="24"/>
          <w:lang w:val="en-IE"/>
        </w:rPr>
        <w:t xml:space="preserve"> lack of data, it is not possible to report the state of play in 2018 in Belgium. The BE NIR indicates a value of 327 shore-side electricity supply in inland ports in 2016. The NIR target values of 516 for 2020 and 606 for 2025 are respectively 0.58% and 1</w:t>
      </w:r>
      <w:r>
        <w:rPr>
          <w:rFonts w:ascii="Times New Roman" w:hAnsi="Times New Roman" w:cs="Times New Roman"/>
          <w:noProof/>
          <w:sz w:val="24"/>
          <w:lang w:val="en-IE"/>
        </w:rPr>
        <w:t>.85% higher than the corresponding NPF targets, signalling a slight increase in the level of ambition. Both the NPF and NIR lacked 2030 targets.</w:t>
      </w:r>
    </w:p>
    <w:p w:rsidR="003C43BF" w:rsidRDefault="006C3212">
      <w:pPr>
        <w:tabs>
          <w:tab w:val="left" w:pos="360"/>
        </w:tabs>
        <w:spacing w:line="276" w:lineRule="auto"/>
        <w:jc w:val="both"/>
        <w:rPr>
          <w:rFonts w:ascii="Times New Roman" w:eastAsia="Calibri" w:hAnsi="Times New Roman" w:cs="Times New Roman"/>
          <w:iCs/>
          <w:noProof/>
          <w:color w:val="000000"/>
          <w:sz w:val="24"/>
          <w:lang w:val="en-IE"/>
        </w:rPr>
      </w:pPr>
      <w:r>
        <w:rPr>
          <w:rFonts w:ascii="Times New Roman" w:hAnsi="Times New Roman" w:cs="Times New Roman"/>
          <w:noProof/>
          <w:sz w:val="24"/>
          <w:lang w:val="en-IE"/>
        </w:rPr>
        <w:t xml:space="preserve">Due to the lack of data, the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w:t>
      </w:r>
      <w:r>
        <w:rPr>
          <w:rFonts w:ascii="Times New Roman" w:hAnsi="Times New Roman" w:cs="Times New Roman"/>
          <w:noProof/>
          <w:color w:val="000000" w:themeColor="text1"/>
          <w:sz w:val="24"/>
          <w:shd w:val="clear" w:color="auto" w:fill="FFFFFF"/>
          <w:lang w:val="en-IE"/>
        </w:rPr>
        <w:t xml:space="preserv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figures for 2018 could not be computed</w:t>
      </w:r>
      <w:r>
        <w:rPr>
          <w:rFonts w:ascii="Times New Roman" w:eastAsia="Calibri" w:hAnsi="Times New Roman" w:cs="Times New Roman"/>
          <w:iCs/>
          <w:noProof/>
          <w:color w:val="000000"/>
          <w:sz w:val="24"/>
          <w:lang w:val="en-IE"/>
        </w:rPr>
        <w:t xml:space="preserve">. </w:t>
      </w:r>
    </w:p>
    <w:p w:rsidR="003C43BF" w:rsidRDefault="003C43BF">
      <w:pPr>
        <w:tabs>
          <w:tab w:val="left" w:pos="360"/>
        </w:tabs>
        <w:spacing w:line="276" w:lineRule="auto"/>
        <w:jc w:val="both"/>
        <w:rPr>
          <w:rFonts w:ascii="Times New Roman" w:eastAsia="Calibri" w:hAnsi="Times New Roman" w:cs="Times New Roman"/>
          <w:noProof/>
          <w:color w:val="000000"/>
          <w:sz w:val="28"/>
          <w:szCs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Information is not available in the Belgian NIR.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Belgian NIR indicates only that the availability of LNG in inland ports went up from zero refuelling points to two between 2016 and 2019. A regional value of one point in 2030 is also rep</w:t>
      </w:r>
      <w:r>
        <w:rPr>
          <w:rFonts w:ascii="Times New Roman" w:hAnsi="Times New Roman" w:cs="Times New Roman"/>
          <w:noProof/>
          <w:sz w:val="24"/>
          <w:lang w:val="en-IE"/>
        </w:rPr>
        <w:t xml:space="preserve">orted. These values can be compared with the NPF targets of two points in 2020 and three points in 2030. </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Because the Belgian NIR does not report data on LNG refuelling points in 2018, the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for that year could not be computed.</w:t>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 xml:space="preserve">Air </w:t>
      </w:r>
      <w:r>
        <w:rPr>
          <w:rStyle w:val="Heading4Char"/>
          <w:rFonts w:ascii="Times New Roman" w:hAnsi="Times New Roman" w:cs="Times New Roman"/>
          <w:noProof/>
          <w:sz w:val="24"/>
          <w:lang w:val="en-IE"/>
        </w:rPr>
        <w:t>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BE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Limited information on electricity supply for stationary airplanes is available in the NIR at regional level only.</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w:t>
      </w:r>
      <w:r>
        <w:rPr>
          <w:rFonts w:ascii="Times New Roman" w:hAnsi="Times New Roman" w:cs="Times New Roman"/>
          <w:noProof/>
          <w:sz w:val="24"/>
          <w:lang w:val="en-IE"/>
        </w:rPr>
        <w:t>ormation is not available in the BE NIR.</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BE NIR.</w:t>
      </w:r>
    </w:p>
    <w:p w:rsidR="003C43BF" w:rsidRDefault="003C43BF">
      <w:pPr>
        <w:tabs>
          <w:tab w:val="left" w:pos="360"/>
        </w:tabs>
        <w:spacing w:before="12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45" w:name="_Toc55301734"/>
      <w:bookmarkStart w:id="46" w:name="_Toc56944093"/>
      <w:r>
        <w:rPr>
          <w:rFonts w:ascii="Times New Roman" w:hAnsi="Times New Roman" w:cs="Times New Roman"/>
          <w:noProof/>
          <w:sz w:val="24"/>
          <w:lang w:val="en-IE"/>
        </w:rPr>
        <w:t>Measures assessment</w:t>
      </w:r>
      <w:bookmarkEnd w:id="45"/>
      <w:bookmarkEnd w:id="46"/>
      <w:r>
        <w:rPr>
          <w:rFonts w:ascii="Times New Roman" w:hAnsi="Times New Roman" w:cs="Times New Roman"/>
          <w:noProof/>
          <w:sz w:val="24"/>
          <w:lang w:val="en-IE"/>
        </w:rPr>
        <w:t xml:space="preserve"> </w:t>
      </w:r>
    </w:p>
    <w:p w:rsidR="003C43BF" w:rsidRDefault="006C3212">
      <w:pPr>
        <w:pBdr>
          <w:top w:val="single" w:sz="4" w:space="1" w:color="auto"/>
          <w:left w:val="single" w:sz="4" w:space="4" w:color="auto"/>
          <w:bottom w:val="single" w:sz="4" w:space="1" w:color="auto"/>
          <w:right w:val="single" w:sz="4" w:space="4" w:color="auto"/>
        </w:pBdr>
        <w:tabs>
          <w:tab w:val="left" w:pos="291"/>
          <w:tab w:val="right" w:leader="dot" w:pos="9040"/>
        </w:tabs>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Belgian NIR reports the information related to the measures at both federal and regional level. In some cases, the same type of measure (e.g. low-emission zones) is reported separately for more than one region. </w:t>
      </w:r>
      <w:r>
        <w:rPr>
          <w:rFonts w:ascii="Times New Roman" w:hAnsi="Times New Roman" w:cs="Times New Roman"/>
          <w:noProof/>
          <w:sz w:val="24"/>
          <w:lang w:val="en-IE"/>
        </w:rPr>
        <w:t>Furthermore, a few of the measures listed</w:t>
      </w:r>
      <w:r>
        <w:rPr>
          <w:rFonts w:ascii="Times New Roman" w:hAnsi="Times New Roman" w:cs="Times New Roman"/>
          <w:noProof/>
          <w:sz w:val="24"/>
          <w:lang w:val="en-IE"/>
        </w:rPr>
        <w:t xml:space="preserve"> in the NIR as Legal and AFI deployment measures can be linked to Policy measures reported in a different section of NIR. To be in line with our assessment methodology, these are assessed only once. However, it shall be highlighted that this way of reporti</w:t>
      </w:r>
      <w:r>
        <w:rPr>
          <w:rFonts w:ascii="Times New Roman" w:hAnsi="Times New Roman" w:cs="Times New Roman"/>
          <w:noProof/>
          <w:sz w:val="24"/>
          <w:lang w:val="en-IE"/>
        </w:rPr>
        <w:t xml:space="preserve">ng increases the risk of double counting a given measure, with implications for the assessment of the measures’ impacts. Finally, </w:t>
      </w:r>
      <w:r>
        <w:rPr>
          <w:rFonts w:ascii="Times New Roman" w:hAnsi="Times New Roman" w:cs="Times New Roman"/>
          <w:noProof/>
          <w:color w:val="000000" w:themeColor="text1"/>
          <w:sz w:val="24"/>
          <w:lang w:val="en-IE"/>
        </w:rPr>
        <w:t>the Belgian NIR reports road vehicle data at regional level, thus, when possible, the assessment of the scope of a regional me</w:t>
      </w:r>
      <w:r>
        <w:rPr>
          <w:rFonts w:ascii="Times New Roman" w:hAnsi="Times New Roman" w:cs="Times New Roman"/>
          <w:noProof/>
          <w:color w:val="000000" w:themeColor="text1"/>
          <w:sz w:val="24"/>
          <w:lang w:val="en-IE"/>
        </w:rPr>
        <w:t xml:space="preserve">asure is assessed taking that into account. </w:t>
      </w:r>
      <w:r>
        <w:rPr>
          <w:rFonts w:ascii="Times New Roman" w:hAnsi="Times New Roman" w:cs="Times New Roman"/>
          <w:noProof/>
          <w:sz w:val="24"/>
          <w:lang w:val="en-IE"/>
        </w:rPr>
        <w:t>It is recommended that for the next exercise the Belgian NIR is compiled at federal level only.</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The Belgian NIR reports 119 measures, most of them regional ones. As in the NPF, the measures listed in the NIR cont</w:t>
      </w:r>
      <w:r>
        <w:rPr>
          <w:rFonts w:ascii="Times New Roman" w:hAnsi="Times New Roman" w:cs="Times New Roman"/>
          <w:noProof/>
          <w:sz w:val="24"/>
          <w:lang w:val="en-IE"/>
        </w:rPr>
        <w:t xml:space="preserve">inue to differ for the three regions. Almost all the measures were in place during the implementation period. </w:t>
      </w:r>
      <w:r>
        <w:rPr>
          <w:rFonts w:ascii="Times New Roman" w:hAnsi="Times New Roman" w:cs="Times New Roman"/>
          <w:iCs/>
          <w:noProof/>
          <w:sz w:val="24"/>
          <w:lang w:val="en-IE"/>
        </w:rPr>
        <w:t>It is possible to identify six assessable AF/transport mode clusters for the quantitative assessment: electricity/road, electricity/water (maritim</w:t>
      </w:r>
      <w:r>
        <w:rPr>
          <w:rFonts w:ascii="Times New Roman" w:hAnsi="Times New Roman" w:cs="Times New Roman"/>
          <w:iCs/>
          <w:noProof/>
          <w:sz w:val="24"/>
          <w:lang w:val="en-IE"/>
        </w:rPr>
        <w:t>e), electricity/water (inland), CNG/road, LNG/road and hydrogen/road (</w:t>
      </w:r>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REF _Ref53043113 \h  \* MERGEFORMAT </w:instrText>
      </w:r>
      <w:r>
        <w:rPr>
          <w:rFonts w:ascii="Times New Roman" w:hAnsi="Times New Roman" w:cs="Times New Roman"/>
          <w:iCs/>
          <w:noProof/>
          <w:sz w:val="24"/>
          <w:lang w:val="en-IE"/>
        </w:rPr>
      </w:r>
      <w:r>
        <w:rPr>
          <w:rFonts w:ascii="Times New Roman" w:hAnsi="Times New Roman" w:cs="Times New Roman"/>
          <w:iCs/>
          <w:noProof/>
          <w:sz w:val="24"/>
          <w:lang w:val="en-IE"/>
        </w:rPr>
        <w:fldChar w:fldCharType="separate"/>
      </w:r>
      <w:r w:rsidRPr="006C3212">
        <w:rPr>
          <w:rFonts w:ascii="Times New Roman" w:hAnsi="Times New Roman" w:cs="Times New Roman"/>
          <w:iCs/>
          <w:noProof/>
          <w:color w:val="000000" w:themeColor="text1"/>
          <w:sz w:val="24"/>
          <w:lang w:val="en-IE"/>
        </w:rPr>
        <w:t>Table 5.1.4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iCs/>
          <w:noProof/>
          <w:sz w:val="24"/>
          <w:lang w:val="en-IE"/>
        </w:rPr>
        <w:fldChar w:fldCharType="end"/>
      </w:r>
      <w:r>
        <w:rPr>
          <w:rFonts w:ascii="Times New Roman" w:hAnsi="Times New Roman" w:cs="Times New Roman"/>
          <w:iCs/>
          <w:noProof/>
          <w:sz w:val="24"/>
          <w:lang w:val="en-IE"/>
        </w:rPr>
        <w:t xml:space="preserve">).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tabs>
          <w:tab w:val="left" w:pos="360"/>
        </w:tabs>
        <w:spacing w:after="120" w:line="240" w:lineRule="auto"/>
        <w:jc w:val="both"/>
        <w:rPr>
          <w:rFonts w:ascii="Times New Roman" w:hAnsi="Times New Roman" w:cs="Times New Roman"/>
          <w:noProof/>
          <w:sz w:val="24"/>
          <w:highlight w:val="yellow"/>
          <w:lang w:val="en-IE"/>
        </w:rPr>
      </w:pPr>
      <w:r>
        <w:rPr>
          <w:rFonts w:ascii="Times New Roman" w:hAnsi="Times New Roman" w:cs="Times New Roman"/>
          <w:noProof/>
          <w:sz w:val="24"/>
          <w:lang w:val="en-IE"/>
        </w:rPr>
        <w:t>The Belgian NIR contains 38 legal measures, which</w:t>
      </w:r>
      <w:r>
        <w:rPr>
          <w:rFonts w:ascii="Times New Roman" w:hAnsi="Times New Roman" w:cs="Times New Roman"/>
          <w:noProof/>
          <w:sz w:val="24"/>
          <w:lang w:val="en-IE"/>
        </w:rPr>
        <w:t xml:space="preserve"> represents a strong increase compared to the 15 measures identified in the NPF. The application level of these measures is as follows: 13% are federal (i.e. apply to the three regions), 34% to Flanders, 18% to Walloon and 34% to Brussels-Capital. Electric</w:t>
      </w:r>
      <w:r>
        <w:rPr>
          <w:rFonts w:ascii="Times New Roman" w:hAnsi="Times New Roman" w:cs="Times New Roman"/>
          <w:noProof/>
          <w:sz w:val="24"/>
          <w:lang w:val="en-IE"/>
        </w:rPr>
        <w:t xml:space="preserve">ity for road features prominently, but other alternative fuels and transport modes are also considered.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Of all the legal measures described in the Belgian NIR, 19 can be categorised as legislative and regulatory measures and </w:t>
      </w:r>
      <w:r>
        <w:rPr>
          <w:rFonts w:ascii="Times New Roman" w:hAnsi="Times New Roman" w:cs="Times New Roman"/>
          <w:noProof/>
          <w:sz w:val="24"/>
          <w:lang w:val="en-IE"/>
        </w:rPr>
        <w:t>include among others:</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Norms &amp; requirements: the three federal measures identified deal with standards and fuel labelling and one in Walloon facilitates the development of renewable energy communities.</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Permits: Gradual tightening-up of the environmental cri</w:t>
      </w:r>
      <w:r>
        <w:rPr>
          <w:rFonts w:ascii="Times New Roman" w:hAnsi="Times New Roman" w:cs="Times New Roman"/>
          <w:noProof/>
          <w:sz w:val="24"/>
          <w:lang w:val="en-IE"/>
        </w:rPr>
        <w:t>teria for licensed taxis in Flanders.</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Other: Brussels-Capital Region proposes the phasing-out of diesel vehicles in 2030, and petrol and LPG vehicles in 2035 at the latest as well as increased EV quotas for public authorities from 2020.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Of </w:t>
      </w:r>
      <w:r>
        <w:rPr>
          <w:rFonts w:ascii="Times New Roman" w:hAnsi="Times New Roman" w:cs="Times New Roman"/>
          <w:noProof/>
          <w:sz w:val="24"/>
          <w:lang w:val="en-IE"/>
        </w:rPr>
        <w:t>all the legal measures described in the Belgian NIR, 19 can be categorised as administrative measures and include among others:</w:t>
      </w:r>
    </w:p>
    <w:p w:rsidR="003C43BF" w:rsidRDefault="006C3212">
      <w:pPr>
        <w:pStyle w:val="ListParagraph"/>
        <w:numPr>
          <w:ilvl w:val="0"/>
          <w:numId w:val="63"/>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AFV classification on environmental performance: Environmental criteria for car-sharing in Brussels-Capital.</w:t>
      </w:r>
    </w:p>
    <w:p w:rsidR="003C43BF" w:rsidRDefault="006C3212">
      <w:pPr>
        <w:pStyle w:val="ListParagraph"/>
        <w:numPr>
          <w:ilvl w:val="0"/>
          <w:numId w:val="63"/>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EU &amp; international </w:t>
      </w:r>
      <w:r>
        <w:rPr>
          <w:rFonts w:ascii="Times New Roman" w:hAnsi="Times New Roman" w:cs="Times New Roman"/>
          <w:noProof/>
          <w:sz w:val="24"/>
          <w:lang w:val="en-IE"/>
        </w:rPr>
        <w:t>standards implementation: Decree establishing the electrical standards for shore-side recharging of vessels in Walloon.</w:t>
      </w:r>
    </w:p>
    <w:p w:rsidR="003C43BF" w:rsidRDefault="006C3212">
      <w:pPr>
        <w:pStyle w:val="ListParagraph"/>
        <w:numPr>
          <w:ilvl w:val="0"/>
          <w:numId w:val="63"/>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Other: Green Deal for Sustainable Urban Logistics in Flanders.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Belgian NIR contains 35 policy measures, which also </w:t>
      </w:r>
      <w:r>
        <w:rPr>
          <w:rFonts w:ascii="Times New Roman" w:hAnsi="Times New Roman" w:cs="Times New Roman"/>
          <w:noProof/>
          <w:sz w:val="24"/>
          <w:lang w:val="en-IE"/>
        </w:rPr>
        <w:t>represents a strong increase compared to the 16 measures identified in the NPF. All the measures listed in the NIR, with one exception, were in place during the implementation period. The application level of these measures is as follows: 17% are federal (</w:t>
      </w:r>
      <w:r>
        <w:rPr>
          <w:rFonts w:ascii="Times New Roman" w:hAnsi="Times New Roman" w:cs="Times New Roman"/>
          <w:noProof/>
          <w:sz w:val="24"/>
          <w:lang w:val="en-IE"/>
        </w:rPr>
        <w:t>i.e. apply to the three regions), 34% to Flanders, 14% to Walloon and 34% to Brussels-Capital. Almost half of the policy measures target a combination of alternative fuels. Among the measures targeting a single AF, electricity features again prominently. M</w:t>
      </w:r>
      <w:r>
        <w:rPr>
          <w:rFonts w:ascii="Times New Roman" w:hAnsi="Times New Roman" w:cs="Times New Roman"/>
          <w:noProof/>
          <w:sz w:val="24"/>
          <w:lang w:val="en-IE"/>
        </w:rPr>
        <w:t xml:space="preserve">ost of the measures focus on road transport. The majority of these measures have a financial nature (though information on the budget is very limited).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jc w:val="both"/>
        <w:rPr>
          <w:rFonts w:ascii="Times New Roman" w:hAnsi="Times New Roman" w:cs="Times New Roman"/>
          <w:noProof/>
          <w:sz w:val="24"/>
          <w:highlight w:val="yellow"/>
          <w:lang w:val="en-IE"/>
        </w:rPr>
      </w:pPr>
      <w:r>
        <w:rPr>
          <w:rFonts w:ascii="Times New Roman" w:hAnsi="Times New Roman" w:cs="Times New Roman"/>
          <w:noProof/>
          <w:sz w:val="24"/>
          <w:lang w:val="en-IE"/>
        </w:rPr>
        <w:t>Of all the national policy measures described in the</w:t>
      </w:r>
      <w:r>
        <w:rPr>
          <w:rFonts w:ascii="Times New Roman" w:hAnsi="Times New Roman" w:cs="Times New Roman"/>
          <w:noProof/>
          <w:sz w:val="24"/>
          <w:lang w:val="en-IE"/>
        </w:rPr>
        <w:t xml:space="preserve"> Belgian NIR, 27 can be categorised as measures to ensure national targets and objectives. Among these, the following can be highlighted:</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Financial incentives: road tax exemption, zero-emission premium and ecology premium in Flanders; investment premium fo</w:t>
      </w:r>
      <w:r>
        <w:rPr>
          <w:rFonts w:ascii="Times New Roman" w:hAnsi="Times New Roman" w:cs="Times New Roman"/>
          <w:noProof/>
          <w:sz w:val="24"/>
          <w:lang w:val="en-IE"/>
        </w:rPr>
        <w:t>r new or converted LNG HCV in Walloon as well as for the replacement of polluting N1 vehicles in Brussels-Capital.</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Low-emission zones in Walloon and Brussels-Capital.</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Ecological investments, including shore-side electricity supply for seagoing vessels.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w:t>
      </w:r>
      <w:r>
        <w:rPr>
          <w:rFonts w:ascii="Times New Roman" w:hAnsi="Times New Roman" w:cs="Times New Roman"/>
          <w:noProof/>
          <w:sz w:val="24"/>
          <w:lang w:val="en-IE"/>
        </w:rPr>
        <w:t>sures that can promote AFI in public transport services</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Of all the policy measures described in the Belgian NIR, six can be categorised as measures that can promote AFI in public transport services, of which four were present already in the NPF. Only one o</w:t>
      </w:r>
      <w:r>
        <w:rPr>
          <w:rFonts w:ascii="Times New Roman" w:hAnsi="Times New Roman" w:cs="Times New Roman"/>
          <w:noProof/>
          <w:sz w:val="24"/>
          <w:lang w:val="en-IE"/>
        </w:rPr>
        <w:t xml:space="preserve">f them is a national measure. They tend to focus on the greening of the fleet, including procurement for buses and incentives for taxis fleets. None of them targets rail transport. </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w:t>
      </w:r>
      <w:r>
        <w:rPr>
          <w:rFonts w:ascii="Times New Roman" w:hAnsi="Times New Roman" w:cs="Times New Roman"/>
          <w:noProof/>
          <w:sz w:val="24"/>
          <w:lang w:val="en-IE"/>
        </w:rPr>
        <w:t>structure</w:t>
      </w:r>
    </w:p>
    <w:p w:rsidR="003C43BF" w:rsidRDefault="006C3212">
      <w:pPr>
        <w:spacing w:after="120" w:line="240" w:lineRule="auto"/>
        <w:jc w:val="both"/>
        <w:rPr>
          <w:rFonts w:ascii="Times New Roman" w:hAnsi="Times New Roman" w:cs="Times New Roman"/>
          <w:noProof/>
          <w:color w:val="000000" w:themeColor="text1"/>
          <w:sz w:val="24"/>
          <w:highlight w:val="yellow"/>
          <w:lang w:val="en-IE"/>
        </w:rPr>
      </w:pPr>
      <w:r>
        <w:rPr>
          <w:rFonts w:ascii="Times New Roman" w:hAnsi="Times New Roman" w:cs="Times New Roman"/>
          <w:noProof/>
          <w:sz w:val="24"/>
          <w:lang w:val="en-IE"/>
        </w:rPr>
        <w:t>Of all the policy measures described in the Belgian NIR, two can be categorised as measures that can promote the deployment of private electro-mobility infrastructure.</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provides information on deployme</w:t>
      </w:r>
      <w:r>
        <w:rPr>
          <w:rFonts w:ascii="Times New Roman" w:hAnsi="Times New Roman" w:cs="Times New Roman"/>
          <w:noProof/>
          <w:sz w:val="24"/>
          <w:lang w:val="en-IE"/>
        </w:rPr>
        <w:t xml:space="preserve">nt and manufacturing support only at regional level.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spacing w:after="120" w:line="240" w:lineRule="auto"/>
        <w:jc w:val="both"/>
        <w:rPr>
          <w:rFonts w:ascii="Times New Roman" w:hAnsi="Times New Roman" w:cs="Times New Roman"/>
          <w:noProof/>
          <w:color w:val="FF0000"/>
          <w:sz w:val="24"/>
          <w:lang w:val="en-IE"/>
        </w:rPr>
      </w:pPr>
      <w:r>
        <w:rPr>
          <w:rFonts w:ascii="Times New Roman" w:hAnsi="Times New Roman" w:cs="Times New Roman"/>
          <w:noProof/>
          <w:color w:val="000000" w:themeColor="text1"/>
          <w:sz w:val="24"/>
          <w:lang w:val="en-IE"/>
        </w:rPr>
        <w:t>The Belgian NIR lists 17 AFI deployment measures, of which 6 were found also in the NPF. With one exception, all the AFI deployment measures target road transport. Almost 60% of the measures target electricity and 29% a combination of AFs. There is also on</w:t>
      </w:r>
      <w:r>
        <w:rPr>
          <w:rFonts w:ascii="Times New Roman" w:hAnsi="Times New Roman" w:cs="Times New Roman"/>
          <w:noProof/>
          <w:color w:val="000000" w:themeColor="text1"/>
          <w:sz w:val="24"/>
          <w:lang w:val="en-IE"/>
        </w:rPr>
        <w:t>e measure targeting LNG only and another one CNG only. Several measures related to the CEF project known as BENEFIC are listed by different regions. All the AFI deployment measures were in place during the implementation period. Their total budget, with on</w:t>
      </w:r>
      <w:r>
        <w:rPr>
          <w:rFonts w:ascii="Times New Roman" w:hAnsi="Times New Roman" w:cs="Times New Roman"/>
          <w:noProof/>
          <w:color w:val="000000" w:themeColor="text1"/>
          <w:sz w:val="24"/>
          <w:lang w:val="en-IE"/>
        </w:rPr>
        <w:t xml:space="preserve">e exception for which the budget is not reported, is about 37.5 million </w:t>
      </w:r>
      <w:r>
        <w:rPr>
          <w:rFonts w:ascii="Times New Roman" w:hAnsi="Times New Roman" w:cs="Times New Roman"/>
          <w:noProof/>
          <w:sz w:val="24"/>
          <w:lang w:val="en-IE"/>
        </w:rPr>
        <w:t>€ for the period 2014-2022 (though most of it refers to 2016-2020).</w:t>
      </w:r>
      <w:r>
        <w:rPr>
          <w:rFonts w:ascii="Times New Roman" w:hAnsi="Times New Roman" w:cs="Times New Roman"/>
          <w:noProof/>
          <w:color w:val="000000" w:themeColor="text1"/>
          <w:sz w:val="24"/>
          <w:lang w:val="en-IE"/>
        </w:rPr>
        <w:t xml:space="preserve"> A significant proportion of this budget (17 million </w:t>
      </w:r>
      <w:r>
        <w:rPr>
          <w:rFonts w:ascii="Times New Roman" w:hAnsi="Times New Roman" w:cs="Times New Roman"/>
          <w:noProof/>
          <w:sz w:val="24"/>
          <w:lang w:val="en-IE"/>
        </w:rPr>
        <w:t>€</w:t>
      </w:r>
      <w:r>
        <w:rPr>
          <w:rFonts w:ascii="Times New Roman" w:hAnsi="Times New Roman" w:cs="Times New Roman"/>
          <w:noProof/>
          <w:color w:val="000000" w:themeColor="text1"/>
          <w:sz w:val="24"/>
          <w:lang w:val="en-IE"/>
        </w:rPr>
        <w:t>) comes from loan support for electricity, CNG and LNG infrastr</w:t>
      </w:r>
      <w:r>
        <w:rPr>
          <w:rFonts w:ascii="Times New Roman" w:hAnsi="Times New Roman" w:cs="Times New Roman"/>
          <w:noProof/>
          <w:color w:val="000000" w:themeColor="text1"/>
          <w:sz w:val="24"/>
          <w:lang w:val="en-IE"/>
        </w:rPr>
        <w:t>ucture in Walloon. Most of the rest of the budget is sourced from Flanders.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Belgian NIR reports four measures to support manufacturing plants for AF technologies, all of which related to MIVB-STIB (Ma</w:t>
      </w:r>
      <w:r>
        <w:rPr>
          <w:rFonts w:ascii="Times New Roman" w:hAnsi="Times New Roman" w:cs="Times New Roman"/>
          <w:noProof/>
          <w:color w:val="000000" w:themeColor="text1"/>
          <w:sz w:val="24"/>
          <w:lang w:val="en-IE"/>
        </w:rPr>
        <w:t>atschappij voor het Intercommunaal Vervoer te Brussel - Société des Transports Intercommunaux Bruxellois) and focusing on electricity for road in the Brussels-Capital region. For one of them, which was identified in the NPF, budget data is reported. For th</w:t>
      </w:r>
      <w:r>
        <w:rPr>
          <w:rFonts w:ascii="Times New Roman" w:hAnsi="Times New Roman" w:cs="Times New Roman"/>
          <w:noProof/>
          <w:color w:val="000000" w:themeColor="text1"/>
          <w:sz w:val="24"/>
          <w:lang w:val="en-IE"/>
        </w:rPr>
        <w:t>e rest, no information on budget is provided.</w:t>
      </w:r>
    </w:p>
    <w:p w:rsidR="003C43BF" w:rsidRDefault="003C43BF">
      <w:pPr>
        <w:spacing w:after="120" w:line="240" w:lineRule="auto"/>
        <w:jc w:val="both"/>
        <w:rPr>
          <w:rFonts w:ascii="Times New Roman" w:hAnsi="Times New Roman" w:cs="Times New Roman"/>
          <w:noProof/>
          <w:color w:val="000000" w:themeColor="text1"/>
          <w:sz w:val="24"/>
          <w:lang w:val="en-IE"/>
        </w:rPr>
      </w:pP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Belgian government not only highlights cooperation with neighbouring countries but also reiterates in its NIR the need for interoperability and common standards for alternative fuels infrastructures.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Quantitative assessment of Policy and Deployment &amp; </w:t>
      </w:r>
      <w:r>
        <w:rPr>
          <w:rFonts w:ascii="Times New Roman" w:hAnsi="Times New Roman" w:cs="Times New Roman"/>
          <w:noProof/>
          <w:sz w:val="24"/>
          <w:lang w:val="en-IE"/>
        </w:rPr>
        <w:t>Manufacturing measures</w:t>
      </w:r>
    </w:p>
    <w:p w:rsidR="003C43BF" w:rsidRDefault="006C3212">
      <w:pPr>
        <w:pStyle w:val="Text1"/>
        <w:tabs>
          <w:tab w:val="left" w:pos="720"/>
        </w:tabs>
        <w:ind w:left="0"/>
        <w:jc w:val="both"/>
        <w:rPr>
          <w:rFonts w:ascii="Times New Roman" w:hAnsi="Times New Roman" w:cs="Times New Roman"/>
          <w:noProof/>
          <w:sz w:val="24"/>
          <w:highlight w:val="yellow"/>
          <w:lang w:val="en-IE"/>
        </w:rPr>
      </w:pPr>
      <w:r>
        <w:rPr>
          <w:rFonts w:ascii="Times New Roman" w:hAnsi="Times New Roman" w:cs="Times New Roman"/>
          <w:noProof/>
          <w:sz w:val="24"/>
          <w:lang w:val="en-IE"/>
        </w:rPr>
        <w:t xml:space="preserve">Bearing in mind the fact that most of the measures reported in the NIR are of a regional nature, </w:t>
      </w:r>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REF _Ref53043113 \h  \* MERGEFORMAT </w:instrText>
      </w:r>
      <w:r>
        <w:rPr>
          <w:rFonts w:ascii="Times New Roman" w:hAnsi="Times New Roman" w:cs="Times New Roman"/>
          <w:iCs/>
          <w:noProof/>
          <w:sz w:val="24"/>
          <w:lang w:val="en-IE"/>
        </w:rPr>
      </w:r>
      <w:r>
        <w:rPr>
          <w:rFonts w:ascii="Times New Roman" w:hAnsi="Times New Roman" w:cs="Times New Roman"/>
          <w:iCs/>
          <w:noProof/>
          <w:sz w:val="24"/>
          <w:lang w:val="en-IE"/>
        </w:rPr>
        <w:fldChar w:fldCharType="separate"/>
      </w:r>
      <w:r w:rsidRPr="006C3212">
        <w:rPr>
          <w:rFonts w:ascii="Times New Roman" w:hAnsi="Times New Roman" w:cs="Times New Roman"/>
          <w:iCs/>
          <w:noProof/>
          <w:color w:val="000000" w:themeColor="text1"/>
          <w:sz w:val="24"/>
          <w:lang w:val="en-IE"/>
        </w:rPr>
        <w:t>Table 5.1.4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iCs/>
          <w:noProof/>
          <w:sz w:val="24"/>
          <w:lang w:val="en-IE"/>
        </w:rPr>
        <w:fldChar w:fldCharType="end"/>
      </w:r>
      <w:r>
        <w:rPr>
          <w:rFonts w:ascii="Times New Roman" w:hAnsi="Times New Roman" w:cs="Times New Roman"/>
          <w:noProof/>
          <w:sz w:val="24"/>
          <w:lang w:val="en-IE"/>
        </w:rPr>
        <w:t xml:space="preserve"> presents an analys</w:t>
      </w:r>
      <w:r>
        <w:rPr>
          <w:rFonts w:ascii="Times New Roman" w:hAnsi="Times New Roman" w:cs="Times New Roman"/>
          <w:noProof/>
          <w:sz w:val="24"/>
          <w:lang w:val="en-IE"/>
        </w:rPr>
        <w:t xml:space="preserve">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six</w:t>
      </w:r>
      <w:r>
        <w:rPr>
          <w:rStyle w:val="FootnoteReference"/>
          <w:rFonts w:ascii="Times New Roman" w:hAnsi="Times New Roman" w:cs="Times New Roman"/>
          <w:iCs/>
          <w:noProof/>
          <w:sz w:val="24"/>
          <w:lang w:val="en-IE"/>
        </w:rPr>
        <w:footnoteReference w:id="9"/>
      </w:r>
      <w:r>
        <w:rPr>
          <w:rFonts w:ascii="Times New Roman" w:hAnsi="Times New Roman" w:cs="Times New Roman"/>
          <w:noProof/>
          <w:sz w:val="24"/>
          <w:lang w:val="en-IE"/>
        </w:rPr>
        <w:t xml:space="preserve"> assessable clusters of measures on electricity, CNG, LNG and hydrogen for road transport and</w:t>
      </w:r>
      <w:r>
        <w:rPr>
          <w:rFonts w:ascii="Times New Roman" w:hAnsi="Times New Roman" w:cs="Times New Roman"/>
          <w:noProof/>
          <w:sz w:val="24"/>
          <w:lang w:val="en-IE"/>
        </w:rPr>
        <w:t xml:space="preserve"> electricity for waterborne transport could be identified in the Belgian NIR. The measures for the pairs LNG/water maritime and LNG/water inland were not assessable.</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None of the clusters have a high score. The cluster with the best rank, and the only one c</w:t>
      </w:r>
      <w:r>
        <w:rPr>
          <w:rFonts w:ascii="Times New Roman" w:hAnsi="Times New Roman" w:cs="Times New Roman"/>
          <w:noProof/>
          <w:sz w:val="24"/>
          <w:lang w:val="en-IE"/>
        </w:rPr>
        <w:t>onsidered to be comprehensive, is electricity/road. In terms of expected impact of these measures to support the realisation of the AFV/AFI objectives as presented in the NPF and revised in the NIR, the partial or total lack of future targets and estimates</w:t>
      </w:r>
      <w:r>
        <w:rPr>
          <w:rFonts w:ascii="Times New Roman" w:hAnsi="Times New Roman" w:cs="Times New Roman"/>
          <w:noProof/>
          <w:sz w:val="24"/>
          <w:lang w:val="en-IE"/>
        </w:rPr>
        <w:t xml:space="preserve"> and the regional nature of most of the measures does not allow a proper assessment. With this caveat, using the available information and applying the same criteria used for the other MS assessments, it can be suggested that the measures for the pair elec</w:t>
      </w:r>
      <w:r>
        <w:rPr>
          <w:rFonts w:ascii="Times New Roman" w:hAnsi="Times New Roman" w:cs="Times New Roman"/>
          <w:noProof/>
          <w:sz w:val="24"/>
          <w:lang w:val="en-IE"/>
        </w:rPr>
        <w:t xml:space="preserve">tricity/road might have a medium impact, while all the others appear to have a low impact. </w:t>
      </w:r>
    </w:p>
    <w:p w:rsidR="003C43BF" w:rsidRDefault="006C3212">
      <w:pPr>
        <w:pStyle w:val="Text1"/>
        <w:tabs>
          <w:tab w:val="left" w:pos="720"/>
        </w:tabs>
        <w:ind w:left="0"/>
        <w:jc w:val="both"/>
        <w:rPr>
          <w:rFonts w:ascii="Times New Roman" w:hAnsi="Times New Roman" w:cs="Times New Roman"/>
          <w:noProof/>
          <w:sz w:val="24"/>
          <w:highlight w:val="yellow"/>
          <w:lang w:val="en-IE"/>
        </w:rPr>
      </w:pPr>
      <w:r>
        <w:rPr>
          <w:rFonts w:ascii="Times New Roman" w:hAnsi="Times New Roman" w:cs="Times New Roman"/>
          <w:noProof/>
          <w:sz w:val="24"/>
          <w:lang w:val="en-IE"/>
        </w:rPr>
        <w:t>Concerning the level of ambition, it has increased for the four clusters related to road transport.</w:t>
      </w:r>
    </w:p>
    <w:p w:rsidR="003C43BF" w:rsidRDefault="006C3212">
      <w:pPr>
        <w:pStyle w:val="Caption"/>
        <w:rPr>
          <w:rFonts w:ascii="Times New Roman" w:hAnsi="Times New Roman" w:cs="Times New Roman"/>
          <w:b w:val="0"/>
          <w:i/>
          <w:noProof/>
          <w:sz w:val="20"/>
          <w:szCs w:val="18"/>
          <w:lang w:val="en-IE"/>
        </w:rPr>
      </w:pPr>
      <w:bookmarkStart w:id="47" w:name="_Ref53043113"/>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5.1.4</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47"/>
      <w:r>
        <w:rPr>
          <w:rFonts w:ascii="Times New Roman" w:hAnsi="Times New Roman" w:cs="Times New Roman"/>
          <w:b w:val="0"/>
          <w:i/>
          <w:noProof/>
          <w:sz w:val="20"/>
          <w:szCs w:val="18"/>
          <w:lang w:val="en-IE"/>
        </w:rPr>
        <w:t xml:space="preserve"> Quantitative assessment of Policy and Deployment &amp; Manufacturing support measures</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944235" cy="1792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1792605"/>
                    </a:xfrm>
                    <a:prstGeom prst="rect">
                      <a:avLst/>
                    </a:prstGeom>
                    <a:noFill/>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w:t>
      </w:r>
      <w:r>
        <w:rPr>
          <w:rFonts w:ascii="Times New Roman" w:eastAsia="Calibri" w:hAnsi="Times New Roman" w:cs="Times New Roman"/>
          <w:noProof/>
          <w:sz w:val="20"/>
          <w:szCs w:val="18"/>
          <w:lang w:val="en-IE"/>
        </w:rPr>
        <w:t>’; ‘=’ means ‘comparable’; ‘-‘ means ‘lower’.</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provides information on RTD&amp;D at regional level, with the exception of the federal energy transition fund which has an annual budget of 25 million € a</w:t>
      </w:r>
      <w:r>
        <w:rPr>
          <w:rFonts w:ascii="Times New Roman" w:hAnsi="Times New Roman" w:cs="Times New Roman"/>
          <w:noProof/>
          <w:sz w:val="24"/>
          <w:lang w:val="en-IE"/>
        </w:rPr>
        <w:t xml:space="preserve">nd covers, among others, batteries and EVs (the total budget and duration are however not detailed).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Belgian NIR contains 25 RTD&amp;D projects, which represents a significant increase compared to the 6 RTD&amp;D projects identified in the NPF. All the RTD&amp;D </w:t>
      </w:r>
      <w:r>
        <w:rPr>
          <w:rFonts w:ascii="Times New Roman" w:hAnsi="Times New Roman" w:cs="Times New Roman"/>
          <w:noProof/>
          <w:sz w:val="24"/>
          <w:lang w:val="en-IE"/>
        </w:rPr>
        <w:t>projects were in place during the implementation period, with one-third of them having expired by 2019. The vast majority of these projects target road transport. Electricity dominates the list, hydrogen is also well-represented and combinations of AFs are</w:t>
      </w:r>
      <w:r>
        <w:rPr>
          <w:rFonts w:ascii="Times New Roman" w:hAnsi="Times New Roman" w:cs="Times New Roman"/>
          <w:noProof/>
          <w:sz w:val="24"/>
          <w:lang w:val="en-IE"/>
        </w:rPr>
        <w:t xml:space="preserve"> also reported. Among the list of regional RTD&amp;D projects, the following can be highlighted:</w:t>
      </w:r>
    </w:p>
    <w:p w:rsidR="003C43BF" w:rsidRDefault="006C3212">
      <w:pPr>
        <w:pStyle w:val="ListParagraph"/>
        <w:numPr>
          <w:ilvl w:val="0"/>
          <w:numId w:val="6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Implementation of Ship Hybridisation project in Flanders, targeting hydrogen and with a total budget of ca. 6.8 million € for the period 2019-2022.</w:t>
      </w:r>
    </w:p>
    <w:p w:rsidR="003C43BF" w:rsidRDefault="006C3212">
      <w:pPr>
        <w:pStyle w:val="ListParagraph"/>
        <w:numPr>
          <w:ilvl w:val="0"/>
          <w:numId w:val="6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Hydrogen call f</w:t>
      </w:r>
      <w:r>
        <w:rPr>
          <w:rFonts w:ascii="Times New Roman" w:hAnsi="Times New Roman" w:cs="Times New Roman"/>
          <w:noProof/>
          <w:sz w:val="24"/>
          <w:lang w:val="en-IE"/>
        </w:rPr>
        <w:t>or Power-to-X projects targeting road transport in Walloon, with an indicative budget of 15 million € in 2019.</w:t>
      </w:r>
    </w:p>
    <w:p w:rsidR="003C43BF" w:rsidRDefault="006C3212">
      <w:pPr>
        <w:pStyle w:val="ListParagraph"/>
        <w:numPr>
          <w:ilvl w:val="0"/>
          <w:numId w:val="6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Green approaches towards full solid-state batteries for EVs in Brussels-Capital, with a total budget of 0.8 million € for the period 2019-2022.</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w:t>
      </w:r>
      <w:r>
        <w:rPr>
          <w:rFonts w:ascii="Times New Roman" w:hAnsi="Times New Roman" w:cs="Times New Roman"/>
          <w:noProof/>
          <w:sz w:val="24"/>
          <w:lang w:val="en-IE"/>
        </w:rPr>
        <w:t>udget information is provided for all the RTD&amp;D projects listed in the NIR, often with information on annual values. In total, the budget of these projects exceeds 55 million € for the period 2016-2022. Information on the type of funding is not always prov</w:t>
      </w:r>
      <w:r>
        <w:rPr>
          <w:rFonts w:ascii="Times New Roman" w:hAnsi="Times New Roman" w:cs="Times New Roman"/>
          <w:noProof/>
          <w:sz w:val="24"/>
          <w:lang w:val="en-IE"/>
        </w:rPr>
        <w:t>ided.</w:t>
      </w:r>
    </w:p>
    <w:p w:rsidR="003C43BF" w:rsidRDefault="003C43BF">
      <w:pPr>
        <w:spacing w:after="120" w:line="240" w:lineRule="auto"/>
        <w:jc w:val="both"/>
        <w:rPr>
          <w:rFonts w:ascii="Times New Roman" w:hAnsi="Times New Roman" w:cs="Times New Roman"/>
          <w:noProof/>
          <w:color w:val="000000" w:themeColor="text1"/>
          <w:sz w:val="24"/>
          <w:lang w:val="en-IE"/>
        </w:rPr>
      </w:pPr>
    </w:p>
    <w:p w:rsidR="003C43BF" w:rsidRDefault="006C3212">
      <w:pPr>
        <w:pStyle w:val="Heading3"/>
        <w:ind w:left="720"/>
        <w:rPr>
          <w:rFonts w:ascii="Times New Roman" w:hAnsi="Times New Roman" w:cs="Times New Roman"/>
          <w:noProof/>
          <w:sz w:val="24"/>
          <w:lang w:val="en-IE"/>
        </w:rPr>
      </w:pPr>
      <w:bookmarkStart w:id="48" w:name="_Toc55301735"/>
      <w:bookmarkStart w:id="49" w:name="_Toc56944094"/>
      <w:r>
        <w:rPr>
          <w:rFonts w:ascii="Times New Roman" w:hAnsi="Times New Roman" w:cs="Times New Roman"/>
          <w:noProof/>
          <w:sz w:val="24"/>
          <w:lang w:val="en-IE"/>
        </w:rPr>
        <w:t>Additional information on alternative fuels infrastructure developments</w:t>
      </w:r>
      <w:bookmarkEnd w:id="48"/>
      <w:bookmarkEnd w:id="49"/>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AFI developments (i.e. demand/supply) are available in the BE NIR at regional level. In addition, changes in fuel use between 2016 and 2018 are reported only for Walloon as </w:t>
      </w:r>
      <w:r>
        <w:rPr>
          <w:rFonts w:ascii="Times New Roman" w:hAnsi="Times New Roman" w:cs="Times New Roman"/>
          <w:noProof/>
          <w:sz w:val="24"/>
          <w:lang w:val="en-IE"/>
        </w:rPr>
        <w:t>follows: gasoline, diesel, electricity and CNG respectively accounted for 45.34%, 54.41%, 0.30% and 0.05% of fuel use in road transport in 2018. This can be correspondingly compared with 39.61%, 59.51%, 0.11% and 0.02% in 2016.</w:t>
      </w:r>
    </w:p>
    <w:p w:rsidR="003C43BF" w:rsidRDefault="003C43BF">
      <w:pPr>
        <w:spacing w:after="120" w:line="240" w:lineRule="auto"/>
        <w:jc w:val="both"/>
        <w:rPr>
          <w:rFonts w:ascii="Times New Roman" w:hAnsi="Times New Roman" w:cs="Times New Roman"/>
          <w:noProof/>
          <w:sz w:val="24"/>
          <w:lang w:val="en-IE"/>
        </w:rPr>
      </w:pP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50" w:name="_Toc55301736"/>
      <w:bookmarkStart w:id="51" w:name="_Toc56944095"/>
      <w:r>
        <w:rPr>
          <w:rFonts w:ascii="Times New Roman" w:hAnsi="Times New Roman" w:cs="Times New Roman"/>
          <w:noProof/>
          <w:sz w:val="24"/>
          <w:lang w:val="en-IE"/>
        </w:rPr>
        <w:t>Summary of the assessment</w:t>
      </w:r>
      <w:bookmarkEnd w:id="50"/>
      <w:bookmarkEnd w:id="51"/>
      <w:r>
        <w:rPr>
          <w:rFonts w:ascii="Times New Roman" w:hAnsi="Times New Roman" w:cs="Times New Roman"/>
          <w:noProof/>
          <w:sz w:val="24"/>
          <w:lang w:val="en-IE"/>
        </w:rPr>
        <w:tab/>
      </w:r>
    </w:p>
    <w:p w:rsidR="003C43BF" w:rsidRDefault="006C3212">
      <w:pPr>
        <w:spacing w:after="120" w:line="240" w:lineRule="auto"/>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pStyle w:val="Caption"/>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5.1.6</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Overview of the NIR assessment</w:t>
      </w:r>
    </w:p>
    <w:p w:rsidR="003C43BF" w:rsidRDefault="006C3212">
      <w:pPr>
        <w:spacing w:after="120" w:line="240" w:lineRule="auto"/>
        <w:rPr>
          <w:rFonts w:ascii="Times New Roman" w:hAnsi="Times New Roman" w:cs="Times New Roman"/>
          <w:noProof/>
          <w:sz w:val="24"/>
          <w:lang w:val="en-IE"/>
        </w:rPr>
      </w:pPr>
      <w:r>
        <w:rPr>
          <w:noProof/>
          <w:lang w:eastAsia="en-GB"/>
        </w:rPr>
        <w:drawing>
          <wp:inline distT="0" distB="0" distL="0" distR="0">
            <wp:extent cx="5729595" cy="371686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9156" cy="3723069"/>
                    </a:xfrm>
                    <a:prstGeom prst="rect">
                      <a:avLst/>
                    </a:prstGeom>
                    <a:noFill/>
                    <a:ln>
                      <a:noFill/>
                    </a:ln>
                  </pic:spPr>
                </pic:pic>
              </a:graphicData>
            </a:graphic>
          </wp:inline>
        </w:drawing>
      </w:r>
      <w:r>
        <w:rPr>
          <w:noProof/>
        </w:rPr>
        <w:t xml:space="preserve"> </w:t>
      </w:r>
    </w:p>
    <w:p w:rsidR="003C43BF" w:rsidRDefault="006C3212">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Text1"/>
        <w:tabs>
          <w:tab w:val="left" w:pos="720"/>
        </w:tabs>
        <w:spacing w:after="0" w:line="240" w:lineRule="auto"/>
        <w:ind w:left="0"/>
        <w:jc w:val="both"/>
        <w:rPr>
          <w:rFonts w:ascii="Times New Roman" w:hAnsi="Times New Roman" w:cs="Times New Roman"/>
          <w:noProof/>
          <w:sz w:val="20"/>
          <w:lang w:val="en-IE"/>
        </w:rPr>
      </w:pPr>
      <w:r>
        <w:rPr>
          <w:rFonts w:ascii="Times New Roman" w:hAnsi="Times New Roman" w:cs="Times New Roman"/>
          <w:noProof/>
          <w:sz w:val="20"/>
          <w:lang w:val="en-IE"/>
        </w:rPr>
        <w:t xml:space="preserve">(1) Value taken from the NPF; (2) Value taken from EAFO; (3) See sections 5.1.3.3.2 and 5.1.3.4.2; (4) Values not necessarily </w:t>
      </w:r>
      <w:r>
        <w:rPr>
          <w:rFonts w:ascii="Times New Roman" w:hAnsi="Times New Roman" w:cs="Times New Roman"/>
          <w:noProof/>
          <w:sz w:val="20"/>
          <w:lang w:val="en-IE"/>
        </w:rPr>
        <w:t>representative at national level.</w:t>
      </w:r>
    </w:p>
    <w:p w:rsidR="003C43BF" w:rsidRDefault="006C3212">
      <w:pPr>
        <w:pStyle w:val="Text1"/>
        <w:tabs>
          <w:tab w:val="left" w:pos="720"/>
        </w:tabs>
        <w:spacing w:after="120" w:line="240" w:lineRule="auto"/>
        <w:ind w:left="0" w:firstLine="284"/>
        <w:jc w:val="both"/>
        <w:rPr>
          <w:rFonts w:ascii="Times New Roman" w:hAnsi="Times New Roman" w:cs="Times New Roman"/>
          <w:noProof/>
          <w:color w:val="000000" w:themeColor="text1"/>
          <w:sz w:val="24"/>
          <w:lang w:val="en-IE"/>
        </w:rPr>
      </w:pPr>
      <w:r>
        <w:rPr>
          <w:rFonts w:ascii="Times New Roman" w:hAnsi="Times New Roman" w:cs="Times New Roman"/>
          <w:noProof/>
          <w:sz w:val="20"/>
          <w:lang w:val="en-IE"/>
        </w:rPr>
        <w:t xml:space="preserve">Note: The </w:t>
      </w:r>
      <w:r>
        <w:rPr>
          <w:rFonts w:ascii="Times New Roman" w:hAnsi="Times New Roman" w:cs="Times New Roman"/>
          <w:b/>
          <w:noProof/>
          <w:sz w:val="20"/>
          <w:lang w:val="en-IE"/>
        </w:rPr>
        <w:t>bold</w:t>
      </w:r>
      <w:r>
        <w:rPr>
          <w:rFonts w:ascii="Times New Roman" w:hAnsi="Times New Roman" w:cs="Times New Roman"/>
          <w:noProof/>
          <w:sz w:val="20"/>
          <w:lang w:val="en-IE"/>
        </w:rPr>
        <w:t xml:space="preserve"> values reflect the fact that the information was available for all the regions.</w:t>
      </w:r>
    </w:p>
    <w:p w:rsidR="003C43BF" w:rsidRDefault="003C43BF">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Directive stresses the need for coordinated policy frameworks and the Belgian NIR highlights Benelux cooperation (examples</w:t>
      </w:r>
      <w:r>
        <w:rPr>
          <w:rFonts w:ascii="Times New Roman" w:hAnsi="Times New Roman" w:cs="Times New Roman"/>
          <w:noProof/>
          <w:color w:val="000000" w:themeColor="text1"/>
          <w:sz w:val="24"/>
          <w:lang w:val="en-IE"/>
        </w:rPr>
        <w:t xml:space="preserve"> of this includes the Benelux Talanoa Declaration adopted in 2018, the Benelux study on freight transport and the BENEFIC project) and policy coordination within Belgium. It is thus somewhat paradoxical that the Belgian NIR does not report the relevant AFV</w:t>
      </w:r>
      <w:r>
        <w:rPr>
          <w:rFonts w:ascii="Times New Roman" w:hAnsi="Times New Roman" w:cs="Times New Roman"/>
          <w:noProof/>
          <w:color w:val="000000" w:themeColor="text1"/>
          <w:sz w:val="24"/>
          <w:lang w:val="en-IE"/>
        </w:rPr>
        <w:t xml:space="preserve"> estimates and AFI targets at Member State level (Table 3 of the NIR provides figures only for 2019, of limited usefulness both as historical data and as future targets/estimates). As a result, the lack of aggregated input data has seriously jeopardised th</w:t>
      </w:r>
      <w:r>
        <w:rPr>
          <w:rFonts w:ascii="Times New Roman" w:hAnsi="Times New Roman" w:cs="Times New Roman"/>
          <w:noProof/>
          <w:color w:val="000000" w:themeColor="text1"/>
          <w:sz w:val="24"/>
          <w:lang w:val="en-IE"/>
        </w:rPr>
        <w:t>e assessment of the Belgian NIR. According to the NIR, “</w:t>
      </w:r>
      <w:r>
        <w:rPr>
          <w:rFonts w:ascii="Times New Roman" w:hAnsi="Times New Roman" w:cs="Times New Roman"/>
          <w:i/>
          <w:noProof/>
          <w:color w:val="000000" w:themeColor="text1"/>
          <w:sz w:val="24"/>
          <w:lang w:val="en-IE"/>
        </w:rPr>
        <w:t>the implementation of alternative fuels infrastructure is a regional competence</w:t>
      </w:r>
      <w:r>
        <w:rPr>
          <w:rFonts w:ascii="Times New Roman" w:hAnsi="Times New Roman" w:cs="Times New Roman"/>
          <w:noProof/>
          <w:color w:val="000000" w:themeColor="text1"/>
          <w:sz w:val="24"/>
          <w:lang w:val="en-IE"/>
        </w:rPr>
        <w:t xml:space="preserve">”. However, by not aggregating the regional values reported in the NIR, the Belgian government delivered an inconsistent </w:t>
      </w:r>
      <w:r>
        <w:rPr>
          <w:rFonts w:ascii="Times New Roman" w:hAnsi="Times New Roman" w:cs="Times New Roman"/>
          <w:noProof/>
          <w:color w:val="000000" w:themeColor="text1"/>
          <w:sz w:val="24"/>
          <w:lang w:val="en-IE"/>
        </w:rPr>
        <w:t>NIR and placed the burden of aggregation (and the assumptions that underpin such process) onto the Commission. The Belgian government is strongly encouraged to improve on this</w:t>
      </w:r>
      <w:r>
        <w:rPr>
          <w:rFonts w:ascii="Times New Roman" w:hAnsi="Times New Roman" w:cs="Times New Roman"/>
          <w:noProof/>
          <w:sz w:val="24"/>
          <w:lang w:val="en-IE"/>
        </w:rPr>
        <w:t xml:space="preserve"> by notifying to the Commission </w:t>
      </w:r>
      <w:r>
        <w:rPr>
          <w:rFonts w:ascii="Times New Roman" w:hAnsi="Times New Roman" w:cs="Times New Roman"/>
          <w:noProof/>
          <w:color w:val="000000" w:themeColor="text1"/>
          <w:sz w:val="24"/>
          <w:lang w:val="en-IE"/>
        </w:rPr>
        <w:t>in future implementation reports</w:t>
      </w:r>
      <w:r>
        <w:rPr>
          <w:rFonts w:ascii="Times New Roman" w:hAnsi="Times New Roman" w:cs="Times New Roman"/>
          <w:noProof/>
          <w:sz w:val="24"/>
          <w:lang w:val="en-IE"/>
        </w:rPr>
        <w:t xml:space="preserve"> the information </w:t>
      </w:r>
      <w:r>
        <w:rPr>
          <w:rFonts w:ascii="Times New Roman" w:hAnsi="Times New Roman" w:cs="Times New Roman"/>
          <w:noProof/>
          <w:sz w:val="24"/>
          <w:lang w:val="en-IE"/>
        </w:rPr>
        <w:t>required in the Directive</w:t>
      </w:r>
      <w:r>
        <w:rPr>
          <w:rFonts w:ascii="Times New Roman" w:hAnsi="Times New Roman" w:cs="Times New Roman"/>
          <w:noProof/>
          <w:color w:val="000000" w:themeColor="text1"/>
          <w:sz w:val="24"/>
          <w:lang w:val="en-IE"/>
        </w:rPr>
        <w:t xml:space="preserve"> in an aggregated manner (i.e. at Member State level). </w:t>
      </w: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 clear statement of commitment to alternative fuels deployment in transport is found in the NIR for one region: “</w:t>
      </w:r>
      <w:r>
        <w:rPr>
          <w:rFonts w:ascii="Times New Roman" w:hAnsi="Times New Roman" w:cs="Times New Roman"/>
          <w:i/>
          <w:noProof/>
          <w:color w:val="000000" w:themeColor="text1"/>
          <w:sz w:val="24"/>
          <w:lang w:val="en-IE"/>
        </w:rPr>
        <w:t>the Flemish Region remains firmly committed to alternative fu</w:t>
      </w:r>
      <w:r>
        <w:rPr>
          <w:rFonts w:ascii="Times New Roman" w:hAnsi="Times New Roman" w:cs="Times New Roman"/>
          <w:i/>
          <w:noProof/>
          <w:color w:val="000000" w:themeColor="text1"/>
          <w:sz w:val="24"/>
          <w:lang w:val="en-IE"/>
        </w:rPr>
        <w:t>els for transport</w:t>
      </w:r>
      <w:r>
        <w:rPr>
          <w:rFonts w:ascii="Times New Roman" w:hAnsi="Times New Roman" w:cs="Times New Roman"/>
          <w:noProof/>
          <w:color w:val="000000" w:themeColor="text1"/>
          <w:sz w:val="24"/>
          <w:lang w:val="en-IE"/>
        </w:rPr>
        <w:t>”. Interoperability of recharging infrastructure is also mentioned as an important criterion in one of the reported measures (a map of recharging stations in Flanders was also included in the NIR). In the case of Walloon, infrastructure ta</w:t>
      </w:r>
      <w:r>
        <w:rPr>
          <w:rFonts w:ascii="Times New Roman" w:hAnsi="Times New Roman" w:cs="Times New Roman"/>
          <w:noProof/>
          <w:color w:val="000000" w:themeColor="text1"/>
          <w:sz w:val="24"/>
          <w:lang w:val="en-IE"/>
        </w:rPr>
        <w:t>rgets for publicly accessible LNG and hydrogen refuelling points are provided. Brussels-Capital continues to support alternative fuels in public transport.</w:t>
      </w:r>
    </w:p>
    <w:p w:rsidR="003C43BF" w:rsidRDefault="006C3212">
      <w:pPr>
        <w:tabs>
          <w:tab w:val="left" w:pos="966"/>
        </w:tabs>
        <w:jc w:val="both"/>
        <w:rPr>
          <w:rFonts w:ascii="Times New Roman" w:hAnsi="Times New Roman" w:cs="Times New Roman"/>
          <w:noProof/>
          <w:color w:val="000000" w:themeColor="text1"/>
          <w:sz w:val="24"/>
          <w:highlight w:val="yellow"/>
          <w:lang w:val="en-IE"/>
        </w:rPr>
      </w:pPr>
      <w:r>
        <w:rPr>
          <w:rFonts w:ascii="Times New Roman" w:hAnsi="Times New Roman" w:cs="Times New Roman"/>
          <w:noProof/>
          <w:sz w:val="24"/>
          <w:lang w:val="en-IE"/>
        </w:rPr>
        <w:t>Compared to the Belgian NPF that fulfilled all of the requirements of Article 3 of the Directive, th</w:t>
      </w:r>
      <w:r>
        <w:rPr>
          <w:rFonts w:ascii="Times New Roman" w:hAnsi="Times New Roman" w:cs="Times New Roman"/>
          <w:noProof/>
          <w:sz w:val="24"/>
          <w:lang w:val="en-IE"/>
        </w:rPr>
        <w:t>e NIR addresses almost all the requirements of Annex I of the Directive. However, it cannot be stated that the Belgian NIR covers the whole AFID period (2016-2030), for it lacks infrastructure targets and vehicle estimates at Member State level for several</w:t>
      </w:r>
      <w:r>
        <w:rPr>
          <w:rFonts w:ascii="Times New Roman" w:hAnsi="Times New Roman" w:cs="Times New Roman"/>
          <w:noProof/>
          <w:sz w:val="24"/>
          <w:lang w:val="en-IE"/>
        </w:rPr>
        <w:t xml:space="preserve"> years.</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Belgian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Text1"/>
        <w:numPr>
          <w:ilvl w:val="0"/>
          <w:numId w:val="55"/>
        </w:numPr>
        <w:tabs>
          <w:tab w:val="left" w:pos="720"/>
        </w:tabs>
        <w:spacing w:after="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It is estimated that Belgium recorded around 43,599 battery-electric and plug-in hybrid electric vehicles in use in 2018, of which 43,181 were passenger cars (75% were plug-in hybrids). The NIR reports an estimated value of 1,446,286 EVs in 2030. Specif</w:t>
      </w:r>
      <w:r>
        <w:rPr>
          <w:rFonts w:ascii="Times New Roman" w:hAnsi="Times New Roman" w:cs="Times New Roman"/>
          <w:noProof/>
          <w:sz w:val="24"/>
          <w:lang w:val="en-IE"/>
        </w:rPr>
        <w:t xml:space="preserve">ic data on the heavy-duty sector were not available. With reference to the objectives of the BE NPF as updated by the NIR, Belgium is progressing adequately. Concerning infrastructure, it is estimated that Belgium recorded around 3,530 publicly accessible </w:t>
      </w:r>
      <w:r>
        <w:rPr>
          <w:rFonts w:ascii="Times New Roman" w:hAnsi="Times New Roman" w:cs="Times New Roman"/>
          <w:noProof/>
          <w:sz w:val="24"/>
          <w:lang w:val="en-IE"/>
        </w:rPr>
        <w:t xml:space="preserve">recharging points in 2018. The NIR reports a target of 94,500 points in 2030. The 2018 progress is adequate also in this case, as the sufficiency index for the whole next decade. </w:t>
      </w:r>
    </w:p>
    <w:p w:rsidR="003C43BF" w:rsidRDefault="006C3212">
      <w:pPr>
        <w:pStyle w:val="ListParagraph"/>
        <w:numPr>
          <w:ilvl w:val="0"/>
          <w:numId w:val="54"/>
        </w:numPr>
        <w:tabs>
          <w:tab w:val="left" w:pos="966"/>
        </w:tabs>
        <w:spacing w:after="24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It is estimated that Belgium recorded around 11,721 CNG vehicles in us</w:t>
      </w:r>
      <w:r>
        <w:rPr>
          <w:rFonts w:ascii="Times New Roman" w:hAnsi="Times New Roman" w:cs="Times New Roman"/>
          <w:noProof/>
          <w:sz w:val="24"/>
          <w:lang w:val="en-IE"/>
        </w:rPr>
        <w:t>e in 2018, of which 11,184 were passenger cars. The NIR reports an estimated value of 644,393 CNG vehicles in 2030. Also in this case it was not possible to extract specific information on the heavy-duty sector. The 2018 progress is adequate. It is estimat</w:t>
      </w:r>
      <w:r>
        <w:rPr>
          <w:rFonts w:ascii="Times New Roman" w:hAnsi="Times New Roman" w:cs="Times New Roman"/>
          <w:noProof/>
          <w:sz w:val="24"/>
          <w:lang w:val="en-IE"/>
        </w:rPr>
        <w:t xml:space="preserve">ed that Belgium recorded in 2018 around 126 publicly accessible CNG refuelling points. The NIR reports a target of 593 points in 2030. Belgium is progressing adequately also concerning the infrastructure uptake, however it has to be signalled a quite high </w:t>
      </w:r>
      <w:r>
        <w:rPr>
          <w:rFonts w:ascii="Times New Roman" w:hAnsi="Times New Roman" w:cs="Times New Roman"/>
          <w:noProof/>
          <w:sz w:val="24"/>
          <w:lang w:val="en-IE"/>
        </w:rPr>
        <w:t xml:space="preserve">sufficiency index (i.e. potentially inadequate) in 2030. </w:t>
      </w:r>
    </w:p>
    <w:p w:rsidR="003C43BF" w:rsidRDefault="006C3212">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NIR does not report federal level data on LNG vehicles. Both the NPF and NIR lacked future LNG vehicle estimates. The BE NIR also lacks information on public LNG refuelling points. EAFO pr</w:t>
      </w:r>
      <w:r>
        <w:rPr>
          <w:rFonts w:ascii="Times New Roman" w:hAnsi="Times New Roman" w:cs="Times New Roman"/>
          <w:noProof/>
          <w:sz w:val="24"/>
          <w:lang w:val="en-IE"/>
        </w:rPr>
        <w:t>ovides a value of four refuelling points in 2018. The expected number of publicly accessible LNG refuelling points in 2030 is at least 25.</w:t>
      </w:r>
    </w:p>
    <w:p w:rsidR="003C43BF" w:rsidRDefault="006C3212">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It is estimated that Belgium recorded around 27 hydrogen vehicles in use in 2018 (all of them being passen</w:t>
      </w:r>
      <w:r>
        <w:rPr>
          <w:rFonts w:ascii="Times New Roman" w:hAnsi="Times New Roman" w:cs="Times New Roman"/>
          <w:noProof/>
          <w:sz w:val="24"/>
          <w:lang w:val="en-IE"/>
        </w:rPr>
        <w:t>ger cars) and 2 publicly accessible hydrogen refuelling points in 2019. The NPF lacked future estimates but the NIR indicates at least 23,719 vehicles in 2030. The expected number of publicly accessible hydrogen refuelling points in 2030 is at least 20.</w:t>
      </w:r>
    </w:p>
    <w:p w:rsidR="003C43BF" w:rsidRDefault="006C3212">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color w:val="000000" w:themeColor="text1"/>
          <w:sz w:val="24"/>
          <w:lang w:val="en-IE"/>
        </w:rPr>
        <w:t>Bi</w:t>
      </w:r>
      <w:r>
        <w:rPr>
          <w:rFonts w:ascii="Times New Roman" w:hAnsi="Times New Roman" w:cs="Times New Roman"/>
          <w:b/>
          <w:noProof/>
          <w:color w:val="000000" w:themeColor="text1"/>
          <w:sz w:val="24"/>
          <w:lang w:val="en-IE"/>
        </w:rPr>
        <w:t>ofuels</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 Information is not available in the NIR.</w:t>
      </w:r>
    </w:p>
    <w:p w:rsidR="003C43BF" w:rsidRDefault="006C3212">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LPG plays a minor role in the NIR.</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number of electric railway vehicles in use in Belgium is expected to slightly decrease from 1,036 locomotives in 2018 to 950 in 2030</w:t>
      </w:r>
      <w:r>
        <w:rPr>
          <w:rFonts w:ascii="Times New Roman" w:hAnsi="Times New Roman" w:cs="Times New Roman"/>
          <w:noProof/>
          <w:sz w:val="24"/>
          <w:lang w:val="en-IE"/>
        </w:rPr>
        <w:t xml:space="preserve">. </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Hydrogen </w:t>
      </w:r>
      <w:r>
        <w:rPr>
          <w:rFonts w:ascii="Times New Roman" w:hAnsi="Times New Roman" w:cs="Times New Roman"/>
          <w:noProof/>
          <w:sz w:val="24"/>
          <w:lang w:val="en-IE"/>
        </w:rPr>
        <w:t>– The deployment of locomotives powered by hydrogen is currently not a priority.</w:t>
      </w:r>
    </w:p>
    <w:p w:rsidR="003C43BF" w:rsidRDefault="003C43BF">
      <w:pPr>
        <w:tabs>
          <w:tab w:val="left" w:pos="966"/>
        </w:tabs>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While no vessel estimates were found, the NIR expects shore-side electricity supply in maritime ports to increase fr</w:t>
      </w:r>
      <w:r>
        <w:rPr>
          <w:rFonts w:ascii="Times New Roman" w:hAnsi="Times New Roman" w:cs="Times New Roman"/>
          <w:noProof/>
          <w:sz w:val="24"/>
          <w:lang w:val="en-IE"/>
        </w:rPr>
        <w:t>om 11 units in 2019 to 13 in 2020. In contrast to the NPF, the NIR does not report 2025 and 2030 targets for shore-side electricity supply in maritime ports.</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NIR signals future deployment of LNG maritime vessels. As of July 2019, Belgium recorded</w:t>
      </w:r>
      <w:r>
        <w:rPr>
          <w:rFonts w:ascii="Times New Roman" w:hAnsi="Times New Roman" w:cs="Times New Roman"/>
          <w:noProof/>
          <w:sz w:val="24"/>
          <w:lang w:val="en-IE"/>
        </w:rPr>
        <w:t xml:space="preserve"> availability of LNG in five maritime ports, a value that exceeds the future targets (not reported in the NIR) indicated in the NPF.</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While no vessel estimates were found, the NIR expects shore-side electricity su</w:t>
      </w:r>
      <w:r>
        <w:rPr>
          <w:rFonts w:ascii="Times New Roman" w:hAnsi="Times New Roman" w:cs="Times New Roman"/>
          <w:noProof/>
          <w:sz w:val="24"/>
          <w:lang w:val="en-IE"/>
        </w:rPr>
        <w:t>pply in inland ports to increase from 327 units in 2016 to 516 in 2020 and 606 in 2025. Both the NPF and NIR lacked 2030 targets.</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While no vessel estimates were found, LNG was available in two inland ports in 2019. No federal level targets are provid</w:t>
      </w:r>
      <w:r>
        <w:rPr>
          <w:rFonts w:ascii="Times New Roman" w:hAnsi="Times New Roman" w:cs="Times New Roman"/>
          <w:noProof/>
          <w:sz w:val="24"/>
          <w:lang w:val="en-IE"/>
        </w:rPr>
        <w:t>ed in the NIR. As a reference, the NPF had indicated targets of two points in 2020 and three points in 2030.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tabs>
          <w:tab w:val="left" w:pos="966"/>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on alternative fuels related to air transport is very scarce in the NIR (see Section 5.1.3.5).</w:t>
      </w:r>
    </w:p>
    <w:p w:rsidR="003C43BF" w:rsidRDefault="006C3212">
      <w:pPr>
        <w:pStyle w:val="Text1"/>
        <w:tabs>
          <w:tab w:val="left" w:pos="720"/>
        </w:tabs>
        <w:spacing w:after="120"/>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Concerning the </w:t>
      </w:r>
      <w:r>
        <w:rPr>
          <w:rFonts w:ascii="Times New Roman" w:hAnsi="Times New Roman" w:cs="Times New Roman"/>
          <w:b/>
          <w:noProof/>
          <w:color w:val="000000" w:themeColor="text1"/>
          <w:sz w:val="24"/>
          <w:lang w:val="en-IE"/>
        </w:rPr>
        <w:t>measures</w:t>
      </w:r>
      <w:r>
        <w:rPr>
          <w:rFonts w:ascii="Times New Roman" w:hAnsi="Times New Roman" w:cs="Times New Roman"/>
          <w:noProof/>
          <w:color w:val="000000" w:themeColor="text1"/>
          <w:sz w:val="24"/>
          <w:lang w:val="en-IE"/>
        </w:rPr>
        <w:t xml:space="preserve">, </w:t>
      </w:r>
      <w:r>
        <w:rPr>
          <w:rFonts w:ascii="Times New Roman" w:hAnsi="Times New Roman" w:cs="Times New Roman"/>
          <w:noProof/>
          <w:color w:val="000000" w:themeColor="text1"/>
          <w:sz w:val="24"/>
          <w:lang w:val="en-IE"/>
        </w:rPr>
        <w:t>the Belgian NIR reports a long list of mainly regional measures. As in the NPF, the Belgian government continues to put a lot of emphasis on electric cars. Contrariwise, biofuels, LPG and synthetic and paraffinic fuels receive virtually no support. Between</w:t>
      </w:r>
      <w:r>
        <w:rPr>
          <w:rFonts w:ascii="Times New Roman" w:hAnsi="Times New Roman" w:cs="Times New Roman"/>
          <w:noProof/>
          <w:color w:val="000000" w:themeColor="text1"/>
          <w:sz w:val="24"/>
          <w:lang w:val="en-IE"/>
        </w:rPr>
        <w:t xml:space="preserve"> these two extremes lie various clusters of AFs for road and waterborne transport. Measures to support greater AF use in the Belgian railways and aviation sector are not reported</w:t>
      </w:r>
      <w:r>
        <w:rPr>
          <w:rFonts w:ascii="Times New Roman" w:hAnsi="Times New Roman" w:cs="Times New Roman"/>
          <w:noProof/>
          <w:sz w:val="24"/>
          <w:lang w:val="en-IE"/>
        </w:rPr>
        <w:t>. Considering all the legal measures, they appear to be fit to support the rea</w:t>
      </w:r>
      <w:r>
        <w:rPr>
          <w:rFonts w:ascii="Times New Roman" w:hAnsi="Times New Roman" w:cs="Times New Roman"/>
          <w:noProof/>
          <w:sz w:val="24"/>
          <w:lang w:val="en-IE"/>
        </w:rPr>
        <w:t xml:space="preserve">lisation of the AFV/AFI objectives as described in the NPF and revised in the NIR, provided that the ones not yet in place are fully implemented. </w:t>
      </w:r>
      <w:r>
        <w:rPr>
          <w:rFonts w:ascii="Times New Roman" w:hAnsi="Times New Roman" w:cs="Times New Roman"/>
          <w:noProof/>
          <w:color w:val="000000" w:themeColor="text1"/>
          <w:sz w:val="24"/>
          <w:lang w:val="en-IE"/>
        </w:rPr>
        <w:t>Concerning the Policy and Deployment &amp; Manufacturing measures, in none of the identified clusters is the score high (this might in part be due to the regional nature of most of the reported measures, which might prevent the exploitation of synergies for ce</w:t>
      </w:r>
      <w:r>
        <w:rPr>
          <w:rFonts w:ascii="Times New Roman" w:hAnsi="Times New Roman" w:cs="Times New Roman"/>
          <w:noProof/>
          <w:color w:val="000000" w:themeColor="text1"/>
          <w:sz w:val="24"/>
          <w:lang w:val="en-IE"/>
        </w:rPr>
        <w:t xml:space="preserve">rtain clusters) and only the electricity/road pair results comprehensive. </w:t>
      </w:r>
      <w:r>
        <w:rPr>
          <w:rFonts w:ascii="Times New Roman" w:hAnsi="Times New Roman" w:cs="Times New Roman"/>
          <w:noProof/>
          <w:sz w:val="24"/>
          <w:lang w:val="en-IE"/>
        </w:rPr>
        <w:t>In terms of expected impact of these measures to support the realisation of the AFV/AFI objectives as presented in the NPF and revised in the NIR, the partial or total lack of future</w:t>
      </w:r>
      <w:r>
        <w:rPr>
          <w:rFonts w:ascii="Times New Roman" w:hAnsi="Times New Roman" w:cs="Times New Roman"/>
          <w:noProof/>
          <w:sz w:val="24"/>
          <w:lang w:val="en-IE"/>
        </w:rPr>
        <w:t xml:space="preserve"> targets and estimates and the regional nature of most of the measures does not allow a proper assessment. With this caveat, using the available information and applying the same criteria used for the other NIR assessments, it can be suggested that the mea</w:t>
      </w:r>
      <w:r>
        <w:rPr>
          <w:rFonts w:ascii="Times New Roman" w:hAnsi="Times New Roman" w:cs="Times New Roman"/>
          <w:noProof/>
          <w:sz w:val="24"/>
          <w:lang w:val="en-IE"/>
        </w:rPr>
        <w:t>sures for the pair electricity/road might have a medium impact, while all the others appear to have a low impact.</w:t>
      </w:r>
    </w:p>
    <w:p w:rsidR="003C43BF" w:rsidRDefault="006C3212">
      <w:pPr>
        <w:pStyle w:val="Text1"/>
        <w:tabs>
          <w:tab w:val="left" w:pos="720"/>
        </w:tabs>
        <w:spacing w:after="120"/>
        <w:ind w:left="0"/>
        <w:jc w:val="both"/>
        <w:rPr>
          <w:rFonts w:ascii="Times New Roman" w:hAnsi="Times New Roman" w:cs="Times New Roman"/>
          <w:iCs/>
          <w:noProof/>
          <w:sz w:val="24"/>
          <w:lang w:val="en-IE"/>
        </w:rPr>
      </w:pPr>
      <w:r>
        <w:rPr>
          <w:rFonts w:ascii="Times New Roman" w:hAnsi="Times New Roman" w:cs="Times New Roman"/>
          <w:iCs/>
          <w:noProof/>
          <w:sz w:val="24"/>
          <w:lang w:val="en-IE"/>
        </w:rPr>
        <w:t>On the basis of the available information, it can be considered that, compared to the NPF, the level of ambition for RTD&amp;D projects in the NIR</w:t>
      </w:r>
      <w:r>
        <w:rPr>
          <w:rFonts w:ascii="Times New Roman" w:hAnsi="Times New Roman" w:cs="Times New Roman"/>
          <w:iCs/>
          <w:noProof/>
          <w:sz w:val="24"/>
          <w:lang w:val="en-IE"/>
        </w:rPr>
        <w:t xml:space="preserve"> has increased for most of the clusters. </w:t>
      </w:r>
    </w:p>
    <w:p w:rsidR="003C43BF" w:rsidRDefault="003C43BF">
      <w:pPr>
        <w:pStyle w:val="Text1"/>
        <w:tabs>
          <w:tab w:val="left" w:pos="720"/>
        </w:tabs>
        <w:spacing w:after="120"/>
        <w:ind w:left="0"/>
        <w:jc w:val="both"/>
        <w:rPr>
          <w:rFonts w:ascii="Times New Roman" w:hAnsi="Times New Roman" w:cs="Times New Roman"/>
          <w:iCs/>
          <w:noProof/>
          <w:sz w:val="24"/>
          <w:lang w:val="en-IE"/>
        </w:rPr>
      </w:pPr>
    </w:p>
    <w:p w:rsidR="003C43BF" w:rsidRDefault="006C3212">
      <w:pPr>
        <w:pStyle w:val="Heading3"/>
        <w:rPr>
          <w:rFonts w:ascii="Times New Roman" w:hAnsi="Times New Roman" w:cs="Times New Roman"/>
          <w:noProof/>
          <w:sz w:val="24"/>
          <w:lang w:val="en-IE"/>
        </w:rPr>
      </w:pPr>
      <w:bookmarkStart w:id="52" w:name="_Toc56944096"/>
      <w:r>
        <w:rPr>
          <w:rFonts w:ascii="Times New Roman" w:hAnsi="Times New Roman" w:cs="Times New Roman"/>
          <w:noProof/>
          <w:sz w:val="24"/>
          <w:lang w:val="en-IE"/>
        </w:rPr>
        <w:t>Final remarks</w:t>
      </w:r>
      <w:bookmarkEnd w:id="52"/>
    </w:p>
    <w:p w:rsidR="003C43BF" w:rsidRDefault="006C3212">
      <w:pPr>
        <w:jc w:val="both"/>
        <w:rPr>
          <w:rFonts w:ascii="Times New Roman" w:hAnsi="Times New Roman" w:cs="Times New Roman"/>
          <w:noProof/>
          <w:color w:val="222222"/>
          <w:sz w:val="24"/>
          <w:lang w:val="en-IE"/>
        </w:rPr>
      </w:pPr>
      <w:r>
        <w:rPr>
          <w:rFonts w:ascii="Times New Roman" w:hAnsi="Times New Roman" w:cs="Times New Roman"/>
          <w:noProof/>
          <w:color w:val="222222"/>
          <w:sz w:val="24"/>
          <w:lang w:val="en-IE"/>
        </w:rPr>
        <w:t>The Belgium NIR is generally in line with the provisions of Annex I to that Directive with the main exception that the NIR does not include estimates for future numbers of LNG vehicles and vessels an</w:t>
      </w:r>
      <w:r>
        <w:rPr>
          <w:rFonts w:ascii="Times New Roman" w:hAnsi="Times New Roman" w:cs="Times New Roman"/>
          <w:noProof/>
          <w:color w:val="222222"/>
          <w:sz w:val="24"/>
          <w:lang w:val="en-IE"/>
        </w:rPr>
        <w:t>d related targets for LNG infrastructures for inland and maritime transport. The NIR estimates that a significant number of inland and maritime ports are already equipped with shore-side electricity supply facilities. A significant number of measures are b</w:t>
      </w:r>
      <w:r>
        <w:rPr>
          <w:rFonts w:ascii="Times New Roman" w:hAnsi="Times New Roman" w:cs="Times New Roman"/>
          <w:noProof/>
          <w:color w:val="222222"/>
          <w:sz w:val="24"/>
          <w:lang w:val="en-IE"/>
        </w:rPr>
        <w:t>eing implemented to promote alternative fuels at federal and regional level, but with a special focus on electro-mobility and CNG for road transport. The Belgium NIR consists of three regional reports on the efforts to implement the Directive, however, acc</w:t>
      </w:r>
      <w:r>
        <w:rPr>
          <w:rFonts w:ascii="Times New Roman" w:hAnsi="Times New Roman" w:cs="Times New Roman"/>
          <w:noProof/>
          <w:color w:val="222222"/>
          <w:sz w:val="24"/>
          <w:lang w:val="en-IE"/>
        </w:rPr>
        <w:t xml:space="preserve">essibility of data of future reporting will improve by aggregation of data in one overall NIR. </w:t>
      </w:r>
    </w:p>
    <w:p w:rsidR="003C43BF" w:rsidRDefault="006C3212">
      <w:pPr>
        <w:jc w:val="both"/>
        <w:rPr>
          <w:rFonts w:ascii="Times New Roman" w:hAnsi="Times New Roman" w:cs="Times New Roman"/>
          <w:noProof/>
          <w:color w:val="222222"/>
          <w:sz w:val="24"/>
          <w:lang w:val="en-IE"/>
        </w:rPr>
      </w:pPr>
      <w:r>
        <w:rPr>
          <w:rFonts w:ascii="Times New Roman" w:hAnsi="Times New Roman" w:cs="Times New Roman"/>
          <w:noProof/>
          <w:color w:val="222222"/>
          <w:sz w:val="24"/>
          <w:lang w:val="en-IE"/>
        </w:rPr>
        <w:t>With regard to electricity, the NIR plans for approximately 1.5 million electric vehicles on the roads by 2030, representing about 19% of the fleet at that poin</w:t>
      </w:r>
      <w:r>
        <w:rPr>
          <w:rFonts w:ascii="Times New Roman" w:hAnsi="Times New Roman" w:cs="Times New Roman"/>
          <w:noProof/>
          <w:color w:val="222222"/>
          <w:sz w:val="24"/>
          <w:lang w:val="en-IE"/>
        </w:rPr>
        <w:t>t in time as well as 35,400 recharging points by 2025 and 94,500 recharging points by 2030. Taking into account the current situation and expected trends, this level of ambition appears to be broadly consistent with the pace of deployment of electric vehic</w:t>
      </w:r>
      <w:r>
        <w:rPr>
          <w:rFonts w:ascii="Times New Roman" w:hAnsi="Times New Roman" w:cs="Times New Roman"/>
          <w:noProof/>
          <w:color w:val="222222"/>
          <w:sz w:val="24"/>
          <w:lang w:val="en-IE"/>
        </w:rPr>
        <w:t>les that is considered necessary for the transition to carbon neutrality by 2050. The only information provided on charging efficiency relates to a project on data collection methodology. The number of shore-side electricity supply facilities in inland por</w:t>
      </w:r>
      <w:r>
        <w:rPr>
          <w:rFonts w:ascii="Times New Roman" w:hAnsi="Times New Roman" w:cs="Times New Roman"/>
          <w:noProof/>
          <w:color w:val="222222"/>
          <w:sz w:val="24"/>
          <w:lang w:val="en-IE"/>
        </w:rPr>
        <w:t>ts is expected to rise to 516 by end of 2020 and to 606 by 2025. There were 11 shore-side electricity supply facilities in maritime ports in 2018. This figure will increase to 13 in 2020. Only limited information is provided on electricity supply for stati</w:t>
      </w:r>
      <w:r>
        <w:rPr>
          <w:rFonts w:ascii="Times New Roman" w:hAnsi="Times New Roman" w:cs="Times New Roman"/>
          <w:noProof/>
          <w:color w:val="222222"/>
          <w:sz w:val="24"/>
          <w:lang w:val="en-IE"/>
        </w:rPr>
        <w:t>onary aircraft. More information should be provided for the further development of electricity supply for stationary aircraft in the two Belgian airports in the TEN-T Core Network as well regards the further electrification of the rail network.</w:t>
      </w:r>
    </w:p>
    <w:p w:rsidR="003C43BF" w:rsidRDefault="006C3212">
      <w:pPr>
        <w:jc w:val="both"/>
        <w:rPr>
          <w:rFonts w:ascii="Times New Roman" w:hAnsi="Times New Roman" w:cs="Times New Roman"/>
          <w:noProof/>
          <w:color w:val="222222"/>
          <w:sz w:val="24"/>
          <w:lang w:val="en-IE"/>
        </w:rPr>
      </w:pPr>
      <w:r>
        <w:rPr>
          <w:rFonts w:ascii="Times New Roman" w:hAnsi="Times New Roman" w:cs="Times New Roman"/>
          <w:noProof/>
          <w:color w:val="222222"/>
          <w:sz w:val="24"/>
          <w:lang w:val="en-IE"/>
        </w:rPr>
        <w:t>Regarding h</w:t>
      </w:r>
      <w:r>
        <w:rPr>
          <w:rFonts w:ascii="Times New Roman" w:hAnsi="Times New Roman" w:cs="Times New Roman"/>
          <w:noProof/>
          <w:color w:val="222222"/>
          <w:sz w:val="24"/>
          <w:lang w:val="en-IE"/>
        </w:rPr>
        <w:t>ydrogen for transport, the NIR estimates around 24,000 FCHVs by 2030. However, no targets are provided for H2 infrastructure. Further information on both light- and heavy-duty vehicles and related infrastructure developments should be provided in future re</w:t>
      </w:r>
      <w:r>
        <w:rPr>
          <w:rFonts w:ascii="Times New Roman" w:hAnsi="Times New Roman" w:cs="Times New Roman"/>
          <w:noProof/>
          <w:color w:val="222222"/>
          <w:sz w:val="24"/>
          <w:lang w:val="en-IE"/>
        </w:rPr>
        <w:t xml:space="preserve">porting. </w:t>
      </w:r>
    </w:p>
    <w:p w:rsidR="003C43BF" w:rsidRDefault="006C3212">
      <w:pPr>
        <w:jc w:val="both"/>
        <w:rPr>
          <w:rFonts w:ascii="Times New Roman" w:hAnsi="Times New Roman" w:cs="Times New Roman"/>
          <w:noProof/>
          <w:color w:val="222222"/>
          <w:sz w:val="24"/>
          <w:lang w:val="en-IE"/>
        </w:rPr>
      </w:pPr>
      <w:r>
        <w:rPr>
          <w:rFonts w:ascii="Times New Roman" w:hAnsi="Times New Roman" w:cs="Times New Roman"/>
          <w:noProof/>
          <w:color w:val="222222"/>
          <w:sz w:val="24"/>
          <w:lang w:val="en-IE"/>
        </w:rPr>
        <w:t>In terms of natural gas for road transport, the Belgium vehicle fleet comprised about 11,700 CNG vehicles, which were served by 126 refuelling points in 2018. The NIR presents a target of 644,393 CNG vehicles and 593 CNG refuelling points until 2</w:t>
      </w:r>
      <w:r>
        <w:rPr>
          <w:rFonts w:ascii="Times New Roman" w:hAnsi="Times New Roman" w:cs="Times New Roman"/>
          <w:noProof/>
          <w:color w:val="222222"/>
          <w:sz w:val="24"/>
          <w:lang w:val="en-IE"/>
        </w:rPr>
        <w:t xml:space="preserve">030. The NIR does not provide estimates of the future growth of LNG vehicles and vessels nor for LNG infrastructures for inland and maritime ports by 2025 and 2030. The NIR only provides the target of 25 refuelling points for LNG vehicles by 2030, whereas </w:t>
      </w:r>
      <w:r>
        <w:rPr>
          <w:rFonts w:ascii="Times New Roman" w:hAnsi="Times New Roman" w:cs="Times New Roman"/>
          <w:noProof/>
          <w:color w:val="222222"/>
          <w:sz w:val="24"/>
          <w:lang w:val="en-IE"/>
        </w:rPr>
        <w:t>no targets are reported for 2025.</w:t>
      </w:r>
    </w:p>
    <w:p w:rsidR="003C43BF" w:rsidRDefault="006C3212">
      <w:pPr>
        <w:jc w:val="both"/>
        <w:rPr>
          <w:rFonts w:ascii="Times New Roman" w:hAnsi="Times New Roman" w:cs="Times New Roman"/>
          <w:noProof/>
          <w:color w:val="222222"/>
          <w:sz w:val="24"/>
          <w:lang w:val="en-IE"/>
        </w:rPr>
      </w:pPr>
      <w:r>
        <w:rPr>
          <w:rFonts w:ascii="Times New Roman" w:hAnsi="Times New Roman" w:cs="Times New Roman"/>
          <w:noProof/>
          <w:color w:val="222222"/>
          <w:sz w:val="24"/>
          <w:lang w:val="en-IE"/>
        </w:rPr>
        <w:t>Information is not available on the LPG vehicles and infrastructure in the NIR.</w:t>
      </w:r>
    </w:p>
    <w:p w:rsidR="003C43BF" w:rsidRDefault="006C3212">
      <w:pPr>
        <w:spacing w:after="200"/>
        <w:jc w:val="both"/>
        <w:rPr>
          <w:rFonts w:ascii="Times New Roman" w:hAnsi="Times New Roman" w:cs="Times New Roman"/>
          <w:noProof/>
          <w:color w:val="222222"/>
          <w:sz w:val="24"/>
          <w:lang w:val="en-IE"/>
        </w:rPr>
      </w:pPr>
      <w:r>
        <w:rPr>
          <w:rFonts w:ascii="Times New Roman" w:hAnsi="Times New Roman" w:cs="Times New Roman"/>
          <w:noProof/>
          <w:color w:val="222222"/>
          <w:sz w:val="24"/>
          <w:lang w:val="en-IE"/>
        </w:rPr>
        <w:t>The NIR does not provide information on the consumption of biofuels, neither with regard to road transport nor to aviation. Belgium should pro</w:t>
      </w:r>
      <w:r>
        <w:rPr>
          <w:rFonts w:ascii="Times New Roman" w:hAnsi="Times New Roman" w:cs="Times New Roman"/>
          <w:noProof/>
          <w:color w:val="222222"/>
          <w:sz w:val="24"/>
          <w:lang w:val="en-IE"/>
        </w:rPr>
        <w:t>vide more information on efforts to promote the use of renewable fuels in transport, and particularly in aviation.</w:t>
      </w:r>
    </w:p>
    <w:p w:rsidR="003C43BF" w:rsidRDefault="006C3212">
      <w:pPr>
        <w:rPr>
          <w:rFonts w:ascii="Times New Roman" w:hAnsi="Times New Roman" w:cs="Times New Roman"/>
          <w:noProof/>
          <w:color w:val="222222"/>
          <w:sz w:val="24"/>
          <w:lang w:val="en-IE"/>
        </w:rPr>
      </w:pPr>
      <w:r>
        <w:rPr>
          <w:rFonts w:ascii="Times New Roman" w:hAnsi="Times New Roman" w:cs="Times New Roman"/>
          <w:noProof/>
          <w:color w:val="222222"/>
          <w:sz w:val="24"/>
          <w:lang w:val="en-IE"/>
        </w:rPr>
        <w:br w:type="page"/>
      </w:r>
    </w:p>
    <w:p w:rsidR="003C43BF" w:rsidRDefault="006C3212">
      <w:pPr>
        <w:pStyle w:val="Heading3"/>
        <w:ind w:left="720"/>
        <w:rPr>
          <w:rFonts w:ascii="Times New Roman" w:hAnsi="Times New Roman" w:cs="Times New Roman"/>
          <w:noProof/>
          <w:sz w:val="24"/>
          <w:lang w:val="en-IE"/>
        </w:rPr>
      </w:pPr>
      <w:bookmarkStart w:id="53" w:name="_Toc55301738"/>
      <w:bookmarkStart w:id="54" w:name="_Toc56944097"/>
      <w:r>
        <w:rPr>
          <w:rFonts w:ascii="Times New Roman" w:hAnsi="Times New Roman" w:cs="Times New Roman"/>
          <w:noProof/>
          <w:sz w:val="24"/>
          <w:lang w:val="en-IE"/>
        </w:rPr>
        <w:t>ANNEX - Description of the Member State</w:t>
      </w:r>
      <w:bookmarkEnd w:id="53"/>
      <w:bookmarkEnd w:id="54"/>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30,500 km², Belgium has a population of 11.399 million people in 2018, which m</w:t>
      </w:r>
      <w:r>
        <w:rPr>
          <w:rFonts w:ascii="Times New Roman" w:hAnsi="Times New Roman" w:cs="Times New Roman"/>
          <w:noProof/>
          <w:color w:val="000000" w:themeColor="text1"/>
          <w:sz w:val="24"/>
          <w:lang w:val="en-IE"/>
        </w:rPr>
        <w:t>akes up for a population density of 374 inhabitants/km².</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11 urban agglomerations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In 2018, Belgium achieves a per capita gross domestic product at market prices of €40,240, which represents a per ca</w:t>
      </w:r>
      <w:r>
        <w:rPr>
          <w:rFonts w:ascii="Times New Roman" w:hAnsi="Times New Roman" w:cs="Times New Roman"/>
          <w:noProof/>
          <w:sz w:val="24"/>
          <w:lang w:val="en-IE"/>
        </w:rPr>
        <w:t xml:space="preserve">pita gross domestic product in purchasing power standards of 117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length of the road TEN-T Core Network in Belgium is 828 km. The total road network length is </w:t>
      </w:r>
      <w:r>
        <w:rPr>
          <w:rFonts w:ascii="Times New Roman" w:hAnsi="Times New Roman" w:cs="Times New Roman"/>
          <w:noProof/>
          <w:sz w:val="24"/>
          <w:lang w:val="en-IE"/>
        </w:rPr>
        <w:t>16,341 km, of which 1,763 km are motorways.</w:t>
      </w:r>
    </w:p>
    <w:p w:rsidR="003C43BF" w:rsidRDefault="006C3212">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Belgium: 5% (214 km) of the North Sea - Baltic Corridor, 18% (253 km) of the Rhine - Alpine Corridor and 12% (508 km) of the North Sea - Mediterran</w:t>
      </w:r>
      <w:r>
        <w:rPr>
          <w:rFonts w:ascii="Times New Roman" w:hAnsi="Times New Roman" w:cs="Times New Roman"/>
          <w:noProof/>
          <w:sz w:val="24"/>
          <w:lang w:val="en-IE"/>
        </w:rPr>
        <w:t>ean Corridor.</w:t>
      </w:r>
    </w:p>
    <w:p w:rsidR="003C43BF" w:rsidRDefault="006C3212">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Through the TEN-T Road Corridors, Belgium is connected with the following Member States:</w:t>
      </w:r>
      <w:r>
        <w:rPr>
          <w:rFonts w:ascii="Times New Roman" w:hAnsi="Times New Roman" w:cs="Times New Roman"/>
          <w:noProof/>
          <w:sz w:val="24"/>
          <w:lang w:val="en-IE"/>
        </w:rPr>
        <w:br/>
        <w:t>- Germany (through the North Sea - Baltic and the Rhine - Alpine Corridor)</w:t>
      </w:r>
      <w:r>
        <w:rPr>
          <w:rFonts w:ascii="Times New Roman" w:hAnsi="Times New Roman" w:cs="Times New Roman"/>
          <w:noProof/>
          <w:sz w:val="24"/>
          <w:lang w:val="en-IE"/>
        </w:rPr>
        <w:br/>
        <w:t>- the Netherlands (through the North Sea - Baltic and the North Sea - Mediterr</w:t>
      </w:r>
      <w:r>
        <w:rPr>
          <w:rFonts w:ascii="Times New Roman" w:hAnsi="Times New Roman" w:cs="Times New Roman"/>
          <w:noProof/>
          <w:sz w:val="24"/>
          <w:lang w:val="en-IE"/>
        </w:rPr>
        <w:t>anean Corridor)</w:t>
      </w:r>
      <w:r>
        <w:rPr>
          <w:rFonts w:ascii="Times New Roman" w:hAnsi="Times New Roman" w:cs="Times New Roman"/>
          <w:noProof/>
          <w:sz w:val="24"/>
          <w:lang w:val="en-IE"/>
        </w:rPr>
        <w:br/>
        <w:t>- Luxembourg (through the North Sea - Mediterranean Corridor)</w:t>
      </w:r>
      <w:r>
        <w:rPr>
          <w:rFonts w:ascii="Times New Roman" w:hAnsi="Times New Roman" w:cs="Times New Roman"/>
          <w:noProof/>
          <w:sz w:val="24"/>
          <w:lang w:val="en-IE"/>
        </w:rPr>
        <w:br/>
        <w:t>- France (through the North Sea - Mediterranean Corridor)</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Belgium accounts for 7,406,933 registered road vehicles of which</w:t>
      </w:r>
      <w:r>
        <w:rPr>
          <w:rFonts w:ascii="Times New Roman" w:hAnsi="Times New Roman" w:cs="Times New Roman"/>
          <w:noProof/>
          <w:sz w:val="24"/>
          <w:lang w:val="en-IE"/>
        </w:rPr>
        <w:t xml:space="preserve"> 5,853,782 are categorized as passenger cars, 759,406 as light goods vehicles, 146,920 as heavy goods vehicles and 16,125 as buses and coaches. The motorisation rate is 514 passenger cars per 1,000 inhabitants.</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rPr>
          <w:rFonts w:ascii="Times New Roman" w:hAnsi="Times New Roman" w:cs="Times New Roman"/>
          <w:noProof/>
          <w:sz w:val="24"/>
          <w:lang w:val="nl-BE"/>
        </w:rPr>
      </w:pPr>
      <w:r>
        <w:rPr>
          <w:rFonts w:ascii="Times New Roman" w:hAnsi="Times New Roman" w:cs="Times New Roman"/>
          <w:noProof/>
          <w:sz w:val="24"/>
          <w:lang w:val="nl-BE"/>
        </w:rPr>
        <w:t xml:space="preserve">4 </w:t>
      </w:r>
      <w:r>
        <w:rPr>
          <w:rFonts w:ascii="Times New Roman" w:hAnsi="Times New Roman" w:cs="Times New Roman"/>
          <w:noProof/>
          <w:sz w:val="24"/>
          <w:lang w:val="nl-BE"/>
        </w:rPr>
        <w:t>maritime ports in the TEN-T Core Network (Antwerpen, Gent, Oosende, Zeebrugge)</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maritime ports in the TEN-T Comprehensive Network</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nl-BE"/>
        </w:rPr>
        <w:t xml:space="preserve">8 inland ports in the TEN-T Core Network (Albertkanaal, Antwerpen, Brussels, Gent, Kortrijk-Bossuit, Liege-Can. </w:t>
      </w:r>
      <w:r>
        <w:rPr>
          <w:rFonts w:ascii="Times New Roman" w:hAnsi="Times New Roman" w:cs="Times New Roman"/>
          <w:noProof/>
          <w:sz w:val="24"/>
          <w:lang w:val="en-IE"/>
        </w:rPr>
        <w:t>Albert, Lieg</w:t>
      </w:r>
      <w:r>
        <w:rPr>
          <w:rFonts w:ascii="Times New Roman" w:hAnsi="Times New Roman" w:cs="Times New Roman"/>
          <w:noProof/>
          <w:sz w:val="24"/>
          <w:lang w:val="en-IE"/>
        </w:rPr>
        <w:t>e-Meuse, Namur-Meuse)</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10 inland ports in the TEN-T Comprehensive Network</w:t>
      </w:r>
    </w:p>
    <w:p w:rsidR="003C43BF" w:rsidRDefault="003C43BF">
      <w:pPr>
        <w:pStyle w:val="Text1"/>
        <w:spacing w:after="0"/>
        <w:ind w:left="714"/>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Through the 1,071 km inland waterways TEN-T Core Network, Belgium is connected with France through the North Sea - Mediterranean Corridor, and with the Netherlands through the North </w:t>
      </w:r>
      <w:r>
        <w:rPr>
          <w:rFonts w:ascii="Times New Roman" w:hAnsi="Times New Roman" w:cs="Times New Roman"/>
          <w:noProof/>
          <w:sz w:val="24"/>
          <w:lang w:val="en-IE"/>
        </w:rPr>
        <w:t xml:space="preserve">Sea - Baltic and the North - Sea Mediterranean Corridor. </w:t>
      </w:r>
    </w:p>
    <w:p w:rsidR="003C43BF" w:rsidRDefault="003C43BF">
      <w:pPr>
        <w:jc w:val="both"/>
        <w:rPr>
          <w:rFonts w:ascii="Times New Roman" w:hAnsi="Times New Roman" w:cs="Times New Roman"/>
          <w:noProof/>
          <w:sz w:val="24"/>
          <w:lang w:val="en-IE"/>
        </w:rPr>
      </w:pPr>
    </w:p>
    <w:p w:rsidR="003C43BF" w:rsidRDefault="006C3212">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2 airports in the TEN-T Core Network (Brussels, Liège) </w:t>
      </w:r>
    </w:p>
    <w:p w:rsidR="003C43BF" w:rsidRDefault="006C3212">
      <w:pPr>
        <w:pStyle w:val="Text1"/>
        <w:numPr>
          <w:ilvl w:val="0"/>
          <w:numId w:val="13"/>
        </w:numPr>
        <w:rPr>
          <w:rFonts w:ascii="Times New Roman" w:hAnsi="Times New Roman" w:cs="Times New Roman"/>
          <w:noProof/>
          <w:sz w:val="24"/>
          <w:lang w:val="en-IE"/>
        </w:rPr>
      </w:pPr>
      <w:r>
        <w:rPr>
          <w:rFonts w:ascii="Times New Roman" w:hAnsi="Times New Roman" w:cs="Times New Roman"/>
          <w:noProof/>
          <w:sz w:val="24"/>
          <w:lang w:val="en-IE"/>
        </w:rPr>
        <w:t xml:space="preserve">2 airports in the TEN-T Comprehensive Network </w:t>
      </w: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55" w:name="_Toc55301739"/>
      <w:bookmarkStart w:id="56" w:name="_Toc56944098"/>
      <w:r>
        <w:rPr>
          <w:rFonts w:ascii="Times New Roman" w:hAnsi="Times New Roman" w:cs="Times New Roman"/>
          <w:noProof/>
          <w:sz w:val="24"/>
          <w:lang w:val="en-IE"/>
        </w:rPr>
        <w:t>Bulgaria (BG)</w:t>
      </w:r>
      <w:bookmarkEnd w:id="55"/>
      <w:bookmarkEnd w:id="56"/>
    </w:p>
    <w:p w:rsidR="003C43BF" w:rsidRDefault="006C3212">
      <w:pPr>
        <w:pStyle w:val="Heading3"/>
        <w:ind w:left="720"/>
        <w:rPr>
          <w:rFonts w:ascii="Times New Roman" w:hAnsi="Times New Roman" w:cs="Times New Roman"/>
          <w:noProof/>
          <w:sz w:val="24"/>
          <w:lang w:val="en-IE"/>
        </w:rPr>
      </w:pPr>
      <w:bookmarkStart w:id="57" w:name="_Toc55301740"/>
      <w:bookmarkStart w:id="58" w:name="_Toc56944099"/>
      <w:r>
        <w:rPr>
          <w:rFonts w:ascii="Times New Roman" w:hAnsi="Times New Roman" w:cs="Times New Roman"/>
          <w:noProof/>
          <w:sz w:val="24"/>
          <w:lang w:val="en-IE"/>
        </w:rPr>
        <w:t xml:space="preserve">Main messages from the </w:t>
      </w:r>
      <w:bookmarkEnd w:id="57"/>
      <w:bookmarkEnd w:id="58"/>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In its original assessment of the Bulgarian NPF the Commission concluded:</w:t>
      </w:r>
    </w:p>
    <w:p w:rsidR="003C43BF" w:rsidRDefault="006C3212">
      <w:pPr>
        <w:pStyle w:val="Text1"/>
        <w:tabs>
          <w:tab w:val="left" w:pos="720"/>
        </w:tabs>
        <w:ind w:left="0"/>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The Bulgarian NPF addresses only part of the requirements of Article 3 of the Directive. It contains an extensive discussion of the current state and</w:t>
      </w:r>
      <w:r>
        <w:rPr>
          <w:rFonts w:ascii="Times New Roman" w:eastAsia="Calibri" w:hAnsi="Times New Roman" w:cs="Times New Roman"/>
          <w:i/>
          <w:noProof/>
          <w:sz w:val="24"/>
          <w:lang w:val="en-IE"/>
        </w:rPr>
        <w:t xml:space="preserve"> future scenarios for alternative fuels in the transport sector. However the NPF does not contain any designation of urban/suburban agglomerations to be equipped with recharging points and with CNG refuelling points. In the Bulgarian NPF the number of refu</w:t>
      </w:r>
      <w:r>
        <w:rPr>
          <w:rFonts w:ascii="Times New Roman" w:eastAsia="Calibri" w:hAnsi="Times New Roman" w:cs="Times New Roman"/>
          <w:i/>
          <w:noProof/>
          <w:sz w:val="24"/>
          <w:lang w:val="en-IE"/>
        </w:rPr>
        <w:t>elling points for CNG and for LNG to be put in place along the TEN-T Core Network is not defined.</w:t>
      </w:r>
    </w:p>
    <w:p w:rsidR="003C43BF" w:rsidRDefault="006C3212">
      <w:pPr>
        <w:pStyle w:val="Text1"/>
        <w:tabs>
          <w:tab w:val="left" w:pos="720"/>
        </w:tabs>
        <w:ind w:left="0"/>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In the Bulgarian NPF estimates for deployment of alternative fuel vehicles are only provided for electric and for hydrogen fuel cell cars. No estimate has bee</w:t>
      </w:r>
      <w:r>
        <w:rPr>
          <w:rFonts w:ascii="Times New Roman" w:eastAsia="Calibri" w:hAnsi="Times New Roman" w:cs="Times New Roman"/>
          <w:i/>
          <w:noProof/>
          <w:sz w:val="24"/>
          <w:lang w:val="en-IE"/>
        </w:rPr>
        <w:t>n provided for LNG heavy duty vehicles or vessels.</w:t>
      </w:r>
    </w:p>
    <w:p w:rsidR="003C43BF" w:rsidRDefault="006C3212">
      <w:pPr>
        <w:pStyle w:val="Text1"/>
        <w:tabs>
          <w:tab w:val="left" w:pos="720"/>
        </w:tabs>
        <w:ind w:left="0"/>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The Bulgarian NPF recognises that electrification of the propulsion of vehicles could contribute to the development of environmentally friendly road transport in Bulgaria however in a long term perspective</w:t>
      </w:r>
      <w:r>
        <w:rPr>
          <w:rFonts w:ascii="Times New Roman" w:eastAsia="Calibri" w:hAnsi="Times New Roman" w:cs="Times New Roman"/>
          <w:i/>
          <w:noProof/>
          <w:sz w:val="24"/>
          <w:lang w:val="en-IE"/>
        </w:rPr>
        <w:t>. Bulgaria expects a rather rapid deployment of electric vehicles, mainly PHEV. Moreover Bulgaria considers hydrogen technologies as a way of integrating renewable energy sources in transport and has included hydrogen in its national policy framework. Acco</w:t>
      </w:r>
      <w:r>
        <w:rPr>
          <w:rFonts w:ascii="Times New Roman" w:eastAsia="Calibri" w:hAnsi="Times New Roman" w:cs="Times New Roman"/>
          <w:i/>
          <w:noProof/>
          <w:sz w:val="24"/>
          <w:lang w:val="en-IE"/>
        </w:rPr>
        <w:t>rdingly, Bulgaria intends to develop an alternative fuel infrastructure network that it is considerate of the Bulgarian economic conditions with lower initial investments and minimised risks in the first years.</w:t>
      </w:r>
    </w:p>
    <w:p w:rsidR="003C43BF" w:rsidRDefault="006C3212">
      <w:pPr>
        <w:pStyle w:val="Text1"/>
        <w:tabs>
          <w:tab w:val="left" w:pos="720"/>
        </w:tabs>
        <w:ind w:left="0"/>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For electric recharging infrastructure the cu</w:t>
      </w:r>
      <w:r>
        <w:rPr>
          <w:rFonts w:ascii="Times New Roman" w:eastAsia="Calibri" w:hAnsi="Times New Roman" w:cs="Times New Roman"/>
          <w:i/>
          <w:noProof/>
          <w:sz w:val="24"/>
          <w:lang w:val="en-IE"/>
        </w:rPr>
        <w:t>rrent situation, with 22 publicly accessible recharging points, is sufficient. The Bulgarian targets for the recharging network in 2020, 2025 and 2030 might not be enough if the estimates for electric vehicles in Bulgaria are met. It may be important to cl</w:t>
      </w:r>
      <w:r>
        <w:rPr>
          <w:rFonts w:ascii="Times New Roman" w:eastAsia="Calibri" w:hAnsi="Times New Roman" w:cs="Times New Roman"/>
          <w:i/>
          <w:noProof/>
          <w:sz w:val="24"/>
          <w:lang w:val="en-IE"/>
        </w:rPr>
        <w:t>osely monitor this development and correct infrastructure targets in line with the market developments.</w:t>
      </w:r>
    </w:p>
    <w:p w:rsidR="003C43BF" w:rsidRDefault="006C3212">
      <w:pPr>
        <w:pStyle w:val="Text1"/>
        <w:tabs>
          <w:tab w:val="left" w:pos="720"/>
        </w:tabs>
        <w:ind w:left="0"/>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Bulgaria has already today a relatively dense network of CNG refuelling stations in parts of the country and the NPF foresees that this will further gro</w:t>
      </w:r>
      <w:r>
        <w:rPr>
          <w:rFonts w:ascii="Times New Roman" w:eastAsia="Calibri" w:hAnsi="Times New Roman" w:cs="Times New Roman"/>
          <w:i/>
          <w:noProof/>
          <w:sz w:val="24"/>
          <w:lang w:val="en-IE"/>
        </w:rPr>
        <w:t>w to cover the complete Bulgarian territory and the Bulgarian part of the TEN-T corridors. It has a target of 4 LNG refuelling points for heavy duty motor vehicles.</w:t>
      </w:r>
    </w:p>
    <w:p w:rsidR="003C43BF" w:rsidRDefault="006C3212">
      <w:pPr>
        <w:pStyle w:val="Text1"/>
        <w:tabs>
          <w:tab w:val="left" w:pos="720"/>
        </w:tabs>
        <w:ind w:left="0"/>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The Bulgarian NPF contains some targets for LNG bunkering infrastructure for inland and sea</w:t>
      </w:r>
      <w:r>
        <w:rPr>
          <w:rFonts w:ascii="Times New Roman" w:eastAsia="Calibri" w:hAnsi="Times New Roman" w:cs="Times New Roman"/>
          <w:i/>
          <w:noProof/>
          <w:sz w:val="24"/>
          <w:lang w:val="en-IE"/>
        </w:rPr>
        <w:t xml:space="preserve"> going vessels. Building of the bunkering infrastructure is to a certain extent dependent on the availability of European funds.</w:t>
      </w:r>
    </w:p>
    <w:p w:rsidR="003C43BF" w:rsidRDefault="006C3212">
      <w:pPr>
        <w:pStyle w:val="Text1"/>
        <w:tabs>
          <w:tab w:val="left" w:pos="720"/>
        </w:tabs>
        <w:ind w:left="0"/>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The Bulgarian NPF is based on a well-defined legislative framework and on investment support that to some extent relies on Euro</w:t>
      </w:r>
      <w:r>
        <w:rPr>
          <w:rFonts w:ascii="Times New Roman" w:eastAsia="Calibri" w:hAnsi="Times New Roman" w:cs="Times New Roman"/>
          <w:i/>
          <w:noProof/>
          <w:sz w:val="24"/>
          <w:lang w:val="en-IE"/>
        </w:rPr>
        <w:t>pean Union co-funding instruments and Cohesion Funds. The NPF contains large number of possible initiatives to enhance the deployment of electro mobility, hydrogen and natural gas vehicles and alternative infrastructure which, if implemented, could help ov</w:t>
      </w:r>
      <w:r>
        <w:rPr>
          <w:rFonts w:ascii="Times New Roman" w:eastAsia="Calibri" w:hAnsi="Times New Roman" w:cs="Times New Roman"/>
          <w:i/>
          <w:noProof/>
          <w:sz w:val="24"/>
          <w:lang w:val="en-IE"/>
        </w:rPr>
        <w:t>ercome deployment barriers. Since most of these measures are still only under consideration, there is a certain risk that the national targets and objectives of the NPF may not be reached.</w:t>
      </w:r>
    </w:p>
    <w:p w:rsidR="003C43BF" w:rsidRDefault="006C3212">
      <w:pPr>
        <w:pStyle w:val="Text1"/>
        <w:tabs>
          <w:tab w:val="left" w:pos="720"/>
        </w:tabs>
        <w:ind w:left="0"/>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The Republic of Bulgaria, in its NPF, declares interest to cooperat</w:t>
      </w:r>
      <w:r>
        <w:rPr>
          <w:rFonts w:ascii="Times New Roman" w:eastAsia="Calibri" w:hAnsi="Times New Roman" w:cs="Times New Roman"/>
          <w:i/>
          <w:noProof/>
          <w:sz w:val="24"/>
          <w:lang w:val="en-IE"/>
        </w:rPr>
        <w:t>e with the neighbouring countries to ensure EU wide circulation of vehicles and vessels, especially for natural gas. It may be advisable to extend this cooperation also for the other fuels and modes.</w:t>
      </w:r>
    </w:p>
    <w:p w:rsidR="003C43BF" w:rsidRDefault="006C3212">
      <w:pPr>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59" w:name="_Toc55301741"/>
      <w:bookmarkStart w:id="60" w:name="_Toc56944100"/>
      <w:r>
        <w:rPr>
          <w:rFonts w:ascii="Times New Roman" w:hAnsi="Times New Roman" w:cs="Times New Roman"/>
          <w:noProof/>
          <w:sz w:val="24"/>
          <w:lang w:val="en-IE"/>
        </w:rPr>
        <w:t>Overview of requirements’ fulfilment from Annex I of t</w:t>
      </w:r>
      <w:r>
        <w:rPr>
          <w:rFonts w:ascii="Times New Roman" w:hAnsi="Times New Roman" w:cs="Times New Roman"/>
          <w:noProof/>
          <w:sz w:val="24"/>
          <w:lang w:val="en-IE"/>
        </w:rPr>
        <w:t>he Directive</w:t>
      </w:r>
      <w:bookmarkEnd w:id="59"/>
      <w:bookmarkEnd w:id="60"/>
      <w:r>
        <w:rPr>
          <w:rFonts w:ascii="Times New Roman" w:hAnsi="Times New Roman" w:cs="Times New Roman"/>
          <w:noProof/>
          <w:sz w:val="24"/>
          <w:lang w:val="en-IE"/>
        </w:rPr>
        <w:tab/>
      </w:r>
    </w:p>
    <w:p w:rsidR="003C43BF" w:rsidRDefault="006C3212">
      <w:pPr>
        <w:rPr>
          <w:rFonts w:ascii="Times New Roman" w:hAnsi="Times New Roman" w:cs="Times New Roman"/>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lang w:val="en-IE"/>
        </w:rPr>
        <w:t xml:space="preserve"> Checklist Table</w:t>
      </w:r>
    </w:p>
    <w:p w:rsidR="003C43BF" w:rsidRDefault="006C3212">
      <w:pPr>
        <w:pStyle w:val="Text1"/>
        <w:tabs>
          <w:tab w:val="left" w:pos="720"/>
        </w:tabs>
        <w:ind w:left="0"/>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377180" cy="8096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7180" cy="8096250"/>
                    </a:xfrm>
                    <a:prstGeom prst="rect">
                      <a:avLst/>
                    </a:prstGeom>
                    <a:noFill/>
                  </pic:spPr>
                </pic:pic>
              </a:graphicData>
            </a:graphic>
          </wp:inline>
        </w:drawing>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checklist shows the requirements of Annex I from the Directive that are covered in the BG NIR.</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Regarding the combination of AF/AFV/AFI with transport mode, electricity is covered for all modes; CNG, hydrogen and LPG are partially covered for road transport; all the other combinations are either absent or not applicable. </w:t>
      </w:r>
    </w:p>
    <w:p w:rsidR="003C43BF" w:rsidRDefault="006C3212">
      <w:pPr>
        <w:pStyle w:val="Text1"/>
        <w:tabs>
          <w:tab w:val="left" w:pos="720"/>
        </w:tabs>
        <w:spacing w:after="160" w:line="259"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The Bulgarian NIR reports mo</w:t>
      </w:r>
      <w:r>
        <w:rPr>
          <w:rFonts w:ascii="Times New Roman" w:hAnsi="Times New Roman" w:cs="Times New Roman"/>
          <w:noProof/>
          <w:sz w:val="24"/>
          <w:lang w:val="en-IE"/>
        </w:rPr>
        <w:t xml:space="preserve">re than 30 measures. </w:t>
      </w:r>
      <w:r>
        <w:rPr>
          <w:rFonts w:ascii="Times New Roman" w:hAnsi="Times New Roman" w:cs="Times New Roman"/>
          <w:iCs/>
          <w:noProof/>
          <w:sz w:val="24"/>
          <w:lang w:val="en-IE"/>
        </w:rPr>
        <w:t>Under the Policy and Deployment &amp; Manufacturing sections it was possible to identify four AF/transport mode clusters of measures, of which three were assessable.</w:t>
      </w:r>
    </w:p>
    <w:p w:rsidR="003C43BF" w:rsidRDefault="006C3212">
      <w:pPr>
        <w:rPr>
          <w:rFonts w:ascii="Times New Roman" w:hAnsi="Times New Roman" w:cs="Times New Roman"/>
          <w:iCs/>
          <w:noProof/>
          <w:sz w:val="24"/>
          <w:lang w:val="en-IE"/>
        </w:rPr>
      </w:pPr>
      <w:r>
        <w:rPr>
          <w:rFonts w:ascii="Times New Roman" w:hAnsi="Times New Roman" w:cs="Times New Roman"/>
          <w:iCs/>
          <w:noProof/>
          <w:sz w:val="24"/>
          <w:lang w:val="en-IE"/>
        </w:rPr>
        <w:br w:type="page"/>
      </w:r>
    </w:p>
    <w:p w:rsidR="003C43BF" w:rsidRDefault="006C3212">
      <w:pPr>
        <w:pStyle w:val="Heading3"/>
        <w:spacing w:after="120"/>
        <w:ind w:left="720"/>
        <w:rPr>
          <w:rFonts w:ascii="Times New Roman" w:hAnsi="Times New Roman" w:cs="Times New Roman"/>
          <w:noProof/>
          <w:sz w:val="24"/>
          <w:lang w:val="fr-BE"/>
        </w:rPr>
      </w:pPr>
      <w:bookmarkStart w:id="61" w:name="_Toc55301742"/>
      <w:bookmarkStart w:id="62" w:name="_Toc56944101"/>
      <w:r>
        <w:rPr>
          <w:rFonts w:ascii="Times New Roman" w:hAnsi="Times New Roman" w:cs="Times New Roman"/>
          <w:noProof/>
          <w:sz w:val="24"/>
          <w:lang w:val="fr-BE"/>
        </w:rPr>
        <w:t>Quantitative assessment: Vehicles and infrastructure</w:t>
      </w:r>
      <w:bookmarkEnd w:id="61"/>
      <w:bookmarkEnd w:id="62"/>
    </w:p>
    <w:p w:rsidR="003C43BF" w:rsidRDefault="006C3212">
      <w:pPr>
        <w:pStyle w:val="Caption"/>
        <w:spacing w:after="80"/>
        <w:jc w:val="both"/>
        <w:rPr>
          <w:rFonts w:ascii="Times New Roman" w:hAnsi="Times New Roman" w:cs="Times New Roman"/>
          <w:b w:val="0"/>
          <w:i/>
          <w:noProof/>
          <w:color w:val="000000" w:themeColor="text1"/>
          <w:sz w:val="20"/>
          <w:szCs w:val="18"/>
          <w:lang w:val="en-IE"/>
        </w:rPr>
      </w:pPr>
      <w:bookmarkStart w:id="63" w:name="_Ref52787253"/>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w:instrText>
      </w:r>
      <w:r>
        <w:rPr>
          <w:rFonts w:ascii="Times New Roman" w:hAnsi="Times New Roman" w:cs="Times New Roman"/>
          <w:b w:val="0"/>
          <w:i/>
          <w:iCs/>
          <w:noProof/>
          <w:color w:val="000000" w:themeColor="text1"/>
          <w:sz w:val="20"/>
          <w:szCs w:val="18"/>
          <w:lang w:val="en-IE"/>
        </w:rPr>
        <w:instrText xml:space="preserve">\s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5.2.3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63"/>
      <w:r>
        <w:rPr>
          <w:rFonts w:ascii="Times New Roman" w:hAnsi="Times New Roman" w:cs="Times New Roman"/>
          <w:b w:val="0"/>
          <w:i/>
          <w:noProof/>
          <w:sz w:val="20"/>
          <w:szCs w:val="18"/>
          <w:lang w:val="en-IE"/>
        </w:rPr>
        <w:t xml:space="preserve"> National AFV estimates and AFI targets established in the NIR at the horizon 2020, 2025 and 2030 and their comparison with the NPF situation </w:t>
      </w:r>
    </w:p>
    <w:p w:rsidR="003C43BF" w:rsidRDefault="006C3212">
      <w:pPr>
        <w:pStyle w:val="Text1"/>
        <w:tabs>
          <w:tab w:val="left" w:pos="720"/>
        </w:tabs>
        <w:spacing w:after="120"/>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029835" cy="785241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835" cy="7852410"/>
                    </a:xfrm>
                    <a:prstGeom prst="rect">
                      <a:avLst/>
                    </a:prstGeom>
                    <a:noFill/>
                  </pic:spPr>
                </pic:pic>
              </a:graphicData>
            </a:graphic>
          </wp:inline>
        </w:drawing>
      </w:r>
    </w:p>
    <w:p w:rsidR="003C43BF" w:rsidRDefault="006C3212">
      <w:pPr>
        <w:tabs>
          <w:tab w:val="left" w:pos="360"/>
        </w:tabs>
        <w:spacing w:after="0" w:line="240" w:lineRule="auto"/>
        <w:rPr>
          <w:rFonts w:ascii="Times New Roman" w:hAnsi="Times New Roman" w:cs="Times New Roman"/>
          <w:noProof/>
          <w:sz w:val="18"/>
          <w:szCs w:val="18"/>
          <w:lang w:val="en-IE"/>
        </w:rPr>
      </w:pPr>
      <w:r>
        <w:rPr>
          <w:rFonts w:ascii="Times New Roman" w:hAnsi="Times New Roman" w:cs="Times New Roman"/>
          <w:noProof/>
          <w:sz w:val="18"/>
          <w:szCs w:val="18"/>
          <w:lang w:val="en-IE"/>
        </w:rPr>
        <w:t>* Value taken from EAFO 2018 (absent in NIR)</w:t>
      </w:r>
    </w:p>
    <w:p w:rsidR="003C43BF" w:rsidRDefault="006C3212">
      <w:pPr>
        <w:tabs>
          <w:tab w:val="left" w:pos="360"/>
        </w:tabs>
        <w:spacing w:after="0" w:line="240" w:lineRule="auto"/>
        <w:rPr>
          <w:rFonts w:ascii="Times New Roman" w:hAnsi="Times New Roman" w:cs="Times New Roman"/>
          <w:noProof/>
          <w:sz w:val="18"/>
          <w:szCs w:val="18"/>
          <w:lang w:val="en-IE"/>
        </w:rPr>
      </w:pPr>
      <w:r>
        <w:rPr>
          <w:rFonts w:ascii="Times New Roman" w:hAnsi="Times New Roman" w:cs="Times New Roman"/>
          <w:noProof/>
          <w:sz w:val="18"/>
          <w:szCs w:val="18"/>
          <w:lang w:val="en-IE"/>
        </w:rPr>
        <w:t xml:space="preserve">** For Hydrogen, total number of AFI (public + private) </w:t>
      </w:r>
    </w:p>
    <w:p w:rsidR="003C43BF" w:rsidRDefault="006C3212">
      <w:pPr>
        <w:pStyle w:val="Heading4"/>
        <w:ind w:left="113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ind w:left="1701"/>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Vehicles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Bulgaria recorded 7,034 electric vehicles in 2018 (of which 6,288 were passenger cars, 721 LCVs and 25 buses and coaches). In addition, the number of electric PTW</w:t>
      </w:r>
      <w:r>
        <w:rPr>
          <w:rFonts w:ascii="Times New Roman" w:hAnsi="Times New Roman" w:cs="Times New Roman"/>
          <w:noProof/>
          <w:sz w:val="24"/>
          <w:lang w:val="en-IE"/>
        </w:rPr>
        <w:t xml:space="preserve"> recorded in 2018 was 788. Even if the growth rate of battery electric and plug-in hybrid electric vehicles is slow in Bulgaria, the numbers are rising. For the period 2012-2018, the NIR outlines a 4.4 times increase in the number of BEVs and nearly 10 tim</w:t>
      </w:r>
      <w:r>
        <w:rPr>
          <w:rFonts w:ascii="Times New Roman" w:hAnsi="Times New Roman" w:cs="Times New Roman"/>
          <w:noProof/>
          <w:sz w:val="24"/>
          <w:lang w:val="en-IE"/>
        </w:rPr>
        <w:t>es increase for the number of PHEV.</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_Ref52787253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5.2.3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the NIR provides revised estimates for EVs expected to be registered in 2020, 2025 and 2030. The EV estimates in the NIR are 7,629 for 2020, 25,550 for 2025 and 66,200 for 2030, which a</w:t>
      </w:r>
      <w:r>
        <w:rPr>
          <w:rFonts w:ascii="Times New Roman" w:hAnsi="Times New Roman" w:cs="Times New Roman"/>
          <w:noProof/>
          <w:sz w:val="24"/>
          <w:lang w:val="en-IE"/>
        </w:rPr>
        <w:t>re respectively 78.20%, 63.50% and 49.08% lower than in the NPF.</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92.20% for 2020 and 10.63% for 2030. According to the assessment methodology described in Section 2.1, the 2018 state of play corresponds to an </w:t>
      </w:r>
      <w:r>
        <w:rPr>
          <w:rFonts w:ascii="Times New Roman" w:hAnsi="Times New Roman" w:cs="Times New Roman"/>
          <w:b/>
          <w:i/>
          <w:iCs/>
          <w:noProof/>
          <w:sz w:val="24"/>
          <w:lang w:val="en-IE"/>
        </w:rPr>
        <w:t>a</w:t>
      </w:r>
      <w:r>
        <w:rPr>
          <w:rFonts w:ascii="Times New Roman" w:hAnsi="Times New Roman" w:cs="Times New Roman"/>
          <w:b/>
          <w:i/>
          <w:iCs/>
          <w:noProof/>
          <w:sz w:val="24"/>
          <w:lang w:val="en-IE"/>
        </w:rPr>
        <w:t>dequate progress</w:t>
      </w:r>
      <w:r>
        <w:rPr>
          <w:rFonts w:ascii="Times New Roman" w:hAnsi="Times New Roman" w:cs="Times New Roman"/>
          <w:iCs/>
          <w:noProof/>
          <w:sz w:val="24"/>
          <w:lang w:val="en-IE"/>
        </w:rPr>
        <w:t xml:space="preserve"> towards reaching the envisaged EV estimates. 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Bulgaria is equal to</w:t>
      </w:r>
      <w:r>
        <w:rPr>
          <w:rFonts w:ascii="Times New Roman" w:hAnsi="Times New Roman" w:cs="Times New Roman"/>
          <w:b/>
          <w:i/>
          <w:iCs/>
          <w:noProof/>
          <w:sz w:val="24"/>
          <w:lang w:val="en-IE"/>
        </w:rPr>
        <w:t xml:space="preserve"> </w:t>
      </w:r>
      <w:r>
        <w:rPr>
          <w:rFonts w:ascii="Times New Roman" w:hAnsi="Times New Roman" w:cs="Times New Roman"/>
          <w:iCs/>
          <w:noProof/>
          <w:sz w:val="24"/>
          <w:lang w:val="en-IE"/>
        </w:rPr>
        <w:t>23%.</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it can be seen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_Ref52787253 </w:instrText>
      </w:r>
      <w:r>
        <w:rPr>
          <w:rFonts w:ascii="Times New Roman" w:hAnsi="Times New Roman" w:cs="Times New Roman"/>
          <w:noProof/>
          <w:sz w:val="24"/>
          <w:lang w:val="en-IE"/>
        </w:rPr>
        <w:instrText xml:space="preserve">\h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5.2.3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there were 145 publicly accessible recharging points in Bulgaria in 2018. The Bulgarian NIR mentions the positive trend in building-up the infrastructure f</w:t>
      </w:r>
      <w:r>
        <w:rPr>
          <w:rFonts w:ascii="Times New Roman" w:hAnsi="Times New Roman" w:cs="Times New Roman"/>
          <w:noProof/>
          <w:sz w:val="24"/>
          <w:lang w:val="en-IE"/>
        </w:rPr>
        <w:t>or electric vehicle charging, which is implemented mainly at municipality level by private investors. High power (&gt;22kW) recharging points have been built, at key locations, along the international routes from Sofia to the borders with Greece and Turkey.</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w:t>
      </w:r>
      <w:r>
        <w:rPr>
          <w:rFonts w:ascii="Times New Roman" w:hAnsi="Times New Roman" w:cs="Times New Roman"/>
          <w:noProof/>
          <w:sz w:val="24"/>
          <w:lang w:val="en-IE"/>
        </w:rPr>
        <w:t>he Bulgarian NIR presents revised targets for publicly accessible recharging points for 2020, 2025 and 2030 with respective values 88.00%, 66.67% and 44.44% lower than those provided in the NPF. The target number of publicly accessible recharging points in</w:t>
      </w:r>
      <w:r>
        <w:rPr>
          <w:rFonts w:ascii="Times New Roman" w:hAnsi="Times New Roman" w:cs="Times New Roman"/>
          <w:noProof/>
          <w:sz w:val="24"/>
          <w:lang w:val="en-IE"/>
        </w:rPr>
        <w:t xml:space="preserve"> Bulgaria is 300 for 2020, 2,000 for 2025 and 5,000 for 2030. The NIR does not provide estimates for private recharging points.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Bulgarian NIR states that “</w:t>
      </w:r>
      <w:r>
        <w:rPr>
          <w:rFonts w:ascii="Times New Roman" w:hAnsi="Times New Roman" w:cs="Times New Roman"/>
          <w:i/>
          <w:noProof/>
          <w:sz w:val="24"/>
          <w:lang w:val="en-IE"/>
        </w:rPr>
        <w:t>having regard to the differences in functionality and price levels, the electric vehicles chargin</w:t>
      </w:r>
      <w:r>
        <w:rPr>
          <w:rFonts w:ascii="Times New Roman" w:hAnsi="Times New Roman" w:cs="Times New Roman"/>
          <w:i/>
          <w:noProof/>
          <w:sz w:val="24"/>
          <w:lang w:val="en-IE"/>
        </w:rPr>
        <w:t>g infrastructure to be deployed will include fast charging (of minimum capacity of 50 kW DC) stations along the TEN-T Core Network and a massive number of standard charging points (of at least 22 kW AC per point) at publicly accessible locations as shoppin</w:t>
      </w:r>
      <w:r>
        <w:rPr>
          <w:rFonts w:ascii="Times New Roman" w:hAnsi="Times New Roman" w:cs="Times New Roman"/>
          <w:i/>
          <w:noProof/>
          <w:sz w:val="24"/>
          <w:lang w:val="en-IE"/>
        </w:rPr>
        <w:t>g malls, entertainment and recreation centres, office buildings, industrial plants, hotels and restaurants.</w:t>
      </w:r>
      <w:r>
        <w:rPr>
          <w:rFonts w:ascii="Times New Roman" w:hAnsi="Times New Roman" w:cs="Times New Roman"/>
          <w:noProof/>
          <w:sz w:val="24"/>
          <w:lang w:val="en-IE"/>
        </w:rPr>
        <w:t>”</w:t>
      </w:r>
    </w:p>
    <w:p w:rsidR="003C43BF" w:rsidRDefault="006C3212">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public recharging infrastructure targets is 48.33% for 2020 and 2.90%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state of play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these envisaged targets</w:t>
      </w:r>
      <w:r>
        <w:rPr>
          <w:rFonts w:ascii="Times New Roman" w:hAnsi="Times New Roman" w:cs="Times New Roman"/>
          <w:iCs/>
          <w:noProof/>
          <w:color w:val="000000" w:themeColor="text1"/>
          <w:sz w:val="24"/>
          <w:lang w:val="en-IE"/>
        </w:rPr>
        <w:t xml:space="preserve">.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Bulgaria is equal to 43%.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BG NIR, the following table shows the ratio between vehic</w:t>
      </w:r>
      <w:r>
        <w:rPr>
          <w:rFonts w:ascii="Times New Roman" w:hAnsi="Times New Roman" w:cs="Times New Roman"/>
          <w:noProof/>
          <w:sz w:val="24"/>
          <w:lang w:val="en-IE"/>
        </w:rPr>
        <w:t>les and publicly accessible recharging points (i.e. sufficiency index) for the pair electricity/road. It can be seen that current values are quite high, but in 2025 and 2030 the foreseen sufficiency index decreases towards values slightly above 10. Conside</w:t>
      </w:r>
      <w:r>
        <w:rPr>
          <w:rFonts w:ascii="Times New Roman" w:hAnsi="Times New Roman" w:cs="Times New Roman"/>
          <w:noProof/>
          <w:sz w:val="24"/>
          <w:lang w:val="en-IE"/>
        </w:rPr>
        <w:t>ring that in 2030 the share of high power charging points is planned to be 40%, the sufficiency index can be regarded as becoming adequate, although currently it is not.</w:t>
      </w:r>
    </w:p>
    <w:p w:rsidR="003C43BF" w:rsidRDefault="006C3212">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noProof/>
          <w:sz w:val="24"/>
          <w:lang w:eastAsia="en-GB"/>
        </w:rPr>
        <w:drawing>
          <wp:inline distT="0" distB="0" distL="0" distR="0">
            <wp:extent cx="5118100" cy="3873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8100" cy="387350"/>
                    </a:xfrm>
                    <a:prstGeom prst="rect">
                      <a:avLst/>
                    </a:prstGeom>
                    <a:noFill/>
                    <a:ln>
                      <a:noFill/>
                    </a:ln>
                  </pic:spPr>
                </pic:pic>
              </a:graphicData>
            </a:graphic>
          </wp:inline>
        </w:drawing>
      </w:r>
    </w:p>
    <w:p w:rsidR="003C43BF" w:rsidRDefault="003C43BF">
      <w:pPr>
        <w:tabs>
          <w:tab w:val="left" w:pos="360"/>
        </w:tabs>
        <w:spacing w:after="120" w:line="240" w:lineRule="auto"/>
        <w:jc w:val="both"/>
        <w:rPr>
          <w:rFonts w:ascii="Times New Roman" w:hAnsi="Times New Roman" w:cs="Times New Roman"/>
          <w:iCs/>
          <w:noProof/>
          <w:color w:val="000000" w:themeColor="text1"/>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Bulgarian NI</w:t>
      </w:r>
      <w:r>
        <w:rPr>
          <w:rFonts w:ascii="Times New Roman" w:hAnsi="Times New Roman" w:cs="Times New Roman"/>
          <w:noProof/>
          <w:sz w:val="24"/>
          <w:lang w:val="en-IE"/>
        </w:rPr>
        <w:t>R.</w:t>
      </w:r>
    </w:p>
    <w:p w:rsidR="003C43BF" w:rsidRDefault="003C43BF">
      <w:pPr>
        <w:tabs>
          <w:tab w:val="left" w:pos="360"/>
        </w:tabs>
        <w:rPr>
          <w:rFonts w:ascii="Times New Roman" w:hAnsi="Times New Roman" w:cs="Times New Roman"/>
          <w:noProof/>
          <w:sz w:val="24"/>
          <w:lang w:val="en-IE"/>
        </w:rPr>
      </w:pPr>
    </w:p>
    <w:p w:rsidR="003C43BF" w:rsidRDefault="006C3212">
      <w:pPr>
        <w:pStyle w:val="Heading5"/>
        <w:ind w:left="1701"/>
        <w:rPr>
          <w:rFonts w:ascii="Times New Roman" w:hAnsi="Times New Roman" w:cs="Times New Roman"/>
          <w:noProof/>
          <w:sz w:val="24"/>
          <w:lang w:val="en-IE"/>
        </w:rPr>
      </w:pPr>
      <w:r>
        <w:rPr>
          <w:rFonts w:ascii="Times New Roman" w:hAnsi="Times New Roman" w:cs="Times New Roman"/>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Bulgaria reported 21,823 CNG vehicles in 2018, mostly dual engines, (of which 17,829 were passenger cars, 3,376 LCVs, 116 HCVs and 502 buses and coaches). The Government of Bulgaria did not provide CNG vehicles estimates in the NPF for the</w:t>
      </w:r>
      <w:r>
        <w:rPr>
          <w:rFonts w:ascii="Times New Roman" w:hAnsi="Times New Roman" w:cs="Times New Roman"/>
          <w:noProof/>
          <w:sz w:val="24"/>
          <w:lang w:val="en-IE"/>
        </w:rPr>
        <w:t xml:space="preserve"> years 2020, 2025 and 2030 and, likewise, the NIR does not contain any estimate for these 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there are no CNG vehicle estimates,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BG NIR does not provide the state of play in the period 2016-2018, but the NPF had indicated 108 publicly accessible CNG refuelling points in 2016 and for 2018 EAFO has reported a number of 102. The Bulgarian NIR does not contain targets for CNG refuel</w:t>
      </w:r>
      <w:r>
        <w:rPr>
          <w:rFonts w:ascii="Times New Roman" w:hAnsi="Times New Roman" w:cs="Times New Roman"/>
          <w:noProof/>
          <w:sz w:val="24"/>
          <w:lang w:val="en-IE"/>
        </w:rPr>
        <w:t xml:space="preserve">ling points, similarly to the NPF, which presented only the statement that in the period 2020-2025 emphasis should be placed on building infrastructure in regions with lower coverage of the distribution network.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there are no </w:t>
      </w:r>
      <w:r>
        <w:rPr>
          <w:rFonts w:ascii="Times New Roman" w:hAnsi="Times New Roman" w:cs="Times New Roman"/>
          <w:iCs/>
          <w:noProof/>
          <w:color w:val="000000" w:themeColor="text1"/>
          <w:sz w:val="24"/>
          <w:lang w:val="en-IE"/>
        </w:rPr>
        <w:t>CNG refuelling points ta</w:t>
      </w:r>
      <w:r>
        <w:rPr>
          <w:rFonts w:ascii="Times New Roman" w:hAnsi="Times New Roman" w:cs="Times New Roman"/>
          <w:iCs/>
          <w:noProof/>
          <w:color w:val="000000" w:themeColor="text1"/>
          <w:sz w:val="24"/>
          <w:lang w:val="en-IE"/>
        </w:rPr>
        <w:t>rgets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BG NIR, the following table shows the ratio between vehicles and publicly accessible refuelling points (i.e. sufficiency index) for the pair CNG/road. It can be seen that the</w:t>
      </w:r>
      <w:r>
        <w:rPr>
          <w:rFonts w:ascii="Times New Roman" w:hAnsi="Times New Roman" w:cs="Times New Roman"/>
          <w:noProof/>
          <w:sz w:val="24"/>
          <w:lang w:val="en-IE"/>
        </w:rPr>
        <w:t xml:space="preserve"> sufficiency index (where computable) is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w:t>
      </w:r>
    </w:p>
    <w:p w:rsidR="003C43BF" w:rsidRDefault="006C3212">
      <w:pPr>
        <w:tabs>
          <w:tab w:val="left" w:pos="360"/>
        </w:tabs>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005070" cy="389890"/>
            <wp:effectExtent l="0" t="0" r="5080" b="0"/>
            <wp:docPr id="7967" name="Picture 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5070" cy="389890"/>
                    </a:xfrm>
                    <a:prstGeom prst="rect">
                      <a:avLst/>
                    </a:prstGeom>
                    <a:noFill/>
                  </pic:spPr>
                </pic:pic>
              </a:graphicData>
            </a:graphic>
          </wp:inline>
        </w:drawing>
      </w:r>
    </w:p>
    <w:p w:rsidR="003C43BF" w:rsidRDefault="006C3212">
      <w:pPr>
        <w:tabs>
          <w:tab w:val="left" w:pos="360"/>
        </w:tabs>
        <w:rPr>
          <w:rFonts w:ascii="Times New Roman" w:hAnsi="Times New Roman" w:cs="Times New Roman"/>
          <w:noProof/>
          <w:sz w:val="20"/>
          <w:szCs w:val="18"/>
          <w:lang w:val="en-IE"/>
        </w:rPr>
      </w:pPr>
      <w:r>
        <w:rPr>
          <w:rFonts w:ascii="Times New Roman" w:hAnsi="Times New Roman" w:cs="Times New Roman"/>
          <w:noProof/>
          <w:sz w:val="20"/>
          <w:szCs w:val="18"/>
          <w:lang w:val="en-IE"/>
        </w:rPr>
        <w:t>* Values of CNG AFI taken from EAFO (absent in NIR)</w:t>
      </w:r>
    </w:p>
    <w:p w:rsidR="003C43BF" w:rsidRDefault="003C43BF">
      <w:pPr>
        <w:rPr>
          <w:rFonts w:ascii="Times New Roman" w:hAnsi="Times New Roman" w:cs="Times New Roman"/>
          <w:noProof/>
          <w:sz w:val="24"/>
          <w:lang w:val="en-IE"/>
        </w:rPr>
      </w:pPr>
    </w:p>
    <w:p w:rsidR="003C43BF" w:rsidRDefault="006C3212">
      <w:pPr>
        <w:pStyle w:val="Heading5"/>
        <w:ind w:left="1701"/>
        <w:rPr>
          <w:rFonts w:ascii="Times New Roman" w:hAnsi="Times New Roman" w:cs="Times New Roman"/>
          <w:noProof/>
          <w:sz w:val="24"/>
          <w:lang w:val="en-IE"/>
        </w:rPr>
      </w:pPr>
      <w:r>
        <w:rP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Bulgarian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Bulgarian NIR doe</w:t>
      </w:r>
      <w:r>
        <w:rPr>
          <w:rFonts w:ascii="Times New Roman" w:hAnsi="Times New Roman" w:cs="Times New Roman"/>
          <w:noProof/>
          <w:sz w:val="24"/>
          <w:lang w:val="en-IE"/>
        </w:rPr>
        <w:t>s not provides information on LNG refuelling points for road vehicles. Since the NPF declared that in the period 2025-2030 activities should be aimed at increasing the density of the distribution network for LNG refuelling points, it can only be assumed th</w:t>
      </w:r>
      <w:r>
        <w:rPr>
          <w:rFonts w:ascii="Times New Roman" w:hAnsi="Times New Roman" w:cs="Times New Roman"/>
          <w:noProof/>
          <w:sz w:val="24"/>
          <w:lang w:val="en-IE"/>
        </w:rPr>
        <w:t xml:space="preserve">at the assessment of the NPF continues to apply here.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there are no LNG refuelling points targets, the 2018 </w:t>
      </w:r>
      <w:r>
        <w:rPr>
          <w:rFonts w:ascii="Times New Roman" w:hAnsi="Times New Roman" w:cs="Times New Roman"/>
          <w:b/>
          <w:i/>
          <w:noProof/>
          <w:sz w:val="24"/>
          <w:lang w:val="en-IE"/>
        </w:rPr>
        <w:t>attainment</w:t>
      </w:r>
      <w:r>
        <w:rPr>
          <w:rFonts w:ascii="Times New Roman" w:hAnsi="Times New Roman" w:cs="Times New Roman"/>
          <w:b/>
          <w:noProof/>
          <w:sz w:val="24"/>
          <w:lang w:val="en-IE"/>
        </w:rPr>
        <w:t xml:space="preserve"> </w:t>
      </w:r>
      <w:r>
        <w:rPr>
          <w:rFonts w:ascii="Times New Roman" w:hAnsi="Times New Roman" w:cs="Times New Roman"/>
          <w:noProof/>
          <w:sz w:val="24"/>
          <w:lang w:val="en-IE"/>
        </w:rPr>
        <w:t xml:space="preserve">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jc w:val="both"/>
        <w:rPr>
          <w:rStyle w:val="Heading4Char"/>
          <w:rFonts w:ascii="Times New Roman" w:hAnsi="Times New Roman" w:cs="Times New Roman"/>
          <w:i/>
          <w:iCs/>
          <w:noProof/>
          <w:sz w:val="24"/>
          <w:szCs w:val="24"/>
          <w:lang w:val="en-IE"/>
        </w:rPr>
      </w:pPr>
      <w:r>
        <w:rPr>
          <w:rFonts w:ascii="Times New Roman" w:hAnsi="Times New Roman" w:cs="Times New Roman"/>
          <w:noProof/>
          <w:sz w:val="24"/>
          <w:szCs w:val="24"/>
          <w:lang w:val="en-IE"/>
        </w:rPr>
        <w:t xml:space="preserve">The lack of information on vehicles and infrastructure precluded the calculation of the </w:t>
      </w:r>
      <w:r>
        <w:rPr>
          <w:rFonts w:ascii="Times New Roman" w:hAnsi="Times New Roman" w:cs="Times New Roman"/>
          <w:noProof/>
          <w:sz w:val="24"/>
          <w:szCs w:val="24"/>
          <w:lang w:val="en-IE"/>
        </w:rPr>
        <w:t>sufficiency index.</w:t>
      </w:r>
    </w:p>
    <w:p w:rsidR="003C43BF" w:rsidRDefault="003C43BF">
      <w:pPr>
        <w:rPr>
          <w:rStyle w:val="Heading4Char"/>
          <w:rFonts w:ascii="Times New Roman" w:hAnsi="Times New Roman" w:cs="Times New Roman"/>
          <w:i/>
          <w:iCs/>
          <w:noProof/>
          <w:sz w:val="24"/>
          <w:lang w:val="en-IE"/>
        </w:rPr>
      </w:pPr>
    </w:p>
    <w:p w:rsidR="003C43BF" w:rsidRDefault="006C3212">
      <w:pPr>
        <w:pStyle w:val="Heading5"/>
        <w:ind w:left="1701"/>
        <w:rPr>
          <w:rStyle w:val="CommentReference"/>
          <w:rFonts w:ascii="Times New Roman" w:hAnsi="Times New Roman" w:cs="Times New Roman"/>
          <w:noProof/>
          <w:sz w:val="24"/>
          <w:szCs w:val="22"/>
          <w:lang w:val="en-IE"/>
        </w:rPr>
      </w:pPr>
      <w:r>
        <w:rPr>
          <w:rStyle w:val="CommentReference"/>
          <w:rFonts w:ascii="Times New Roman" w:hAnsi="Times New Roman" w:cs="Times New Roman"/>
          <w:noProof/>
          <w:sz w:val="24"/>
          <w:szCs w:val="22"/>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While there are no hydrogen fuelled vehicles recorded in Bulgaria in 2018, the NIR estimates the registration of 110 vehicles in 2025 and 555 in 2030. These values are, respectively, 72.5% and 38.33% smaller than the e</w:t>
      </w:r>
      <w:r>
        <w:rPr>
          <w:rFonts w:ascii="Times New Roman" w:hAnsi="Times New Roman" w:cs="Times New Roman"/>
          <w:noProof/>
          <w:sz w:val="24"/>
          <w:lang w:val="en-IE"/>
        </w:rPr>
        <w:t xml:space="preserve">stimates provided in the NPF.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Notably, according to the BG NIR, the majority of the hydrogen vehicles will be hybrid electric/fuel cell buses and coaches. Bulgaria expects to have 80 of them in 2025 and 400 in 2030.</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at the end of 2018 there was no deployment of hydrogen vehicles,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Bulgaria included hydrogen in its NPF and presented two scenarios regarding hydrogen refuelling stations deployme</w:t>
      </w:r>
      <w:r>
        <w:rPr>
          <w:rFonts w:ascii="Times New Roman" w:hAnsi="Times New Roman" w:cs="Times New Roman"/>
          <w:noProof/>
          <w:sz w:val="24"/>
          <w:lang w:val="en-IE"/>
        </w:rPr>
        <w:t>nt. The NIR provides a revision of the NPF projections and envisages 2 and 4 public refuelling points by 2025 and 2030, respectively, which correspond to the less ambitious NPF scenario. Compared with the most optimistic NPF scenario, this represents an 80</w:t>
      </w:r>
      <w:r>
        <w:rPr>
          <w:rFonts w:ascii="Times New Roman" w:hAnsi="Times New Roman" w:cs="Times New Roman"/>
          <w:noProof/>
          <w:sz w:val="24"/>
          <w:lang w:val="en-IE"/>
        </w:rPr>
        <w:t xml:space="preserve">% decrease for 2025 and a 92% for 2030 targets. It should be also mentioned that the BG NIR foresees 3 and 10 private fuelling stations by 2025 and 2030, respectively.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at the end of 2018 there was no deployment of hydrogen refuelling points</w:t>
      </w:r>
      <w:r>
        <w:rPr>
          <w:rFonts w:ascii="Times New Roman" w:hAnsi="Times New Roman" w:cs="Times New Roman"/>
          <w:noProof/>
          <w:sz w:val="24"/>
          <w:lang w:val="en-IE"/>
        </w:rPr>
        <w:t>, the 201</w:t>
      </w:r>
      <w:r>
        <w:rPr>
          <w:rFonts w:ascii="Times New Roman" w:hAnsi="Times New Roman" w:cs="Times New Roman"/>
          <w:noProof/>
          <w:sz w:val="24"/>
          <w:lang w:val="en-IE"/>
        </w:rPr>
        <w:t xml:space="preserve">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Based on the BG NIR, the following table shows the ratio between vehicles and publicly accessible refuelling points (i.e. sufficiency index) for the pair hydrogen/road. Due to the lack of data, only</w:t>
      </w:r>
      <w:r>
        <w:rPr>
          <w:rFonts w:ascii="Times New Roman" w:hAnsi="Times New Roman" w:cs="Times New Roman"/>
          <w:noProof/>
          <w:sz w:val="24"/>
          <w:lang w:val="en-IE"/>
        </w:rPr>
        <w:t xml:space="preserve"> the 2025 and 2030 sufficiency indexes could be computed.</w:t>
      </w:r>
    </w:p>
    <w:p w:rsidR="003C43BF" w:rsidRDefault="006C3212">
      <w:pPr>
        <w:tabs>
          <w:tab w:val="left" w:pos="360"/>
        </w:tabs>
        <w:rPr>
          <w:rFonts w:ascii="Times New Roman" w:hAnsi="Times New Roman" w:cs="Times New Roman"/>
          <w:noProof/>
          <w:sz w:val="24"/>
          <w:lang w:val="en-IE"/>
        </w:rPr>
      </w:pPr>
      <w:r>
        <w:rPr>
          <w:noProof/>
          <w:lang w:eastAsia="en-GB"/>
        </w:rPr>
        <w:drawing>
          <wp:inline distT="0" distB="0" distL="0" distR="0">
            <wp:extent cx="5003800" cy="38925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800" cy="389255"/>
                    </a:xfrm>
                    <a:prstGeom prst="rect">
                      <a:avLst/>
                    </a:prstGeom>
                    <a:noFill/>
                    <a:ln>
                      <a:noFill/>
                    </a:ln>
                  </pic:spPr>
                </pic:pic>
              </a:graphicData>
            </a:graphic>
          </wp:inline>
        </w:drawing>
      </w:r>
    </w:p>
    <w:p w:rsidR="003C43BF" w:rsidRDefault="003C43BF">
      <w:pPr>
        <w:tabs>
          <w:tab w:val="left" w:pos="360"/>
        </w:tabs>
        <w:rPr>
          <w:rFonts w:ascii="Times New Roman" w:hAnsi="Times New Roman" w:cs="Times New Roman"/>
          <w:noProof/>
          <w:sz w:val="24"/>
          <w:lang w:val="en-IE"/>
        </w:rPr>
      </w:pPr>
    </w:p>
    <w:p w:rsidR="003C43BF" w:rsidRDefault="006C3212">
      <w:pPr>
        <w:pStyle w:val="Heading5"/>
        <w:ind w:left="1701"/>
        <w:rPr>
          <w:rStyle w:val="Heading4Char"/>
          <w:rFonts w:ascii="Times New Roman" w:hAnsi="Times New Roman" w:cs="Times New Roman"/>
          <w:iCs/>
          <w:noProof/>
          <w:sz w:val="24"/>
          <w:lang w:val="en-IE"/>
        </w:rPr>
      </w:pPr>
      <w:r>
        <w:rPr>
          <w:rStyle w:val="CommentReference"/>
          <w:rFonts w:ascii="Times New Roman" w:hAnsi="Times New Roman" w:cs="Times New Roman"/>
          <w:noProof/>
          <w:sz w:val="24"/>
          <w:szCs w:val="22"/>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BG NIR.</w:t>
      </w:r>
    </w:p>
    <w:p w:rsidR="003C43BF" w:rsidRDefault="006C3212">
      <w:pPr>
        <w:pStyle w:val="Heading6"/>
        <w:numPr>
          <w:ilvl w:val="0"/>
          <w:numId w:val="0"/>
        </w:numPr>
        <w:rPr>
          <w:noProof/>
          <w:szCs w:val="24"/>
        </w:rPr>
      </w:pPr>
      <w:r>
        <w:rPr>
          <w:noProof/>
          <w:szCs w:val="24"/>
        </w:rPr>
        <w:t>Infrastructure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BG NIR.</w:t>
      </w:r>
    </w:p>
    <w:p w:rsidR="003C43BF" w:rsidRDefault="003C43BF">
      <w:pPr>
        <w:tabs>
          <w:tab w:val="left" w:pos="360"/>
        </w:tabs>
        <w:rPr>
          <w:rFonts w:ascii="Times New Roman" w:hAnsi="Times New Roman" w:cs="Times New Roman"/>
          <w:noProof/>
          <w:sz w:val="24"/>
          <w:lang w:val="en-IE"/>
        </w:rPr>
      </w:pPr>
    </w:p>
    <w:p w:rsidR="003C43BF" w:rsidRDefault="006C3212">
      <w:pPr>
        <w:pStyle w:val="Heading5"/>
        <w:ind w:left="1701"/>
        <w:rPr>
          <w:rStyle w:val="Heading4Char"/>
          <w:rFonts w:ascii="Times New Roman" w:hAnsi="Times New Roman" w:cs="Times New Roman"/>
          <w:i/>
          <w:iCs/>
          <w:noProof/>
          <w:sz w:val="24"/>
          <w:lang w:val="en-IE"/>
        </w:rPr>
      </w:pPr>
      <w:r>
        <w:rPr>
          <w:rStyle w:val="CommentReference"/>
          <w:rFonts w:ascii="Times New Roman" w:hAnsi="Times New Roman" w:cs="Times New Roman"/>
          <w:noProof/>
          <w:sz w:val="24"/>
          <w:szCs w:val="22"/>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BG NIR reported 164,077 LPG vehicles in 2018. The </w:t>
      </w:r>
      <w:r>
        <w:rPr>
          <w:rFonts w:ascii="Times New Roman" w:hAnsi="Times New Roman" w:cs="Times New Roman"/>
          <w:noProof/>
          <w:sz w:val="24"/>
          <w:lang w:val="en-IE"/>
        </w:rPr>
        <w:t>majority of those are passenger cars (157,440), but 6,603 LCVs and 34 buses and coaches were also recorded. This represents a 17% increase compared to the data provided in the NPF for 2016. The NIR does not contain any future estimates for LPG vehicles.</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w:t>
      </w:r>
      <w:r>
        <w:rPr>
          <w:rFonts w:ascii="Times New Roman" w:hAnsi="Times New Roman" w:cs="Times New Roman"/>
          <w:noProof/>
          <w:sz w:val="24"/>
          <w:lang w:val="en-IE"/>
        </w:rPr>
        <w:t xml:space="preserve">nce there are no LPG vehicle estimates,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BG NIR does not provide any past or future information concerning LPG infrastructure, thus the past total numbers of LPG refuelling points ha</w:t>
      </w:r>
      <w:r>
        <w:rPr>
          <w:rFonts w:ascii="Times New Roman" w:hAnsi="Times New Roman" w:cs="Times New Roman"/>
          <w:noProof/>
          <w:sz w:val="24"/>
          <w:lang w:val="en-IE"/>
        </w:rPr>
        <w:t>ve been taken from EAFO.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there are no </w:t>
      </w:r>
      <w:r>
        <w:rPr>
          <w:rFonts w:ascii="Times New Roman" w:hAnsi="Times New Roman" w:cs="Times New Roman"/>
          <w:iCs/>
          <w:noProof/>
          <w:color w:val="000000" w:themeColor="text1"/>
          <w:sz w:val="24"/>
          <w:lang w:val="en-IE"/>
        </w:rPr>
        <w:t>LPG refuelling points targets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BG NIR, the following table shows the ratio between vehicles and publicly accessible refuelling points (i.e. sufficiency index) for the pair LPG/road. </w:t>
      </w:r>
    </w:p>
    <w:p w:rsidR="003C43BF" w:rsidRDefault="006C3212">
      <w:pPr>
        <w:tabs>
          <w:tab w:val="left" w:pos="360"/>
        </w:tabs>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006340" cy="3810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6340" cy="381000"/>
                    </a:xfrm>
                    <a:prstGeom prst="rect">
                      <a:avLst/>
                    </a:prstGeom>
                    <a:noFill/>
                    <a:ln>
                      <a:noFill/>
                    </a:ln>
                  </pic:spPr>
                </pic:pic>
              </a:graphicData>
            </a:graphic>
          </wp:inline>
        </w:drawing>
      </w:r>
    </w:p>
    <w:p w:rsidR="003C43BF" w:rsidRDefault="006C3212">
      <w:pPr>
        <w:tabs>
          <w:tab w:val="left" w:pos="360"/>
        </w:tabs>
        <w:rPr>
          <w:rFonts w:ascii="Times New Roman" w:hAnsi="Times New Roman" w:cs="Times New Roman"/>
          <w:noProof/>
          <w:sz w:val="20"/>
          <w:szCs w:val="18"/>
          <w:lang w:val="en-IE"/>
        </w:rPr>
      </w:pPr>
      <w:r>
        <w:rPr>
          <w:rFonts w:ascii="Times New Roman" w:hAnsi="Times New Roman" w:cs="Times New Roman"/>
          <w:noProof/>
          <w:sz w:val="20"/>
          <w:szCs w:val="18"/>
          <w:lang w:val="en-IE"/>
        </w:rPr>
        <w:t>* Values of CNG AFI taken from EAFO (absent in NIR)</w:t>
      </w:r>
    </w:p>
    <w:p w:rsidR="003C43BF" w:rsidRDefault="003C43BF">
      <w:pPr>
        <w:rPr>
          <w:rStyle w:val="Heading4Char"/>
          <w:rFonts w:ascii="Times New Roman" w:hAnsi="Times New Roman" w:cs="Times New Roman"/>
          <w:iCs/>
          <w:noProof/>
          <w:color w:val="1F4D78" w:themeColor="accent1" w:themeShade="7F"/>
          <w:sz w:val="24"/>
          <w:lang w:val="en-IE"/>
        </w:rPr>
      </w:pPr>
    </w:p>
    <w:p w:rsidR="003C43BF" w:rsidRDefault="006C3212">
      <w:pPr>
        <w:pStyle w:val="Heading4"/>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Rail transport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w:t>
      </w:r>
      <w:r>
        <w:rPr>
          <w:rFonts w:ascii="Times New Roman" w:hAnsi="Times New Roman" w:cs="Times New Roman"/>
          <w:noProof/>
          <w:sz w:val="24"/>
          <w:lang w:val="en-IE"/>
        </w:rPr>
        <w:t>ailable in the Bulgarian NIR.</w:t>
      </w:r>
    </w:p>
    <w:p w:rsidR="003C43BF" w:rsidRDefault="003C43BF">
      <w:pPr>
        <w:tabs>
          <w:tab w:val="left" w:pos="360"/>
        </w:tabs>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Bulgarian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According to the BG NIR, shore-side electricity supply and the relevant infrastructure are available for pu</w:t>
      </w:r>
      <w:r>
        <w:rPr>
          <w:rFonts w:ascii="Times New Roman" w:hAnsi="Times New Roman" w:cs="Times New Roman"/>
          <w:noProof/>
          <w:sz w:val="24"/>
          <w:lang w:val="en-IE"/>
        </w:rPr>
        <w:t>blic transport in the maritime ports that are part of the TEN-T Core and Comprehensive Networks. A slight increase in the provision of service is observed in maritime ports in the period 2016-2018.</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_Ref52787253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5.2.3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that the number of recharging points providing shore-side electricity supply at the Bulgarian maritime ports is 172 in 2018 albeit it is not evident from the NIR which kind of ships can be supplied with these supply points. Neither the NIR nor the N</w:t>
      </w:r>
      <w:r>
        <w:rPr>
          <w:rFonts w:ascii="Times New Roman" w:hAnsi="Times New Roman" w:cs="Times New Roman"/>
          <w:noProof/>
          <w:sz w:val="24"/>
          <w:lang w:val="en-IE"/>
        </w:rPr>
        <w:t>PF provided targets for the period 2020-2030.</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Bulgarian NIR mentions that Bulgarian ports have an obsolete infrastructure for shore-side electricity supply that needs modernising. The state-owned Bulgarian Ports Infrastructure Company has taken steps t</w:t>
      </w:r>
      <w:r>
        <w:rPr>
          <w:rFonts w:ascii="Times New Roman" w:hAnsi="Times New Roman" w:cs="Times New Roman"/>
          <w:noProof/>
          <w:sz w:val="24"/>
          <w:lang w:val="en-IE"/>
        </w:rPr>
        <w:t>o examine the condition of the electricity supply network for seagoing vessels at the ports of Varna and Burgas.</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there are no </w:t>
      </w:r>
      <w:r>
        <w:rPr>
          <w:rFonts w:ascii="Times New Roman" w:hAnsi="Times New Roman" w:cs="Times New Roman"/>
          <w:iCs/>
          <w:noProof/>
          <w:color w:val="000000" w:themeColor="text1"/>
          <w:sz w:val="24"/>
          <w:lang w:val="en-IE"/>
        </w:rPr>
        <w:t>targets for shore-side electricity supply for seagoing ships in maritime ports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w:t>
      </w:r>
      <w:r>
        <w:rPr>
          <w:rFonts w:ascii="Times New Roman" w:hAnsi="Times New Roman" w:cs="Times New Roman"/>
          <w:noProof/>
          <w:sz w:val="24"/>
          <w:lang w:val="en-IE"/>
        </w:rPr>
        <w:t>e computed.</w:t>
      </w:r>
    </w:p>
    <w:p w:rsidR="003C43BF" w:rsidRDefault="006C3212">
      <w:pPr>
        <w:pStyle w:val="Heading5"/>
        <w:ind w:left="1701"/>
        <w:rPr>
          <w:rFonts w:ascii="Times New Roman" w:hAnsi="Times New Roman" w:cs="Times New Roman"/>
          <w:noProof/>
          <w:sz w:val="24"/>
          <w:lang w:val="en-IE"/>
        </w:rPr>
      </w:pPr>
      <w:r>
        <w:rP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BG NIR.</w:t>
      </w:r>
    </w:p>
    <w:p w:rsidR="003C43BF" w:rsidRDefault="006C3212">
      <w:pPr>
        <w:pStyle w:val="Heading6"/>
        <w:numPr>
          <w:ilvl w:val="0"/>
          <w:numId w:val="0"/>
        </w:numPr>
        <w:rPr>
          <w:noProof/>
        </w:rPr>
      </w:pPr>
      <w:r>
        <w:rPr>
          <w:noProof/>
        </w:rPr>
        <w:t>Infrastructure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BG NIR.</w:t>
      </w:r>
    </w:p>
    <w:p w:rsidR="003C43BF" w:rsidRDefault="003C43BF">
      <w:pPr>
        <w:rPr>
          <w:rFonts w:ascii="Times New Roman" w:hAnsi="Times New Roman" w:cs="Times New Roman"/>
          <w:noProof/>
          <w:sz w:val="24"/>
          <w:lang w:val="en-IE"/>
        </w:rPr>
      </w:pPr>
    </w:p>
    <w:p w:rsidR="003C43BF" w:rsidRDefault="006C3212">
      <w:pPr>
        <w:pStyle w:val="Heading5"/>
        <w:ind w:left="1701"/>
        <w:rPr>
          <w:rFonts w:ascii="Times New Roman" w:hAnsi="Times New Roman" w:cs="Times New Roman"/>
          <w:noProof/>
          <w:sz w:val="24"/>
          <w:lang w:val="en-IE"/>
        </w:rPr>
      </w:pPr>
      <w:r>
        <w:rPr>
          <w:rFonts w:ascii="Times New Roman" w:hAnsi="Times New Roman" w:cs="Times New Roman"/>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BG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NIR mentions that the state-owned company “</w:t>
      </w:r>
      <w:r>
        <w:rPr>
          <w:rFonts w:ascii="Times New Roman" w:hAnsi="Times New Roman" w:cs="Times New Roman"/>
          <w:i/>
          <w:noProof/>
          <w:sz w:val="24"/>
          <w:lang w:val="en-IE"/>
        </w:rPr>
        <w:t>Bulgarian Ports Infrastructure</w:t>
      </w:r>
      <w:r>
        <w:rPr>
          <w:rFonts w:ascii="Times New Roman" w:hAnsi="Times New Roman" w:cs="Times New Roman"/>
          <w:noProof/>
          <w:sz w:val="24"/>
          <w:lang w:val="en-IE"/>
        </w:rPr>
        <w:t>” continues to explore possibilities for securing funding, using various EU programmes, for the construction of a hydrogen refuelling station at the port of Burgas.</w:t>
      </w:r>
    </w:p>
    <w:p w:rsidR="003C43BF" w:rsidRDefault="003C43BF">
      <w:pPr>
        <w:rPr>
          <w:rStyle w:val="Heading4Char"/>
          <w:rFonts w:ascii="Times New Roman" w:hAnsi="Times New Roman" w:cs="Times New Roman"/>
          <w:i/>
          <w:iCs/>
          <w:noProof/>
          <w:color w:val="1F4D78" w:themeColor="accent1" w:themeShade="7F"/>
          <w:sz w:val="24"/>
          <w:lang w:val="en-IE"/>
        </w:rPr>
      </w:pPr>
    </w:p>
    <w:p w:rsidR="003C43BF" w:rsidRDefault="006C3212">
      <w:pPr>
        <w:pStyle w:val="Heading4"/>
        <w:ind w:left="1134"/>
        <w:rPr>
          <w:rStyle w:val="CommentReference"/>
          <w:rFonts w:ascii="Times New Roman" w:hAnsi="Times New Roman" w:cs="Times New Roman"/>
          <w:noProof/>
          <w:sz w:val="24"/>
          <w:szCs w:val="22"/>
          <w:lang w:val="en-IE"/>
        </w:rPr>
      </w:pPr>
      <w:r>
        <w:rPr>
          <w:rFonts w:ascii="Times New Roman" w:hAnsi="Times New Roman" w:cs="Times New Roman"/>
          <w:noProof/>
          <w:sz w:val="24"/>
          <w:lang w:val="en-IE"/>
        </w:rPr>
        <w:t xml:space="preserve">Waterborne transport </w:t>
      </w:r>
      <w:r>
        <w:rPr>
          <w:rStyle w:val="CommentReference"/>
          <w:rFonts w:ascii="Times New Roman" w:hAnsi="Times New Roman" w:cs="Times New Roman"/>
          <w:noProof/>
          <w:sz w:val="24"/>
          <w:szCs w:val="22"/>
          <w:lang w:val="en-IE"/>
        </w:rPr>
        <w:t>(inland)</w:t>
      </w:r>
    </w:p>
    <w:p w:rsidR="003C43BF" w:rsidRDefault="006C3212">
      <w:pPr>
        <w:pStyle w:val="Heading5"/>
        <w:ind w:left="1701"/>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tabs>
          <w:tab w:val="left" w:pos="360"/>
        </w:tabs>
        <w:rPr>
          <w:rFonts w:ascii="Times New Roman" w:hAnsi="Times New Roman" w:cs="Times New Roman"/>
          <w:noProof/>
          <w:sz w:val="24"/>
          <w:lang w:val="en-IE"/>
        </w:rPr>
      </w:pPr>
      <w:r>
        <w:rPr>
          <w:rFonts w:ascii="Times New Roman" w:hAnsi="Times New Roman" w:cs="Times New Roman"/>
          <w:noProof/>
          <w:sz w:val="24"/>
          <w:lang w:val="en-IE"/>
        </w:rPr>
        <w:t xml:space="preserve">The Bulgarian NIR does not provide any details on this matter. </w:t>
      </w:r>
    </w:p>
    <w:p w:rsidR="003C43BF" w:rsidRDefault="006C3212">
      <w:pPr>
        <w:pStyle w:val="Heading6"/>
        <w:numPr>
          <w:ilvl w:val="0"/>
          <w:numId w:val="0"/>
        </w:numPr>
        <w:rPr>
          <w:rStyle w:val="Heading4Char"/>
          <w:rFonts w:ascii="Times New Roman" w:hAnsi="Times New Roman" w:cs="Times New Roman"/>
          <w:i w:val="0"/>
          <w:iCs/>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According to the NIR, shore-side electricity supply and the relevant infrastructure are available in inland waterway ports that are part of the TEN-T Core and Comprehensive Netw</w:t>
      </w:r>
      <w:r>
        <w:rPr>
          <w:rFonts w:ascii="Times New Roman" w:hAnsi="Times New Roman" w:cs="Times New Roman"/>
          <w:noProof/>
          <w:sz w:val="24"/>
          <w:lang w:val="en-IE"/>
        </w:rPr>
        <w:t xml:space="preserve">orks.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_Ref52787253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5.2.3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the number of recharging points providing shore-side electricity supply at the Bulgarian inland ports is 90 albeit it is </w:t>
      </w:r>
      <w:r>
        <w:rPr>
          <w:rFonts w:ascii="Times New Roman" w:hAnsi="Times New Roman" w:cs="Times New Roman"/>
          <w:noProof/>
          <w:sz w:val="24"/>
          <w:lang w:val="en-IE"/>
        </w:rPr>
        <w:t>not evident from the NIR which kind of ships can be supplied with these supply points. Neither the NIR nor in the NPF provided targets.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there are no targets for shore-side electricity supply for inland waterway vessels in inland ports, the 2018 </w:t>
      </w:r>
      <w:r>
        <w:rPr>
          <w:rFonts w:ascii="Times New Roman" w:hAnsi="Times New Roman" w:cs="Times New Roman"/>
          <w:b/>
          <w:i/>
          <w:noProof/>
          <w:sz w:val="24"/>
          <w:lang w:val="en-IE"/>
        </w:rPr>
        <w:t>attai</w:t>
      </w:r>
      <w:r>
        <w:rPr>
          <w:rFonts w:ascii="Times New Roman" w:hAnsi="Times New Roman" w:cs="Times New Roman"/>
          <w:b/>
          <w:i/>
          <w:noProof/>
          <w:sz w:val="24"/>
          <w:lang w:val="en-IE"/>
        </w:rPr>
        <w:t>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3C43BF">
      <w:pPr>
        <w:tabs>
          <w:tab w:val="left" w:pos="360"/>
        </w:tabs>
        <w:rPr>
          <w:rFonts w:ascii="Times New Roman" w:hAnsi="Times New Roman" w:cs="Times New Roman"/>
          <w:noProof/>
          <w:sz w:val="24"/>
          <w:lang w:val="en-IE"/>
        </w:rPr>
      </w:pPr>
    </w:p>
    <w:p w:rsidR="003C43BF" w:rsidRDefault="006C3212">
      <w:pPr>
        <w:pStyle w:val="Heading4"/>
        <w:ind w:left="1134"/>
        <w:rPr>
          <w:rFonts w:ascii="Times New Roman" w:hAnsi="Times New Roman" w:cs="Times New Roman"/>
          <w:noProof/>
          <w:sz w:val="24"/>
          <w:lang w:val="en-IE"/>
        </w:rPr>
      </w:pPr>
      <w:r>
        <w:rPr>
          <w:rFonts w:ascii="Times New Roman" w:hAnsi="Times New Roman" w:cs="Times New Roman"/>
          <w:noProof/>
          <w:sz w:val="24"/>
          <w:lang w:val="en-IE"/>
        </w:rPr>
        <w:t xml:space="preserve">Air transport </w:t>
      </w:r>
    </w:p>
    <w:p w:rsidR="003C43BF" w:rsidRDefault="006C3212">
      <w:pPr>
        <w:pStyle w:val="Heading5"/>
        <w:ind w:left="1701"/>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Bulgarian NIR does not provide any details on the deployment of hybrid-electric or fully-electric airplanes.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 (for stationary 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 the period 2016-2018, Sofia airport in the TEN-T Core Network provided power supply and air-conditioned from stationary facilities installed at 6 passenger sleeves at Terminal 2. The NIR mentions that a new boarding sleeve will be delivered in 2021. For</w:t>
      </w:r>
      <w:r>
        <w:rPr>
          <w:rFonts w:ascii="Times New Roman" w:hAnsi="Times New Roman" w:cs="Times New Roman"/>
          <w:noProof/>
          <w:sz w:val="24"/>
          <w:lang w:val="en-IE"/>
        </w:rPr>
        <w:t xml:space="preserve"> airplanes serviced at Terminal 1 and for those not using Fixed Ground Power supply at Terminal 2, ground service operators provide upon request diesel-powered Ground Power Units. Sofia Airport has three recharging stations for electric vehicles (&lt;22 kW) n</w:t>
      </w:r>
      <w:r>
        <w:rPr>
          <w:rFonts w:ascii="Times New Roman" w:hAnsi="Times New Roman" w:cs="Times New Roman"/>
          <w:noProof/>
          <w:sz w:val="24"/>
          <w:lang w:val="en-IE"/>
        </w:rPr>
        <w:t xml:space="preserve">ear Terminal 2.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Bulgarian NIR provides information about electric vehicles and recharging infrastructure in the airports in the TEN-T Comprehensive Network (Plovdiv, Varna and Burgas), although it does not contain information about electricity supply </w:t>
      </w:r>
      <w:r>
        <w:rPr>
          <w:rFonts w:ascii="Times New Roman" w:hAnsi="Times New Roman" w:cs="Times New Roman"/>
          <w:noProof/>
          <w:sz w:val="24"/>
          <w:lang w:val="en-IE"/>
        </w:rPr>
        <w:t>for stationary airplanes in these airports.</w:t>
      </w:r>
    </w:p>
    <w:p w:rsidR="003C43BF" w:rsidRDefault="006C3212">
      <w:pPr>
        <w:pStyle w:val="Heading5"/>
        <w:ind w:left="1701"/>
        <w:rPr>
          <w:rFonts w:ascii="Times New Roman" w:hAnsi="Times New Roman" w:cs="Times New Roman"/>
          <w:noProof/>
          <w:sz w:val="24"/>
          <w:lang w:val="en-IE"/>
        </w:rPr>
      </w:pPr>
      <w:r>
        <w:rP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on flights / airplanes powered by biofuels is unavailable in the Bulgarian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There is no reference to the need for renewable jet fuel refuelling points in airports</w:t>
      </w:r>
      <w:r>
        <w:rPr>
          <w:rFonts w:ascii="Times New Roman" w:hAnsi="Times New Roman" w:cs="Times New Roman"/>
          <w:noProof/>
          <w:sz w:val="24"/>
          <w:lang w:val="en-IE"/>
        </w:rPr>
        <w:t xml:space="preserve"> within the TEN-T Core Network in the Bulgarian NIR.</w:t>
      </w:r>
    </w:p>
    <w:p w:rsidR="003C43BF" w:rsidRDefault="006C3212">
      <w:pPr>
        <w:pStyle w:val="Heading3"/>
        <w:ind w:left="720"/>
        <w:rPr>
          <w:rFonts w:ascii="Times New Roman" w:hAnsi="Times New Roman" w:cs="Times New Roman"/>
          <w:noProof/>
          <w:sz w:val="24"/>
          <w:lang w:val="en-IE"/>
        </w:rPr>
      </w:pPr>
      <w:bookmarkStart w:id="64" w:name="_Toc55301743"/>
      <w:bookmarkStart w:id="65" w:name="_Toc56944102"/>
      <w:r>
        <w:rPr>
          <w:rFonts w:ascii="Times New Roman" w:hAnsi="Times New Roman" w:cs="Times New Roman"/>
          <w:noProof/>
          <w:sz w:val="24"/>
          <w:lang w:val="en-IE"/>
        </w:rPr>
        <w:t>Measures assessment</w:t>
      </w:r>
      <w:bookmarkEnd w:id="64"/>
      <w:bookmarkEnd w:id="65"/>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b/>
          <w:noProof/>
          <w:sz w:val="24"/>
          <w:lang w:val="en-IE"/>
        </w:rPr>
      </w:pPr>
      <w:r>
        <w:rPr>
          <w:rFonts w:ascii="Times New Roman" w:hAnsi="Times New Roman" w:cs="Times New Roman"/>
          <w:iCs/>
          <w:noProof/>
          <w:sz w:val="24"/>
          <w:lang w:val="en-IE"/>
        </w:rPr>
        <w:t>The Bulgarian NIR presents the measures put in place, adopted and under consideration in the period 2016 – 2018. The majority of these measures focus on electro-mobility and hydrogen</w:t>
      </w:r>
      <w:r>
        <w:rPr>
          <w:rFonts w:ascii="Times New Roman" w:hAnsi="Times New Roman" w:cs="Times New Roman"/>
          <w:iCs/>
          <w:noProof/>
          <w:sz w:val="24"/>
          <w:lang w:val="en-IE"/>
        </w:rPr>
        <w:t xml:space="preserve"> for road transport.</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Bulgarian NIR contains seven</w:t>
      </w:r>
      <w:r>
        <w:rPr>
          <w:rStyle w:val="FootnoteReference"/>
          <w:rFonts w:ascii="Times New Roman" w:hAnsi="Times New Roman" w:cs="Times New Roman"/>
          <w:noProof/>
          <w:sz w:val="24"/>
          <w:lang w:val="en-IE"/>
        </w:rPr>
        <w:footnoteReference w:id="10"/>
      </w:r>
      <w:r>
        <w:rPr>
          <w:rFonts w:ascii="Times New Roman" w:hAnsi="Times New Roman" w:cs="Times New Roman"/>
          <w:noProof/>
          <w:sz w:val="24"/>
          <w:lang w:val="en-IE"/>
        </w:rPr>
        <w:t xml:space="preserve"> legal measures, which have been implemented at national level during the reporting period. These measures are required for the transposition of European Directives to the Bulgarian legi</w:t>
      </w:r>
      <w:r>
        <w:rPr>
          <w:rFonts w:ascii="Times New Roman" w:hAnsi="Times New Roman" w:cs="Times New Roman"/>
          <w:noProof/>
          <w:sz w:val="24"/>
          <w:lang w:val="en-IE"/>
        </w:rPr>
        <w:t xml:space="preserve">slation. The level of ambition of the legal measures remains constant between NPF and the implementation report.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shows that Bulgaria has progressed with the transposition of Directive 2014/94/EU, regarding the legal framew</w:t>
      </w:r>
      <w:r>
        <w:rPr>
          <w:rFonts w:ascii="Times New Roman" w:hAnsi="Times New Roman" w:cs="Times New Roman"/>
          <w:noProof/>
          <w:sz w:val="24"/>
          <w:lang w:val="en-IE"/>
        </w:rPr>
        <w:t>ork for electric vehicles recharging points. The requirement that shore-side electricity supply for maritime transport, deployed or updated after 18 November 2017, should comply with the technical specifications laid out in the Directive 2014/94/EU is tran</w:t>
      </w:r>
      <w:r>
        <w:rPr>
          <w:rFonts w:ascii="Times New Roman" w:hAnsi="Times New Roman" w:cs="Times New Roman"/>
          <w:noProof/>
          <w:sz w:val="24"/>
          <w:lang w:val="en-IE"/>
        </w:rPr>
        <w:t>sposed in Bulgarian law by its inclusion in “</w:t>
      </w:r>
      <w:r>
        <w:rPr>
          <w:rFonts w:ascii="Times New Roman" w:hAnsi="Times New Roman" w:cs="Times New Roman"/>
          <w:i/>
          <w:noProof/>
          <w:sz w:val="24"/>
          <w:lang w:val="en-IE"/>
        </w:rPr>
        <w:t>Ordinance No 9 on the requirements for operability of ports and specialised port facilities</w:t>
      </w:r>
      <w:r>
        <w:rPr>
          <w:rFonts w:ascii="Times New Roman" w:hAnsi="Times New Roman" w:cs="Times New Roman"/>
          <w:noProof/>
          <w:sz w:val="24"/>
          <w:lang w:val="en-IE"/>
        </w:rPr>
        <w:t>”. In addition, an “</w:t>
      </w:r>
      <w:r>
        <w:rPr>
          <w:rFonts w:ascii="Times New Roman" w:hAnsi="Times New Roman" w:cs="Times New Roman"/>
          <w:i/>
          <w:noProof/>
          <w:sz w:val="24"/>
          <w:lang w:val="en-IE"/>
        </w:rPr>
        <w:t>Ordinance on the conditions and procedures for designing, construction and commissioning into operat</w:t>
      </w:r>
      <w:r>
        <w:rPr>
          <w:rFonts w:ascii="Times New Roman" w:hAnsi="Times New Roman" w:cs="Times New Roman"/>
          <w:i/>
          <w:noProof/>
          <w:sz w:val="24"/>
          <w:lang w:val="en-IE"/>
        </w:rPr>
        <w:t>ion of hydrogen refuelling stations</w:t>
      </w:r>
      <w:r>
        <w:rPr>
          <w:rFonts w:ascii="Times New Roman" w:hAnsi="Times New Roman" w:cs="Times New Roman"/>
          <w:noProof/>
          <w:sz w:val="24"/>
          <w:lang w:val="en-IE"/>
        </w:rPr>
        <w:t xml:space="preserve">” was in the process of being adopted.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Bulgarian NIR does not contain any information on legislative and regulatory measures for LNG.</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2019, the Bulgarian “</w:t>
      </w:r>
      <w:r>
        <w:rPr>
          <w:rFonts w:ascii="Times New Roman" w:hAnsi="Times New Roman" w:cs="Times New Roman"/>
          <w:i/>
          <w:noProof/>
          <w:sz w:val="24"/>
          <w:lang w:val="en-IE"/>
        </w:rPr>
        <w:t>Ordinance on sustainability criteria for bi</w:t>
      </w:r>
      <w:r>
        <w:rPr>
          <w:rFonts w:ascii="Times New Roman" w:hAnsi="Times New Roman" w:cs="Times New Roman"/>
          <w:i/>
          <w:noProof/>
          <w:sz w:val="24"/>
          <w:lang w:val="en-IE"/>
        </w:rPr>
        <w:t>ofuels and bio liquids</w:t>
      </w:r>
      <w:r>
        <w:rPr>
          <w:rFonts w:ascii="Times New Roman" w:hAnsi="Times New Roman" w:cs="Times New Roman"/>
          <w:noProof/>
          <w:sz w:val="24"/>
          <w:lang w:val="en-IE"/>
        </w:rPr>
        <w:t>” was amended and a calculation methodology for greenhouse gas emission reduction throughout the whole life cycle of biofuels was set out, transposing Directive 2015/1513/EU.</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policy measures listed in the </w:t>
      </w:r>
      <w:r>
        <w:rPr>
          <w:rFonts w:ascii="Times New Roman" w:hAnsi="Times New Roman" w:cs="Times New Roman"/>
          <w:noProof/>
          <w:sz w:val="24"/>
          <w:lang w:val="en-IE"/>
        </w:rPr>
        <w:t>Bulgarian national implementation report comprise both strategic plans in support of the implementation of the NPF and supporting measures for development of electro-mobility. Although the level of ambition of AF vehicle estimates and infrastructure target</w:t>
      </w:r>
      <w:r>
        <w:rPr>
          <w:rFonts w:ascii="Times New Roman" w:hAnsi="Times New Roman" w:cs="Times New Roman"/>
          <w:noProof/>
          <w:sz w:val="24"/>
          <w:lang w:val="en-IE"/>
        </w:rPr>
        <w:t>s has decreased between NPF and NIR, in terms of measures it has instead increased in the NIR compared to the NPF, in particular for electricity and hydrogen.</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Bulgarian NIR mentions two strategic docum</w:t>
      </w:r>
      <w:r>
        <w:rPr>
          <w:rFonts w:ascii="Times New Roman" w:hAnsi="Times New Roman" w:cs="Times New Roman"/>
          <w:noProof/>
          <w:sz w:val="24"/>
          <w:lang w:val="en-IE"/>
        </w:rPr>
        <w:t>ents, supporting the use of alternative fuels in transport. The first one is the “</w:t>
      </w:r>
      <w:r>
        <w:rPr>
          <w:rFonts w:ascii="Times New Roman" w:hAnsi="Times New Roman" w:cs="Times New Roman"/>
          <w:i/>
          <w:noProof/>
          <w:sz w:val="24"/>
          <w:lang w:val="en-IE"/>
        </w:rPr>
        <w:t>Integrated Transport Strategy until 2030</w:t>
      </w:r>
      <w:r>
        <w:rPr>
          <w:rFonts w:ascii="Times New Roman" w:hAnsi="Times New Roman" w:cs="Times New Roman"/>
          <w:noProof/>
          <w:sz w:val="24"/>
          <w:lang w:val="en-IE"/>
        </w:rPr>
        <w:t>”, approved in 2017, which includes a measure on the ‘</w:t>
      </w:r>
      <w:r>
        <w:rPr>
          <w:rFonts w:ascii="Times New Roman" w:hAnsi="Times New Roman" w:cs="Times New Roman"/>
          <w:i/>
          <w:noProof/>
          <w:sz w:val="24"/>
          <w:lang w:val="en-IE"/>
        </w:rPr>
        <w:t>Promotion of the use of biofuels and other renewable fuels in transport</w:t>
      </w:r>
      <w:r>
        <w:rPr>
          <w:rFonts w:ascii="Times New Roman" w:hAnsi="Times New Roman" w:cs="Times New Roman"/>
          <w:noProof/>
          <w:sz w:val="24"/>
          <w:lang w:val="en-IE"/>
        </w:rPr>
        <w:t>’ in orde</w:t>
      </w:r>
      <w:r>
        <w:rPr>
          <w:rFonts w:ascii="Times New Roman" w:hAnsi="Times New Roman" w:cs="Times New Roman"/>
          <w:noProof/>
          <w:sz w:val="24"/>
          <w:lang w:val="en-IE"/>
        </w:rPr>
        <w:t>r to achieve the strategic priority ‘</w:t>
      </w:r>
      <w:r>
        <w:rPr>
          <w:rFonts w:ascii="Times New Roman" w:hAnsi="Times New Roman" w:cs="Times New Roman"/>
          <w:i/>
          <w:noProof/>
          <w:sz w:val="24"/>
          <w:lang w:val="en-IE"/>
        </w:rPr>
        <w:t>Reduction of the fuel consumption and increasing the energy efficiency of transport</w:t>
      </w:r>
      <w:r>
        <w:rPr>
          <w:rFonts w:ascii="Times New Roman" w:hAnsi="Times New Roman" w:cs="Times New Roman"/>
          <w:noProof/>
          <w:sz w:val="24"/>
          <w:lang w:val="en-IE"/>
        </w:rPr>
        <w:t>’. The second document is the “</w:t>
      </w:r>
      <w:r>
        <w:rPr>
          <w:rFonts w:ascii="Times New Roman" w:hAnsi="Times New Roman" w:cs="Times New Roman"/>
          <w:i/>
          <w:noProof/>
          <w:sz w:val="24"/>
          <w:lang w:val="en-IE"/>
        </w:rPr>
        <w:t>draft Integrated National Energy and Climate Plan of the Republic of Bulgaria until 2030</w:t>
      </w:r>
      <w:r>
        <w:rPr>
          <w:rFonts w:ascii="Times New Roman" w:hAnsi="Times New Roman" w:cs="Times New Roman"/>
          <w:noProof/>
          <w:sz w:val="24"/>
          <w:lang w:val="en-IE"/>
        </w:rPr>
        <w:t>”, developed in 2</w:t>
      </w:r>
      <w:r>
        <w:rPr>
          <w:rFonts w:ascii="Times New Roman" w:hAnsi="Times New Roman" w:cs="Times New Roman"/>
          <w:noProof/>
          <w:sz w:val="24"/>
          <w:lang w:val="en-IE"/>
        </w:rPr>
        <w:t xml:space="preserve">019.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Although not specifically mentioned in the NIR, it is understood that these documents are generally applicable to all transport modes.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For electric vehicles, the “</w:t>
      </w:r>
      <w:r>
        <w:rPr>
          <w:rFonts w:ascii="Times New Roman" w:hAnsi="Times New Roman" w:cs="Times New Roman"/>
          <w:i/>
          <w:noProof/>
          <w:sz w:val="24"/>
          <w:lang w:val="en-IE"/>
        </w:rPr>
        <w:t>draft Integrated National Energy and Climate Plan of the Republic of Bul</w:t>
      </w:r>
      <w:r>
        <w:rPr>
          <w:rFonts w:ascii="Times New Roman" w:hAnsi="Times New Roman" w:cs="Times New Roman"/>
          <w:i/>
          <w:noProof/>
          <w:sz w:val="24"/>
          <w:lang w:val="en-IE"/>
        </w:rPr>
        <w:t>garia</w:t>
      </w:r>
      <w:r>
        <w:rPr>
          <w:rFonts w:ascii="Times New Roman" w:hAnsi="Times New Roman" w:cs="Times New Roman"/>
          <w:noProof/>
          <w:sz w:val="24"/>
          <w:lang w:val="en-IE"/>
        </w:rPr>
        <w:t>” envisages that: ‘</w:t>
      </w:r>
      <w:r>
        <w:rPr>
          <w:rFonts w:ascii="Times New Roman" w:hAnsi="Times New Roman" w:cs="Times New Roman"/>
          <w:i/>
          <w:noProof/>
          <w:sz w:val="24"/>
          <w:lang w:val="en-IE"/>
        </w:rPr>
        <w:t>in view of promoting the development and deployment of electric mobility, obligations will be imposed on the local authorities to introduce within their programmes measured to make the use of electric transport mode more attractive.</w:t>
      </w:r>
      <w:r>
        <w:rPr>
          <w:rFonts w:ascii="Times New Roman" w:hAnsi="Times New Roman" w:cs="Times New Roman"/>
          <w:i/>
          <w:noProof/>
          <w:sz w:val="24"/>
          <w:lang w:val="en-IE"/>
        </w:rPr>
        <w:t xml:space="preserve"> Good practices, as tax reliefs, simplified access, reserved parking spaces for electric vehicles, will be promoted in view of their widespread implementation</w:t>
      </w:r>
      <w:r>
        <w:rPr>
          <w:rFonts w:ascii="Times New Roman" w:hAnsi="Times New Roman" w:cs="Times New Roman"/>
          <w:noProof/>
          <w:sz w:val="24"/>
          <w:lang w:val="en-IE"/>
        </w:rPr>
        <w: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2018, the “</w:t>
      </w:r>
      <w:r>
        <w:rPr>
          <w:rFonts w:ascii="Times New Roman" w:hAnsi="Times New Roman" w:cs="Times New Roman"/>
          <w:i/>
          <w:noProof/>
          <w:sz w:val="24"/>
          <w:lang w:val="en-IE"/>
        </w:rPr>
        <w:t>Ordinance setting out the procedure and the rate of product charges for motor veh</w:t>
      </w:r>
      <w:r>
        <w:rPr>
          <w:rFonts w:ascii="Times New Roman" w:hAnsi="Times New Roman" w:cs="Times New Roman"/>
          <w:i/>
          <w:noProof/>
          <w:sz w:val="24"/>
          <w:lang w:val="en-IE"/>
        </w:rPr>
        <w:t>icles</w:t>
      </w:r>
      <w:r>
        <w:rPr>
          <w:rFonts w:ascii="Times New Roman" w:hAnsi="Times New Roman" w:cs="Times New Roman"/>
          <w:noProof/>
          <w:sz w:val="24"/>
          <w:lang w:val="en-IE"/>
        </w:rPr>
        <w:t>” was amended, including a reduction of the product charge for new hybrid motor vehicles as well as for plug-in hybrid electric and fully electric cars and light commercial vehicles. The product charge for the latter shall be payable from 1 January 20</w:t>
      </w:r>
      <w:r>
        <w:rPr>
          <w:rFonts w:ascii="Times New Roman" w:hAnsi="Times New Roman" w:cs="Times New Roman"/>
          <w:noProof/>
          <w:sz w:val="24"/>
          <w:lang w:val="en-IE"/>
        </w:rPr>
        <w:t>22.</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w:t>
      </w:r>
      <w:r>
        <w:rPr>
          <w:rFonts w:ascii="Times New Roman" w:hAnsi="Times New Roman" w:cs="Times New Roman"/>
          <w:i/>
          <w:noProof/>
          <w:sz w:val="24"/>
          <w:lang w:val="en-IE"/>
        </w:rPr>
        <w:t>Climate Investment Programme of the National Trust Eco Fund</w:t>
      </w:r>
      <w:r>
        <w:rPr>
          <w:rFonts w:ascii="Times New Roman" w:hAnsi="Times New Roman" w:cs="Times New Roman"/>
          <w:noProof/>
          <w:sz w:val="24"/>
          <w:lang w:val="en-IE"/>
        </w:rPr>
        <w:t>” started in 2016 and provides funding support to public institutions in purchasing electric and plug-in hybrid vehicles. This measure was also present in the NPF. The programme runs on an</w:t>
      </w:r>
      <w:r>
        <w:rPr>
          <w:rFonts w:ascii="Times New Roman" w:hAnsi="Times New Roman" w:cs="Times New Roman"/>
          <w:noProof/>
          <w:sz w:val="24"/>
          <w:lang w:val="en-IE"/>
        </w:rPr>
        <w:t>nual calls for project proposals and the BG NIR declares that, as of 2018, 16 projects have been completed, 10 are being implemented and another three have signed the contract.</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Other transport modes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There are no measures concerning other transport modes (w</w:t>
      </w:r>
      <w:r>
        <w:rPr>
          <w:rFonts w:ascii="Times New Roman" w:hAnsi="Times New Roman" w:cs="Times New Roman"/>
          <w:noProof/>
          <w:sz w:val="24"/>
          <w:lang w:val="en-IE"/>
        </w:rPr>
        <w:t xml:space="preserve">ater, air and railway) in the Bulgarian implementation report.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all the policy measures described in the Bulgarian NIR, two can be categorised as measures aimed at promoting AFI in public transp</w:t>
      </w:r>
      <w:r>
        <w:rPr>
          <w:rFonts w:ascii="Times New Roman" w:hAnsi="Times New Roman" w:cs="Times New Roman"/>
          <w:noProof/>
          <w:sz w:val="24"/>
          <w:lang w:val="en-IE"/>
        </w:rPr>
        <w:t xml:space="preserve">ort services.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Within the Priority Axis “</w:t>
      </w:r>
      <w:r>
        <w:rPr>
          <w:rFonts w:ascii="Times New Roman" w:hAnsi="Times New Roman" w:cs="Times New Roman"/>
          <w:i/>
          <w:noProof/>
          <w:sz w:val="24"/>
          <w:lang w:val="en-IE"/>
        </w:rPr>
        <w:t>Improvement of Ambient Air Quality of the Operational Programme Environment 2014 – 2020</w:t>
      </w:r>
      <w:r>
        <w:rPr>
          <w:rFonts w:ascii="Times New Roman" w:hAnsi="Times New Roman" w:cs="Times New Roman"/>
          <w:noProof/>
          <w:sz w:val="24"/>
          <w:lang w:val="en-IE"/>
        </w:rPr>
        <w:t>”, also described in the NPF, a new procedure on ‘</w:t>
      </w:r>
      <w:r>
        <w:rPr>
          <w:rFonts w:ascii="Times New Roman" w:hAnsi="Times New Roman" w:cs="Times New Roman"/>
          <w:i/>
          <w:noProof/>
          <w:sz w:val="24"/>
          <w:lang w:val="en-IE"/>
        </w:rPr>
        <w:t>Measures for addressing transport as a source of ambient air pollution</w:t>
      </w:r>
      <w:r>
        <w:rPr>
          <w:rFonts w:ascii="Times New Roman" w:hAnsi="Times New Roman" w:cs="Times New Roman"/>
          <w:noProof/>
          <w:sz w:val="24"/>
          <w:lang w:val="en-IE"/>
        </w:rPr>
        <w:t>’ was an</w:t>
      </w:r>
      <w:r>
        <w:rPr>
          <w:rFonts w:ascii="Times New Roman" w:hAnsi="Times New Roman" w:cs="Times New Roman"/>
          <w:noProof/>
          <w:sz w:val="24"/>
          <w:lang w:val="en-IE"/>
        </w:rPr>
        <w:t>nounced in 2019. The procedure comprises two components: electric road buses and trolleybuses and electric rail tramways. With a budget of 500 million BGN, 11 Bulgarian municipalities were selected as beneficiaries of grant-projects for the provision of ve</w:t>
      </w:r>
      <w:r>
        <w:rPr>
          <w:rFonts w:ascii="Times New Roman" w:hAnsi="Times New Roman" w:cs="Times New Roman"/>
          <w:noProof/>
          <w:sz w:val="24"/>
          <w:lang w:val="en-IE"/>
        </w:rPr>
        <w:t>hicles and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other measure deals with the procurement of hydrogen buses for public transport. An overall budget of 150 million € is planned for the purchase of 50 hydrogen buses by three municipalities between 2020 and 2030.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noProof/>
          <w:sz w:val="24"/>
          <w:lang w:val="en-IE"/>
        </w:rPr>
        <w:t>Bulgarian NIR also reports about the investment programme of the ‘</w:t>
      </w:r>
      <w:r>
        <w:rPr>
          <w:rFonts w:ascii="Times New Roman" w:hAnsi="Times New Roman" w:cs="Times New Roman"/>
          <w:i/>
          <w:noProof/>
          <w:sz w:val="24"/>
          <w:lang w:val="en-IE"/>
        </w:rPr>
        <w:t>Sofia Public Electrical Transport Company EAD</w:t>
      </w:r>
      <w:r>
        <w:rPr>
          <w:rFonts w:ascii="Times New Roman" w:hAnsi="Times New Roman" w:cs="Times New Roman"/>
          <w:noProof/>
          <w:sz w:val="24"/>
          <w:lang w:val="en-IE"/>
        </w:rPr>
        <w:t>’ that envisages the acquisition of 30 fast-charging standard low-floor buses, out of which 20 buses are already into operation. Moreover, in the</w:t>
      </w:r>
      <w:r>
        <w:rPr>
          <w:rFonts w:ascii="Times New Roman" w:hAnsi="Times New Roman" w:cs="Times New Roman"/>
          <w:noProof/>
          <w:sz w:val="24"/>
          <w:lang w:val="en-IE"/>
        </w:rPr>
        <w:t xml:space="preserve"> period August 2017-August 2018 Sofia airport used a -leased from manufacturer- electric bus for passenger’s transfer between terminals and one electric bus is expected to be purchased and delivered at the airport at the end of 2020.</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w:t>
      </w:r>
      <w:r>
        <w:rPr>
          <w:rFonts w:ascii="Times New Roman" w:hAnsi="Times New Roman" w:cs="Times New Roman"/>
          <w:noProof/>
          <w:sz w:val="24"/>
          <w:lang w:val="en-IE"/>
        </w:rPr>
        <w:t>ote the deployment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Bulgarian NIR does not contain information on this matter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Bulgarian NIR contains six AFI deployment support measures, which represents an increase </w:t>
      </w:r>
      <w:r>
        <w:rPr>
          <w:rFonts w:ascii="Times New Roman" w:hAnsi="Times New Roman" w:cs="Times New Roman"/>
          <w:noProof/>
          <w:sz w:val="24"/>
          <w:lang w:val="en-IE"/>
        </w:rPr>
        <w:t>compared to the four measures identified in the NPF. Three of the six measures are exiting, two are adopted and one is under consideration. The measures cover recharging points, shore-side electricity supply and hydrogen infrastructure.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w:t>
      </w:r>
      <w:r>
        <w:rPr>
          <w:rFonts w:ascii="Times New Roman" w:hAnsi="Times New Roman" w:cs="Times New Roman"/>
          <w:noProof/>
          <w:sz w:val="24"/>
          <w:lang w:val="en-IE"/>
        </w:rPr>
        <w:t>2017, the “</w:t>
      </w:r>
      <w:r>
        <w:rPr>
          <w:rFonts w:ascii="Times New Roman" w:hAnsi="Times New Roman" w:cs="Times New Roman"/>
          <w:i/>
          <w:noProof/>
          <w:sz w:val="24"/>
          <w:lang w:val="en-IE"/>
        </w:rPr>
        <w:t>Central European Ultra Charging project</w:t>
      </w:r>
      <w:r>
        <w:rPr>
          <w:rFonts w:ascii="Times New Roman" w:hAnsi="Times New Roman" w:cs="Times New Roman"/>
          <w:noProof/>
          <w:sz w:val="24"/>
          <w:lang w:val="en-IE"/>
        </w:rPr>
        <w:t>” was funded under the CEF</w:t>
      </w:r>
      <w:r>
        <w:rPr>
          <w:rStyle w:val="FootnoteReference"/>
          <w:rFonts w:ascii="Times New Roman" w:hAnsi="Times New Roman" w:cs="Times New Roman"/>
          <w:noProof/>
          <w:sz w:val="24"/>
          <w:lang w:val="en-IE"/>
        </w:rPr>
        <w:footnoteReference w:id="11"/>
      </w:r>
      <w:r>
        <w:rPr>
          <w:rFonts w:ascii="Times New Roman" w:hAnsi="Times New Roman" w:cs="Times New Roman"/>
          <w:noProof/>
          <w:sz w:val="24"/>
          <w:lang w:val="en-IE"/>
        </w:rPr>
        <w:t>. In Bulgaria, four ultra-fast recharging points are planned to ensure cross-border connection to the main urban nodes of the TEN-T Core road Network.</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At the end of 2017, Sofia’s </w:t>
      </w:r>
      <w:r>
        <w:rPr>
          <w:rFonts w:ascii="Times New Roman" w:hAnsi="Times New Roman" w:cs="Times New Roman"/>
          <w:noProof/>
          <w:sz w:val="24"/>
          <w:lang w:val="en-IE"/>
        </w:rPr>
        <w:t>public electrical transport company “</w:t>
      </w:r>
      <w:r>
        <w:rPr>
          <w:rFonts w:ascii="Times New Roman" w:hAnsi="Times New Roman" w:cs="Times New Roman"/>
          <w:i/>
          <w:noProof/>
          <w:sz w:val="24"/>
          <w:lang w:val="en-IE"/>
        </w:rPr>
        <w:t>Stolichen Electrotransport EAD</w:t>
      </w:r>
      <w:r>
        <w:rPr>
          <w:rFonts w:ascii="Times New Roman" w:hAnsi="Times New Roman" w:cs="Times New Roman"/>
          <w:noProof/>
          <w:sz w:val="24"/>
          <w:lang w:val="en-IE"/>
        </w:rPr>
        <w:t>” adopted a plan for setting up six new electric bus lines, using fast charging technologies. Its investment programme envisages the installation of 12 recharging points at depots as well a</w:t>
      </w:r>
      <w:r>
        <w:rPr>
          <w:rFonts w:ascii="Times New Roman" w:hAnsi="Times New Roman" w:cs="Times New Roman"/>
          <w:noProof/>
          <w:sz w:val="24"/>
          <w:lang w:val="en-IE"/>
        </w:rPr>
        <w:t>s at the start and end stops of the bus lines.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According to the Bulgarian NIR, deployment and manufacturing support is planned to help the take up of hydrogen technologies in transport. The implementation, between 2020 and 2030, will start by the purchase </w:t>
      </w:r>
      <w:r>
        <w:rPr>
          <w:rFonts w:ascii="Times New Roman" w:hAnsi="Times New Roman" w:cs="Times New Roman"/>
          <w:noProof/>
          <w:sz w:val="24"/>
          <w:lang w:val="en-IE"/>
        </w:rPr>
        <w:t>of buses (see above) and the construction of the related infrastructure for hydrogen production and dispensing. The NIR contains the planned budget for the construction in Sofia of one hydrogen refuelling station amounting 9.5 million € and €800,000 for on</w:t>
      </w:r>
      <w:r>
        <w:rPr>
          <w:rFonts w:ascii="Times New Roman" w:hAnsi="Times New Roman" w:cs="Times New Roman"/>
          <w:noProof/>
          <w:sz w:val="24"/>
          <w:lang w:val="en-IE"/>
        </w:rPr>
        <w:t>e mobile refuelling station.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state-owned “</w:t>
      </w:r>
      <w:r>
        <w:rPr>
          <w:rFonts w:ascii="Times New Roman" w:hAnsi="Times New Roman" w:cs="Times New Roman"/>
          <w:i/>
          <w:noProof/>
          <w:sz w:val="24"/>
          <w:lang w:val="en-IE"/>
        </w:rPr>
        <w:t>Bulgarian Ports Infrastructure Company</w:t>
      </w:r>
      <w:r>
        <w:rPr>
          <w:rFonts w:ascii="Times New Roman" w:hAnsi="Times New Roman" w:cs="Times New Roman"/>
          <w:noProof/>
          <w:sz w:val="24"/>
          <w:lang w:val="en-IE"/>
        </w:rPr>
        <w:t xml:space="preserve">” is considering the need of modernising the shore-side electricity supply to waterborne vessels and has taken steps to examine the condition of the electricity supply </w:t>
      </w:r>
      <w:r>
        <w:rPr>
          <w:rFonts w:ascii="Times New Roman" w:hAnsi="Times New Roman" w:cs="Times New Roman"/>
          <w:noProof/>
          <w:sz w:val="24"/>
          <w:lang w:val="en-IE"/>
        </w:rPr>
        <w:t>network at Varna and Burgas ports.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indicates that the “</w:t>
      </w:r>
      <w:r>
        <w:rPr>
          <w:rFonts w:ascii="Times New Roman" w:hAnsi="Times New Roman" w:cs="Times New Roman"/>
          <w:i/>
          <w:noProof/>
          <w:sz w:val="24"/>
          <w:lang w:val="en-IE"/>
        </w:rPr>
        <w:t>Bulgarian Ports Infrastructure</w:t>
      </w:r>
      <w:r>
        <w:rPr>
          <w:rFonts w:ascii="Times New Roman" w:hAnsi="Times New Roman" w:cs="Times New Roman"/>
          <w:noProof/>
          <w:sz w:val="24"/>
          <w:lang w:val="en-IE"/>
        </w:rPr>
        <w:t>” company continues to explore possibilities for securing funding, under various EU programmes, for the construction of a hydrogen refuelling station at Burgas Por</w:t>
      </w:r>
      <w:r>
        <w:rPr>
          <w:rFonts w:ascii="Times New Roman" w:hAnsi="Times New Roman" w:cs="Times New Roman"/>
          <w:noProof/>
          <w:sz w:val="24"/>
          <w:lang w:val="en-IE"/>
        </w:rPr>
        <w:t>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One measure that can support the manufacturing plants for alternative fuel technologies could be identified in the NIR, namely for the production of green hydrogen from renewables. At present, the tota</w:t>
      </w:r>
      <w:r>
        <w:rPr>
          <w:rFonts w:ascii="Times New Roman" w:hAnsi="Times New Roman" w:cs="Times New Roman"/>
          <w:noProof/>
          <w:sz w:val="24"/>
          <w:lang w:val="en-IE"/>
        </w:rPr>
        <w:t xml:space="preserve">l cost of ownership is being evaluated in order to determine the most suitable locations and to prepare funding mechanisms, which are counting on EIB support. The overall planned budget for the production of green hydrogen, reported in the NIR, amounts to </w:t>
      </w:r>
      <w:r>
        <w:rPr>
          <w:rFonts w:ascii="Times New Roman" w:hAnsi="Times New Roman" w:cs="Times New Roman"/>
          <w:noProof/>
          <w:sz w:val="24"/>
          <w:lang w:val="en-IE"/>
        </w:rPr>
        <w:t>35 million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Bulgarian NIR.</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w:t>
      </w:r>
      <w:r>
        <w:rPr>
          <w:rFonts w:ascii="Times New Roman" w:hAnsi="Times New Roman" w:cs="Times New Roman"/>
          <w:noProof/>
          <w:sz w:val="24"/>
          <w:lang w:val="en-IE"/>
        </w:rPr>
        <w:t>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_Ref52787359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5.2.4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_Ref39742534 \h  \* MERGEFORMAT </w:instrText>
      </w:r>
      <w:r>
        <w:rPr>
          <w:rFonts w:ascii="Times New Roman" w:hAnsi="Times New Roman" w:cs="Times New Roman"/>
          <w:noProof/>
          <w:sz w:val="24"/>
          <w:lang w:val="en-IE"/>
        </w:rPr>
        <w:fldChar w:fldCharType="separate"/>
      </w:r>
      <w:r>
        <w:rPr>
          <w:rFonts w:ascii="Times New Roman" w:hAnsi="Times New Roman" w:cs="Times New Roman"/>
          <w:b/>
          <w:bCs/>
          <w:noProof/>
          <w:sz w:val="24"/>
          <w:lang w:val="en-US"/>
        </w:rPr>
        <w:t>Error! Reference source not found.</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w:t>
      </w:r>
      <w:r>
        <w:rPr>
          <w:rFonts w:ascii="Times New Roman" w:hAnsi="Times New Roman" w:cs="Times New Roman"/>
          <w:noProof/>
          <w:sz w:val="24"/>
          <w:lang w:val="en-IE"/>
        </w:rPr>
        <w:t xml:space="preserve">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only four clusters have been identified, of which one is not assessable. The assessable clusters have all a mediu</w:t>
      </w:r>
      <w:r>
        <w:rPr>
          <w:rFonts w:ascii="Times New Roman" w:hAnsi="Times New Roman" w:cs="Times New Roman"/>
          <w:noProof/>
          <w:sz w:val="24"/>
          <w:lang w:val="en-IE"/>
        </w:rPr>
        <w:t>m score, but only electricity/road and hydrogen/road result to be comprehensive. For all other combinations of AF and transport mode, there are no measures. In terms of expected impact of the measures to support the realisation of the AFV/AFI objectives as</w:t>
      </w:r>
      <w:r>
        <w:rPr>
          <w:rFonts w:ascii="Times New Roman" w:hAnsi="Times New Roman" w:cs="Times New Roman"/>
          <w:noProof/>
          <w:sz w:val="24"/>
          <w:lang w:val="en-IE"/>
        </w:rPr>
        <w:t xml:space="preserve"> presented in the NPF and revised in the NIR, those for the pairs electricity/road and hydrogen/road result to have a medium impact, while those for biofuels/road have a low impact.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Concerning the level of ambition, this has increased for the pairs electri</w:t>
      </w:r>
      <w:r>
        <w:rPr>
          <w:rFonts w:ascii="Times New Roman" w:hAnsi="Times New Roman" w:cs="Times New Roman"/>
          <w:noProof/>
          <w:sz w:val="24"/>
          <w:lang w:val="en-IE"/>
        </w:rPr>
        <w:t>city/road and hydrogen/road.</w:t>
      </w:r>
    </w:p>
    <w:p w:rsidR="003C43BF" w:rsidRDefault="006C3212">
      <w:pPr>
        <w:pStyle w:val="Caption"/>
        <w:rPr>
          <w:rFonts w:ascii="Times New Roman" w:hAnsi="Times New Roman" w:cs="Times New Roman"/>
          <w:b w:val="0"/>
          <w:i/>
          <w:noProof/>
          <w:sz w:val="20"/>
          <w:szCs w:val="18"/>
          <w:lang w:val="en-IE"/>
        </w:rPr>
      </w:pPr>
      <w:bookmarkStart w:id="66" w:name="_Ref52787359"/>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5.2.4</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66"/>
      <w:r>
        <w:rPr>
          <w:rFonts w:ascii="Times New Roman" w:hAnsi="Times New Roman" w:cs="Times New Roman"/>
          <w:b w:val="0"/>
          <w:i/>
          <w:noProof/>
          <w:sz w:val="20"/>
          <w:szCs w:val="18"/>
          <w:lang w:val="en-IE"/>
        </w:rPr>
        <w:t xml:space="preserve"> Quantitative assessment of Policy and Deployment &amp; Manufacturing support measures</w:t>
      </w:r>
    </w:p>
    <w:p w:rsidR="003C43BF" w:rsidRDefault="006C3212">
      <w:pPr>
        <w:jc w:val="center"/>
        <w:rPr>
          <w:rFonts w:ascii="Times New Roman" w:eastAsia="Calibri" w:hAnsi="Times New Roman" w:cs="Times New Roman"/>
          <w:noProof/>
          <w:color w:val="000000" w:themeColor="text1"/>
          <w:sz w:val="24"/>
          <w:lang w:val="en-IE"/>
        </w:rPr>
      </w:pPr>
      <w:r>
        <w:rPr>
          <w:rFonts w:ascii="Times New Roman" w:eastAsia="Calibri" w:hAnsi="Times New Roman" w:cs="Times New Roman"/>
          <w:noProof/>
          <w:color w:val="000000" w:themeColor="text1"/>
          <w:sz w:val="24"/>
          <w:lang w:eastAsia="en-GB"/>
        </w:rPr>
        <w:drawing>
          <wp:inline distT="0" distB="0" distL="0" distR="0">
            <wp:extent cx="5944235" cy="1957070"/>
            <wp:effectExtent l="0" t="0" r="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1957070"/>
                    </a:xfrm>
                    <a:prstGeom prst="rect">
                      <a:avLst/>
                    </a:prstGeom>
                    <a:noFill/>
                  </pic:spPr>
                </pic:pic>
              </a:graphicData>
            </a:graphic>
          </wp:inline>
        </w:drawing>
      </w:r>
    </w:p>
    <w:p w:rsidR="003C43BF" w:rsidRDefault="006C3212">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rsidR="003C43BF" w:rsidRDefault="003C43BF">
      <w:pPr>
        <w:rPr>
          <w:rFonts w:ascii="Times New Roman" w:eastAsia="Calibri" w:hAnsi="Times New Roman" w:cs="Times New Roman"/>
          <w:noProof/>
          <w:color w:val="000000" w:themeColor="text1"/>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w:t>
      </w:r>
      <w:r>
        <w:rPr>
          <w:rFonts w:ascii="Times New Roman" w:hAnsi="Times New Roman" w:cs="Times New Roman"/>
          <w:noProof/>
          <w:sz w:val="24"/>
          <w:lang w:val="en-IE"/>
        </w:rPr>
        <w:t>ration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Bulgarian NIR contains a list of 12 RTD&amp;D programmes, which represents a significant increase compared to the six RTD&amp;D actions identified in the NPF. The majority of these RTD&amp;D programmes focus on electric vehicles and notably on hydrogen.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w:t>
      </w:r>
      <w:r>
        <w:rPr>
          <w:rFonts w:ascii="Times New Roman" w:hAnsi="Times New Roman" w:cs="Times New Roman"/>
          <w:noProof/>
          <w:sz w:val="24"/>
          <w:lang w:val="en-IE"/>
        </w:rPr>
        <w:t xml:space="preserve"> continuation of the “</w:t>
      </w:r>
      <w:r>
        <w:rPr>
          <w:rFonts w:ascii="Times New Roman" w:hAnsi="Times New Roman" w:cs="Times New Roman"/>
          <w:i/>
          <w:noProof/>
          <w:sz w:val="24"/>
          <w:lang w:val="en-IE"/>
        </w:rPr>
        <w:t>Operational Programme Innovation and Competitiveness 2014-2020</w:t>
      </w:r>
      <w:r>
        <w:rPr>
          <w:rFonts w:ascii="Times New Roman" w:hAnsi="Times New Roman" w:cs="Times New Roman"/>
          <w:noProof/>
          <w:sz w:val="24"/>
          <w:lang w:val="en-IE"/>
        </w:rPr>
        <w:t xml:space="preserve">” for the period 2021-2027 will speed up the development of alternative fuels and the deployment of the relevant infrastructure. Funds are mainly channelled through the ESF+, the ERDF and the Cohesion Fund.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w:t>
      </w:r>
      <w:r>
        <w:rPr>
          <w:rFonts w:ascii="Times New Roman" w:hAnsi="Times New Roman" w:cs="Times New Roman"/>
          <w:i/>
          <w:noProof/>
          <w:sz w:val="24"/>
          <w:lang w:val="en-IE"/>
        </w:rPr>
        <w:t xml:space="preserve">National Research Programme Low Carbon and </w:t>
      </w:r>
      <w:r>
        <w:rPr>
          <w:rFonts w:ascii="Times New Roman" w:hAnsi="Times New Roman" w:cs="Times New Roman"/>
          <w:i/>
          <w:noProof/>
          <w:sz w:val="24"/>
          <w:lang w:val="en-IE"/>
        </w:rPr>
        <w:t>Energy for Transport and Households (EPLUS)</w:t>
      </w:r>
      <w:r>
        <w:rPr>
          <w:rFonts w:ascii="Times New Roman" w:hAnsi="Times New Roman" w:cs="Times New Roman"/>
          <w:noProof/>
          <w:sz w:val="24"/>
          <w:lang w:val="en-IE"/>
        </w:rPr>
        <w:t>”, approved in 2018, contains a component on ‘</w:t>
      </w:r>
      <w:r>
        <w:rPr>
          <w:rFonts w:ascii="Times New Roman" w:hAnsi="Times New Roman" w:cs="Times New Roman"/>
          <w:i/>
          <w:noProof/>
          <w:sz w:val="24"/>
          <w:lang w:val="en-IE"/>
        </w:rPr>
        <w:t>Electric Vehicles and Hydrogen Mobility’</w:t>
      </w:r>
      <w:r>
        <w:rPr>
          <w:rFonts w:ascii="Times New Roman" w:hAnsi="Times New Roman" w:cs="Times New Roman"/>
          <w:noProof/>
          <w:sz w:val="24"/>
          <w:lang w:val="en-IE"/>
        </w:rPr>
        <w:t>. The NIR report showcases the activities towards Bulgaria’s specialisation in battery/fuel cell based hybrid electric mobility</w:t>
      </w:r>
      <w:r>
        <w:rPr>
          <w:rFonts w:ascii="Times New Roman" w:hAnsi="Times New Roman" w:cs="Times New Roman"/>
          <w:noProof/>
          <w:sz w:val="24"/>
          <w:lang w:val="en-IE"/>
        </w:rPr>
        <w:t>: namely a cyber-physical platform for development and demonstration of battery/fuel cell hybrid vehicles and the retrofitting of trolleybuses with a battery/fuel cell range extender. The total budgets for these projects are €450,000 and €650,000 respectiv</w:t>
      </w:r>
      <w:r>
        <w:rPr>
          <w:rFonts w:ascii="Times New Roman" w:hAnsi="Times New Roman" w:cs="Times New Roman"/>
          <w:noProof/>
          <w:sz w:val="24"/>
          <w:lang w:val="en-IE"/>
        </w:rPr>
        <w:t xml:space="preserve">ely.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 addition, the “</w:t>
      </w:r>
      <w:r>
        <w:rPr>
          <w:rFonts w:ascii="Times New Roman" w:hAnsi="Times New Roman" w:cs="Times New Roman"/>
          <w:i/>
          <w:noProof/>
          <w:sz w:val="24"/>
          <w:lang w:val="en-IE"/>
        </w:rPr>
        <w:t>Energy Storage and Hydrogen Energy project</w:t>
      </w:r>
      <w:r>
        <w:rPr>
          <w:rFonts w:ascii="Times New Roman" w:hAnsi="Times New Roman" w:cs="Times New Roman"/>
          <w:noProof/>
          <w:sz w:val="24"/>
          <w:lang w:val="en-IE"/>
        </w:rPr>
        <w:t xml:space="preserve">”, funded by the Bulgarian Ministry of Education and Science, foresees 1.5 million € to be used for the development of the relevant hydrogen infrastructure for transport application and the </w:t>
      </w:r>
      <w:r>
        <w:rPr>
          <w:rFonts w:ascii="Times New Roman" w:hAnsi="Times New Roman" w:cs="Times New Roman"/>
          <w:noProof/>
          <w:sz w:val="24"/>
          <w:lang w:val="en-IE"/>
        </w:rPr>
        <w:t>“</w:t>
      </w:r>
      <w:r>
        <w:rPr>
          <w:rFonts w:ascii="Times New Roman" w:hAnsi="Times New Roman" w:cs="Times New Roman"/>
          <w:i/>
          <w:noProof/>
          <w:sz w:val="24"/>
          <w:lang w:val="en-IE"/>
        </w:rPr>
        <w:t>Clean Energy Production Storage and Application Technologies Competence Centre – HITMOBIL</w:t>
      </w:r>
      <w:r>
        <w:rPr>
          <w:rFonts w:ascii="Times New Roman" w:hAnsi="Times New Roman" w:cs="Times New Roman"/>
          <w:noProof/>
          <w:sz w:val="24"/>
          <w:lang w:val="en-IE"/>
        </w:rPr>
        <w:t>” has allocated 2 million €, out of 8 million € total budget, to transport. Highlighted in the Bulgarian NIR report are the €750,000 for the demonstration of a mobile</w:t>
      </w:r>
      <w:r>
        <w:rPr>
          <w:rFonts w:ascii="Times New Roman" w:hAnsi="Times New Roman" w:cs="Times New Roman"/>
          <w:noProof/>
          <w:sz w:val="24"/>
          <w:lang w:val="en-IE"/>
        </w:rPr>
        <w:t xml:space="preserve"> hydrogen refuelling station and €700,000 for an electrolysis system for hydrogen production from RES.</w:t>
      </w:r>
    </w:p>
    <w:p w:rsidR="003C43BF" w:rsidRDefault="003C43BF">
      <w:pPr>
        <w:tabs>
          <w:tab w:val="left" w:pos="360"/>
        </w:tabs>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iCs/>
          <w:noProof/>
          <w:sz w:val="24"/>
          <w:lang w:val="en-IE"/>
        </w:rPr>
      </w:pPr>
      <w:bookmarkStart w:id="67" w:name="_Toc55301744"/>
      <w:bookmarkStart w:id="68" w:name="_Toc56944103"/>
      <w:r>
        <w:rPr>
          <w:rFonts w:ascii="Times New Roman" w:hAnsi="Times New Roman" w:cs="Times New Roman"/>
          <w:noProof/>
          <w:sz w:val="24"/>
          <w:lang w:val="en-IE"/>
        </w:rPr>
        <w:t>Additional information on alternative fuels infrastructure developments</w:t>
      </w:r>
      <w:bookmarkEnd w:id="67"/>
      <w:bookmarkEnd w:id="68"/>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The Bulgarian NIR does not provide information on the changes in fuel use.</w:t>
      </w: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69" w:name="_Toc55301745"/>
      <w:bookmarkStart w:id="70" w:name="_Toc56944104"/>
      <w:r>
        <w:rPr>
          <w:rFonts w:ascii="Times New Roman" w:hAnsi="Times New Roman" w:cs="Times New Roman"/>
          <w:noProof/>
          <w:sz w:val="24"/>
          <w:lang w:val="en-IE"/>
        </w:rPr>
        <w:t>S</w:t>
      </w:r>
      <w:r>
        <w:rPr>
          <w:rFonts w:ascii="Times New Roman" w:hAnsi="Times New Roman" w:cs="Times New Roman"/>
          <w:noProof/>
          <w:sz w:val="24"/>
          <w:lang w:val="en-IE"/>
        </w:rPr>
        <w:t>ummary of the assessment</w:t>
      </w:r>
      <w:bookmarkEnd w:id="69"/>
      <w:bookmarkEnd w:id="70"/>
      <w:r>
        <w:rPr>
          <w:rFonts w:ascii="Times New Roman" w:hAnsi="Times New Roman" w:cs="Times New Roman"/>
          <w:noProof/>
          <w:sz w:val="24"/>
          <w:lang w:val="en-IE"/>
        </w:rPr>
        <w:tab/>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pStyle w:val="Caption"/>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5.2.6</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noProof/>
          <w:lang w:eastAsia="en-GB"/>
        </w:rPr>
        <w:drawing>
          <wp:inline distT="0" distB="0" distL="0" distR="0">
            <wp:extent cx="5760720" cy="365406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654065"/>
                    </a:xfrm>
                    <a:prstGeom prst="rect">
                      <a:avLst/>
                    </a:prstGeom>
                    <a:noFill/>
                    <a:ln>
                      <a:noFill/>
                    </a:ln>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3470" cy="43878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3470" cy="438785"/>
                    </a:xfrm>
                    <a:prstGeom prst="rect">
                      <a:avLst/>
                    </a:prstGeom>
                    <a:noFill/>
                  </pic:spPr>
                </pic:pic>
              </a:graphicData>
            </a:graphic>
          </wp:inline>
        </w:drawing>
      </w:r>
    </w:p>
    <w:p w:rsidR="003C43BF" w:rsidRDefault="006C3212">
      <w:pPr>
        <w:tabs>
          <w:tab w:val="left" w:pos="360"/>
        </w:tabs>
        <w:spacing w:after="0"/>
        <w:rPr>
          <w:rFonts w:ascii="Times New Roman" w:hAnsi="Times New Roman" w:cs="Times New Roman"/>
          <w:noProof/>
          <w:sz w:val="20"/>
          <w:szCs w:val="18"/>
          <w:lang w:val="en-IE"/>
        </w:rPr>
      </w:pPr>
      <w:r>
        <w:rPr>
          <w:rFonts w:ascii="Times New Roman" w:hAnsi="Times New Roman" w:cs="Times New Roman"/>
          <w:noProof/>
          <w:sz w:val="20"/>
          <w:szCs w:val="18"/>
          <w:lang w:val="en-IE"/>
        </w:rPr>
        <w:t xml:space="preserve">* Value taken from BG NPF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0"/>
          <w:szCs w:val="18"/>
          <w:lang w:val="en-IE"/>
        </w:rPr>
        <w:t>** Value taken from EAFO (absent in NIR)</w:t>
      </w:r>
    </w:p>
    <w:p w:rsidR="003C43BF" w:rsidRDefault="003C43BF">
      <w:pPr>
        <w:jc w:val="both"/>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its NPF, the Republic of Bulgaria indicated </w:t>
      </w:r>
      <w:r>
        <w:rPr>
          <w:rFonts w:ascii="Times New Roman" w:hAnsi="Times New Roman" w:cs="Times New Roman"/>
          <w:noProof/>
          <w:sz w:val="24"/>
          <w:lang w:val="en-IE"/>
        </w:rPr>
        <w:t>that their long-term goal, after 2030, was to deploy electro-mobility, use natural gas widely as a standard fuel and advance hydrogen technology out of the research and development phase. The Bulgarian NIR is fully consistent with the NPF and focuses on ro</w:t>
      </w:r>
      <w:r>
        <w:rPr>
          <w:rFonts w:ascii="Times New Roman" w:hAnsi="Times New Roman" w:cs="Times New Roman"/>
          <w:noProof/>
          <w:sz w:val="24"/>
          <w:lang w:val="en-IE"/>
        </w:rPr>
        <w:t>ad transport electrification and on the potential for the use of hydrogen in transport. The Bulgarian NIR covers mostly the 1st part of the AFID period (2016-2020).</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Bulgarian NIR almost fully addresses the requirements of Annex I of the Directive, but </w:t>
      </w:r>
      <w:r>
        <w:rPr>
          <w:rFonts w:ascii="Times New Roman" w:hAnsi="Times New Roman" w:cs="Times New Roman"/>
          <w:noProof/>
          <w:sz w:val="24"/>
          <w:lang w:val="en-IE"/>
        </w:rPr>
        <w:t>limitedly to electro-mobility and, to a lesser extent, hydrogen/road. To have fully complied with the requirements of Annex I of the Directive, the Bulgarian government should have considered the need for renewable jet fuel refuelling points in airports wi</w:t>
      </w:r>
      <w:r>
        <w:rPr>
          <w:rFonts w:ascii="Times New Roman" w:hAnsi="Times New Roman" w:cs="Times New Roman"/>
          <w:noProof/>
          <w:sz w:val="24"/>
          <w:lang w:val="en-IE"/>
        </w:rPr>
        <w:t xml:space="preserve">thin the TEN-T Core Network and it should have provided information on the methodology applied to take account of the charging efficiency of high power recharging points. </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main outcomes of the technical assessment of the Bulgarian NIR on vehicles/vesse</w:t>
      </w:r>
      <w:r>
        <w:rPr>
          <w:rFonts w:ascii="Times New Roman" w:hAnsi="Times New Roman" w:cs="Times New Roman"/>
          <w:noProof/>
          <w:sz w:val="24"/>
          <w:lang w:val="en-IE"/>
        </w:rPr>
        <w:t xml:space="preserve">ls estimates and infrastructure targets can be summarised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ListParagraph"/>
        <w:numPr>
          <w:ilvl w:val="0"/>
          <w:numId w:val="27"/>
        </w:numPr>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Concerning EVs, Bulgaria recorded a total of 7,034 electric vehicles in 2018 (of which 6,288 were passenger cars, 721 LCVs and 25 buses and coaches). The Bulgarian NIR reports a revised set of vehicle estimates for 2020, 2025 and 2030, which are respect</w:t>
      </w:r>
      <w:r>
        <w:rPr>
          <w:rFonts w:ascii="Times New Roman" w:hAnsi="Times New Roman" w:cs="Times New Roman"/>
          <w:noProof/>
          <w:sz w:val="24"/>
          <w:lang w:val="en-IE"/>
        </w:rPr>
        <w:t xml:space="preserve">ively 78.2%, 63.5% and 49.08% lower than in the NPF. Passenger cars have the highest share, but in 2030, 10,000 LCVs, 200 HCVs and 1,000 buses and coaches are also foreseen. Similarly, the infrastructure targets in the BG NIR have been reduced compared to </w:t>
      </w:r>
      <w:r>
        <w:rPr>
          <w:rFonts w:ascii="Times New Roman" w:hAnsi="Times New Roman" w:cs="Times New Roman"/>
          <w:noProof/>
          <w:sz w:val="24"/>
          <w:lang w:val="en-IE"/>
        </w:rPr>
        <w:t>the NPF by 88%, 66.67% and 44.44% respectively for 2020, 2025 and 2030. The 2018 progress towards the significantly reduced objectives is considered to be adequate both for the vehicles and for infrastructure, but the sufficiency index becomes adequate onl</w:t>
      </w:r>
      <w:r>
        <w:rPr>
          <w:rFonts w:ascii="Times New Roman" w:hAnsi="Times New Roman" w:cs="Times New Roman"/>
          <w:noProof/>
          <w:sz w:val="24"/>
          <w:lang w:val="en-IE"/>
        </w:rPr>
        <w:t>y in 2025 and 2030 while until then infrastructure deployment cannot be considered sufficient with respect to the expected vehicle uptake.</w:t>
      </w:r>
    </w:p>
    <w:p w:rsidR="003C43BF" w:rsidRDefault="006C3212">
      <w:pPr>
        <w:pStyle w:val="ListParagraph"/>
        <w:numPr>
          <w:ilvl w:val="0"/>
          <w:numId w:val="27"/>
        </w:numPr>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The Bulgarian NIR shows only the state of play of CNG vehicles in 2018 (21,823 vehicles, mostly dual engines, of which 17,829 were passenger cars, 3,376 LCVs, 116 HCVs and 502 buses and coaches), but does not report any vehicle estimate or infrastructur</w:t>
      </w:r>
      <w:r>
        <w:rPr>
          <w:rFonts w:ascii="Times New Roman" w:hAnsi="Times New Roman" w:cs="Times New Roman"/>
          <w:noProof/>
          <w:sz w:val="24"/>
          <w:lang w:val="en-IE"/>
        </w:rPr>
        <w:t xml:space="preserve">e target for 2020, 2025 and 2030. </w:t>
      </w:r>
    </w:p>
    <w:p w:rsidR="003C43BF" w:rsidRDefault="006C3212">
      <w:pPr>
        <w:pStyle w:val="ListParagraph"/>
        <w:numPr>
          <w:ilvl w:val="0"/>
          <w:numId w:val="27"/>
        </w:numPr>
        <w:spacing w:after="160" w:line="259" w:lineRule="auto"/>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Information is not available in the Bulgarian NIR.</w:t>
      </w:r>
    </w:p>
    <w:p w:rsidR="003C43BF" w:rsidRDefault="006C3212">
      <w:pPr>
        <w:pStyle w:val="ListParagraph"/>
        <w:numPr>
          <w:ilvl w:val="0"/>
          <w:numId w:val="27"/>
        </w:numPr>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Republic of Bulgaria had included hydrogen in its NPF. Accordingly, the Bulgarian NIR shows that emphasis is put on hydrogen road transport, however </w:t>
      </w:r>
      <w:r>
        <w:rPr>
          <w:rFonts w:ascii="Times New Roman" w:hAnsi="Times New Roman" w:cs="Times New Roman"/>
          <w:noProof/>
          <w:sz w:val="24"/>
          <w:lang w:val="en-IE"/>
        </w:rPr>
        <w:t>it presents reduced ambition for vehicles and infrastructure. Although there are no hydrogen vehicles on the Bulgarian roads as of 2018, 110 vehicles are expected to be deployed by 2025 and 555 in 2030, mainly buses. Two publicly accessible hydrogen refuel</w:t>
      </w:r>
      <w:r>
        <w:rPr>
          <w:rFonts w:ascii="Times New Roman" w:hAnsi="Times New Roman" w:cs="Times New Roman"/>
          <w:noProof/>
          <w:sz w:val="24"/>
          <w:lang w:val="en-IE"/>
        </w:rPr>
        <w:t>ling points will be deployed by 2025 and four refuelling points are foreseen for 2030. These will be accompanied by three and ten private refuelling points in 2025 and 2030 respectively.</w:t>
      </w:r>
    </w:p>
    <w:p w:rsidR="003C43BF" w:rsidRDefault="006C3212">
      <w:pPr>
        <w:pStyle w:val="ListParagraph"/>
        <w:numPr>
          <w:ilvl w:val="0"/>
          <w:numId w:val="27"/>
        </w:numPr>
        <w:spacing w:after="160" w:line="259" w:lineRule="auto"/>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Information is not available in the Bulgarian NIR.</w:t>
      </w:r>
    </w:p>
    <w:p w:rsidR="003C43BF" w:rsidRDefault="006C3212">
      <w:pPr>
        <w:pStyle w:val="ListParagraph"/>
        <w:numPr>
          <w:ilvl w:val="0"/>
          <w:numId w:val="27"/>
        </w:numPr>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O</w:t>
      </w:r>
      <w:r>
        <w:rPr>
          <w:rFonts w:ascii="Times New Roman" w:hAnsi="Times New Roman" w:cs="Times New Roman"/>
          <w:noProof/>
          <w:sz w:val="24"/>
          <w:lang w:val="en-IE"/>
        </w:rPr>
        <w:t xml:space="preserve">ther than reporting a total number of 164,077 LPG vehicles in 2018 (of which 157,440 passenger cars, 6,603 LCVs and 34 buses and coaches), the BG NIR does not show any further information or objectives for vehicles and infrastructure.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w:t>
      </w:r>
      <w:r>
        <w:rPr>
          <w:rFonts w:ascii="Times New Roman" w:hAnsi="Times New Roman" w:cs="Times New Roman"/>
          <w:noProof/>
          <w:sz w:val="24"/>
          <w:lang w:val="en-IE"/>
        </w:rPr>
        <w:t>mation is not available in the Bulgarian NIR.</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27"/>
        </w:numPr>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number of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points at the Bulgarian maritime ports was 172 in 2018. There are no targets for the period 2020-2030 in either the NIR </w:t>
      </w:r>
      <w:r>
        <w:rPr>
          <w:rFonts w:ascii="Times New Roman" w:hAnsi="Times New Roman" w:cs="Times New Roman"/>
          <w:noProof/>
          <w:sz w:val="24"/>
          <w:lang w:val="en-IE"/>
        </w:rPr>
        <w:t>or the NPF.</w:t>
      </w:r>
    </w:p>
    <w:p w:rsidR="003C43BF" w:rsidRDefault="006C3212">
      <w:pPr>
        <w:pStyle w:val="ListParagraph"/>
        <w:numPr>
          <w:ilvl w:val="0"/>
          <w:numId w:val="27"/>
        </w:numPr>
        <w:spacing w:after="160" w:line="259" w:lineRule="auto"/>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Information is not available in the Bulgarian NIR.</w:t>
      </w:r>
    </w:p>
    <w:p w:rsidR="003C43BF" w:rsidRDefault="006C3212">
      <w:pPr>
        <w:pStyle w:val="ListParagraph"/>
        <w:numPr>
          <w:ilvl w:val="0"/>
          <w:numId w:val="27"/>
        </w:numPr>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Hydrogen </w:t>
      </w:r>
      <w:r>
        <w:rPr>
          <w:rFonts w:ascii="Times New Roman" w:hAnsi="Times New Roman" w:cs="Times New Roman"/>
          <w:noProof/>
          <w:sz w:val="24"/>
          <w:lang w:val="en-IE"/>
        </w:rPr>
        <w:t>– The BG NIR mentions that the state-owned company “</w:t>
      </w:r>
      <w:r>
        <w:rPr>
          <w:rFonts w:ascii="Times New Roman" w:hAnsi="Times New Roman" w:cs="Times New Roman"/>
          <w:i/>
          <w:noProof/>
          <w:sz w:val="24"/>
          <w:lang w:val="en-IE"/>
        </w:rPr>
        <w:t>Bulgarian Ports Infrastructure</w:t>
      </w:r>
      <w:r>
        <w:rPr>
          <w:rFonts w:ascii="Times New Roman" w:hAnsi="Times New Roman" w:cs="Times New Roman"/>
          <w:noProof/>
          <w:sz w:val="24"/>
          <w:lang w:val="en-IE"/>
        </w:rPr>
        <w:t>” continues to explore possibilities for the construction of a hydrogen refuelling station at th</w:t>
      </w:r>
      <w:r>
        <w:rPr>
          <w:rFonts w:ascii="Times New Roman" w:hAnsi="Times New Roman" w:cs="Times New Roman"/>
          <w:noProof/>
          <w:sz w:val="24"/>
          <w:lang w:val="en-IE"/>
        </w:rPr>
        <w:t>e port of Burgas.</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rsidR="003C43BF" w:rsidRDefault="006C3212">
      <w:pPr>
        <w:pStyle w:val="ListParagraph"/>
        <w:numPr>
          <w:ilvl w:val="0"/>
          <w:numId w:val="27"/>
        </w:numPr>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number of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points at the Bulgarian inland ports was 90 in 2018. There are no targets for the period 2020-2030 in either the NIR or the NPF.</w:t>
      </w:r>
    </w:p>
    <w:p w:rsidR="003C43BF" w:rsidRDefault="006C3212">
      <w:pPr>
        <w:pStyle w:val="ListParagraph"/>
        <w:numPr>
          <w:ilvl w:val="0"/>
          <w:numId w:val="27"/>
        </w:numPr>
        <w:spacing w:after="160" w:line="259" w:lineRule="auto"/>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–Information is n</w:t>
      </w:r>
      <w:r>
        <w:rPr>
          <w:rFonts w:ascii="Times New Roman" w:hAnsi="Times New Roman" w:cs="Times New Roman"/>
          <w:noProof/>
          <w:sz w:val="24"/>
          <w:lang w:val="en-IE"/>
        </w:rPr>
        <w:t>ot available in the Bulgarian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28"/>
        </w:numPr>
        <w:spacing w:after="160" w:line="259" w:lineRule="auto"/>
        <w:ind w:left="426" w:hanging="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(for stationary airplanes) - In the period 2016-2018, Sofia airport in the TEN-T Core Network provided power supply and air-conditioning from stationary facilities installed at six passenger slee</w:t>
      </w:r>
      <w:r>
        <w:rPr>
          <w:rFonts w:ascii="Times New Roman" w:hAnsi="Times New Roman" w:cs="Times New Roman"/>
          <w:noProof/>
          <w:sz w:val="24"/>
          <w:lang w:val="en-IE"/>
        </w:rPr>
        <w:t>ves at the Terminal 2. The NIR mentions that a new boarding sleeve will be delivered in 2021.</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presented in the Bulgarian Implementation Report mainly focus on electro-mobility and hydrogen. The legal, regulatory and administrative measures det</w:t>
      </w:r>
      <w:r>
        <w:rPr>
          <w:rFonts w:ascii="Times New Roman" w:hAnsi="Times New Roman" w:cs="Times New Roman"/>
          <w:noProof/>
          <w:sz w:val="24"/>
          <w:lang w:val="en-IE"/>
        </w:rPr>
        <w:t>ailed in the NIR mainly concern the requirements for the transposition of European Directives to the Bulgarian legislation. In the period 2016-2018, most legal measures were in place or in the process of being adopted. Based on the available information, t</w:t>
      </w:r>
      <w:r>
        <w:rPr>
          <w:rFonts w:ascii="Times New Roman" w:hAnsi="Times New Roman" w:cs="Times New Roman"/>
          <w:noProof/>
          <w:sz w:val="24"/>
          <w:lang w:val="en-IE"/>
        </w:rPr>
        <w:t>he level of ambition can be considered to remain constant between NPF and NIR.</w:t>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As for the policy measures, the BG NIR contains measures oriented to enhance the deployment of electro-mobility, with particular reference to electrification of urban public tra</w:t>
      </w:r>
      <w:r>
        <w:rPr>
          <w:rFonts w:ascii="Times New Roman" w:hAnsi="Times New Roman" w:cs="Times New Roman"/>
          <w:noProof/>
          <w:sz w:val="24"/>
          <w:lang w:val="en-IE"/>
        </w:rPr>
        <w:t xml:space="preserve">nsport and the acquisition of hydrogen buses. </w:t>
      </w:r>
      <w:r>
        <w:rPr>
          <w:rFonts w:ascii="Times New Roman" w:eastAsia="Calibri" w:hAnsi="Times New Roman" w:cs="Times New Roman"/>
          <w:noProof/>
          <w:color w:val="000000" w:themeColor="text1"/>
          <w:sz w:val="24"/>
          <w:lang w:val="en-IE"/>
        </w:rPr>
        <w:t>The number of deployment and manufacturing support initiatives portrayed in the Bulgarian NIR has increased in comparison to the NPF. Measures in the NIR target recharging points for electricity supply and hydr</w:t>
      </w:r>
      <w:r>
        <w:rPr>
          <w:rFonts w:ascii="Times New Roman" w:eastAsia="Calibri" w:hAnsi="Times New Roman" w:cs="Times New Roman"/>
          <w:noProof/>
          <w:color w:val="000000" w:themeColor="text1"/>
          <w:sz w:val="24"/>
          <w:lang w:val="en-IE"/>
        </w:rPr>
        <w:t>ogen refuelling infrastructure. Bulgaria relies on the European Union co-funding instruments and Cohesion Funds to finance support initiatives for the production of alternative fuels, as for example the 35 million € foreseen for the production of green hyd</w:t>
      </w:r>
      <w:r>
        <w:rPr>
          <w:rFonts w:ascii="Times New Roman" w:eastAsia="Calibri" w:hAnsi="Times New Roman" w:cs="Times New Roman"/>
          <w:noProof/>
          <w:color w:val="000000" w:themeColor="text1"/>
          <w:sz w:val="24"/>
          <w:lang w:val="en-IE"/>
        </w:rPr>
        <w:t>rogen.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terms of expected impact of the measures to support the realisation of the AFV/AFI objectives as presented in the NPF and revised in the NIR, those for the pairs electricity/road and hydrogen/road result to have a medium impact, those for the </w:t>
      </w:r>
      <w:r>
        <w:rPr>
          <w:rFonts w:ascii="Times New Roman" w:hAnsi="Times New Roman" w:cs="Times New Roman"/>
          <w:noProof/>
          <w:sz w:val="24"/>
          <w:lang w:val="en-IE"/>
        </w:rPr>
        <w:t>pair biofuels/road have a low impact, while all the others are not assessable.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With regard to RTD&amp;D measures, the Bulgarian implementation report shows an increased effort to channel financial resources, counting on the </w:t>
      </w:r>
      <w:r>
        <w:rPr>
          <w:rFonts w:ascii="Times New Roman" w:eastAsia="Calibri" w:hAnsi="Times New Roman" w:cs="Times New Roman"/>
          <w:noProof/>
          <w:color w:val="000000" w:themeColor="text1"/>
          <w:sz w:val="24"/>
          <w:lang w:val="en-IE"/>
        </w:rPr>
        <w:t>European Union co-funding instrument</w:t>
      </w:r>
      <w:r>
        <w:rPr>
          <w:rFonts w:ascii="Times New Roman" w:eastAsia="Calibri" w:hAnsi="Times New Roman" w:cs="Times New Roman"/>
          <w:noProof/>
          <w:color w:val="000000" w:themeColor="text1"/>
          <w:sz w:val="24"/>
          <w:lang w:val="en-IE"/>
        </w:rPr>
        <w:t>s and Cohesion funds</w:t>
      </w:r>
      <w:r>
        <w:rPr>
          <w:rFonts w:ascii="Times New Roman" w:hAnsi="Times New Roman" w:cs="Times New Roman"/>
          <w:noProof/>
          <w:sz w:val="24"/>
          <w:lang w:val="en-IE"/>
        </w:rPr>
        <w:t xml:space="preserve">. Research, development and demonstration activities mainly concern electro-mobility and hydrogen related projects. </w:t>
      </w:r>
      <w:r>
        <w:rPr>
          <w:rFonts w:ascii="Times New Roman" w:eastAsia="Calibri" w:hAnsi="Times New Roman" w:cs="Times New Roman"/>
          <w:noProof/>
          <w:sz w:val="24"/>
          <w:lang w:val="en-IE"/>
        </w:rPr>
        <w:t>From the information provided in the NIR for RTD&amp;D, the level of support, compared to the NPF, can be considered to have</w:t>
      </w:r>
      <w:r>
        <w:rPr>
          <w:rFonts w:ascii="Times New Roman" w:eastAsia="Calibri" w:hAnsi="Times New Roman" w:cs="Times New Roman"/>
          <w:noProof/>
          <w:sz w:val="24"/>
          <w:lang w:val="en-IE"/>
        </w:rPr>
        <w:t xml:space="preserve"> increased for electro-mobility and hydrogen road transport.</w:t>
      </w:r>
    </w:p>
    <w:p w:rsidR="003C43BF" w:rsidRDefault="003C43BF">
      <w:pPr>
        <w:rPr>
          <w:noProof/>
          <w:lang w:val="en-IE"/>
        </w:rPr>
      </w:pPr>
    </w:p>
    <w:p w:rsidR="003C43BF" w:rsidRDefault="006C3212">
      <w:pPr>
        <w:pStyle w:val="Heading3"/>
        <w:rPr>
          <w:rFonts w:ascii="Times New Roman" w:hAnsi="Times New Roman" w:cs="Times New Roman"/>
          <w:noProof/>
          <w:sz w:val="24"/>
          <w:lang w:val="en-IE"/>
        </w:rPr>
      </w:pPr>
      <w:bookmarkStart w:id="71" w:name="_Toc55301746"/>
      <w:bookmarkStart w:id="72" w:name="_Toc55301747"/>
      <w:bookmarkStart w:id="73" w:name="_Toc55301748"/>
      <w:bookmarkStart w:id="74" w:name="_Toc55301749"/>
      <w:bookmarkStart w:id="75" w:name="_Toc55301750"/>
      <w:bookmarkStart w:id="76" w:name="_Toc55301751"/>
      <w:bookmarkStart w:id="77" w:name="_Toc55301752"/>
      <w:bookmarkStart w:id="78" w:name="_Toc55301753"/>
      <w:bookmarkStart w:id="79" w:name="_Toc55301754"/>
      <w:bookmarkStart w:id="80" w:name="_Toc55301755"/>
      <w:bookmarkStart w:id="81" w:name="_Toc55301756"/>
      <w:bookmarkStart w:id="82" w:name="_Toc55301757"/>
      <w:bookmarkStart w:id="83" w:name="_Toc55301758"/>
      <w:bookmarkStart w:id="84" w:name="_Toc56944105"/>
      <w:bookmarkEnd w:id="71"/>
      <w:bookmarkEnd w:id="72"/>
      <w:bookmarkEnd w:id="73"/>
      <w:bookmarkEnd w:id="74"/>
      <w:bookmarkEnd w:id="75"/>
      <w:bookmarkEnd w:id="76"/>
      <w:bookmarkEnd w:id="77"/>
      <w:bookmarkEnd w:id="78"/>
      <w:bookmarkEnd w:id="79"/>
      <w:bookmarkEnd w:id="80"/>
      <w:bookmarkEnd w:id="81"/>
      <w:bookmarkEnd w:id="82"/>
      <w:bookmarkEnd w:id="83"/>
      <w:r>
        <w:rPr>
          <w:rFonts w:ascii="Times New Roman" w:hAnsi="Times New Roman" w:cs="Times New Roman"/>
          <w:noProof/>
          <w:sz w:val="24"/>
          <w:lang w:val="en-IE"/>
        </w:rPr>
        <w:t>Final remarks</w:t>
      </w:r>
      <w:bookmarkEnd w:id="84"/>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Bulgarian NIR reports on a range of efforts to implement the Directive but with a focus on electro-mobility and, to a lesser extent, on hydrogen for road transport. In particular, it does not provide future estimates for CNG and LNG vehicles and vessel</w:t>
      </w:r>
      <w:r>
        <w:rPr>
          <w:rFonts w:ascii="Times New Roman" w:hAnsi="Times New Roman" w:cs="Times New Roman"/>
          <w:noProof/>
          <w:sz w:val="24"/>
          <w:lang w:val="en-IE"/>
        </w:rPr>
        <w:t xml:space="preserve">s for the years 2020, 2025 and 2030. It also lacks information, for the same years, on the targets for CNG refuelling points for vehicles and LNG refuelling points for vehicles and vessels. There are no estimates on the future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w:t>
      </w:r>
      <w:r>
        <w:rPr>
          <w:rFonts w:ascii="Times New Roman" w:hAnsi="Times New Roman" w:cs="Times New Roman"/>
          <w:noProof/>
          <w:sz w:val="24"/>
          <w:lang w:val="en-IE"/>
        </w:rPr>
        <w:t xml:space="preserve"> in ports. Most of the measures referenced in the NIR focus on electro-mobility and hydrogen for road transport.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Regarding electricity, the NIR estimates for 2030 a fleet of 66,200 electric vehicles, representing about 1.8% of the future vehicle fleet. Ta</w:t>
      </w:r>
      <w:r>
        <w:rPr>
          <w:rFonts w:ascii="Times New Roman" w:hAnsi="Times New Roman" w:cs="Times New Roman"/>
          <w:noProof/>
          <w:sz w:val="24"/>
          <w:lang w:val="en-IE"/>
        </w:rPr>
        <w:t xml:space="preserve">king into account the current situation and expected trends, this level of ambition appears quite low compared to the pace of deployment of electric vehicles considered necessary for a full transition to carbon neutrality by 2050. The targets for publicly </w:t>
      </w:r>
      <w:r>
        <w:rPr>
          <w:rFonts w:ascii="Times New Roman" w:hAnsi="Times New Roman" w:cs="Times New Roman"/>
          <w:noProof/>
          <w:sz w:val="24"/>
          <w:lang w:val="en-IE"/>
        </w:rPr>
        <w:t xml:space="preserve">accessible recharging infrastructure correspond to those low vehicle estimates. An increase in ambition would contribute to better meeting the needs for a dense, wide-spread and easy to use network of recharging and refuelling infrastructure in the EU. No </w:t>
      </w:r>
      <w:r>
        <w:rPr>
          <w:rFonts w:ascii="Times New Roman" w:hAnsi="Times New Roman" w:cs="Times New Roman"/>
          <w:noProof/>
          <w:sz w:val="24"/>
          <w:lang w:val="en-IE"/>
        </w:rPr>
        <w:t xml:space="preserve">information on charging efficiency is provided. The NIR states that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is available in a significant number of maritime and inland ports. However, it remains unclear which vessels can actually connect to the infrastructure and wh</w:t>
      </w:r>
      <w:r>
        <w:rPr>
          <w:rFonts w:ascii="Times New Roman" w:hAnsi="Times New Roman" w:cs="Times New Roman"/>
          <w:noProof/>
          <w:sz w:val="24"/>
          <w:lang w:val="en-IE"/>
        </w:rPr>
        <w:t xml:space="preserve">ether this infrastructure is suitable for all seagoing ships and inland waterway vessels as requested by the Directive. The NIR notes the intention to develop measures to modernise the existing infrastructure for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in ports and </w:t>
      </w:r>
      <w:r>
        <w:rPr>
          <w:rFonts w:ascii="Times New Roman" w:hAnsi="Times New Roman" w:cs="Times New Roman"/>
          <w:noProof/>
          <w:sz w:val="24"/>
          <w:lang w:val="en-IE"/>
        </w:rPr>
        <w:t>ensure that seagoing ships and inland waterway vessels can be connected. Electricity to stationary aircraft is supplied at the TEN-T Core airport of Sofia. Future reporting could usefully include more information as regards the current and planned electrif</w:t>
      </w:r>
      <w:r>
        <w:rPr>
          <w:rFonts w:ascii="Times New Roman" w:hAnsi="Times New Roman" w:cs="Times New Roman"/>
          <w:noProof/>
          <w:sz w:val="24"/>
          <w:lang w:val="en-IE"/>
        </w:rPr>
        <w:t xml:space="preserve">ication of railways.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Concerning hydrogen for road transport, the NIR expresses Bulgaria's interest in developing hydrogen as a fuel for road transport. It estimates 555 FCHVs by 2030. The NIR envisages four public refuelling points by 2030. Further detail</w:t>
      </w:r>
      <w:r>
        <w:rPr>
          <w:rFonts w:ascii="Times New Roman" w:hAnsi="Times New Roman" w:cs="Times New Roman"/>
          <w:noProof/>
          <w:sz w:val="24"/>
          <w:lang w:val="en-IE"/>
        </w:rPr>
        <w:t xml:space="preserve"> on infrastructure needs and planning should be provided, particularly for buses and heavy-duty vehicles.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Regarding natural gas for transport, there was already a limited fleet of 21,823 CNG vehicles in Bulgaria in 2018. The NIR does not provide informati</w:t>
      </w:r>
      <w:r>
        <w:rPr>
          <w:rFonts w:ascii="Times New Roman" w:hAnsi="Times New Roman" w:cs="Times New Roman"/>
          <w:noProof/>
          <w:sz w:val="24"/>
          <w:lang w:val="en-IE"/>
        </w:rPr>
        <w:t xml:space="preserve">on on estimates and targets for CNG vehicles and refuelling points for 2020, 2025 and 2030. It further does not provide information on LNG for road and inland and maritime waterway transport.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regards LPG in road transport, there was already a fleet of </w:t>
      </w:r>
      <w:r>
        <w:rPr>
          <w:rFonts w:ascii="Times New Roman" w:hAnsi="Times New Roman" w:cs="Times New Roman"/>
          <w:noProof/>
          <w:sz w:val="24"/>
          <w:lang w:val="en-IE"/>
        </w:rPr>
        <w:t xml:space="preserve">164,077 LPG vehicles in 2018, but the Bulgarian NIR does not bring any further information or objectives for vehicles and infrastructure. </w:t>
      </w:r>
    </w:p>
    <w:p w:rsidR="003C43BF" w:rsidRDefault="006C3212">
      <w:pPr>
        <w:tabs>
          <w:tab w:val="left" w:pos="360"/>
        </w:tabs>
        <w:spacing w:after="200"/>
        <w:jc w:val="both"/>
        <w:rPr>
          <w:rFonts w:ascii="Times New Roman" w:hAnsi="Times New Roman" w:cs="Times New Roman"/>
          <w:noProof/>
          <w:sz w:val="24"/>
          <w:lang w:val="en-IE"/>
        </w:rPr>
      </w:pPr>
      <w:r>
        <w:rPr>
          <w:rFonts w:ascii="Times New Roman" w:hAnsi="Times New Roman" w:cs="Times New Roman"/>
          <w:noProof/>
          <w:sz w:val="24"/>
          <w:lang w:val="en-IE"/>
        </w:rPr>
        <w:t>As far as biofuels are concerned, no quantitative information on the use of biofuels in road transport is provided. H</w:t>
      </w:r>
      <w:r>
        <w:rPr>
          <w:rFonts w:ascii="Times New Roman" w:hAnsi="Times New Roman" w:cs="Times New Roman"/>
          <w:noProof/>
          <w:sz w:val="24"/>
          <w:lang w:val="en-IE"/>
        </w:rPr>
        <w:t>owever, the measure “Promotion of the use of biofuels and other renewable fuels in transport” has been included in the NIR. Bulgaria should provide more information on efforts to promote the use of renewable fuels in transport, and particularly in aviation</w:t>
      </w:r>
      <w:r>
        <w:rPr>
          <w:rFonts w:ascii="Times New Roman" w:hAnsi="Times New Roman" w:cs="Times New Roman"/>
          <w:noProof/>
          <w:sz w:val="24"/>
          <w:lang w:val="en-IE"/>
        </w:rPr>
        <w: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85" w:name="_Toc55301760"/>
      <w:bookmarkStart w:id="86" w:name="_Toc56944106"/>
      <w:r>
        <w:rPr>
          <w:rFonts w:ascii="Times New Roman" w:hAnsi="Times New Roman" w:cs="Times New Roman"/>
          <w:noProof/>
          <w:sz w:val="24"/>
          <w:lang w:val="en-IE"/>
        </w:rPr>
        <w:t>ANNEX - Description of the Member State</w:t>
      </w:r>
      <w:bookmarkEnd w:id="85"/>
      <w:bookmarkEnd w:id="86"/>
    </w:p>
    <w:p w:rsidR="003C43BF" w:rsidRDefault="006C3212">
      <w:pPr>
        <w:tabs>
          <w:tab w:val="left" w:pos="720"/>
        </w:tabs>
        <w:spacing w:after="200" w:line="276" w:lineRule="auto"/>
        <w:jc w:val="both"/>
        <w:rPr>
          <w:rFonts w:ascii="Times New Roman" w:eastAsia="Calibri" w:hAnsi="Times New Roman" w:cs="Times New Roman"/>
          <w:noProof/>
          <w:sz w:val="24"/>
          <w:lang w:val="en-IE"/>
        </w:rPr>
      </w:pPr>
      <w:r>
        <w:rPr>
          <w:rFonts w:ascii="Times New Roman" w:eastAsia="Calibri" w:hAnsi="Times New Roman" w:cs="Times New Roman"/>
          <w:noProof/>
          <w:color w:val="000000"/>
          <w:sz w:val="24"/>
          <w:lang w:val="en-IE"/>
        </w:rPr>
        <w:t>On a surface area of 111,000 km², Bulgaria has a population of 7.050 million people in 2018, which makes up for a population density of 64 inhabitants/km².</w:t>
      </w:r>
    </w:p>
    <w:p w:rsidR="003C43BF" w:rsidRDefault="006C3212">
      <w:pPr>
        <w:tabs>
          <w:tab w:val="left" w:pos="720"/>
        </w:tabs>
        <w:spacing w:after="200" w:line="276" w:lineRule="auto"/>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 xml:space="preserve">Number of main urban agglomerations </w:t>
      </w:r>
    </w:p>
    <w:p w:rsidR="003C43BF" w:rsidRDefault="006C3212">
      <w:pPr>
        <w:numPr>
          <w:ilvl w:val="0"/>
          <w:numId w:val="11"/>
        </w:numPr>
        <w:tabs>
          <w:tab w:val="left" w:pos="2520"/>
        </w:tabs>
        <w:spacing w:after="200" w:line="276" w:lineRule="auto"/>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17 urban agglomerations &gt; 50,000 inhabitants </w:t>
      </w:r>
    </w:p>
    <w:p w:rsidR="003C43BF" w:rsidRDefault="006C3212">
      <w:pPr>
        <w:tabs>
          <w:tab w:val="left" w:pos="720"/>
        </w:tabs>
        <w:spacing w:after="200" w:line="276" w:lineRule="auto"/>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In 2018, Bulgaria achieves a per capita gross domestic product at market prices of €7,980, which represents a per capita gross domestic product in purchasing power standards of 51 </w:t>
      </w:r>
      <w:r>
        <w:rPr>
          <w:rFonts w:ascii="Times New Roman" w:eastAsia="Calibri" w:hAnsi="Times New Roman" w:cs="Times New Roman"/>
          <w:noProof/>
          <w:sz w:val="24"/>
          <w:shd w:val="clear" w:color="auto" w:fill="FFFFFF"/>
          <w:lang w:val="en-IE"/>
        </w:rPr>
        <w:t>if expressed in relation to th</w:t>
      </w:r>
      <w:r>
        <w:rPr>
          <w:rFonts w:ascii="Times New Roman" w:eastAsia="Calibri" w:hAnsi="Times New Roman" w:cs="Times New Roman"/>
          <w:noProof/>
          <w:sz w:val="24"/>
          <w:shd w:val="clear" w:color="auto" w:fill="FFFFFF"/>
          <w:lang w:val="en-IE"/>
        </w:rPr>
        <w:t>e EU-28 average set to equal 100</w:t>
      </w:r>
      <w:r>
        <w:rPr>
          <w:rFonts w:ascii="Times New Roman" w:eastAsia="Calibri" w:hAnsi="Times New Roman" w:cs="Times New Roman"/>
          <w:noProof/>
          <w:sz w:val="24"/>
          <w:lang w:val="en-IE"/>
        </w:rPr>
        <w:t>.</w:t>
      </w:r>
    </w:p>
    <w:p w:rsidR="003C43BF" w:rsidRDefault="006C3212">
      <w:pPr>
        <w:tabs>
          <w:tab w:val="left" w:pos="720"/>
        </w:tabs>
        <w:spacing w:after="200" w:line="276" w:lineRule="auto"/>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 xml:space="preserve">Length of the road networks </w:t>
      </w:r>
    </w:p>
    <w:p w:rsidR="003C43BF" w:rsidRDefault="006C3212">
      <w:pPr>
        <w:tabs>
          <w:tab w:val="left" w:pos="720"/>
        </w:tabs>
        <w:spacing w:after="200" w:line="276" w:lineRule="auto"/>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The length of the road TEN-T Core Network in Bulgaria is 1,507 km. The total road network length is 7,690 km, of which 757 km are motorways.</w:t>
      </w:r>
    </w:p>
    <w:p w:rsidR="003C43BF" w:rsidRDefault="006C3212">
      <w:pPr>
        <w:spacing w:line="276" w:lineRule="auto"/>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The following lengths of the TEN-T Road Corridors ar</w:t>
      </w:r>
      <w:r>
        <w:rPr>
          <w:rFonts w:ascii="Times New Roman" w:eastAsia="Calibri" w:hAnsi="Times New Roman" w:cs="Times New Roman"/>
          <w:noProof/>
          <w:sz w:val="24"/>
          <w:lang w:val="en-IE"/>
        </w:rPr>
        <w:t>e present in Bulgaria: 18% (960 km) of the Orient – East Mediterranean Corridor.</w:t>
      </w:r>
    </w:p>
    <w:p w:rsidR="003C43BF" w:rsidRDefault="006C3212">
      <w:pPr>
        <w:spacing w:line="276" w:lineRule="auto"/>
        <w:rPr>
          <w:rFonts w:ascii="Times New Roman" w:eastAsia="Calibri" w:hAnsi="Times New Roman" w:cs="Times New Roman"/>
          <w:noProof/>
          <w:sz w:val="24"/>
          <w:lang w:val="en-IE"/>
        </w:rPr>
      </w:pPr>
      <w:r>
        <w:rPr>
          <w:rFonts w:ascii="Times New Roman" w:eastAsia="Calibri" w:hAnsi="Times New Roman" w:cs="Times New Roman"/>
          <w:noProof/>
          <w:sz w:val="24"/>
          <w:lang w:val="en-IE"/>
        </w:rPr>
        <w:t>Through the TEN-T Road Corridors, Bulgaria is connected with the following Member States:</w:t>
      </w:r>
      <w:r>
        <w:rPr>
          <w:rFonts w:ascii="Times New Roman" w:eastAsia="Calibri" w:hAnsi="Times New Roman" w:cs="Times New Roman"/>
          <w:noProof/>
          <w:sz w:val="24"/>
          <w:lang w:val="en-IE"/>
        </w:rPr>
        <w:br/>
        <w:t xml:space="preserve">- Greece (through the Orient – East Mediterranean Corridor), </w:t>
      </w:r>
      <w:r>
        <w:rPr>
          <w:rFonts w:ascii="Times New Roman" w:eastAsia="Calibri" w:hAnsi="Times New Roman" w:cs="Times New Roman"/>
          <w:noProof/>
          <w:sz w:val="24"/>
          <w:lang w:val="en-IE"/>
        </w:rPr>
        <w:br/>
        <w:t xml:space="preserve">- Romania (through the </w:t>
      </w:r>
      <w:r>
        <w:rPr>
          <w:rFonts w:ascii="Times New Roman" w:eastAsia="Calibri" w:hAnsi="Times New Roman" w:cs="Times New Roman"/>
          <w:noProof/>
          <w:sz w:val="24"/>
          <w:lang w:val="en-IE"/>
        </w:rPr>
        <w:t>Orient – East Mediterranean Corridor)</w:t>
      </w:r>
    </w:p>
    <w:p w:rsidR="003C43BF" w:rsidRDefault="006C3212">
      <w:pPr>
        <w:tabs>
          <w:tab w:val="left" w:pos="720"/>
        </w:tabs>
        <w:spacing w:after="200" w:line="276" w:lineRule="auto"/>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 xml:space="preserve">Number of registered road vehicles </w:t>
      </w:r>
    </w:p>
    <w:p w:rsidR="003C43BF" w:rsidRDefault="006C3212">
      <w:pPr>
        <w:tabs>
          <w:tab w:val="left" w:pos="720"/>
        </w:tabs>
        <w:spacing w:after="200" w:line="276" w:lineRule="auto"/>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At the end of 2018, Bulgaria accounts for 3,413,371 registered road vehicles</w:t>
      </w:r>
      <w:r>
        <w:rPr>
          <w:rStyle w:val="FootnoteReference"/>
          <w:rFonts w:ascii="Times New Roman" w:eastAsia="Calibri" w:hAnsi="Times New Roman" w:cs="Times New Roman"/>
          <w:noProof/>
          <w:sz w:val="24"/>
          <w:lang w:val="en-IE"/>
        </w:rPr>
        <w:footnoteReference w:id="12"/>
      </w:r>
      <w:r>
        <w:rPr>
          <w:rFonts w:ascii="Times New Roman" w:eastAsia="Calibri" w:hAnsi="Times New Roman" w:cs="Times New Roman"/>
          <w:noProof/>
          <w:sz w:val="24"/>
          <w:lang w:val="en-IE"/>
        </w:rPr>
        <w:t xml:space="preserve"> of which 2,773,325 are categorized as passenger cars, 438,328 as heavy goods vehicles and 20,818 as buse</w:t>
      </w:r>
      <w:r>
        <w:rPr>
          <w:rFonts w:ascii="Times New Roman" w:eastAsia="Calibri" w:hAnsi="Times New Roman" w:cs="Times New Roman"/>
          <w:noProof/>
          <w:sz w:val="24"/>
          <w:lang w:val="en-IE"/>
        </w:rPr>
        <w:t>s and coaches. The motorisation rate is 393 passenger cars per 1,000 inhabitants. The Bulgarian NIR describes the age distribution of the vehicle fleet: in 2017 around 86% of vehicles were over 10 years old (with 69% of passenger cars being over 15 years o</w:t>
      </w:r>
      <w:r>
        <w:rPr>
          <w:rFonts w:ascii="Times New Roman" w:eastAsia="Calibri" w:hAnsi="Times New Roman" w:cs="Times New Roman"/>
          <w:noProof/>
          <w:sz w:val="24"/>
          <w:lang w:val="en-IE"/>
        </w:rPr>
        <w:t>ld), while only 5% of the vehicles have less than 5 years and 9% are in the range of 60 to 10 years. The matter of the renewal of the country’s vehicle is regarded by Bulgaria as needing to be considered.</w:t>
      </w:r>
    </w:p>
    <w:p w:rsidR="003C43BF" w:rsidRDefault="006C3212">
      <w:pPr>
        <w:tabs>
          <w:tab w:val="left" w:pos="720"/>
        </w:tabs>
        <w:spacing w:after="200" w:line="276" w:lineRule="auto"/>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 xml:space="preserve">Number of ports in the TEN-T Core Network </w:t>
      </w:r>
    </w:p>
    <w:p w:rsidR="003C43BF" w:rsidRDefault="006C3212">
      <w:pPr>
        <w:numPr>
          <w:ilvl w:val="0"/>
          <w:numId w:val="12"/>
        </w:numPr>
        <w:spacing w:after="0" w:line="276" w:lineRule="auto"/>
        <w:ind w:left="714" w:hanging="357"/>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1 </w:t>
      </w:r>
      <w:r>
        <w:rPr>
          <w:rFonts w:ascii="Times New Roman" w:eastAsia="Calibri" w:hAnsi="Times New Roman" w:cs="Times New Roman"/>
          <w:noProof/>
          <w:sz w:val="24"/>
          <w:lang w:val="en-IE"/>
        </w:rPr>
        <w:t>maritime port in the TEN-T Core Network (Burgas)</w:t>
      </w:r>
    </w:p>
    <w:p w:rsidR="003C43BF" w:rsidRDefault="006C3212">
      <w:pPr>
        <w:numPr>
          <w:ilvl w:val="0"/>
          <w:numId w:val="12"/>
        </w:numPr>
        <w:spacing w:after="0" w:line="276" w:lineRule="auto"/>
        <w:ind w:left="714" w:hanging="357"/>
        <w:rPr>
          <w:rFonts w:ascii="Times New Roman" w:eastAsia="Calibri" w:hAnsi="Times New Roman" w:cs="Times New Roman"/>
          <w:noProof/>
          <w:sz w:val="24"/>
          <w:lang w:val="en-IE"/>
        </w:rPr>
      </w:pPr>
      <w:r>
        <w:rPr>
          <w:rFonts w:ascii="Times New Roman" w:eastAsia="Calibri" w:hAnsi="Times New Roman" w:cs="Times New Roman"/>
          <w:noProof/>
          <w:sz w:val="24"/>
          <w:lang w:val="en-IE"/>
        </w:rPr>
        <w:t>1 maritime port in the TEN-T Comprehensive Network (Varna)</w:t>
      </w:r>
    </w:p>
    <w:p w:rsidR="003C43BF" w:rsidRDefault="006C3212">
      <w:pPr>
        <w:numPr>
          <w:ilvl w:val="0"/>
          <w:numId w:val="12"/>
        </w:numPr>
        <w:spacing w:after="0" w:line="276" w:lineRule="auto"/>
        <w:ind w:left="714" w:hanging="357"/>
        <w:rPr>
          <w:rFonts w:ascii="Times New Roman" w:eastAsia="Calibri" w:hAnsi="Times New Roman" w:cs="Times New Roman"/>
          <w:noProof/>
          <w:sz w:val="24"/>
          <w:lang w:val="en-IE"/>
        </w:rPr>
      </w:pPr>
      <w:r>
        <w:rPr>
          <w:rFonts w:ascii="Times New Roman" w:eastAsia="Calibri" w:hAnsi="Times New Roman" w:cs="Times New Roman"/>
          <w:noProof/>
          <w:sz w:val="24"/>
          <w:lang w:val="en-IE"/>
        </w:rPr>
        <w:t>2 inland ports in the TEN-T Core Network (Ruse, Vidin)</w:t>
      </w:r>
    </w:p>
    <w:p w:rsidR="003C43BF" w:rsidRDefault="006C3212">
      <w:pPr>
        <w:numPr>
          <w:ilvl w:val="0"/>
          <w:numId w:val="12"/>
        </w:numPr>
        <w:spacing w:after="0" w:line="276" w:lineRule="auto"/>
        <w:ind w:left="714" w:hanging="357"/>
        <w:rPr>
          <w:rFonts w:ascii="Times New Roman" w:eastAsia="Calibri" w:hAnsi="Times New Roman" w:cs="Times New Roman"/>
          <w:noProof/>
          <w:sz w:val="24"/>
          <w:lang w:val="en-IE"/>
        </w:rPr>
      </w:pPr>
      <w:r>
        <w:rPr>
          <w:rFonts w:ascii="Times New Roman" w:eastAsia="Calibri" w:hAnsi="Times New Roman" w:cs="Times New Roman"/>
          <w:noProof/>
          <w:sz w:val="24"/>
          <w:lang w:val="en-IE"/>
        </w:rPr>
        <w:t>4 inland ports in the TEN-T Comprehensive Network</w:t>
      </w:r>
    </w:p>
    <w:p w:rsidR="003C43BF" w:rsidRDefault="003C43BF">
      <w:pPr>
        <w:spacing w:after="0" w:line="276" w:lineRule="auto"/>
        <w:ind w:left="714"/>
        <w:rPr>
          <w:rFonts w:ascii="Times New Roman" w:eastAsia="Calibri" w:hAnsi="Times New Roman" w:cs="Times New Roman"/>
          <w:noProof/>
          <w:sz w:val="24"/>
          <w:lang w:val="en-IE"/>
        </w:rPr>
      </w:pPr>
    </w:p>
    <w:p w:rsidR="003C43BF" w:rsidRDefault="006C3212">
      <w:pPr>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Through the 478 km inland waterways TEN-T </w:t>
      </w:r>
      <w:r>
        <w:rPr>
          <w:rFonts w:ascii="Times New Roman" w:eastAsia="Calibri" w:hAnsi="Times New Roman" w:cs="Times New Roman"/>
          <w:noProof/>
          <w:sz w:val="24"/>
          <w:lang w:val="en-IE"/>
        </w:rPr>
        <w:t xml:space="preserve">Core Network, Bulgaria is connected with Romania through the Rhine-Danube Corridor. </w:t>
      </w:r>
    </w:p>
    <w:p w:rsidR="003C43BF" w:rsidRDefault="006C3212">
      <w:pPr>
        <w:tabs>
          <w:tab w:val="left" w:pos="720"/>
        </w:tabs>
        <w:spacing w:after="200" w:line="276" w:lineRule="auto"/>
        <w:rPr>
          <w:rFonts w:ascii="Times New Roman" w:eastAsia="Calibri" w:hAnsi="Times New Roman" w:cs="Times New Roman"/>
          <w:i/>
          <w:noProof/>
          <w:color w:val="000000"/>
          <w:sz w:val="24"/>
          <w:lang w:val="en-IE"/>
        </w:rPr>
      </w:pPr>
      <w:r>
        <w:rPr>
          <w:rFonts w:ascii="Times New Roman" w:eastAsia="Calibri" w:hAnsi="Times New Roman" w:cs="Times New Roman"/>
          <w:i/>
          <w:noProof/>
          <w:color w:val="000000"/>
          <w:sz w:val="24"/>
          <w:lang w:val="en-IE"/>
        </w:rPr>
        <w:t xml:space="preserve">Number of airports in the TEN-T Core Network </w:t>
      </w:r>
    </w:p>
    <w:p w:rsidR="003C43BF" w:rsidRDefault="006C3212">
      <w:pPr>
        <w:numPr>
          <w:ilvl w:val="0"/>
          <w:numId w:val="13"/>
        </w:numPr>
        <w:spacing w:after="0" w:line="276" w:lineRule="auto"/>
        <w:ind w:left="714" w:hanging="357"/>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1 airport in the TEN-T Core Network (Sofia) </w:t>
      </w:r>
    </w:p>
    <w:p w:rsidR="003C43BF" w:rsidRDefault="006C3212">
      <w:pPr>
        <w:numPr>
          <w:ilvl w:val="0"/>
          <w:numId w:val="13"/>
        </w:numPr>
        <w:spacing w:after="200" w:line="276" w:lineRule="auto"/>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4 airports in the TEN-T Comprehensive Network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87" w:name="_Toc55301761"/>
      <w:bookmarkStart w:id="88" w:name="_Toc56944107"/>
      <w:r>
        <w:rPr>
          <w:rFonts w:ascii="Times New Roman" w:hAnsi="Times New Roman" w:cs="Times New Roman"/>
          <w:noProof/>
          <w:sz w:val="24"/>
          <w:lang w:val="en-IE"/>
        </w:rPr>
        <w:t>Czechia (CZ)</w:t>
      </w:r>
      <w:bookmarkEnd w:id="87"/>
      <w:bookmarkEnd w:id="88"/>
    </w:p>
    <w:p w:rsidR="003C43BF" w:rsidRDefault="006C3212">
      <w:pPr>
        <w:pStyle w:val="Heading3"/>
        <w:ind w:left="720"/>
        <w:rPr>
          <w:rFonts w:ascii="Times New Roman" w:hAnsi="Times New Roman" w:cs="Times New Roman"/>
          <w:noProof/>
          <w:sz w:val="24"/>
          <w:lang w:val="en-IE"/>
        </w:rPr>
      </w:pPr>
      <w:bookmarkStart w:id="89" w:name="_Toc55301762"/>
      <w:bookmarkStart w:id="90" w:name="_Toc56944108"/>
      <w:r>
        <w:rPr>
          <w:rFonts w:ascii="Times New Roman" w:hAnsi="Times New Roman" w:cs="Times New Roman"/>
          <w:noProof/>
          <w:sz w:val="24"/>
          <w:lang w:val="en-IE"/>
        </w:rPr>
        <w:t xml:space="preserve">Main messages from the </w:t>
      </w:r>
      <w:bookmarkEnd w:id="89"/>
      <w:bookmarkEnd w:id="90"/>
      <w:r>
        <w:rPr>
          <w:rFonts w:ascii="Times New Roman" w:hAnsi="Times New Roman" w:cs="Times New Roman"/>
          <w:noProof/>
          <w:sz w:val="24"/>
          <w:lang w:val="en-IE"/>
        </w:rPr>
        <w:t>Commission assessment of the NPF</w:t>
      </w:r>
    </w:p>
    <w:p w:rsidR="003C43BF" w:rsidRDefault="006C3212">
      <w:pPr>
        <w:pStyle w:val="Text1"/>
        <w:spacing w:after="120" w:line="240" w:lineRule="auto"/>
        <w:ind w:left="0"/>
        <w:jc w:val="both"/>
        <w:rPr>
          <w:rFonts w:ascii="Times New Roman" w:hAnsi="Times New Roman" w:cs="Times New Roman"/>
          <w:noProof/>
          <w:color w:val="000000" w:themeColor="text1"/>
          <w:sz w:val="24"/>
          <w:highlight w:val="lightGray"/>
          <w:lang w:val="en-IE"/>
        </w:rPr>
      </w:pPr>
      <w:r>
        <w:rPr>
          <w:rFonts w:ascii="Times New Roman" w:hAnsi="Times New Roman" w:cs="Times New Roman"/>
          <w:noProof/>
          <w:color w:val="000000" w:themeColor="text1"/>
          <w:sz w:val="24"/>
          <w:lang w:val="en-IE"/>
        </w:rPr>
        <w:t>In its original assessment of the Czech NPF the Commission concluded:</w:t>
      </w:r>
    </w:p>
    <w:p w:rsidR="003C43BF" w:rsidRDefault="006C3212">
      <w:pPr>
        <w:pStyle w:val="Text2"/>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Czech NPF broadly addresses the requirements of Article 3. It contains an extensive discussion of the current state and future</w:t>
      </w:r>
      <w:r>
        <w:rPr>
          <w:rFonts w:ascii="Times New Roman" w:hAnsi="Times New Roman" w:cs="Times New Roman"/>
          <w:i/>
          <w:noProof/>
          <w:sz w:val="24"/>
          <w:lang w:val="en-IE"/>
        </w:rPr>
        <w:t xml:space="preserve"> scenarios for alternative fuels in the transport sector. For most fuels and modes, it establishes sufficient targets as required by Article 3 of the Directive. It does not contain a target for LNG refuelling points at inland ports.</w:t>
      </w:r>
    </w:p>
    <w:p w:rsidR="003C43BF" w:rsidRDefault="006C3212">
      <w:pPr>
        <w:pStyle w:val="Text2"/>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Czech NPF puts a co</w:t>
      </w:r>
      <w:r>
        <w:rPr>
          <w:rFonts w:ascii="Times New Roman" w:hAnsi="Times New Roman" w:cs="Times New Roman"/>
          <w:i/>
          <w:noProof/>
          <w:sz w:val="24"/>
          <w:lang w:val="en-IE"/>
        </w:rPr>
        <w:t xml:space="preserve">mparably low emphasis on electric vehicles and estimates only 0.35% electric vehicles on the road in 2020. Today, the spatial distribution of recharging points and specifically high power recharging infrastructure seems to appropriately cover the needs of </w:t>
      </w:r>
      <w:r>
        <w:rPr>
          <w:rFonts w:ascii="Times New Roman" w:hAnsi="Times New Roman" w:cs="Times New Roman"/>
          <w:i/>
          <w:noProof/>
          <w:sz w:val="24"/>
          <w:lang w:val="en-IE"/>
        </w:rPr>
        <w:t>electric vehicles in terms of distance requirements in the Czech Republic. For the future, the targeted ratio of only one public recharging point per 13 electric vehicles estimated for 2020 could evolve to become a barrier for the further market deployment</w:t>
      </w:r>
      <w:r>
        <w:rPr>
          <w:rFonts w:ascii="Times New Roman" w:hAnsi="Times New Roman" w:cs="Times New Roman"/>
          <w:i/>
          <w:noProof/>
          <w:sz w:val="24"/>
          <w:lang w:val="en-IE"/>
        </w:rPr>
        <w:t xml:space="preserve"> of electric vehicles. This could also lead to market fragmentation within the EU, especially in the context of the rather low estimated EV shares in the Czech NPF. It will be important to closely monitor this development and correct infrastructure targets</w:t>
      </w:r>
      <w:r>
        <w:rPr>
          <w:rFonts w:ascii="Times New Roman" w:hAnsi="Times New Roman" w:cs="Times New Roman"/>
          <w:i/>
          <w:noProof/>
          <w:sz w:val="24"/>
          <w:lang w:val="en-IE"/>
        </w:rPr>
        <w:t xml:space="preserve"> in line with the market developments. Regarding electricity supply for stationary airplanes, the NPF only mentions that further installations for the Prague airport are under consideration. The NPF does not provide any targets for shore-side electricity.</w:t>
      </w:r>
    </w:p>
    <w:p w:rsidR="003C43BF" w:rsidRDefault="006C3212">
      <w:pPr>
        <w:pStyle w:val="Text2"/>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Czech Republic already today has a relatively dense network of CNG refuelling points and the NPF foresees that this will further grow in line with the expected market needs, which are comparably high in the NPF, with estimates of 1% CNG cars on the roa</w:t>
      </w:r>
      <w:r>
        <w:rPr>
          <w:rFonts w:ascii="Times New Roman" w:hAnsi="Times New Roman" w:cs="Times New Roman"/>
          <w:i/>
          <w:noProof/>
          <w:sz w:val="24"/>
          <w:lang w:val="en-IE"/>
        </w:rPr>
        <w:t xml:space="preserve">d in 2020. </w:t>
      </w:r>
    </w:p>
    <w:p w:rsidR="003C43BF" w:rsidRDefault="006C3212">
      <w:pPr>
        <w:pStyle w:val="Text2"/>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NPF has established targets for LNG refuelling points for heavy-duty vehicles that will likely ensure appropriate coverage of the road TEN-T Core Network on Czech territory.</w:t>
      </w:r>
    </w:p>
    <w:p w:rsidR="003C43BF" w:rsidRDefault="006C3212">
      <w:pPr>
        <w:pStyle w:val="Text2"/>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Czech NPF does not contain targets for LNG refuelling at </w:t>
      </w:r>
      <w:r>
        <w:rPr>
          <w:rFonts w:ascii="Times New Roman" w:hAnsi="Times New Roman" w:cs="Times New Roman"/>
          <w:i/>
          <w:noProof/>
          <w:sz w:val="24"/>
          <w:lang w:val="en-IE"/>
        </w:rPr>
        <w:t>inland ports. This omission could have a negative impact on the circulation of LNG inland waterway vessels throughout the TEN-T Core Network. The decision not to include LNG refuelling at inland ports in the Czech NPF would have merited a more detailed dis</w:t>
      </w:r>
      <w:r>
        <w:rPr>
          <w:rFonts w:ascii="Times New Roman" w:hAnsi="Times New Roman" w:cs="Times New Roman"/>
          <w:i/>
          <w:noProof/>
          <w:sz w:val="24"/>
          <w:lang w:val="en-IE"/>
        </w:rPr>
        <w:t>cussion of market needs. This may need to be revisited also in light of estimated market needs from other Member States.</w:t>
      </w:r>
    </w:p>
    <w:p w:rsidR="003C43BF" w:rsidRDefault="006C3212">
      <w:pPr>
        <w:pStyle w:val="Text2"/>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NPF establishes targets for hydrogen refuelling points.</w:t>
      </w:r>
    </w:p>
    <w:p w:rsidR="003C43BF" w:rsidRDefault="006C3212">
      <w:pPr>
        <w:pStyle w:val="Text2"/>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Czech NPF contains a very comprehensive list of measures, which, if imp</w:t>
      </w:r>
      <w:r>
        <w:rPr>
          <w:rFonts w:ascii="Times New Roman" w:hAnsi="Times New Roman" w:cs="Times New Roman"/>
          <w:i/>
          <w:noProof/>
          <w:sz w:val="24"/>
          <w:lang w:val="en-IE"/>
        </w:rPr>
        <w:t>lemented, could help overcome deployment barriers. Since the adoption status of most of these measures is low, there is a certain risk that the national targets and objectives of the NPF may not be reached. The NPF also contains a list of considered suppor</w:t>
      </w:r>
      <w:r>
        <w:rPr>
          <w:rFonts w:ascii="Times New Roman" w:hAnsi="Times New Roman" w:cs="Times New Roman"/>
          <w:i/>
          <w:noProof/>
          <w:sz w:val="24"/>
          <w:lang w:val="en-IE"/>
        </w:rPr>
        <w:t>t measures to promote the deployment of alternative fuels infrastructure in public transport services.</w:t>
      </w:r>
    </w:p>
    <w:p w:rsidR="003C43BF" w:rsidRDefault="006C3212">
      <w:pPr>
        <w:rPr>
          <w:rFonts w:ascii="Times New Roman" w:hAnsi="Times New Roman" w:cs="Times New Roman"/>
          <w:i/>
          <w:noProof/>
          <w:sz w:val="24"/>
          <w:lang w:val="en-IE"/>
        </w:rPr>
      </w:pPr>
      <w:r>
        <w:rPr>
          <w:rFonts w:ascii="Times New Roman" w:hAnsi="Times New Roman" w:cs="Times New Roman"/>
          <w:i/>
          <w:noProof/>
          <w:sz w:val="24"/>
          <w:lang w:val="en-IE"/>
        </w:rPr>
        <w:t>The Czech Republic, in its NPF, declares interest to cooperate with the neighbouring countries to ensure EU-wide circulation, especially for LNG and hydr</w:t>
      </w:r>
      <w:r>
        <w:rPr>
          <w:rFonts w:ascii="Times New Roman" w:hAnsi="Times New Roman" w:cs="Times New Roman"/>
          <w:i/>
          <w:noProof/>
          <w:sz w:val="24"/>
          <w:lang w:val="en-IE"/>
        </w:rPr>
        <w:t>ogen for road transport. It may be advisable to extend this cooperation also for the other fuels and modes.</w:t>
      </w: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color w:val="000000" w:themeColor="text1"/>
          <w:sz w:val="24"/>
          <w:lang w:val="en-IE"/>
        </w:rPr>
      </w:pPr>
      <w:bookmarkStart w:id="91" w:name="_Toc55301763"/>
      <w:bookmarkStart w:id="92" w:name="_Toc56944109"/>
      <w:r>
        <w:rPr>
          <w:rFonts w:ascii="Times New Roman" w:hAnsi="Times New Roman" w:cs="Times New Roman"/>
          <w:noProof/>
          <w:sz w:val="24"/>
          <w:lang w:val="en-IE"/>
        </w:rPr>
        <w:t>Overview of requirements’ fulfilment from Annex I of the Directive</w:t>
      </w:r>
      <w:bookmarkEnd w:id="91"/>
      <w:bookmarkEnd w:id="92"/>
      <w:r>
        <w:rPr>
          <w:rFonts w:ascii="Times New Roman" w:hAnsi="Times New Roman" w:cs="Times New Roman"/>
          <w:noProof/>
          <w:color w:val="000000" w:themeColor="text1"/>
          <w:sz w:val="24"/>
          <w:lang w:val="en-IE"/>
        </w:rPr>
        <w:tab/>
      </w:r>
    </w:p>
    <w:p w:rsidR="003C43BF" w:rsidRDefault="006C3212">
      <w:pPr>
        <w:rPr>
          <w:rFonts w:ascii="Times New Roman" w:hAnsi="Times New Roman" w:cs="Times New Roman"/>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5.3.2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lang w:val="en-IE"/>
        </w:rPr>
        <w:t xml:space="preserve"> Checklist Table</w:t>
      </w:r>
    </w:p>
    <w:p w:rsidR="003C43BF" w:rsidRDefault="006C3212">
      <w:pPr>
        <w:pStyle w:val="Text1"/>
        <w:tabs>
          <w:tab w:val="left" w:pos="720"/>
        </w:tabs>
        <w:ind w:left="0"/>
        <w:rPr>
          <w:rFonts w:ascii="Times New Roman" w:hAnsi="Times New Roman" w:cs="Times New Roman"/>
          <w:noProof/>
          <w:color w:val="00B050"/>
          <w:sz w:val="24"/>
          <w:lang w:val="en-IE"/>
        </w:rPr>
      </w:pPr>
      <w:r>
        <w:rPr>
          <w:rFonts w:ascii="Times New Roman" w:hAnsi="Times New Roman" w:cs="Times New Roman"/>
          <w:noProof/>
          <w:color w:val="00B050"/>
          <w:sz w:val="24"/>
          <w:lang w:val="en-IE"/>
        </w:rPr>
        <w:t xml:space="preserve"> </w:t>
      </w:r>
      <w:r>
        <w:rPr>
          <w:rFonts w:ascii="Times New Roman" w:hAnsi="Times New Roman" w:cs="Times New Roman"/>
          <w:noProof/>
          <w:color w:val="00B050"/>
          <w:sz w:val="24"/>
          <w:lang w:eastAsia="en-GB"/>
        </w:rPr>
        <w:drawing>
          <wp:inline distT="0" distB="0" distL="0" distR="0">
            <wp:extent cx="5334000" cy="7685319"/>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7390" cy="7690203"/>
                    </a:xfrm>
                    <a:prstGeom prst="rect">
                      <a:avLst/>
                    </a:prstGeom>
                    <a:noFill/>
                  </pic:spPr>
                </pic:pic>
              </a:graphicData>
            </a:graphic>
          </wp:inline>
        </w:drawing>
      </w:r>
    </w:p>
    <w:p w:rsidR="003C43BF" w:rsidRDefault="006C3212">
      <w:pPr>
        <w:pStyle w:val="Text1"/>
        <w:tabs>
          <w:tab w:val="left" w:pos="720"/>
        </w:tabs>
        <w:ind w:left="0"/>
        <w:rPr>
          <w:rFonts w:ascii="Times New Roman" w:hAnsi="Times New Roman" w:cs="Times New Roman"/>
          <w:noProof/>
          <w:sz w:val="24"/>
          <w:lang w:val="en-IE"/>
        </w:rPr>
      </w:pPr>
      <w:r>
        <w:rPr>
          <w:rFonts w:ascii="Times New Roman" w:hAnsi="Times New Roman" w:cs="Times New Roman"/>
          <w:noProof/>
          <w:sz w:val="24"/>
          <w:lang w:val="en-IE"/>
        </w:rPr>
        <w:t xml:space="preserve">The checklist shows the requirements of Annex I from the Directive that are covered in the CZ NIR.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the combination of AF/AFV/AFI with transport mode, electricity is covered for road transport; CNG, LNG, hydrogen and LPG are also covered for </w:t>
      </w:r>
      <w:r>
        <w:rPr>
          <w:rFonts w:ascii="Times New Roman" w:hAnsi="Times New Roman" w:cs="Times New Roman"/>
          <w:noProof/>
          <w:sz w:val="24"/>
          <w:lang w:val="en-IE"/>
        </w:rPr>
        <w:t xml:space="preserve">road transport; inland water transport is just mentioned; all the other combinations are either absent or not applicable. </w:t>
      </w: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 xml:space="preserve">The Czech NIR reports around 30 measures. </w:t>
      </w:r>
      <w:r>
        <w:rPr>
          <w:rFonts w:ascii="Times New Roman" w:hAnsi="Times New Roman" w:cs="Times New Roman"/>
          <w:iCs/>
          <w:noProof/>
          <w:sz w:val="24"/>
          <w:lang w:val="en-IE"/>
        </w:rPr>
        <w:t>Under the Policy and Deployment &amp; Manufacturing sections it was possible to identify four A</w:t>
      </w:r>
      <w:r>
        <w:rPr>
          <w:rFonts w:ascii="Times New Roman" w:hAnsi="Times New Roman" w:cs="Times New Roman"/>
          <w:iCs/>
          <w:noProof/>
          <w:sz w:val="24"/>
          <w:lang w:val="en-IE"/>
        </w:rPr>
        <w:t>F/transport mode clusters of measures, all assessable.</w:t>
      </w:r>
    </w:p>
    <w:p w:rsidR="003C43BF" w:rsidRDefault="003C43BF">
      <w:pPr>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fr-BE"/>
        </w:rPr>
      </w:pPr>
      <w:bookmarkStart w:id="93" w:name="_Toc55301764"/>
      <w:bookmarkStart w:id="94" w:name="_Toc56944110"/>
      <w:r>
        <w:rPr>
          <w:rFonts w:ascii="Times New Roman" w:hAnsi="Times New Roman" w:cs="Times New Roman"/>
          <w:noProof/>
          <w:sz w:val="24"/>
          <w:lang w:val="fr-BE"/>
        </w:rPr>
        <w:t>Quantitative assessment: Vehicles and infrastructure</w:t>
      </w:r>
      <w:bookmarkEnd w:id="93"/>
      <w:bookmarkEnd w:id="94"/>
    </w:p>
    <w:p w:rsidR="003C43BF" w:rsidRDefault="006C3212">
      <w:pPr>
        <w:jc w:val="both"/>
        <w:rPr>
          <w:rFonts w:ascii="Times New Roman" w:hAnsi="Times New Roman" w:cs="Times New Roman"/>
          <w:i/>
          <w:noProof/>
          <w:sz w:val="20"/>
          <w:szCs w:val="18"/>
          <w:lang w:val="en-IE"/>
        </w:rPr>
      </w:pPr>
      <w:bookmarkStart w:id="95" w:name="_Ref52788738"/>
      <w:bookmarkStart w:id="96" w:name="_Ref48910734"/>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5.3.3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95"/>
      <w:r>
        <w:rPr>
          <w:rFonts w:ascii="Times New Roman" w:hAnsi="Times New Roman" w:cs="Times New Roman"/>
          <w:i/>
          <w:noProof/>
          <w:sz w:val="20"/>
          <w:szCs w:val="18"/>
          <w:lang w:val="en-IE"/>
        </w:rPr>
        <w:t xml:space="preserve"> </w:t>
      </w:r>
      <w:bookmarkEnd w:id="96"/>
      <w:r>
        <w:rPr>
          <w:rFonts w:ascii="Times New Roman" w:hAnsi="Times New Roman" w:cs="Times New Roman"/>
          <w:i/>
          <w:noProof/>
          <w:sz w:val="20"/>
          <w:szCs w:val="18"/>
          <w:lang w:val="en-IE"/>
        </w:rPr>
        <w:t xml:space="preserve">National AFV estimates and AFI targets established in the NIR at the horizon 2020, 2025 and 2030 and their comparison with the NPF situation </w:t>
      </w:r>
    </w:p>
    <w:p w:rsidR="003C43BF" w:rsidRDefault="006C3212">
      <w:pPr>
        <w:pStyle w:val="Text1"/>
        <w:tabs>
          <w:tab w:val="left" w:pos="720"/>
        </w:tabs>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614670" cy="5511165"/>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670" cy="5511165"/>
                    </a:xfrm>
                    <a:prstGeom prst="rect">
                      <a:avLst/>
                    </a:prstGeom>
                    <a:noFill/>
                  </pic:spPr>
                </pic:pic>
              </a:graphicData>
            </a:graphic>
          </wp:inline>
        </w:drawing>
      </w:r>
    </w:p>
    <w:p w:rsidR="003C43BF" w:rsidRDefault="006C3212">
      <w:pPr>
        <w:pStyle w:val="ListParagraph"/>
        <w:numPr>
          <w:ilvl w:val="0"/>
          <w:numId w:val="106"/>
        </w:numPr>
        <w:spacing w:after="160" w:line="259" w:lineRule="auto"/>
        <w:rPr>
          <w:rFonts w:ascii="Times New Roman" w:hAnsi="Times New Roman" w:cs="Times New Roman"/>
          <w:noProof/>
          <w:sz w:val="20"/>
          <w:szCs w:val="18"/>
          <w:lang w:val="en-IE"/>
        </w:rPr>
      </w:pPr>
      <w:r>
        <w:rPr>
          <w:rFonts w:ascii="Times New Roman" w:hAnsi="Times New Roman" w:cs="Times New Roman"/>
          <w:noProof/>
          <w:sz w:val="20"/>
          <w:szCs w:val="18"/>
          <w:lang w:val="en-IE"/>
        </w:rPr>
        <w:t>value taken from EAFO (absent in both NIR and NPF)</w:t>
      </w:r>
    </w:p>
    <w:p w:rsidR="003C43BF" w:rsidRDefault="006C3212">
      <w:pPr>
        <w:pStyle w:val="ListParagraph"/>
        <w:numPr>
          <w:ilvl w:val="0"/>
          <w:numId w:val="106"/>
        </w:numPr>
        <w:rPr>
          <w:rFonts w:ascii="Times New Roman" w:hAnsi="Times New Roman" w:cs="Times New Roman"/>
          <w:noProof/>
          <w:sz w:val="24"/>
          <w:lang w:val="en-IE"/>
        </w:rPr>
      </w:pPr>
      <w:r>
        <w:rPr>
          <w:rFonts w:ascii="Times New Roman" w:hAnsi="Times New Roman" w:cs="Times New Roman"/>
          <w:noProof/>
          <w:sz w:val="20"/>
          <w:szCs w:val="18"/>
          <w:lang w:val="en-IE"/>
        </w:rPr>
        <w:t xml:space="preserve">this value is mentioned in the CZ NIR but not officially </w:t>
      </w:r>
      <w:r>
        <w:rPr>
          <w:rFonts w:ascii="Times New Roman" w:hAnsi="Times New Roman" w:cs="Times New Roman"/>
          <w:noProof/>
          <w:sz w:val="20"/>
          <w:szCs w:val="18"/>
          <w:lang w:val="en-IE"/>
        </w:rPr>
        <w:t>reported in the accompanying excel file</w:t>
      </w:r>
    </w:p>
    <w:p w:rsidR="003C43BF" w:rsidRDefault="003C43BF">
      <w:pPr>
        <w:pStyle w:val="ListParagrap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 xml:space="preserve">Czechia recorded 44 LCVs and 55 buses and coaches in 2018 (all battery-electric) but did not provide the number of electric passenger cars. As the NPF also did not have this </w:t>
      </w:r>
      <w:r>
        <w:rPr>
          <w:rFonts w:ascii="Times New Roman" w:hAnsi="Times New Roman" w:cs="Times New Roman"/>
          <w:noProof/>
          <w:sz w:val="24"/>
          <w:lang w:val="en-IE"/>
        </w:rPr>
        <w:t>detail, the total number of EVs in 2018 has been taken from EAFO. For the period 2020-2030 the CZ NIR presents a new curve related to the estimated growth of electric vehicles up to 2030 compared to the NPF. While for 2020 and 2025 there is a sensible decr</w:t>
      </w:r>
      <w:r>
        <w:rPr>
          <w:rFonts w:ascii="Times New Roman" w:hAnsi="Times New Roman" w:cs="Times New Roman"/>
          <w:noProof/>
          <w:sz w:val="24"/>
          <w:lang w:val="en-IE"/>
        </w:rPr>
        <w:t>ease in the estimated numbers (-41.90% and -23.93% respectively, compared to the NPF values), for 2030 the NPF estimate is substantially confirmed in the NIR and some expectations to overpass such number are also expressed. In fact, the CZ NIR report says:</w:t>
      </w:r>
      <w:r>
        <w:rPr>
          <w:rFonts w:ascii="Times New Roman" w:hAnsi="Times New Roman" w:cs="Times New Roman"/>
          <w:noProof/>
          <w:sz w:val="24"/>
          <w:lang w:val="en-IE"/>
        </w:rPr>
        <w:t xml:space="preserve"> “</w:t>
      </w:r>
      <w:r>
        <w:rPr>
          <w:rFonts w:ascii="Times New Roman" w:hAnsi="Times New Roman" w:cs="Times New Roman"/>
          <w:i/>
          <w:noProof/>
          <w:sz w:val="24"/>
          <w:lang w:val="en-IE"/>
        </w:rPr>
        <w:t>even though the uptake of electro-mobility in the Czech Republic has not been as fast as originally expected or in line with developments in certain western European countries in particular, the Czech Republic is still on course for just over 200,000 veh</w:t>
      </w:r>
      <w:r>
        <w:rPr>
          <w:rFonts w:ascii="Times New Roman" w:hAnsi="Times New Roman" w:cs="Times New Roman"/>
          <w:i/>
          <w:noProof/>
          <w:sz w:val="24"/>
          <w:lang w:val="en-IE"/>
        </w:rPr>
        <w:t>icles by 2030, as predicted in the National Action Plan for Clean Mobility. If the optimistic scenario worked out, this number could be more than doubled”</w:t>
      </w:r>
      <w:r>
        <w:rPr>
          <w:rFonts w:ascii="Times New Roman" w:hAnsi="Times New Roman" w:cs="Times New Roman"/>
          <w:noProof/>
          <w:sz w:val="24"/>
          <w:lang w:val="en-IE"/>
        </w:rPr>
        <w:t>. The current estimate for 2030 is 217,179 EVs, of which 200,647 are passenger cars, 15,949 LCVs and 5</w:t>
      </w:r>
      <w:r>
        <w:rPr>
          <w:rFonts w:ascii="Times New Roman" w:hAnsi="Times New Roman" w:cs="Times New Roman"/>
          <w:noProof/>
          <w:sz w:val="24"/>
          <w:lang w:val="en-IE"/>
        </w:rPr>
        <w:t>83 buses and coaches. The CZ NIR reveals also the presence of 756 trolleybuses in 2018, which are expected to remain in the same number until 2030.</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32.08% for 2020 and 1.46% for 2030. According to the assessmen</w:t>
      </w:r>
      <w:r>
        <w:rPr>
          <w:rFonts w:ascii="Times New Roman" w:hAnsi="Times New Roman" w:cs="Times New Roman"/>
          <w:iCs/>
          <w:noProof/>
          <w:sz w:val="24"/>
          <w:lang w:val="en-IE"/>
        </w:rPr>
        <w:t xml:space="preserve">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Cz</w:t>
      </w:r>
      <w:r>
        <w:rPr>
          <w:rFonts w:ascii="Times New Roman" w:hAnsi="Times New Roman" w:cs="Times New Roman"/>
          <w:iCs/>
          <w:noProof/>
          <w:color w:val="000000" w:themeColor="text1"/>
          <w:sz w:val="24"/>
          <w:lang w:val="en-IE"/>
        </w:rPr>
        <w:t xml:space="preserve">echia is equal to </w:t>
      </w:r>
      <w:r>
        <w:rPr>
          <w:rFonts w:ascii="Times New Roman" w:hAnsi="Times New Roman" w:cs="Times New Roman"/>
          <w:iCs/>
          <w:noProof/>
          <w:sz w:val="24"/>
          <w:lang w:val="en-IE"/>
        </w:rPr>
        <w:t>96%.</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Czechia recorded 749 publicly accessible recharging points in 2018, of which 253 were normal power (≤22kW) and 496 high power (&gt;22kW) recharging points. Concerning the next decade, the CZ NIR confirms the NPF targets for 2020. For 2025 and 2030 there are n</w:t>
      </w:r>
      <w:r>
        <w:rPr>
          <w:rFonts w:ascii="Times New Roman" w:hAnsi="Times New Roman" w:cs="Times New Roman"/>
          <w:iCs/>
          <w:noProof/>
          <w:sz w:val="24"/>
          <w:lang w:val="en-IE"/>
        </w:rPr>
        <w:t xml:space="preserve">ew targets, not present in the NPF, that appear to be coherently designed to maintain a constant ratio with respect to the estimated EVs for the target years. It is worth mentioning that the share of high power recharging infrastructure decreases from 67% </w:t>
      </w:r>
      <w:r>
        <w:rPr>
          <w:rFonts w:ascii="Times New Roman" w:hAnsi="Times New Roman" w:cs="Times New Roman"/>
          <w:iCs/>
          <w:noProof/>
          <w:sz w:val="24"/>
          <w:lang w:val="en-IE"/>
        </w:rPr>
        <w:t xml:space="preserve">in 2018 to </w:t>
      </w:r>
      <w:r>
        <w:rPr>
          <w:rFonts w:ascii="Times New Roman" w:hAnsi="Times New Roman" w:cs="Times New Roman"/>
          <w:noProof/>
          <w:sz w:val="24"/>
          <w:lang w:val="en-IE"/>
        </w:rPr>
        <w:t>18% in 2025 and 11% in 2030.</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public recharging infrastructure targets is 57.62% for 2020 and 3.94% for 2030. According to the assessment methodology described in Section 2.1, the 2018 situation corresponds to an </w:t>
      </w:r>
      <w:r>
        <w:rPr>
          <w:rFonts w:ascii="Times New Roman" w:hAnsi="Times New Roman" w:cs="Times New Roman"/>
          <w:b/>
          <w:i/>
          <w:iCs/>
          <w:noProof/>
          <w:sz w:val="24"/>
          <w:lang w:val="en-IE"/>
        </w:rPr>
        <w:t>ade</w:t>
      </w:r>
      <w:r>
        <w:rPr>
          <w:rFonts w:ascii="Times New Roman" w:hAnsi="Times New Roman" w:cs="Times New Roman"/>
          <w:b/>
          <w:i/>
          <w:iCs/>
          <w:noProof/>
          <w:sz w:val="24"/>
          <w:lang w:val="en-IE"/>
        </w:rPr>
        <w:t>quate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Czechia is equal to</w:t>
      </w:r>
      <w:r>
        <w:rPr>
          <w:rFonts w:ascii="Times New Roman" w:hAnsi="Times New Roman" w:cs="Times New Roman"/>
          <w:iCs/>
          <w:noProof/>
          <w:sz w:val="24"/>
          <w:lang w:val="en-IE"/>
        </w:rPr>
        <w:t xml:space="preserve"> 32%.</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CZ N</w:t>
      </w:r>
      <w:r>
        <w:rPr>
          <w:rFonts w:ascii="Times New Roman" w:hAnsi="Times New Roman" w:cs="Times New Roman"/>
          <w:noProof/>
          <w:sz w:val="24"/>
          <w:lang w:val="en-IE"/>
        </w:rPr>
        <w:t>IR, the following table shows the ratio between vehicles and publicly accessible recharging points (i.e. sufficiency index) for the pair electricity/road. It can be seen that the foreseen sufficiency index remains below 10 until 2020, raising slightly abov</w:t>
      </w:r>
      <w:r>
        <w:rPr>
          <w:rFonts w:ascii="Times New Roman" w:hAnsi="Times New Roman" w:cs="Times New Roman"/>
          <w:noProof/>
          <w:sz w:val="24"/>
          <w:lang w:val="en-IE"/>
        </w:rPr>
        <w:t>e 10 in 2025 and 2030. Overall the sufficiency index can be considered adequate for the next decade.</w:t>
      </w:r>
    </w:p>
    <w:p w:rsidR="003C43BF" w:rsidRDefault="006C3212">
      <w:pPr>
        <w:jc w:val="both"/>
        <w:rPr>
          <w:rFonts w:ascii="Times New Roman" w:hAnsi="Times New Roman" w:cs="Times New Roman"/>
          <w:b/>
          <w:iCs/>
          <w:noProof/>
          <w:sz w:val="24"/>
          <w:lang w:val="en-IE"/>
        </w:rPr>
      </w:pPr>
      <w:r>
        <w:rPr>
          <w:rFonts w:ascii="Times New Roman" w:hAnsi="Times New Roman" w:cs="Times New Roman"/>
          <w:noProof/>
          <w:sz w:val="24"/>
          <w:highlight w:val="yellow"/>
          <w:lang w:eastAsia="en-GB"/>
        </w:rPr>
        <w:drawing>
          <wp:inline distT="0" distB="0" distL="0" distR="0">
            <wp:extent cx="4997450" cy="388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0" cy="388620"/>
                    </a:xfrm>
                    <a:prstGeom prst="rect">
                      <a:avLst/>
                    </a:prstGeom>
                    <a:solidFill>
                      <a:schemeClr val="bg1"/>
                    </a:solidFill>
                    <a:ln>
                      <a:noFill/>
                    </a:ln>
                  </pic:spPr>
                </pic:pic>
              </a:graphicData>
            </a:graphic>
          </wp:inline>
        </w:drawing>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Czech NIR.</w:t>
      </w:r>
    </w:p>
    <w:p w:rsidR="003C43BF" w:rsidRDefault="003C43BF">
      <w:pPr>
        <w:rPr>
          <w:rStyle w:val="Heading4Char"/>
          <w:rFonts w:ascii="Times New Roman" w:hAnsi="Times New Roman" w:cs="Times New Roman"/>
          <w:i/>
          <w:iCs/>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Czechia recorded 22,109 CNG vehicles in 2018, of which </w:t>
      </w:r>
      <w:r>
        <w:rPr>
          <w:rFonts w:ascii="Times New Roman" w:hAnsi="Times New Roman" w:cs="Times New Roman"/>
          <w:noProof/>
          <w:sz w:val="24"/>
          <w:lang w:val="en-IE"/>
        </w:rPr>
        <w:t>20,660 were passenger cars, 215 HCVs and 1,234 buses and coaches. For the next decade, the CZ NIR presents an important revision of the CNG vehicles estimate compared to the NPF, with a decrease in the total number of CNG vehicles going down from 50,000 to</w:t>
      </w:r>
      <w:r>
        <w:rPr>
          <w:rFonts w:ascii="Times New Roman" w:hAnsi="Times New Roman" w:cs="Times New Roman"/>
          <w:noProof/>
          <w:sz w:val="24"/>
          <w:lang w:val="en-IE"/>
        </w:rPr>
        <w:t xml:space="preserve"> 25,670 vehicles in 2020 and from 200,000 to 46,340 vehicles in 2030. This is justified in the NIR as: “</w:t>
      </w:r>
      <w:r>
        <w:rPr>
          <w:rFonts w:ascii="Times New Roman" w:hAnsi="Times New Roman" w:cs="Times New Roman"/>
          <w:i/>
          <w:noProof/>
          <w:sz w:val="24"/>
          <w:lang w:val="en-IE"/>
        </w:rPr>
        <w:t>mainly due to the reduced offering of these vehicles resulting from the transition to the new Worldwide Harmonized Light Vehicle Test cycles</w:t>
      </w:r>
      <w:r>
        <w:rPr>
          <w:rFonts w:ascii="Times New Roman" w:hAnsi="Times New Roman" w:cs="Times New Roman"/>
          <w:noProof/>
          <w:sz w:val="24"/>
          <w:lang w:val="en-IE"/>
        </w:rPr>
        <w:t>”. On the ot</w:t>
      </w:r>
      <w:r>
        <w:rPr>
          <w:rFonts w:ascii="Times New Roman" w:hAnsi="Times New Roman" w:cs="Times New Roman"/>
          <w:noProof/>
          <w:sz w:val="24"/>
          <w:lang w:val="en-IE"/>
        </w:rPr>
        <w:t>her hand, a partial compensation in terms of AF vehicles is foreseen by the increased estimates of LNG and mostly of hydrogen vehicles in the CZ NIR compared to the NPF (see next sections).</w:t>
      </w:r>
    </w:p>
    <w:p w:rsidR="003C43BF" w:rsidRDefault="006C3212">
      <w:pPr>
        <w:tabs>
          <w:tab w:val="left" w:pos="360"/>
        </w:tabs>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the significantly reduced future CNG vehicl</w:t>
      </w:r>
      <w:r>
        <w:rPr>
          <w:rFonts w:ascii="Times New Roman" w:hAnsi="Times New Roman" w:cs="Times New Roman"/>
          <w:iCs/>
          <w:noProof/>
          <w:sz w:val="24"/>
          <w:lang w:val="en-IE"/>
        </w:rPr>
        <w:t xml:space="preserve">es estimates is 86.13% for 2020 and 47.71% for 2030. According to the assessment methodology described in Section 2.1, the 2018 situation corresponds to a </w:t>
      </w:r>
      <w:r>
        <w:rPr>
          <w:rFonts w:ascii="Times New Roman" w:hAnsi="Times New Roman" w:cs="Times New Roman"/>
          <w:b/>
          <w:i/>
          <w:iCs/>
          <w:noProof/>
          <w:sz w:val="24"/>
          <w:lang w:val="en-IE"/>
        </w:rPr>
        <w:t>fast progress</w:t>
      </w:r>
      <w:r>
        <w:rPr>
          <w:rFonts w:ascii="Times New Roman" w:hAnsi="Times New Roman" w:cs="Times New Roman"/>
          <w:iCs/>
          <w:noProof/>
          <w:sz w:val="24"/>
          <w:lang w:val="en-IE"/>
        </w:rPr>
        <w:t xml:space="preserve"> towards reaching the envisaged CNG vehicles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w:t>
      </w:r>
      <w:r>
        <w:rPr>
          <w:rFonts w:ascii="Times New Roman" w:hAnsi="Times New Roman" w:cs="Times New Roman"/>
          <w:b/>
          <w:i/>
          <w:iCs/>
          <w:noProof/>
          <w:color w:val="000000" w:themeColor="text1"/>
          <w:sz w:val="24"/>
          <w:lang w:val="en-IE"/>
        </w:rPr>
        <w:t>owth rate</w:t>
      </w:r>
      <w:r>
        <w:rPr>
          <w:rFonts w:ascii="Times New Roman" w:hAnsi="Times New Roman" w:cs="Times New Roman"/>
          <w:iCs/>
          <w:noProof/>
          <w:color w:val="000000" w:themeColor="text1"/>
          <w:sz w:val="24"/>
          <w:lang w:val="en-IE"/>
        </w:rPr>
        <w:t xml:space="preserve"> corresponding to the period 2016-2030 for the CNG vehicle fleet evolution planned by Czechia is equal to</w:t>
      </w:r>
      <w:r>
        <w:rPr>
          <w:rFonts w:ascii="Times New Roman" w:hAnsi="Times New Roman" w:cs="Times New Roman"/>
          <w:iCs/>
          <w:noProof/>
          <w:sz w:val="24"/>
          <w:lang w:val="en-IE"/>
        </w:rPr>
        <w:t xml:space="preserve"> 8%.</w:t>
      </w:r>
      <w:r>
        <w:rPr>
          <w:rFonts w:ascii="Times New Roman" w:hAnsi="Times New Roman" w:cs="Times New Roman"/>
          <w:noProof/>
          <w:sz w:val="28"/>
          <w:szCs w:val="24"/>
          <w:lang w:val="en-IE"/>
        </w:rPr>
        <w:t xml:space="preserv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In 2018, Czechia recorded 185 CNG refuelling points. </w:t>
      </w:r>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REF _Ref52788738 \h  \* MERGEFORMAT </w:instrText>
      </w:r>
      <w:r>
        <w:rPr>
          <w:rFonts w:ascii="Times New Roman" w:hAnsi="Times New Roman" w:cs="Times New Roman"/>
          <w:iCs/>
          <w:noProof/>
          <w:sz w:val="24"/>
          <w:lang w:val="en-IE"/>
        </w:rPr>
      </w:r>
      <w:r>
        <w:rPr>
          <w:rFonts w:ascii="Times New Roman" w:hAnsi="Times New Roman" w:cs="Times New Roman"/>
          <w:iCs/>
          <w:noProof/>
          <w:sz w:val="24"/>
          <w:lang w:val="en-IE"/>
        </w:rPr>
        <w:fldChar w:fldCharType="separate"/>
      </w:r>
      <w:r w:rsidRPr="006C3212">
        <w:rPr>
          <w:rFonts w:ascii="Times New Roman" w:hAnsi="Times New Roman" w:cs="Times New Roman"/>
          <w:iCs/>
          <w:noProof/>
          <w:color w:val="000000" w:themeColor="text1"/>
          <w:sz w:val="24"/>
          <w:lang w:val="en-IE"/>
        </w:rPr>
        <w:t>Table 5.3.3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iCs/>
          <w:noProof/>
          <w:sz w:val="24"/>
          <w:lang w:val="en-IE"/>
        </w:rPr>
        <w:fldChar w:fldCharType="end"/>
      </w:r>
      <w:r>
        <w:rPr>
          <w:rFonts w:ascii="Times New Roman" w:hAnsi="Times New Roman" w:cs="Times New Roman"/>
          <w:iCs/>
          <w:noProof/>
          <w:sz w:val="24"/>
          <w:lang w:val="en-IE"/>
        </w:rPr>
        <w:t xml:space="preserve"> shows a confirmation of the NPF targets for publicly accessible CNG refuelling points over the period 2020-2025, and a remarkable increase for 2030 (+76.47%), which however seems in contrast w</w:t>
      </w:r>
      <w:r>
        <w:rPr>
          <w:rFonts w:ascii="Times New Roman" w:hAnsi="Times New Roman" w:cs="Times New Roman"/>
          <w:iCs/>
          <w:noProof/>
          <w:sz w:val="24"/>
          <w:lang w:val="en-IE"/>
        </w:rPr>
        <w:t xml:space="preserve">ith the corresponding decrease in CNG vehicle estimate for 2030 (-76.83%) compared to the NPF estimate. This is not explained in the CZ NIR. </w:t>
      </w:r>
    </w:p>
    <w:p w:rsidR="003C43BF" w:rsidRDefault="006C3212">
      <w:pPr>
        <w:tabs>
          <w:tab w:val="left" w:pos="360"/>
        </w:tabs>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future public CNG refuelling infrastructure targets is 99.46% for 2020 and 30.83% for 2030.</w:t>
      </w:r>
      <w:r>
        <w:rPr>
          <w:rFonts w:ascii="Times New Roman" w:hAnsi="Times New Roman" w:cs="Times New Roman"/>
          <w:iCs/>
          <w:noProof/>
          <w:sz w:val="24"/>
          <w:lang w:val="en-IE"/>
        </w:rPr>
        <w:t xml:space="preserve">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2016-2025 for publicly accessible CNG refuelling infrastructure evolution planned by Czechia is equal to</w:t>
      </w:r>
      <w:r>
        <w:rPr>
          <w:rFonts w:ascii="Times New Roman" w:hAnsi="Times New Roman" w:cs="Times New Roman"/>
          <w:iCs/>
          <w:noProof/>
          <w:sz w:val="24"/>
          <w:lang w:val="en-IE"/>
        </w:rPr>
        <w:t xml:space="preserve"> 12%.</w:t>
      </w:r>
      <w:r>
        <w:rPr>
          <w:rFonts w:ascii="Times New Roman" w:hAnsi="Times New Roman" w:cs="Times New Roman"/>
          <w:noProof/>
          <w:sz w:val="28"/>
          <w:szCs w:val="24"/>
          <w:lang w:val="en-IE"/>
        </w:rPr>
        <w:t xml:space="preserv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CZ NIR, the following table shows the ratio between vehicles and publicly accessible refuelling p</w:t>
      </w:r>
      <w:r>
        <w:rPr>
          <w:rFonts w:ascii="Times New Roman" w:hAnsi="Times New Roman" w:cs="Times New Roman"/>
          <w:noProof/>
          <w:sz w:val="24"/>
          <w:lang w:val="en-IE"/>
        </w:rPr>
        <w:t>oints (i.e. sufficiency index) for the pair CNG/road. It can be seen that sufficiency index is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for the whole period.</w:t>
      </w:r>
    </w:p>
    <w:p w:rsidR="003C43BF" w:rsidRDefault="006C3212">
      <w:pPr>
        <w:jc w:val="both"/>
        <w:rPr>
          <w:rFonts w:ascii="Times New Roman" w:hAnsi="Times New Roman" w:cs="Times New Roman"/>
          <w:b/>
          <w:iCs/>
          <w:noProof/>
          <w:sz w:val="24"/>
          <w:lang w:val="en-IE"/>
        </w:rPr>
      </w:pPr>
      <w:r>
        <w:rPr>
          <w:rFonts w:ascii="Times New Roman" w:hAnsi="Times New Roman" w:cs="Times New Roman"/>
          <w:noProof/>
          <w:sz w:val="24"/>
          <w:lang w:eastAsia="en-GB"/>
        </w:rPr>
        <w:drawing>
          <wp:inline distT="0" distB="0" distL="0" distR="0">
            <wp:extent cx="4997450" cy="388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7450" cy="388620"/>
                    </a:xfrm>
                    <a:prstGeom prst="rect">
                      <a:avLst/>
                    </a:prstGeom>
                    <a:noFill/>
                    <a:ln>
                      <a:noFill/>
                    </a:ln>
                  </pic:spPr>
                </pic:pic>
              </a:graphicData>
            </a:graphic>
          </wp:inline>
        </w:drawing>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 xml:space="preserve">Czechia recorded two LNG HCVs in 2018. For the next decade, the CZ NIR presents a revised plan compared to the NPF. Although for 2020 there is a lower estimate of LNG vehicles than in the NPF, the CZ NIR presents overall a considerably more ambitious plan </w:t>
      </w:r>
      <w:r>
        <w:rPr>
          <w:rFonts w:ascii="Times New Roman" w:hAnsi="Times New Roman" w:cs="Times New Roman"/>
          <w:noProof/>
          <w:sz w:val="24"/>
          <w:lang w:val="en-IE"/>
        </w:rPr>
        <w:t xml:space="preserve">for 2025 and 2030, with respectively 2,300 and 6,900 heavy commercial LNG vehicles on the market. </w:t>
      </w:r>
    </w:p>
    <w:p w:rsidR="003C43BF" w:rsidRDefault="006C3212">
      <w:pPr>
        <w:tabs>
          <w:tab w:val="left" w:pos="360"/>
        </w:tabs>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LNG vehicles estimates is 2.50% for 2020 and 0.03% for 2030. According to the assessment methodology described in Section 2.1, </w:t>
      </w:r>
      <w:r>
        <w:rPr>
          <w:rFonts w:ascii="Times New Roman" w:hAnsi="Times New Roman" w:cs="Times New Roman"/>
          <w:iCs/>
          <w:noProof/>
          <w:sz w:val="24"/>
          <w:lang w:val="en-IE"/>
        </w:rPr>
        <w:t xml:space="preserve">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Czechia from 2016 until 2018 for LNG vehicles deployment is 0.03% of the overall planned deployment during the period 2016-2030.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With only one LNG refuelling point recorded on 2018, the CZ NIR presents a new and mor</w:t>
      </w:r>
      <w:r>
        <w:rPr>
          <w:rFonts w:ascii="Times New Roman" w:hAnsi="Times New Roman" w:cs="Times New Roman"/>
          <w:noProof/>
          <w:sz w:val="24"/>
          <w:lang w:val="en-IE"/>
        </w:rPr>
        <w:t>e ambitious set of targets for LNG infrastructures in 2020, 2025 and 2030 (30 in the NIR versus 14 in the NPF), which is in line with the corresponding increased estimation of LNG vehicles compared to the NPF for the next decade.</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w:t>
      </w:r>
      <w:r>
        <w:rPr>
          <w:rFonts w:ascii="Times New Roman" w:hAnsi="Times New Roman" w:cs="Times New Roman"/>
          <w:iCs/>
          <w:noProof/>
          <w:sz w:val="24"/>
          <w:lang w:val="en-IE"/>
        </w:rPr>
        <w:t xml:space="preserve">ure public LNG refuelling infrastructure targets is 33.33% for 2020 and 3.33%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Czechia from 2016 until 2018 for public LNG refuelling infrastructure deploym</w:t>
      </w:r>
      <w:r>
        <w:rPr>
          <w:rFonts w:ascii="Times New Roman" w:hAnsi="Times New Roman" w:cs="Times New Roman"/>
          <w:iCs/>
          <w:noProof/>
          <w:sz w:val="24"/>
          <w:lang w:val="en-IE"/>
        </w:rPr>
        <w:t xml:space="preserve">ent is 3.33% of the overall planned deployment during the period 2016-2030.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CZ NIR, the following table shows the ratio between vehicles and publicly accessible refuelling points (i.e. sufficiency index) for the pair LNG/road. </w:t>
      </w:r>
    </w:p>
    <w:p w:rsidR="003C43BF" w:rsidRDefault="006C3212">
      <w:pPr>
        <w:tabs>
          <w:tab w:val="left" w:pos="360"/>
        </w:tabs>
        <w:rPr>
          <w:rFonts w:ascii="Times New Roman" w:hAnsi="Times New Roman" w:cs="Times New Roman"/>
          <w:b/>
          <w:iCs/>
          <w:noProof/>
          <w:sz w:val="24"/>
          <w:lang w:val="en-IE"/>
        </w:rPr>
      </w:pPr>
      <w:r>
        <w:rPr>
          <w:rFonts w:ascii="Times New Roman" w:hAnsi="Times New Roman" w:cs="Times New Roman"/>
          <w:noProof/>
          <w:sz w:val="24"/>
          <w:highlight w:val="yellow"/>
          <w:lang w:eastAsia="en-GB"/>
        </w:rPr>
        <w:drawing>
          <wp:inline distT="0" distB="0" distL="0" distR="0">
            <wp:extent cx="4997450" cy="388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7450" cy="388620"/>
                    </a:xfrm>
                    <a:prstGeom prst="rect">
                      <a:avLst/>
                    </a:prstGeom>
                    <a:solidFill>
                      <a:schemeClr val="bg1"/>
                    </a:solidFill>
                    <a:ln>
                      <a:noFill/>
                    </a:ln>
                  </pic:spPr>
                </pic:pic>
              </a:graphicData>
            </a:graphic>
          </wp:inline>
        </w:drawing>
      </w:r>
    </w:p>
    <w:p w:rsidR="003C43BF" w:rsidRDefault="003C43BF">
      <w:pPr>
        <w:rPr>
          <w:rStyle w:val="Heading4Char"/>
          <w:rFonts w:ascii="Times New Roman" w:hAnsi="Times New Roman" w:cs="Times New Roman"/>
          <w:i/>
          <w:iCs/>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While in 2018 there was just one hydrogen vehicle recorded in Czechia, the CZ NIR presents quite an ambitious estimate of hydrogen vehicles for 2025 and 2030, with a total number of 62,559 in 2030. The vast majority of these vehicles is f</w:t>
      </w:r>
      <w:r>
        <w:rPr>
          <w:rFonts w:ascii="Times New Roman" w:hAnsi="Times New Roman" w:cs="Times New Roman"/>
          <w:noProof/>
          <w:sz w:val="24"/>
          <w:lang w:val="en-IE"/>
        </w:rPr>
        <w:t>oreseen to be light-duty vehicles (i.e. passenger cars and light commercial vehicles) but 100 heavy commercial vehicles and 870 buses and coaches are also foreseen in 2030.</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future hydrogen vehicles estimates is 33.33% for 2020 and le</w:t>
      </w:r>
      <w:r>
        <w:rPr>
          <w:rFonts w:ascii="Times New Roman" w:hAnsi="Times New Roman" w:cs="Times New Roman"/>
          <w:iCs/>
          <w:noProof/>
          <w:sz w:val="24"/>
          <w:lang w:val="en-IE"/>
        </w:rPr>
        <w:t xml:space="preserve">ss than 0.01%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Czechia obtained from 2016 until 2018 for hydrogen vehicles deployment is 0% of the overall planned deployment during the period 2016-2030 since the situ</w:t>
      </w:r>
      <w:r>
        <w:rPr>
          <w:rFonts w:ascii="Times New Roman" w:hAnsi="Times New Roman" w:cs="Times New Roman"/>
          <w:iCs/>
          <w:noProof/>
          <w:sz w:val="24"/>
          <w:lang w:val="en-IE"/>
        </w:rPr>
        <w:t xml:space="preserve">ation remained the same. </w:t>
      </w:r>
    </w:p>
    <w:p w:rsidR="003C43BF" w:rsidRDefault="003C43BF">
      <w:pPr>
        <w:tabs>
          <w:tab w:val="left" w:pos="360"/>
        </w:tabs>
        <w:spacing w:after="120" w:line="240" w:lineRule="auto"/>
        <w:jc w:val="both"/>
        <w:rPr>
          <w:rFonts w:ascii="Times New Roman" w:hAnsi="Times New Roman" w:cs="Times New Roman"/>
          <w:noProof/>
          <w:sz w:val="28"/>
          <w:szCs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 xml:space="preserve">The new set of targets for hydrogen infrastructures (and vehicles) reported in the CZ NIR represents the most relevant change with respect to the NPF. In the latter, there was only one target for 2025 of four </w:t>
      </w:r>
      <w:r>
        <w:rPr>
          <w:rFonts w:ascii="Times New Roman" w:hAnsi="Times New Roman" w:cs="Times New Roman"/>
          <w:noProof/>
          <w:sz w:val="24"/>
          <w:lang w:val="en-IE"/>
        </w:rPr>
        <w:t>hydrogen publicly accessible refuelling stations. In the CZ NIR, these targets are: four for 2020 (the construction of which has already been contracted), 20 for 2025 and 95 for 2030.</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at the end of 2018 there are no hydrogen refuelling points deploye</w:t>
      </w:r>
      <w:r>
        <w:rPr>
          <w:rFonts w:ascii="Times New Roman" w:hAnsi="Times New Roman" w:cs="Times New Roman"/>
          <w:iCs/>
          <w:noProof/>
          <w:sz w:val="24"/>
          <w:lang w:val="en-IE"/>
        </w:rPr>
        <w:t>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CZ NIR, the following table shows the ratio between vehicles and publicly accessible refuelling points (i.e. sufficiency index) for the pair hydrogen/road. </w:t>
      </w:r>
    </w:p>
    <w:p w:rsidR="003C43BF" w:rsidRDefault="006C3212">
      <w:pPr>
        <w:tabs>
          <w:tab w:val="left" w:pos="360"/>
        </w:tabs>
        <w:rPr>
          <w:rFonts w:ascii="Times New Roman" w:hAnsi="Times New Roman" w:cs="Times New Roman"/>
          <w:b/>
          <w:iCs/>
          <w:noProof/>
          <w:sz w:val="24"/>
          <w:lang w:val="en-IE"/>
        </w:rPr>
      </w:pPr>
      <w:r>
        <w:rPr>
          <w:rFonts w:ascii="Times New Roman" w:hAnsi="Times New Roman" w:cs="Times New Roman"/>
          <w:noProof/>
          <w:sz w:val="24"/>
          <w:highlight w:val="yellow"/>
          <w:lang w:eastAsia="en-GB"/>
        </w:rPr>
        <w:drawing>
          <wp:inline distT="0" distB="0" distL="0" distR="0">
            <wp:extent cx="4997450" cy="388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7450" cy="388620"/>
                    </a:xfrm>
                    <a:prstGeom prst="rect">
                      <a:avLst/>
                    </a:prstGeom>
                    <a:solidFill>
                      <a:schemeClr val="bg1"/>
                    </a:solidFill>
                    <a:ln>
                      <a:noFill/>
                    </a:ln>
                  </pic:spPr>
                </pic:pic>
              </a:graphicData>
            </a:graphic>
          </wp:inline>
        </w:drawing>
      </w:r>
    </w:p>
    <w:p w:rsidR="003C43BF" w:rsidRDefault="003C43BF">
      <w:pPr>
        <w:rPr>
          <w:rStyle w:val="Heading4Char"/>
          <w:rFonts w:ascii="Times New Roman" w:hAnsi="Times New Roman" w:cs="Times New Roman"/>
          <w:i/>
          <w:iCs/>
          <w:noProof/>
          <w:color w:val="FFFFFF" w:themeColor="background1"/>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Czech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Czech NIR.</w:t>
      </w:r>
    </w:p>
    <w:p w:rsidR="003C43BF" w:rsidRDefault="003C43BF">
      <w:pPr>
        <w:rPr>
          <w:rFonts w:ascii="Times New Roman" w:hAnsi="Times New Roman" w:cs="Times New Roman"/>
          <w:noProof/>
          <w:sz w:val="24"/>
          <w:highlight w:val="yellow"/>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Czechia recorded 170,300 LPG vehicles in 2018 (of which 170,000 were passenger cars and 300 LCVs). In the CZ NPF, there was no mention of LPG vehicle estimates for 2020, 2025 and 2030, while in the NIR (see </w:t>
      </w:r>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REF _Ref52788738 \h  \* MERGEFORMAT </w:instrText>
      </w:r>
      <w:r>
        <w:rPr>
          <w:rFonts w:ascii="Times New Roman" w:hAnsi="Times New Roman" w:cs="Times New Roman"/>
          <w:iCs/>
          <w:noProof/>
          <w:sz w:val="24"/>
          <w:lang w:val="en-IE"/>
        </w:rPr>
      </w:r>
      <w:r>
        <w:rPr>
          <w:rFonts w:ascii="Times New Roman" w:hAnsi="Times New Roman" w:cs="Times New Roman"/>
          <w:iCs/>
          <w:noProof/>
          <w:sz w:val="24"/>
          <w:lang w:val="en-IE"/>
        </w:rPr>
        <w:fldChar w:fldCharType="separate"/>
      </w:r>
      <w:r w:rsidRPr="006C3212">
        <w:rPr>
          <w:rFonts w:ascii="Times New Roman" w:hAnsi="Times New Roman" w:cs="Times New Roman"/>
          <w:iCs/>
          <w:noProof/>
          <w:color w:val="000000" w:themeColor="text1"/>
          <w:sz w:val="24"/>
          <w:lang w:val="en-IE"/>
        </w:rPr>
        <w:t>Table 5.3.3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iCs/>
          <w:noProof/>
          <w:sz w:val="24"/>
          <w:lang w:val="en-IE"/>
        </w:rPr>
        <w:fldChar w:fldCharType="end"/>
      </w:r>
      <w:r>
        <w:rPr>
          <w:rFonts w:ascii="Times New Roman" w:hAnsi="Times New Roman" w:cs="Times New Roman"/>
          <w:noProof/>
          <w:sz w:val="24"/>
          <w:lang w:val="en-IE"/>
        </w:rPr>
        <w:t>) such estimate appears, with an increase from 190,300 vehicles in 2020 to 256,650 vehicles in 2030.</w:t>
      </w:r>
    </w:p>
    <w:p w:rsidR="003C43BF" w:rsidRDefault="006C3212">
      <w:pPr>
        <w:tabs>
          <w:tab w:val="left" w:pos="360"/>
        </w:tabs>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LPG vehicles estimates is 89.49% for 2020 and 66.35%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Czechia obtained from 2016 until 2018 for LPG vehicles deployment is 0.00% of the overall planned deploy</w:t>
      </w:r>
      <w:r>
        <w:rPr>
          <w:rFonts w:ascii="Times New Roman" w:hAnsi="Times New Roman" w:cs="Times New Roman"/>
          <w:iCs/>
          <w:noProof/>
          <w:sz w:val="24"/>
          <w:lang w:val="en-IE"/>
        </w:rPr>
        <w:t xml:space="preserve">ment during the period 2016-2030 because the CZ NIR shows a constant value of 170,300 LPG vehicles for the period 2016-2018.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As for LPG vehicles, the CZ NIR presents a strategy for LPG infrastructures, which was not present in the NPF. Howe</w:t>
      </w:r>
      <w:r>
        <w:rPr>
          <w:rFonts w:ascii="Times New Roman" w:hAnsi="Times New Roman" w:cs="Times New Roman"/>
          <w:noProof/>
          <w:sz w:val="24"/>
          <w:lang w:val="en-IE"/>
        </w:rPr>
        <w:t>ver this cannot be considered as a real novelty or a change of ambition on this fuel, as a substantial network of LPG refuelling points (and corresponding LPG vehicles) was already present in Czechia even before the AFI Directive. Furthermore, looking at t</w:t>
      </w:r>
      <w:r>
        <w:rPr>
          <w:rFonts w:ascii="Times New Roman" w:hAnsi="Times New Roman" w:cs="Times New Roman"/>
          <w:noProof/>
          <w:sz w:val="24"/>
          <w:lang w:val="en-IE"/>
        </w:rPr>
        <w:t>he infrastructure target for 2030 it can be seen that the level of attainment in 2018 is already around 95%, meaning a very limited growth compared to the current situation.</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future public LPG refuelling infrastructure targets is 95.4</w:t>
      </w:r>
      <w:r>
        <w:rPr>
          <w:rFonts w:ascii="Times New Roman" w:hAnsi="Times New Roman" w:cs="Times New Roman"/>
          <w:iCs/>
          <w:noProof/>
          <w:sz w:val="24"/>
          <w:lang w:val="en-IE"/>
        </w:rPr>
        <w:t xml:space="preserve">8% for 2020 and 94.53%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Czechia obtained from 2016 until 2018 for LPG refuelling infrastructure deployment is 42.71% of the overall planned deployment during the period</w:t>
      </w:r>
      <w:r>
        <w:rPr>
          <w:rFonts w:ascii="Times New Roman" w:hAnsi="Times New Roman" w:cs="Times New Roman"/>
          <w:iCs/>
          <w:noProof/>
          <w:sz w:val="24"/>
          <w:lang w:val="en-IE"/>
        </w:rPr>
        <w:t xml:space="preserve"> 2016-2030.</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CZ NIR, the following table shows the ratio between vehicles and publicly accessible refuelling points (i.e. sufficiency index) for the pair LPG/road. </w:t>
      </w:r>
    </w:p>
    <w:p w:rsidR="003C43BF" w:rsidRDefault="006C3212">
      <w:pPr>
        <w:tabs>
          <w:tab w:val="left" w:pos="360"/>
        </w:tabs>
        <w:rPr>
          <w:rFonts w:ascii="Times New Roman" w:hAnsi="Times New Roman" w:cs="Times New Roman"/>
          <w:b/>
          <w:iCs/>
          <w:noProof/>
          <w:sz w:val="24"/>
          <w:lang w:val="en-IE"/>
        </w:rPr>
      </w:pPr>
      <w:r>
        <w:rPr>
          <w:rFonts w:ascii="Times New Roman" w:hAnsi="Times New Roman" w:cs="Times New Roman"/>
          <w:noProof/>
          <w:sz w:val="24"/>
          <w:lang w:eastAsia="en-GB"/>
        </w:rPr>
        <w:drawing>
          <wp:inline distT="0" distB="0" distL="0" distR="0">
            <wp:extent cx="4997450" cy="3733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7450" cy="373380"/>
                    </a:xfrm>
                    <a:prstGeom prst="rect">
                      <a:avLst/>
                    </a:prstGeom>
                    <a:solidFill>
                      <a:schemeClr val="bg1"/>
                    </a:solidFill>
                    <a:ln>
                      <a:noFill/>
                    </a:ln>
                  </pic:spPr>
                </pic:pic>
              </a:graphicData>
            </a:graphic>
          </wp:inline>
        </w:drawing>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CZ NIR recorded 814 locomotives/railcars and 317 passenger vehicles in 2018. A slight increase in these numbers is expected until 2030 (900 locomotives/railcars and 370 passenger vehicles). </w:t>
      </w:r>
    </w:p>
    <w:p w:rsidR="003C43BF" w:rsidRDefault="006C3212">
      <w:pPr>
        <w:pStyle w:val="Heading6"/>
        <w:numPr>
          <w:ilvl w:val="0"/>
          <w:numId w:val="0"/>
        </w:numPr>
        <w:rPr>
          <w:rStyle w:val="Heading4Char"/>
          <w:rFonts w:ascii="Times New Roman" w:hAnsi="Times New Roman" w:cs="Times New Roman"/>
          <w:i w:val="0"/>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Czech NIR.</w:t>
      </w:r>
    </w:p>
    <w:p w:rsidR="003C43BF" w:rsidRDefault="003C43BF">
      <w:pPr>
        <w:rPr>
          <w:rFonts w:ascii="Times New Roman" w:hAnsi="Times New Roman" w:cs="Times New Roman"/>
          <w:noProof/>
          <w:sz w:val="24"/>
          <w:highlight w:val="yellow"/>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Not applicable since Czechia has no maritime ports in the TEN-T Core Network.</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CZ NIR provides an estimate of 20 and 40 LNG vessels for inland waterborne transport, </w:t>
      </w:r>
      <w:r>
        <w:rPr>
          <w:rFonts w:ascii="Times New Roman" w:hAnsi="Times New Roman" w:cs="Times New Roman"/>
          <w:noProof/>
          <w:sz w:val="24"/>
          <w:lang w:val="en-IE"/>
        </w:rPr>
        <w:t>respectively by 2025 and 2030 (</w:t>
      </w:r>
      <w:r>
        <w:rPr>
          <w:rFonts w:ascii="Times New Roman" w:hAnsi="Times New Roman" w:cs="Times New Roman"/>
          <w:noProof/>
          <w:sz w:val="24"/>
          <w:u w:val="single"/>
          <w:lang w:val="en-IE"/>
        </w:rPr>
        <w:t>NOTE: these estimates have been presented as CNG vessels in the CZ NIR but it is considered that in reality the numbers refer to LNG vessels and as such they have been treated</w:t>
      </w:r>
      <w:r>
        <w:rPr>
          <w:rFonts w:ascii="Times New Roman" w:hAnsi="Times New Roman" w:cs="Times New Roman"/>
          <w:noProof/>
          <w:sz w:val="24"/>
          <w:lang w:val="en-IE"/>
        </w:rPr>
        <w:t>).</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at the end of 2018 there are no LNG vesse</w:t>
      </w:r>
      <w:r>
        <w:rPr>
          <w:rFonts w:ascii="Times New Roman" w:hAnsi="Times New Roman" w:cs="Times New Roman"/>
          <w:iCs/>
          <w:noProof/>
          <w:sz w:val="24"/>
          <w:lang w:val="en-IE"/>
        </w:rPr>
        <w:t>ls deployed in the inland ports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b/>
          <w:noProof/>
          <w:sz w:val="24"/>
          <w:lang w:val="en-IE"/>
        </w:rPr>
        <w:t xml:space="preserve"> </w:t>
      </w:r>
      <w:r>
        <w:rPr>
          <w:rFonts w:ascii="Times New Roman" w:hAnsi="Times New Roman" w:cs="Times New Roman"/>
          <w:noProof/>
          <w:sz w:val="24"/>
          <w:lang w:val="en-IE"/>
        </w:rPr>
        <w:t xml:space="preserve">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Following the Commission assessment of the CZ NPF, the CZ NIR shows a change of strategy, with a target of two LNG refuelling stations for 2030. In fact, in relation to Article 6(3) of the Directive, the CZ NPF had not set any target for the construction o</w:t>
      </w:r>
      <w:r>
        <w:rPr>
          <w:rFonts w:ascii="Times New Roman" w:hAnsi="Times New Roman" w:cs="Times New Roman"/>
          <w:noProof/>
          <w:sz w:val="24"/>
          <w:lang w:val="en-IE"/>
        </w:rPr>
        <w:t xml:space="preserve">f LNG fillings stations at inland ports. The justification had been that the construction of filling stations for LNG-powered vessels in public ports in Czechia did not look effective for the immediate future.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at the end of 2018 there are no LNG ref</w:t>
      </w:r>
      <w:r>
        <w:rPr>
          <w:rFonts w:ascii="Times New Roman" w:hAnsi="Times New Roman" w:cs="Times New Roman"/>
          <w:iCs/>
          <w:noProof/>
          <w:sz w:val="24"/>
          <w:lang w:val="en-IE"/>
        </w:rPr>
        <w:t>uelling points 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b/>
          <w:noProof/>
          <w:sz w:val="24"/>
          <w:lang w:val="en-IE"/>
        </w:rPr>
        <w:t xml:space="preserve"> </w:t>
      </w:r>
      <w:r>
        <w:rPr>
          <w:rFonts w:ascii="Times New Roman" w:hAnsi="Times New Roman" w:cs="Times New Roman"/>
          <w:noProof/>
          <w:sz w:val="24"/>
          <w:lang w:val="en-IE"/>
        </w:rPr>
        <w:t xml:space="preserve">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3C43BF">
      <w:pPr>
        <w:rPr>
          <w:rStyle w:val="Heading4Char"/>
          <w:rFonts w:ascii="Times New Roman" w:hAnsi="Times New Roman" w:cs="Times New Roman"/>
          <w:i/>
          <w:iCs/>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CZ NIR also presents an estimate of hydrogen-fuelled vessels for 2025 and 2030 (5 and 20 vessels, respectively), however this is not accompanied by any </w:t>
      </w:r>
      <w:r>
        <w:rPr>
          <w:rFonts w:ascii="Times New Roman" w:hAnsi="Times New Roman" w:cs="Times New Roman"/>
          <w:noProof/>
          <w:sz w:val="24"/>
          <w:lang w:val="en-IE"/>
        </w:rPr>
        <w:t>announced plan of corresponding hydrogen infrastructures at the Czech inland ports. The CZ NIR provides no explanation.</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at the end of 2018 there are no hydrogen vessels deployed in the inland ports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Czech NIR.</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r>
        <w:rPr>
          <w:rStyle w:val="Heading4Char"/>
          <w:rFonts w:ascii="Times New Roman" w:hAnsi="Times New Roman" w:cs="Times New Roman"/>
          <w:i/>
          <w:iCs/>
          <w:noProof/>
          <w:sz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Czech NIR.</w:t>
      </w:r>
    </w:p>
    <w:p w:rsidR="003C43BF" w:rsidRDefault="006C3212">
      <w:pPr>
        <w:pStyle w:val="Heading6"/>
        <w:numPr>
          <w:ilvl w:val="0"/>
          <w:numId w:val="0"/>
        </w:numPr>
        <w:rPr>
          <w:rStyle w:val="Heading4Char"/>
          <w:rFonts w:ascii="Times New Roman" w:hAnsi="Times New Roman" w:cs="Times New Roman"/>
          <w:i w:val="0"/>
          <w:iCs/>
          <w:noProof/>
          <w:sz w:val="24"/>
          <w:lang w:val="en-IE"/>
        </w:rPr>
      </w:pPr>
      <w:r>
        <w:rPr>
          <w:rStyle w:val="Heading4Char"/>
          <w:rFonts w:ascii="Times New Roman" w:hAnsi="Times New Roman" w:cs="Times New Roman"/>
          <w:noProof/>
          <w:sz w:val="24"/>
          <w:lang w:val="en-IE"/>
        </w:rPr>
        <w:t>Infrastructure</w:t>
      </w:r>
      <w:r>
        <w:rPr>
          <w:rStyle w:val="Heading4Char"/>
          <w:rFonts w:ascii="Times New Roman" w:hAnsi="Times New Roman" w:cs="Times New Roman"/>
          <w:i w:val="0"/>
          <w:noProof/>
          <w:sz w:val="24"/>
          <w:lang w:val="en-IE"/>
        </w:rPr>
        <w:t xml:space="preserve"> </w:t>
      </w:r>
      <w:r>
        <w:rPr>
          <w:rStyle w:val="Heading4Char"/>
          <w:rFonts w:ascii="Times New Roman" w:hAnsi="Times New Roman" w:cs="Times New Roman"/>
          <w:noProof/>
          <w:sz w:val="24"/>
          <w:lang w:val="en-IE"/>
        </w:rPr>
        <w:t>(for stationary airplanes)</w:t>
      </w:r>
    </w:p>
    <w:p w:rsidR="003C43BF" w:rsidRDefault="006C3212">
      <w:pPr>
        <w:spacing w:after="120" w:line="240" w:lineRule="auto"/>
        <w:jc w:val="both"/>
        <w:rPr>
          <w:rFonts w:ascii="Times New Roman" w:hAnsi="Times New Roman" w:cs="Times New Roman"/>
          <w:i/>
          <w:iCs/>
          <w:noProof/>
          <w:sz w:val="24"/>
          <w:lang w:val="en-IE"/>
        </w:rPr>
      </w:pPr>
      <w:r>
        <w:rPr>
          <w:rFonts w:ascii="Times New Roman" w:hAnsi="Times New Roman" w:cs="Times New Roman"/>
          <w:noProof/>
          <w:sz w:val="24"/>
          <w:lang w:val="en-IE"/>
        </w:rPr>
        <w:t>CZ NIR reports the following: “</w:t>
      </w:r>
      <w:r>
        <w:rPr>
          <w:rFonts w:ascii="Times New Roman" w:hAnsi="Times New Roman" w:cs="Times New Roman"/>
          <w:i/>
          <w:noProof/>
          <w:sz w:val="24"/>
          <w:lang w:val="en-IE"/>
        </w:rPr>
        <w:t>At present,</w:t>
      </w:r>
      <w:r>
        <w:rPr>
          <w:rFonts w:ascii="Times New Roman" w:hAnsi="Times New Roman" w:cs="Times New Roman"/>
          <w:i/>
          <w:noProof/>
          <w:sz w:val="24"/>
          <w:lang w:val="en-IE"/>
        </w:rPr>
        <w:t xml:space="preserve"> the (Prague’s Václav Havel) airport is equipped with power connections (400 Hz) at all 31 contact stands (stands served by boarding bridges), and every new contact stand will also be fitted with one. Remote stands are not provided with permanent connectio</w:t>
      </w:r>
      <w:r>
        <w:rPr>
          <w:rFonts w:ascii="Times New Roman" w:hAnsi="Times New Roman" w:cs="Times New Roman"/>
          <w:i/>
          <w:noProof/>
          <w:sz w:val="24"/>
          <w:lang w:val="en-IE"/>
        </w:rPr>
        <w:t>ns</w:t>
      </w:r>
      <w:r>
        <w:rPr>
          <w:rFonts w:ascii="Times New Roman" w:hAnsi="Times New Roman" w:cs="Times New Roman"/>
          <w:i/>
          <w:iCs/>
          <w:noProof/>
          <w:sz w:val="24"/>
          <w:lang w:val="en-IE"/>
        </w:rPr>
        <w:t xml:space="preserve"> </w:t>
      </w:r>
      <w:r>
        <w:rPr>
          <w:rFonts w:ascii="Times New Roman" w:hAnsi="Times New Roman" w:cs="Times New Roman"/>
          <w:i/>
          <w:noProof/>
          <w:sz w:val="24"/>
          <w:lang w:val="en-IE"/>
        </w:rPr>
        <w:t>and there are no plans to fit these. However, the handling companies have mobile ground power units (GPUs), which can be used for aircraft at remote stands…. Within five minutes of an aircraft stopping at a stand, it must be connected to an external pow</w:t>
      </w:r>
      <w:r>
        <w:rPr>
          <w:rFonts w:ascii="Times New Roman" w:hAnsi="Times New Roman" w:cs="Times New Roman"/>
          <w:i/>
          <w:noProof/>
          <w:sz w:val="24"/>
          <w:lang w:val="en-IE"/>
        </w:rPr>
        <w:t>er source and the auxiliary power unit must be disconnected. Auxiliary power units cannot be started up until 20 minutes prior to the expected time of departure (ETD). The other international airports included in the TEN-T core or global network, i.e. Ostr</w:t>
      </w:r>
      <w:r>
        <w:rPr>
          <w:rFonts w:ascii="Times New Roman" w:hAnsi="Times New Roman" w:cs="Times New Roman"/>
          <w:i/>
          <w:noProof/>
          <w:sz w:val="24"/>
          <w:lang w:val="en-IE"/>
        </w:rPr>
        <w:t>ava/Mošnov airport and Brno/Tuřany airport, and equipped with permanent power connections do not have contact stands, but even here the same requirement applies concerning restrictions on auxiliary power units and the use of mobile ground power units inste</w:t>
      </w:r>
      <w:r>
        <w:rPr>
          <w:rFonts w:ascii="Times New Roman" w:hAnsi="Times New Roman" w:cs="Times New Roman"/>
          <w:i/>
          <w:noProof/>
          <w:sz w:val="24"/>
          <w:lang w:val="en-IE"/>
        </w:rPr>
        <w:t>ad.”</w:t>
      </w:r>
    </w:p>
    <w:p w:rsidR="003C43BF" w:rsidRDefault="003C43BF">
      <w:pPr>
        <w:tabs>
          <w:tab w:val="left" w:pos="360"/>
          <w:tab w:val="left" w:pos="720"/>
          <w:tab w:val="left" w:pos="1080"/>
        </w:tabs>
        <w:rPr>
          <w:rFonts w:ascii="Times New Roman" w:hAnsi="Times New Roman" w:cs="Times New Roman"/>
          <w:noProof/>
          <w:color w:val="000000" w:themeColor="text1"/>
          <w:sz w:val="24"/>
          <w:lang w:val="en-IE"/>
        </w:rPr>
      </w:pPr>
    </w:p>
    <w:p w:rsidR="003C43BF" w:rsidRDefault="006C3212">
      <w:pPr>
        <w:pStyle w:val="Heading3"/>
        <w:ind w:left="720"/>
        <w:rPr>
          <w:rFonts w:ascii="Times New Roman" w:hAnsi="Times New Roman" w:cs="Times New Roman"/>
          <w:noProof/>
          <w:sz w:val="24"/>
          <w:lang w:val="en-IE"/>
        </w:rPr>
      </w:pPr>
      <w:bookmarkStart w:id="97" w:name="_Toc55301765"/>
      <w:bookmarkStart w:id="98" w:name="_Toc56944111"/>
      <w:r>
        <w:rPr>
          <w:rFonts w:ascii="Times New Roman" w:hAnsi="Times New Roman" w:cs="Times New Roman"/>
          <w:noProof/>
          <w:sz w:val="24"/>
          <w:lang w:val="en-IE"/>
        </w:rPr>
        <w:t>Measures assessment</w:t>
      </w:r>
      <w:bookmarkEnd w:id="97"/>
      <w:bookmarkEnd w:id="98"/>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b/>
          <w:noProof/>
          <w:sz w:val="24"/>
          <w:lang w:val="en-IE"/>
        </w:rPr>
      </w:pPr>
      <w:r>
        <w:rPr>
          <w:rFonts w:ascii="Times New Roman" w:hAnsi="Times New Roman" w:cs="Times New Roman"/>
          <w:noProof/>
          <w:sz w:val="24"/>
          <w:lang w:val="en-IE"/>
        </w:rPr>
        <w:t xml:space="preserve">Concerning the measures to support the uptake of AF vehicles and infrastructures, the CZ NPF had listed a large number (around 70 overall) that was presented as a collection of the most common measures also taken into </w:t>
      </w:r>
      <w:r>
        <w:rPr>
          <w:rFonts w:ascii="Times New Roman" w:hAnsi="Times New Roman" w:cs="Times New Roman"/>
          <w:noProof/>
          <w:sz w:val="24"/>
          <w:lang w:val="en-IE"/>
        </w:rPr>
        <w:t>consideration by other Member States. Of this large list of measures, the NPF reported that only a limited number was actually implemented, while the majority was still at discussion stage. In the CZ NIR, the situation has evolved as to include a selection</w:t>
      </w:r>
      <w:r>
        <w:rPr>
          <w:rFonts w:ascii="Times New Roman" w:hAnsi="Times New Roman" w:cs="Times New Roman"/>
          <w:noProof/>
          <w:sz w:val="24"/>
          <w:lang w:val="en-IE"/>
        </w:rPr>
        <w:t xml:space="preserve"> of measures that have been either confirmed/modified (if already in place), or implemented/dropped (if under discussion).</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CZ NIR presents a list of six Legislative &amp; Regulatory measures and seven Administrative measures. Ten of these m</w:t>
      </w:r>
      <w:r>
        <w:rPr>
          <w:rFonts w:ascii="Times New Roman" w:hAnsi="Times New Roman" w:cs="Times New Roman"/>
          <w:noProof/>
          <w:sz w:val="24"/>
          <w:lang w:val="en-IE"/>
        </w:rPr>
        <w:t xml:space="preserve">easures are in place and three are in the process of being adopted. This compares with a list of 24 Legal measures presented in the NPF, of which seven were adopted and 17 were under discussion. In this case it was not possible to provide an assessment of </w:t>
      </w:r>
      <w:r>
        <w:rPr>
          <w:rFonts w:ascii="Times New Roman" w:hAnsi="Times New Roman" w:cs="Times New Roman"/>
          <w:noProof/>
          <w:sz w:val="24"/>
          <w:lang w:val="en-IE"/>
        </w:rPr>
        <w:t>the change of ambition level between NIR and NPF.</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six Legislative &amp; Regulatory measures are quite differentiated and cover a series of elements: </w:t>
      </w:r>
    </w:p>
    <w:p w:rsidR="003C43BF" w:rsidRDefault="006C3212">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allowing public contracting authorities to apply a methodology to calculate opera</w:t>
      </w:r>
      <w:r>
        <w:rPr>
          <w:rFonts w:ascii="Times New Roman" w:hAnsi="Times New Roman" w:cs="Times New Roman"/>
          <w:noProof/>
          <w:sz w:val="24"/>
          <w:lang w:val="en-IE"/>
        </w:rPr>
        <w:t>ting costs using lifetime costs when purchasing vehicles;</w:t>
      </w:r>
    </w:p>
    <w:p w:rsidR="003C43BF" w:rsidRDefault="006C3212">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setting specification of the requirements for electrical engineering qualifications for staff working on electric vehicles; </w:t>
      </w:r>
    </w:p>
    <w:p w:rsidR="003C43BF" w:rsidRDefault="006C3212">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updating the legislation dealing with LNG-powered vehicles;</w:t>
      </w:r>
    </w:p>
    <w:p w:rsidR="003C43BF" w:rsidRDefault="006C3212">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addressing th</w:t>
      </w:r>
      <w:r>
        <w:rPr>
          <w:rFonts w:ascii="Times New Roman" w:hAnsi="Times New Roman" w:cs="Times New Roman"/>
          <w:noProof/>
          <w:sz w:val="24"/>
          <w:lang w:val="en-IE"/>
        </w:rPr>
        <w:t xml:space="preserve">e issue of removing barriers to the garaging of gas-powered vehicles; </w:t>
      </w:r>
    </w:p>
    <w:p w:rsidR="003C43BF" w:rsidRDefault="006C3212">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no payment of motorway vignettes/tolls for vehicles powered by alternative fuels;</w:t>
      </w:r>
    </w:p>
    <w:p w:rsidR="003C43BF" w:rsidRDefault="006C3212">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introduction of special registration plate for electric vehicles.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the seven </w:t>
      </w:r>
      <w:r>
        <w:rPr>
          <w:rFonts w:ascii="Times New Roman" w:hAnsi="Times New Roman" w:cs="Times New Roman"/>
          <w:noProof/>
          <w:sz w:val="24"/>
          <w:lang w:val="en-IE"/>
        </w:rPr>
        <w:t>Administrative measures address different aspects (both of financial and non-financial nature) like, for example:</w:t>
      </w:r>
    </w:p>
    <w:p w:rsidR="003C43BF" w:rsidRDefault="006C3212">
      <w:pPr>
        <w:pStyle w:val="ListParagraph"/>
        <w:numPr>
          <w:ilvl w:val="0"/>
          <w:numId w:val="3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 maintaining the reduced rate on excise duty for CNG and LNG; </w:t>
      </w:r>
    </w:p>
    <w:p w:rsidR="003C43BF" w:rsidRDefault="006C3212">
      <w:pPr>
        <w:pStyle w:val="ListParagraph"/>
        <w:numPr>
          <w:ilvl w:val="0"/>
          <w:numId w:val="3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allowing free parking for vehicles powered by alternative fuels; </w:t>
      </w:r>
    </w:p>
    <w:p w:rsidR="003C43BF" w:rsidRDefault="006C3212">
      <w:pPr>
        <w:pStyle w:val="ListParagraph"/>
        <w:numPr>
          <w:ilvl w:val="0"/>
          <w:numId w:val="3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promoting tar</w:t>
      </w:r>
      <w:r>
        <w:rPr>
          <w:rFonts w:ascii="Times New Roman" w:hAnsi="Times New Roman" w:cs="Times New Roman"/>
          <w:noProof/>
          <w:sz w:val="24"/>
          <w:lang w:val="en-IE"/>
        </w:rPr>
        <w:t xml:space="preserve">geted specialised teaching in the area of clean mobility both at secondary schools and at university level; </w:t>
      </w:r>
    </w:p>
    <w:p w:rsidR="003C43BF" w:rsidRDefault="006C3212">
      <w:pPr>
        <w:pStyle w:val="ListParagraph"/>
        <w:numPr>
          <w:ilvl w:val="0"/>
          <w:numId w:val="3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strengthening cooperation between universities, research organisations and industry in the development of alternative fuels in Czechia.</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Overall, th</w:t>
      </w:r>
      <w:r>
        <w:rPr>
          <w:rFonts w:ascii="Times New Roman" w:hAnsi="Times New Roman" w:cs="Times New Roman"/>
          <w:noProof/>
          <w:sz w:val="24"/>
          <w:lang w:val="en-IE"/>
        </w:rPr>
        <w:t xml:space="preserve">e list of Legal measures presented in the CZ NIR shows the development of a strategy that was not evident in the NPF. </w:t>
      </w:r>
    </w:p>
    <w:p w:rsidR="003C43BF" w:rsidRDefault="003C43BF">
      <w:pPr>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rPr>
          <w:rFonts w:ascii="Times New Roman" w:hAnsi="Times New Roman" w:cs="Times New Roman"/>
          <w:i/>
          <w:noProof/>
          <w:sz w:val="24"/>
          <w:lang w:val="en-IE"/>
        </w:rPr>
      </w:pPr>
      <w:r>
        <w:rPr>
          <w:rFonts w:ascii="Times New Roman" w:hAnsi="Times New Roman" w:cs="Times New Roman"/>
          <w:noProof/>
          <w:sz w:val="24"/>
          <w:lang w:val="en-IE"/>
        </w:rPr>
        <w:t>In terms the Policy measures, the first considerations relate to the comparison between NPF and NIR.</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NPF contained </w:t>
      </w:r>
      <w:r>
        <w:rPr>
          <w:rFonts w:ascii="Times New Roman" w:hAnsi="Times New Roman" w:cs="Times New Roman"/>
          <w:noProof/>
          <w:sz w:val="24"/>
          <w:lang w:val="en-IE"/>
        </w:rPr>
        <w:t>26 measures that could be considered as Policy measures. Of these, only four were implemented, while the other 22 were under discussion. The NIR only addresses eight Policy measures, but all are in place. Six measures are related to ensure national targets</w:t>
      </w:r>
      <w:r>
        <w:rPr>
          <w:rFonts w:ascii="Times New Roman" w:hAnsi="Times New Roman" w:cs="Times New Roman"/>
          <w:noProof/>
          <w:sz w:val="24"/>
          <w:lang w:val="en-IE"/>
        </w:rPr>
        <w:t xml:space="preserve"> and objectives, one measure can be associated to the promotion of AFI in public transport services and one measure to the promotion of deployment of private electro-mobility infrastructure.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Two out of the six measures in this section concern incentives to support the purchase of AF vehicles. The first has supported the purchase of 69 electric buses, 98 trolleybuses and 100 CNG buses. The second measure has supported the purchase of 508 elect</w:t>
      </w:r>
      <w:r>
        <w:rPr>
          <w:rFonts w:ascii="Times New Roman" w:hAnsi="Times New Roman" w:cs="Times New Roman"/>
          <w:noProof/>
          <w:sz w:val="24"/>
          <w:lang w:val="en-IE"/>
        </w:rPr>
        <w:t>ric vehicles by private business. It is noted here that, contrary to several other MSs, no incentives are foreseen for the purchase of EV by private citizens.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remaining four measures are related to providing financial support to the construction of rec</w:t>
      </w:r>
      <w:r>
        <w:rPr>
          <w:rFonts w:ascii="Times New Roman" w:hAnsi="Times New Roman" w:cs="Times New Roman"/>
          <w:noProof/>
          <w:sz w:val="24"/>
          <w:lang w:val="en-IE"/>
        </w:rPr>
        <w:t>harging stations (375 fast recharging points and 444 normal recharging points), CNG refuelling stations (2 CNG refuelling stations are already supported, others are planned), LNG refuelling stations (13 LNG refuelling stations are supported, others are pla</w:t>
      </w:r>
      <w:r>
        <w:rPr>
          <w:rFonts w:ascii="Times New Roman" w:hAnsi="Times New Roman" w:cs="Times New Roman"/>
          <w:noProof/>
          <w:sz w:val="24"/>
          <w:lang w:val="en-IE"/>
        </w:rPr>
        <w:t>nned), and hydrogen refuelling stations (4 hydrogen refuelling stations are supported, others are planned).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Other transport modes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The CZ NIR does not present measures for other transport modes (rail, water, air).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Measures that can promote AFI in public </w:t>
      </w:r>
      <w:r>
        <w:rPr>
          <w:rFonts w:ascii="Times New Roman" w:hAnsi="Times New Roman" w:cs="Times New Roman"/>
          <w:noProof/>
          <w:sz w:val="24"/>
          <w:lang w:val="en-IE"/>
        </w:rPr>
        <w:t>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above-mentioned measure, concerning the purchase of 69 electric buses, 98 trolley-buses and 100 CNG buses, can be considered as an indirect measure to promote AFI in public transport service and as such it has been assessed. </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w:t>
      </w:r>
      <w:r>
        <w:rPr>
          <w:rFonts w:ascii="Times New Roman" w:hAnsi="Times New Roman" w:cs="Times New Roman"/>
          <w:noProof/>
          <w:sz w:val="24"/>
          <w:lang w:val="en-IE"/>
        </w:rPr>
        <w:t>s that can promote the deployment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CZ NIR also presents a Policy measure to promote the deployment of private electro-mobility infrastructure. According to the NIR, this measure has supported 256 recharging sta</w:t>
      </w:r>
      <w:r>
        <w:rPr>
          <w:rFonts w:ascii="Times New Roman" w:hAnsi="Times New Roman" w:cs="Times New Roman"/>
          <w:noProof/>
          <w:sz w:val="24"/>
          <w:lang w:val="en-IE"/>
        </w:rPr>
        <w:t>tions within premises of private companies.</w:t>
      </w:r>
    </w:p>
    <w:p w:rsidR="003C43BF" w:rsidRDefault="003C43BF">
      <w:pPr>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Considering, that in the CZ NPF there were four Deployment measures mentioned, all under discussion, it is evident that actions have been taken and some prog</w:t>
      </w:r>
      <w:r>
        <w:rPr>
          <w:rFonts w:ascii="Times New Roman" w:hAnsi="Times New Roman" w:cs="Times New Roman"/>
          <w:noProof/>
          <w:sz w:val="24"/>
          <w:lang w:val="en-IE"/>
        </w:rPr>
        <w:t>ress has been made towards the uptake of AF infrastructures in the CZ Republic. The CZ NIR reports that, in the implementation period 2017-2020, 375 rapid recharging stations, 444 normal recharging stations, 13 LNG and 4 hydrogen refuelling stations have e</w:t>
      </w:r>
      <w:r>
        <w:rPr>
          <w:rFonts w:ascii="Times New Roman" w:hAnsi="Times New Roman" w:cs="Times New Roman"/>
          <w:noProof/>
          <w:sz w:val="24"/>
          <w:lang w:val="en-IE"/>
        </w:rPr>
        <w:t>ither been built, or are under construction or have been assigned for construction.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CZ NIR also reports that “</w:t>
      </w:r>
      <w:r>
        <w:rPr>
          <w:rFonts w:ascii="Times New Roman" w:hAnsi="Times New Roman" w:cs="Times New Roman"/>
          <w:i/>
          <w:noProof/>
          <w:sz w:val="24"/>
          <w:lang w:val="en-IE"/>
        </w:rPr>
        <w:t>some businesses have also responded to the calls announced by the European Commission under the Connecting Europe Facility. In 2020, support f</w:t>
      </w:r>
      <w:r>
        <w:rPr>
          <w:rFonts w:ascii="Times New Roman" w:hAnsi="Times New Roman" w:cs="Times New Roman"/>
          <w:i/>
          <w:noProof/>
          <w:sz w:val="24"/>
          <w:lang w:val="en-IE"/>
        </w:rPr>
        <w:t>rom this source should lead to the construction of 149 rapid charging stations and 10 ultra-rapid charging stations on the corridors of the TEN-T Core Network”.</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CZ NIR mentions a measure to support ma</w:t>
      </w:r>
      <w:r>
        <w:rPr>
          <w:rFonts w:ascii="Times New Roman" w:hAnsi="Times New Roman" w:cs="Times New Roman"/>
          <w:noProof/>
          <w:sz w:val="24"/>
          <w:lang w:val="en-IE"/>
        </w:rPr>
        <w:t>nufacturing plants for AF technologies in the form of investment incentive (reduced corporation tax), foreseen for the period 2021-2025 with a total budget of around 53 million €. However, no other information is given that could allow any assessment of th</w:t>
      </w:r>
      <w:r>
        <w:rPr>
          <w:rFonts w:ascii="Times New Roman" w:hAnsi="Times New Roman" w:cs="Times New Roman"/>
          <w:noProof/>
          <w:sz w:val="24"/>
          <w:lang w:val="en-IE"/>
        </w:rPr>
        <w:t>is measure.</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 xml:space="preserve">Consideration of any particular needs during the initial phase of the deployment of alternative fuels infrastructures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Czech NIR.</w:t>
      </w:r>
    </w:p>
    <w:p w:rsidR="003C43BF" w:rsidRDefault="003C43BF">
      <w:pPr>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w:instrText>
      </w:r>
      <w:r>
        <w:rPr>
          <w:rFonts w:ascii="Times New Roman" w:hAnsi="Times New Roman" w:cs="Times New Roman"/>
          <w:noProof/>
          <w:sz w:val="24"/>
          <w:lang w:val="en-IE"/>
        </w:rPr>
        <w:instrText xml:space="preserve">F _Ref52788890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5.3.4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w:t>
      </w:r>
      <w:r>
        <w:rPr>
          <w:rFonts w:ascii="Times New Roman" w:hAnsi="Times New Roman" w:cs="Times New Roman"/>
          <w:iCs/>
          <w:noProof/>
          <w:color w:val="000000" w:themeColor="text1"/>
          <w:sz w:val="24"/>
          <w:lang w:val="en-IE"/>
        </w:rPr>
        <w:t>n Section 2.2</w:t>
      </w:r>
      <w:r>
        <w:rPr>
          <w:rFonts w:ascii="Times New Roman" w:hAnsi="Times New Roman" w:cs="Times New Roman"/>
          <w:noProof/>
          <w:sz w:val="24"/>
          <w:lang w:val="en-IE"/>
        </w:rPr>
        <w:t>. As it can be seen, only clusters of measures on electricity, CNG, LNG and hydrogen, all for road transport, could be identified in the Czech NIR but none resulted to be comprehensive. The electricity/road, LNG/road and hydrogen/road clusters</w:t>
      </w:r>
      <w:r>
        <w:rPr>
          <w:rFonts w:ascii="Times New Roman" w:hAnsi="Times New Roman" w:cs="Times New Roman"/>
          <w:noProof/>
          <w:sz w:val="24"/>
          <w:lang w:val="en-IE"/>
        </w:rPr>
        <w:t xml:space="preserve"> have at least one measure that scores high, thus the overall score is H. In terms of expected impact of these measures to support the realisation of the AFV/AFI objectives as presented in the NPF and revised in the NIR, the measures for the pairs electric</w:t>
      </w:r>
      <w:r>
        <w:rPr>
          <w:rFonts w:ascii="Times New Roman" w:hAnsi="Times New Roman" w:cs="Times New Roman"/>
          <w:noProof/>
          <w:sz w:val="24"/>
          <w:lang w:val="en-IE"/>
        </w:rPr>
        <w:t>ity/road, LNG/road and hydrogen/road result to have a medium impact, while those for the pair CNG/road have a low impact. Compared to the NPF, the level of ambition of the Policy and Deployment &amp; Manufacturing support measures has increased for LNG/road an</w:t>
      </w:r>
      <w:r>
        <w:rPr>
          <w:rFonts w:ascii="Times New Roman" w:hAnsi="Times New Roman" w:cs="Times New Roman"/>
          <w:noProof/>
          <w:sz w:val="24"/>
          <w:lang w:val="en-IE"/>
        </w:rPr>
        <w:t>d hydrogen/road, has remained the same for electricity/road and has decreased for CNG/road, coherently with the vehicle estimates and infrastructure targets presented in Section 5.3.3.</w:t>
      </w:r>
    </w:p>
    <w:p w:rsidR="003C43BF" w:rsidRDefault="006C3212">
      <w:pPr>
        <w:jc w:val="both"/>
        <w:rPr>
          <w:rFonts w:ascii="Times New Roman" w:eastAsia="Calibri" w:hAnsi="Times New Roman" w:cs="Times New Roman"/>
          <w:noProof/>
          <w:color w:val="7030A0"/>
          <w:sz w:val="24"/>
          <w:lang w:val="en-IE"/>
        </w:rPr>
      </w:pPr>
      <w:bookmarkStart w:id="99" w:name="_Ref52788890"/>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5.3.4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99"/>
      <w:r>
        <w:rPr>
          <w:rFonts w:ascii="Times New Roman" w:hAnsi="Times New Roman" w:cs="Times New Roman"/>
          <w:noProof/>
          <w:sz w:val="24"/>
          <w:lang w:val="en-IE"/>
        </w:rPr>
        <w:t xml:space="preserve"> </w:t>
      </w:r>
      <w:r>
        <w:rPr>
          <w:rFonts w:ascii="Times New Roman" w:hAnsi="Times New Roman" w:cs="Times New Roman"/>
          <w:i/>
          <w:noProof/>
          <w:sz w:val="20"/>
          <w:lang w:val="en-IE"/>
        </w:rPr>
        <w:t>Quantitative assessment of Policy and Deployment &amp; Manufacturing support measures</w:t>
      </w:r>
      <w:r>
        <w:rPr>
          <w:rFonts w:ascii="Times New Roman" w:hAnsi="Times New Roman" w:cs="Times New Roman"/>
          <w:noProof/>
          <w:sz w:val="20"/>
          <w:lang w:val="en-IE"/>
        </w:rPr>
        <w:t xml:space="preserve">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46750" cy="1481455"/>
            <wp:effectExtent l="0" t="0" r="635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6750" cy="1481455"/>
                    </a:xfrm>
                    <a:prstGeom prst="rect">
                      <a:avLst/>
                    </a:prstGeom>
                    <a:noFill/>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w:t>
      </w:r>
      <w:r>
        <w:rPr>
          <w:rFonts w:ascii="Times New Roman" w:hAnsi="Times New Roman" w:cs="Times New Roman"/>
          <w:noProof/>
          <w:sz w:val="24"/>
          <w:lang w:val="en-IE"/>
        </w:rPr>
        <w:t>ation</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In terms of RTD&amp;D measures, the CZ NIR shows a substantial continuity in the approach taken in the NPF, with the participation in several EU RTD&amp;D projects (Alpha, Beta, Gamma, Delta, etc.). In particular, the CZ NIR reports a project on electro-mobi</w:t>
      </w:r>
      <w:r>
        <w:rPr>
          <w:rFonts w:ascii="Times New Roman" w:hAnsi="Times New Roman" w:cs="Times New Roman"/>
          <w:noProof/>
          <w:sz w:val="24"/>
          <w:lang w:val="en-IE"/>
        </w:rPr>
        <w:t>lity and links with the distribution system/Smart Grids. Two projects focus on the development of hydrogen for road transport. A fourth project is dedicated to the analysis of the potential for the use of CNG/LNG in inland water transport. Overall, the app</w:t>
      </w:r>
      <w:r>
        <w:rPr>
          <w:rFonts w:ascii="Times New Roman" w:hAnsi="Times New Roman" w:cs="Times New Roman"/>
          <w:noProof/>
          <w:sz w:val="24"/>
          <w:lang w:val="en-IE"/>
        </w:rPr>
        <w:t>roach shown in the CZ NIR appears to have a similar level of ambition to that of the NPF.</w:t>
      </w:r>
    </w:p>
    <w:p w:rsidR="003C43BF" w:rsidRDefault="003C43BF">
      <w:pPr>
        <w:tabs>
          <w:tab w:val="left" w:pos="360"/>
        </w:tabs>
        <w:rPr>
          <w:rFonts w:ascii="Times New Roman" w:hAnsi="Times New Roman" w:cs="Times New Roman"/>
          <w:b/>
          <w:noProof/>
          <w:sz w:val="24"/>
          <w:lang w:val="en-IE"/>
        </w:rPr>
      </w:pPr>
    </w:p>
    <w:p w:rsidR="003C43BF" w:rsidRDefault="006C3212">
      <w:pPr>
        <w:pStyle w:val="Heading3"/>
        <w:ind w:left="720"/>
        <w:rPr>
          <w:rFonts w:ascii="Times New Roman" w:hAnsi="Times New Roman" w:cs="Times New Roman"/>
          <w:noProof/>
          <w:sz w:val="24"/>
          <w:lang w:val="en-IE"/>
        </w:rPr>
      </w:pPr>
      <w:bookmarkStart w:id="100" w:name="_Toc55301766"/>
      <w:bookmarkStart w:id="101" w:name="_Toc56944112"/>
      <w:r>
        <w:rPr>
          <w:rFonts w:ascii="Times New Roman" w:hAnsi="Times New Roman" w:cs="Times New Roman"/>
          <w:noProof/>
          <w:sz w:val="24"/>
          <w:lang w:val="en-IE"/>
        </w:rPr>
        <w:t>Additional information on alternative fuels infrastructure developments</w:t>
      </w:r>
      <w:bookmarkEnd w:id="100"/>
      <w:bookmarkEnd w:id="101"/>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CZ NIR provides information on the changes in fuel use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_Ref52788980 \h  \* MERG</w:instrText>
      </w:r>
      <w:r>
        <w:rPr>
          <w:rFonts w:ascii="Times New Roman" w:hAnsi="Times New Roman" w:cs="Times New Roman"/>
          <w:noProof/>
          <w:sz w:val="24"/>
          <w:lang w:val="en-IE"/>
        </w:rPr>
        <w:instrText xml:space="preserve">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5.3.5</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As it can be seen, CNG is expected to remain the dominating alternative fuel in road transport throughout the period (despite the important downward revision of the CNG vehicle estimate for </w:t>
      </w:r>
      <w:r>
        <w:rPr>
          <w:rFonts w:ascii="Times New Roman" w:hAnsi="Times New Roman" w:cs="Times New Roman"/>
          <w:noProof/>
          <w:sz w:val="24"/>
          <w:lang w:val="en-IE"/>
        </w:rPr>
        <w:t>next decade), followed by LPG and electricity. Hydrogen is also expected to start playing a little role in 2030. No increase in AF use in inland waterway transport is expected.</w:t>
      </w:r>
    </w:p>
    <w:p w:rsidR="003C43BF" w:rsidRDefault="006C3212">
      <w:pPr>
        <w:spacing w:after="0"/>
        <w:rPr>
          <w:rFonts w:ascii="Times New Roman" w:hAnsi="Times New Roman" w:cs="Times New Roman"/>
          <w:i/>
          <w:iCs/>
          <w:noProof/>
          <w:color w:val="44546A" w:themeColor="text2"/>
          <w:sz w:val="20"/>
          <w:szCs w:val="18"/>
          <w:lang w:val="en-IE"/>
        </w:rPr>
      </w:pPr>
      <w:bookmarkStart w:id="102" w:name="_Ref52788980"/>
      <w:bookmarkStart w:id="103" w:name="_Ref40391500"/>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5.3.5</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02"/>
      <w:r>
        <w:rPr>
          <w:rFonts w:ascii="Times New Roman" w:hAnsi="Times New Roman" w:cs="Times New Roman"/>
          <w:i/>
          <w:noProof/>
          <w:sz w:val="20"/>
          <w:szCs w:val="18"/>
          <w:lang w:val="en-IE"/>
        </w:rPr>
        <w:t xml:space="preserve"> </w:t>
      </w:r>
      <w:bookmarkEnd w:id="103"/>
      <w:r>
        <w:rPr>
          <w:rFonts w:ascii="Times New Roman" w:hAnsi="Times New Roman" w:cs="Times New Roman"/>
          <w:i/>
          <w:iCs/>
          <w:noProof/>
          <w:sz w:val="20"/>
          <w:szCs w:val="18"/>
          <w:lang w:val="en-IE"/>
        </w:rPr>
        <w:t>Changes in fuels u</w:t>
      </w:r>
      <w:r>
        <w:rPr>
          <w:rFonts w:ascii="Times New Roman" w:hAnsi="Times New Roman" w:cs="Times New Roman"/>
          <w:i/>
          <w:iCs/>
          <w:noProof/>
          <w:sz w:val="20"/>
          <w:szCs w:val="18"/>
          <w:lang w:val="en-IE"/>
        </w:rPr>
        <w:t>se in transport sector (2016-2030)</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73491" cy="21640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6413" cy="2185004"/>
                    </a:xfrm>
                    <a:prstGeom prst="rect">
                      <a:avLst/>
                    </a:prstGeom>
                    <a:noFill/>
                    <a:ln>
                      <a:noFill/>
                    </a:ln>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104" w:name="_Toc55301767"/>
      <w:bookmarkStart w:id="105" w:name="_Toc56944113"/>
      <w:r>
        <w:rPr>
          <w:rFonts w:ascii="Times New Roman" w:hAnsi="Times New Roman" w:cs="Times New Roman"/>
          <w:noProof/>
          <w:sz w:val="24"/>
          <w:lang w:val="en-IE"/>
        </w:rPr>
        <w:t>Summary of the assessment</w:t>
      </w:r>
      <w:bookmarkEnd w:id="104"/>
      <w:bookmarkEnd w:id="105"/>
      <w:r>
        <w:rPr>
          <w:rFonts w:ascii="Times New Roman" w:hAnsi="Times New Roman" w:cs="Times New Roman"/>
          <w:noProof/>
          <w:sz w:val="24"/>
          <w:lang w:val="en-IE"/>
        </w:rPr>
        <w:tab/>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Tabular overview</w:t>
      </w:r>
    </w:p>
    <w:p w:rsidR="003C43BF" w:rsidRDefault="006C3212">
      <w:pPr>
        <w:rPr>
          <w:rFonts w:ascii="Times New Roman" w:hAnsi="Times New Roman" w:cs="Times New Roman"/>
          <w:b/>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5.3.6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i/>
          <w:noProof/>
          <w:sz w:val="20"/>
          <w:lang w:val="en-IE"/>
        </w:rPr>
        <w:t>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3785870"/>
            <wp:effectExtent l="0" t="0" r="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3785870"/>
                    </a:xfrm>
                    <a:prstGeom prst="rect">
                      <a:avLst/>
                    </a:prstGeom>
                    <a:noFill/>
                  </pic:spPr>
                </pic:pic>
              </a:graphicData>
            </a:graphic>
          </wp:inline>
        </w:drawing>
      </w:r>
    </w:p>
    <w:p w:rsidR="003C43BF" w:rsidRDefault="006C3212">
      <w:pPr>
        <w:rPr>
          <w:rFonts w:ascii="Times New Roman" w:hAnsi="Times New Roman" w:cs="Times New Roman"/>
          <w:b/>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Text1"/>
        <w:tabs>
          <w:tab w:val="left" w:pos="720"/>
        </w:tabs>
        <w:ind w:left="0"/>
        <w:rPr>
          <w:rFonts w:ascii="Times New Roman" w:hAnsi="Times New Roman" w:cs="Times New Roman"/>
          <w:noProof/>
          <w:sz w:val="20"/>
          <w:lang w:val="en-IE"/>
        </w:rPr>
      </w:pPr>
      <w:r>
        <w:rPr>
          <w:rFonts w:ascii="Times New Roman" w:hAnsi="Times New Roman" w:cs="Times New Roman"/>
          <w:noProof/>
          <w:sz w:val="20"/>
          <w:lang w:val="en-IE"/>
        </w:rPr>
        <w:t>* Value taken from EAFO (absent in both NIR and NPF).</w:t>
      </w:r>
    </w:p>
    <w:p w:rsidR="003C43BF" w:rsidRDefault="003C43BF">
      <w:pPr>
        <w:pStyle w:val="Text1"/>
        <w:tabs>
          <w:tab w:val="left" w:pos="720"/>
        </w:tabs>
        <w:ind w:left="0"/>
        <w:rPr>
          <w:rFonts w:ascii="Times New Roman" w:hAnsi="Times New Roman" w:cs="Times New Roman"/>
          <w:noProof/>
          <w:sz w:val="20"/>
          <w:lang w:val="en-IE"/>
        </w:rPr>
      </w:pP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CZ NIR addresses all the requirements of Annex I from the Directive, although not with the same level of detail.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well covered for road transport; CNG, LNG and hydrogen are als</w:t>
      </w:r>
      <w:r>
        <w:rPr>
          <w:rFonts w:ascii="Times New Roman" w:hAnsi="Times New Roman" w:cs="Times New Roman"/>
          <w:noProof/>
          <w:sz w:val="24"/>
          <w:lang w:val="en-IE"/>
        </w:rPr>
        <w:t>o covered for road transport; inland water transport is just mentioned (refuelling infrastructures are foreseen in 2025 and 2030 for LNG, while inland waterway vessels are estimated for CNG and hydrogen. In this assessment the CNG vessels have been conside</w:t>
      </w:r>
      <w:r>
        <w:rPr>
          <w:rFonts w:ascii="Times New Roman" w:hAnsi="Times New Roman" w:cs="Times New Roman"/>
          <w:noProof/>
          <w:sz w:val="24"/>
          <w:lang w:val="en-IE"/>
        </w:rPr>
        <w:t>red instead as LNG vessels, while for hydrogen the discrepancy remains that no infrastructure is foreseen up to 2030); all the other combinations are either absent or not applicable. As for LPG, Czechia has already quite a developed combination of refuelli</w:t>
      </w:r>
      <w:r>
        <w:rPr>
          <w:rFonts w:ascii="Times New Roman" w:hAnsi="Times New Roman" w:cs="Times New Roman"/>
          <w:noProof/>
          <w:sz w:val="24"/>
          <w:lang w:val="en-IE"/>
        </w:rPr>
        <w:t>ng infrastructure and vehicles.</w:t>
      </w:r>
    </w:p>
    <w:p w:rsidR="003C43BF" w:rsidRDefault="006C3212">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Czech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With 749 recharging points recorded in 2018, the CZ NIR confirms the infrastructure target for the end of 2020, thus showing the same level of ambition of the NPF. Targets have been introduced for the years 2025 and 2030 that were not included in the NP</w:t>
      </w:r>
      <w:r>
        <w:rPr>
          <w:rFonts w:ascii="Times New Roman" w:hAnsi="Times New Roman" w:cs="Times New Roman"/>
          <w:noProof/>
          <w:sz w:val="24"/>
          <w:lang w:val="en-IE"/>
        </w:rPr>
        <w:t>F.</w:t>
      </w:r>
      <w:r>
        <w:rPr>
          <w:rFonts w:ascii="Times New Roman" w:hAnsi="Times New Roman" w:cs="Times New Roman"/>
          <w:iCs/>
          <w:noProof/>
          <w:sz w:val="24"/>
          <w:lang w:val="en-IE"/>
        </w:rPr>
        <w:t xml:space="preserve"> These appear to be coherently designed to maintain a constant and adequate ratio with the estimated EV for the target years. Concerning EV vehicles, the CZ NIR presents a new growth curve, with a lower number of vehicles in 2020 and 2025 compared to the</w:t>
      </w:r>
      <w:r>
        <w:rPr>
          <w:rFonts w:ascii="Times New Roman" w:hAnsi="Times New Roman" w:cs="Times New Roman"/>
          <w:iCs/>
          <w:noProof/>
          <w:sz w:val="24"/>
          <w:lang w:val="en-IE"/>
        </w:rPr>
        <w:t xml:space="preserve"> NPF, but a similar number of vehicles in 2030 (i.e. &gt; 200,000).</w:t>
      </w:r>
      <w:r>
        <w:rPr>
          <w:rFonts w:ascii="Times New Roman" w:hAnsi="Times New Roman" w:cs="Times New Roman"/>
          <w:noProof/>
          <w:sz w:val="24"/>
          <w:lang w:val="en-IE"/>
        </w:rPr>
        <w:t xml:space="preserve"> According to our methodology, the progress between 2016 and 2018 to achieve their objectives in 2030 is considered adequate for both EV infrastructure and EV vehicles. As for heavy-duty vehic</w:t>
      </w:r>
      <w:r>
        <w:rPr>
          <w:rFonts w:ascii="Times New Roman" w:hAnsi="Times New Roman" w:cs="Times New Roman"/>
          <w:noProof/>
          <w:sz w:val="24"/>
          <w:lang w:val="en-IE"/>
        </w:rPr>
        <w:t>les, the CZ NIR estimates 583 battery-electric buses and coaches on the road by 2030 but no HCV.</w:t>
      </w:r>
    </w:p>
    <w:p w:rsidR="003C43BF" w:rsidRDefault="006C3212">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In 2018, Czechia recorded 185 CNG refuelling points and 22,109 vehicles. For the next decade, the CZ NIR shows a substantial reduction in CNG vehicle est</w:t>
      </w:r>
      <w:r>
        <w:rPr>
          <w:rFonts w:ascii="Times New Roman" w:hAnsi="Times New Roman" w:cs="Times New Roman"/>
          <w:noProof/>
          <w:sz w:val="24"/>
          <w:lang w:val="en-IE"/>
        </w:rPr>
        <w:t xml:space="preserve">imate for 2030, from 200,000 to less than 50,000 (-76.83%), coupled to an increase for the CNG infrastructure. This discrepancy is not explained in the NIR. It should be noted that the decrease in vehicle estimates for CNG/road is partially compensated by </w:t>
      </w:r>
      <w:r>
        <w:rPr>
          <w:rFonts w:ascii="Times New Roman" w:hAnsi="Times New Roman" w:cs="Times New Roman"/>
          <w:noProof/>
          <w:sz w:val="24"/>
          <w:lang w:val="en-IE"/>
        </w:rPr>
        <w:t>an increase of LNG/road and hydrogen/road vehicles, however this does not seem sufficient compared to the NPF plan. Thus, it can be considered that on non-EV vehicles there is an overall decrease of ambition compared to the NPF. According to our methodolog</w:t>
      </w:r>
      <w:r>
        <w:rPr>
          <w:rFonts w:ascii="Times New Roman" w:hAnsi="Times New Roman" w:cs="Times New Roman"/>
          <w:noProof/>
          <w:sz w:val="24"/>
          <w:lang w:val="en-IE"/>
        </w:rPr>
        <w:t>y, the progress between 2016 and 2018 to achieve their objectives in 2030 is considered adequate for CNG infrastructure and fast for CNG vehicles. Obviously, the substantial reduction in vehicle estimates for 2030 plays a role here. In the heavy-duty secto</w:t>
      </w:r>
      <w:r>
        <w:rPr>
          <w:rFonts w:ascii="Times New Roman" w:hAnsi="Times New Roman" w:cs="Times New Roman"/>
          <w:noProof/>
          <w:sz w:val="24"/>
          <w:lang w:val="en-IE"/>
        </w:rPr>
        <w:t>r, the CZ NIR estimates 600 HCVs and 1,740 buses and coaches on the road by 2030.</w:t>
      </w:r>
    </w:p>
    <w:p w:rsidR="003C43BF" w:rsidRDefault="006C3212">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The CZ NIR presents a plan to double the number of LNG refuelling infrastructure in 2030 compared to the NPF (30 in the NIR versus 14 in the NPF) and to have 6,900 LNG </w:t>
      </w:r>
      <w:r>
        <w:rPr>
          <w:rFonts w:ascii="Times New Roman" w:hAnsi="Times New Roman" w:cs="Times New Roman"/>
          <w:noProof/>
          <w:sz w:val="24"/>
          <w:lang w:val="en-IE"/>
        </w:rPr>
        <w:t>heavy commercial vehicles on the road by 2030.</w:t>
      </w:r>
    </w:p>
    <w:p w:rsidR="003C43BF" w:rsidRDefault="006C3212">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CZ NIR provides objectives that were not present in the NPF (with the exception of the hydrogen infrastructure target for 2025). In the CZ NIR, 62,559 hydrogen vehicles and 95 hydrogen publicly </w:t>
      </w:r>
      <w:r>
        <w:rPr>
          <w:rFonts w:ascii="Times New Roman" w:hAnsi="Times New Roman" w:cs="Times New Roman"/>
          <w:noProof/>
          <w:sz w:val="24"/>
          <w:lang w:val="en-IE"/>
        </w:rPr>
        <w:t>accessible refuelling stations are foreseen by 2030. Most of these hydrogen vehicles should be light-duty vehicles (&gt;60,000) but 100 heavy commercial vehicles and 870 buses and coaches are estimated too.</w:t>
      </w:r>
    </w:p>
    <w:p w:rsidR="003C43BF" w:rsidRDefault="006C3212">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Information is not available in the CZ NI</w:t>
      </w:r>
      <w:r>
        <w:rPr>
          <w:rFonts w:ascii="Times New Roman" w:hAnsi="Times New Roman" w:cs="Times New Roman"/>
          <w:noProof/>
          <w:sz w:val="24"/>
          <w:lang w:val="en-IE"/>
        </w:rPr>
        <w:t>R.</w:t>
      </w:r>
    </w:p>
    <w:p w:rsidR="003C43BF" w:rsidRDefault="006C3212">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The CZ NIR also presents a plan for the pair LPG/road, which was not included in the NPF. However, this cannot be considered as a consequence of the AFI Directive, because the LPG vehicles and infrastructure were already present on the Czech terri</w:t>
      </w:r>
      <w:r>
        <w:rPr>
          <w:rFonts w:ascii="Times New Roman" w:hAnsi="Times New Roman" w:cs="Times New Roman"/>
          <w:noProof/>
          <w:sz w:val="24"/>
          <w:lang w:val="en-IE"/>
        </w:rPr>
        <w:t>tory before 2016 and the outlook presented in the NIR until 2030 only shows a moderate increase compared to the current situation.</w:t>
      </w:r>
    </w:p>
    <w:p w:rsidR="003C43BF" w:rsidRDefault="003C43BF">
      <w:pPr>
        <w:tabs>
          <w:tab w:val="left" w:pos="966"/>
        </w:tabs>
        <w:jc w:val="both"/>
        <w:rPr>
          <w:rFonts w:ascii="Times New Roman" w:hAnsi="Times New Roman" w:cs="Times New Roman"/>
          <w:noProof/>
          <w:color w:val="0070C0"/>
          <w:sz w:val="24"/>
          <w:lang w:val="en-IE"/>
        </w:rPr>
      </w:pP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30"/>
        </w:numPr>
        <w:tabs>
          <w:tab w:val="left" w:pos="360"/>
        </w:tabs>
        <w:spacing w:after="120" w:line="240" w:lineRule="auto"/>
        <w:jc w:val="both"/>
        <w:rPr>
          <w:rFonts w:ascii="Times New Roman" w:hAnsi="Times New Roman" w:cs="Times New Roman"/>
          <w:i/>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CZ NIR recorded 814 locomotives/railcars and 317 passenger transport vehicles in 2018 and t</w:t>
      </w:r>
      <w:r>
        <w:rPr>
          <w:rFonts w:ascii="Times New Roman" w:hAnsi="Times New Roman" w:cs="Times New Roman"/>
          <w:noProof/>
          <w:sz w:val="24"/>
          <w:lang w:val="en-IE"/>
        </w:rPr>
        <w:t xml:space="preserve">hese numbers are expected to slightly increase until 2030 (900 locomotives/railcars and 370 passenger vehicles). </w:t>
      </w:r>
    </w:p>
    <w:p w:rsidR="003C43BF" w:rsidRDefault="003C43BF">
      <w:pPr>
        <w:tabs>
          <w:tab w:val="left" w:pos="966"/>
        </w:tabs>
        <w:jc w:val="both"/>
        <w:rPr>
          <w:rFonts w:ascii="Times New Roman" w:hAnsi="Times New Roman" w:cs="Times New Roman"/>
          <w:noProof/>
          <w:color w:val="0070C0"/>
          <w:sz w:val="24"/>
          <w:lang w:val="en-IE"/>
        </w:rPr>
      </w:pPr>
    </w:p>
    <w:p w:rsidR="003C43BF" w:rsidRDefault="003C43BF">
      <w:pPr>
        <w:tabs>
          <w:tab w:val="left" w:pos="966"/>
        </w:tabs>
        <w:jc w:val="both"/>
        <w:rPr>
          <w:rFonts w:ascii="Times New Roman" w:hAnsi="Times New Roman" w:cs="Times New Roman"/>
          <w:noProof/>
          <w:color w:val="0070C0"/>
          <w:sz w:val="24"/>
          <w:lang w:val="en-IE"/>
        </w:rPr>
      </w:pPr>
    </w:p>
    <w:p w:rsidR="003C43BF" w:rsidRDefault="003C43BF">
      <w:pPr>
        <w:tabs>
          <w:tab w:val="left" w:pos="966"/>
        </w:tabs>
        <w:jc w:val="both"/>
        <w:rPr>
          <w:rFonts w:ascii="Times New Roman" w:hAnsi="Times New Roman" w:cs="Times New Roman"/>
          <w:noProof/>
          <w:color w:val="0070C0"/>
          <w:sz w:val="24"/>
          <w:lang w:val="en-IE"/>
        </w:rPr>
      </w:pP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rsidR="003C43BF" w:rsidRDefault="006C3212">
      <w:pPr>
        <w:pStyle w:val="ListParagraph"/>
        <w:numPr>
          <w:ilvl w:val="0"/>
          <w:numId w:val="30"/>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The CZ NIR presents the intention to have 40 LNG waterborne vessels and 2 LNG inland port refuelling st</w:t>
      </w:r>
      <w:r>
        <w:rPr>
          <w:rFonts w:ascii="Times New Roman" w:hAnsi="Times New Roman" w:cs="Times New Roman"/>
          <w:noProof/>
          <w:sz w:val="24"/>
          <w:lang w:val="en-IE"/>
        </w:rPr>
        <w:t>ations by 2030.</w:t>
      </w:r>
    </w:p>
    <w:p w:rsidR="003C43BF" w:rsidRDefault="006C3212">
      <w:pPr>
        <w:pStyle w:val="ListParagraph"/>
        <w:numPr>
          <w:ilvl w:val="0"/>
          <w:numId w:val="30"/>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CZ NIR also estimates 20 hydrogen-fuelled waterborne vessels for 2030, but no infrastructure is planned at the moment.</w:t>
      </w:r>
    </w:p>
    <w:p w:rsidR="003C43BF" w:rsidRDefault="003C43BF">
      <w:pPr>
        <w:tabs>
          <w:tab w:val="left" w:pos="966"/>
        </w:tabs>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Czech NIR.</w:t>
      </w:r>
    </w:p>
    <w:p w:rsidR="003C43BF" w:rsidRDefault="003C43BF">
      <w:pPr>
        <w:tabs>
          <w:tab w:val="left" w:pos="966"/>
        </w:tabs>
        <w:jc w:val="both"/>
        <w:rPr>
          <w:rFonts w:ascii="Times New Roman" w:hAnsi="Times New Roman" w:cs="Times New Roman"/>
          <w:noProof/>
          <w:sz w:val="24"/>
          <w:lang w:val="en-IE"/>
        </w:rPr>
      </w:pP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Concerning the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to support the upta</w:t>
      </w:r>
      <w:r>
        <w:rPr>
          <w:rFonts w:ascii="Times New Roman" w:hAnsi="Times New Roman" w:cs="Times New Roman"/>
          <w:noProof/>
          <w:sz w:val="24"/>
          <w:lang w:val="en-IE"/>
        </w:rPr>
        <w:t>ke of AF vehicles and infrastructures, the CZ NIR shows an effort to move from the wide list of measures under discussion in the NPF, to a more limited but focussed set of measures. As a general statement, such effort seems to have been more successful for</w:t>
      </w:r>
      <w:r>
        <w:rPr>
          <w:rFonts w:ascii="Times New Roman" w:hAnsi="Times New Roman" w:cs="Times New Roman"/>
          <w:noProof/>
          <w:sz w:val="24"/>
          <w:lang w:val="en-IE"/>
        </w:rPr>
        <w:t xml:space="preserve"> what concerns the deployment of infrastructure (in particular charging points), less for the AF 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Legislative &amp; Regulatory measures are quite differentiated and cover a series of elements: from allowing public contracting authorities to apply </w:t>
      </w:r>
      <w:r>
        <w:rPr>
          <w:rFonts w:ascii="Times New Roman" w:hAnsi="Times New Roman" w:cs="Times New Roman"/>
          <w:noProof/>
          <w:sz w:val="24"/>
          <w:lang w:val="en-IE"/>
        </w:rPr>
        <w:t>a methodology to calculate operating costs using lifetime costs when purchasing vehicles, to setting specification of the requirements for electrical engineering qualifications for staff working on electric vehicles; from updating the legislation dealing w</w:t>
      </w:r>
      <w:r>
        <w:rPr>
          <w:rFonts w:ascii="Times New Roman" w:hAnsi="Times New Roman" w:cs="Times New Roman"/>
          <w:noProof/>
          <w:sz w:val="24"/>
          <w:lang w:val="en-IE"/>
        </w:rPr>
        <w:t>ith LNG-powered vehicles, to addressing the issue of removing barriers to the garaging of gas-powered vehicles. Similarly, the Administrative measures address different aspects (both of financial and non-financial nature) like, for example, maintaining the</w:t>
      </w:r>
      <w:r>
        <w:rPr>
          <w:rFonts w:ascii="Times New Roman" w:hAnsi="Times New Roman" w:cs="Times New Roman"/>
          <w:noProof/>
          <w:sz w:val="24"/>
          <w:lang w:val="en-IE"/>
        </w:rPr>
        <w:t xml:space="preserve"> reduced rate on excise duty for CNG and LNG; allowing free parking for vehicles powered by alternative fuels; strengthening cooperation between universities, research organisations and industry in the development of alternative fuels in Czechia.</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With </w:t>
      </w:r>
      <w:r>
        <w:rPr>
          <w:rFonts w:ascii="Times New Roman" w:hAnsi="Times New Roman" w:cs="Times New Roman"/>
          <w:noProof/>
          <w:sz w:val="24"/>
          <w:lang w:val="en-IE"/>
        </w:rPr>
        <w:t xml:space="preserve">reference to Policy and Deployment &amp; Manufacturing measures, the effort to focus on implementing a few initiatives is evident. The NPF contained 26 measures that could be considered as Policy measures. Of these, only four were implemented, while the other </w:t>
      </w:r>
      <w:r>
        <w:rPr>
          <w:rFonts w:ascii="Times New Roman" w:hAnsi="Times New Roman" w:cs="Times New Roman"/>
          <w:noProof/>
          <w:sz w:val="24"/>
          <w:lang w:val="en-IE"/>
        </w:rPr>
        <w:t>22 were under discussion. In the NIR, only eight Policy measures have been counted, but all are in place. Six measures are related to ensure national targets and objectives, one measure can be associated to the promotion of AFI in public transport services</w:t>
      </w:r>
      <w:r>
        <w:rPr>
          <w:rFonts w:ascii="Times New Roman" w:hAnsi="Times New Roman" w:cs="Times New Roman"/>
          <w:noProof/>
          <w:sz w:val="24"/>
          <w:lang w:val="en-IE"/>
        </w:rPr>
        <w:t xml:space="preserve"> and one measure is related to the promotion of deployment of private electro-mobility infrastructure. All of them are only related to road transport. The implementation of these measures has produced some tangible results in terms of deployment of recharg</w:t>
      </w:r>
      <w:r>
        <w:rPr>
          <w:rFonts w:ascii="Times New Roman" w:hAnsi="Times New Roman" w:cs="Times New Roman"/>
          <w:noProof/>
          <w:sz w:val="24"/>
          <w:lang w:val="en-IE"/>
        </w:rPr>
        <w:t>ing points and refuelling infrastructures in the implementation period 2016-2018. In terms of the expected impact of these measures to support the realisation of the AFV/AFI objectives as presented in the NPF and revised in the NIR for the next decade, the</w:t>
      </w:r>
      <w:r>
        <w:rPr>
          <w:rFonts w:ascii="Times New Roman" w:hAnsi="Times New Roman" w:cs="Times New Roman"/>
          <w:noProof/>
          <w:sz w:val="24"/>
          <w:lang w:val="en-IE"/>
        </w:rPr>
        <w:t xml:space="preserve"> measures for the pairs electricity/road, LNG/road and hydrogen/road result to have a medium impact, while those for the pair CNG/road have a low impact.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With RTD&amp;D measures, the CZ NIR shows continuity with the approach taken in the NPF, i.e. participatio</w:t>
      </w:r>
      <w:r>
        <w:rPr>
          <w:rFonts w:ascii="Times New Roman" w:hAnsi="Times New Roman" w:cs="Times New Roman"/>
          <w:noProof/>
          <w:sz w:val="24"/>
          <w:lang w:val="en-IE"/>
        </w:rPr>
        <w:t>n in several EU RTD&amp;D projects (Alpha, Beta, Gamma, Delta, etc.). In particular, the CZ NIR reports a project on electro-mobility and links with the distribution system/Smart Grids. Two projects focus on the development of hydrogen for road transport. A fo</w:t>
      </w:r>
      <w:r>
        <w:rPr>
          <w:rFonts w:ascii="Times New Roman" w:hAnsi="Times New Roman" w:cs="Times New Roman"/>
          <w:noProof/>
          <w:sz w:val="24"/>
          <w:lang w:val="en-IE"/>
        </w:rPr>
        <w:t xml:space="preserve">urth project is dedicated to the analysis of the potential use of CNG/LNG in inland water transport. Overall, the approach shown in the CZ NIR appears to have a similar level of ambition to that of the NPF. </w:t>
      </w:r>
    </w:p>
    <w:p w:rsidR="003C43BF" w:rsidRDefault="003C43BF">
      <w:pPr>
        <w:rPr>
          <w:rFonts w:ascii="Times New Roman" w:hAnsi="Times New Roman" w:cs="Times New Roman"/>
          <w:noProof/>
          <w:sz w:val="24"/>
          <w:lang w:val="en-IE"/>
        </w:rPr>
      </w:pPr>
    </w:p>
    <w:p w:rsidR="003C43BF" w:rsidRDefault="006C3212">
      <w:pPr>
        <w:pStyle w:val="Heading3"/>
        <w:rPr>
          <w:rFonts w:ascii="Times New Roman" w:hAnsi="Times New Roman" w:cs="Times New Roman"/>
          <w:noProof/>
          <w:sz w:val="24"/>
          <w:lang w:val="en-IE"/>
        </w:rPr>
      </w:pPr>
      <w:bookmarkStart w:id="106" w:name="_Toc56944114"/>
      <w:r>
        <w:rPr>
          <w:rFonts w:ascii="Times New Roman" w:hAnsi="Times New Roman" w:cs="Times New Roman"/>
          <w:noProof/>
          <w:sz w:val="24"/>
          <w:lang w:val="en-IE"/>
        </w:rPr>
        <w:t>Final remarks</w:t>
      </w:r>
      <w:bookmarkEnd w:id="106"/>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Czech NIR presents a quite </w:t>
      </w:r>
      <w:r>
        <w:rPr>
          <w:rFonts w:ascii="Times New Roman" w:hAnsi="Times New Roman" w:cs="Times New Roman"/>
          <w:noProof/>
          <w:sz w:val="24"/>
          <w:lang w:val="en-IE"/>
        </w:rPr>
        <w:t xml:space="preserve">comprehensive report on the efforts to implement the Directive. It largely complies with the provisions of Annex I to the Directive, with only a few exceptions. The NIR provides estimates for vehicles and vessels, and targets for recharging and refuelling </w:t>
      </w:r>
      <w:r>
        <w:rPr>
          <w:rFonts w:ascii="Times New Roman" w:hAnsi="Times New Roman" w:cs="Times New Roman"/>
          <w:noProof/>
          <w:sz w:val="24"/>
          <w:lang w:val="en-IE"/>
        </w:rPr>
        <w:t>points for all alternative fuels with the exception of shore-side electricity supply in inland ports. The report also sets targets for hydrogen, which is not mandatory under the Directive. The NIR presents a large array of measures, in particular in the fi</w:t>
      </w:r>
      <w:r>
        <w:rPr>
          <w:rFonts w:ascii="Times New Roman" w:hAnsi="Times New Roman" w:cs="Times New Roman"/>
          <w:noProof/>
          <w:sz w:val="24"/>
          <w:lang w:val="en-IE"/>
        </w:rPr>
        <w:t>eld of road transport. However, its level of ambition falls short regarding zero emission vehicles and their infrastructure needs. Range and ambition of measures could also be increased as regards the use of alternative fuels in modes of transport other th</w:t>
      </w:r>
      <w:r>
        <w:rPr>
          <w:rFonts w:ascii="Times New Roman" w:hAnsi="Times New Roman" w:cs="Times New Roman"/>
          <w:noProof/>
          <w:sz w:val="24"/>
          <w:lang w:val="en-IE"/>
        </w:rPr>
        <w:t>an road.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regard to electricity, the NIR estimates a fleet of 217,179 electric vehicles on the roads by 2030, representing about 4% of the fleet by that time. Taking into account the current situation and expected trend development, this level of ambit</w:t>
      </w:r>
      <w:r>
        <w:rPr>
          <w:rFonts w:ascii="Times New Roman" w:hAnsi="Times New Roman" w:cs="Times New Roman"/>
          <w:noProof/>
          <w:sz w:val="24"/>
          <w:lang w:val="en-IE"/>
        </w:rPr>
        <w:t>ion appears quite low compared to the pace of deployment of electric vehicles considered necessary for a full transition to carbon neutrality by 2050. The targets for publicly accessible recharging infrastructure correspond to the estimated number of vehic</w:t>
      </w:r>
      <w:r>
        <w:rPr>
          <w:rFonts w:ascii="Times New Roman" w:hAnsi="Times New Roman" w:cs="Times New Roman"/>
          <w:noProof/>
          <w:sz w:val="24"/>
          <w:lang w:val="en-IE"/>
        </w:rPr>
        <w:t>les. Because of the low vehicles estimate, infrastructure planning is likely to not result in a necessary comprehensive network of recharging points throughout the country. An increase in ambition would contribute to better meeting the needs of a dense, wi</w:t>
      </w:r>
      <w:r>
        <w:rPr>
          <w:rFonts w:ascii="Times New Roman" w:hAnsi="Times New Roman" w:cs="Times New Roman"/>
          <w:noProof/>
          <w:sz w:val="24"/>
          <w:lang w:val="en-IE"/>
        </w:rPr>
        <w:t xml:space="preserve">de-spread and easy to use network of recharging and refuelling infrastructure throughout the EU. No information on charging efficiency is provided. Further, there is no information on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in inland ports. Only Prague’s Václav Have</w:t>
      </w:r>
      <w:r>
        <w:rPr>
          <w:rFonts w:ascii="Times New Roman" w:hAnsi="Times New Roman" w:cs="Times New Roman"/>
          <w:noProof/>
          <w:sz w:val="24"/>
          <w:lang w:val="en-IE"/>
        </w:rPr>
        <w:t>l airport is equipped with power connections for stationary aircraft. The NIR does not provide information on the share of electrification of the rail network. However, the use of electricity in rail is expected to slightly increase until 2030.</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h</w:t>
      </w:r>
      <w:r>
        <w:rPr>
          <w:rFonts w:ascii="Times New Roman" w:hAnsi="Times New Roman" w:cs="Times New Roman"/>
          <w:noProof/>
          <w:sz w:val="24"/>
          <w:lang w:val="en-IE"/>
        </w:rPr>
        <w:t>ydrogen for transport, the NIR shows Czechia's interest in promoting hydrogen in road and inland waterway transport. The NIR estimates a number of 62,559 FCHVs and around 95 refuelling stations by 2030. The number of hydrogen refuelling points for 2030 see</w:t>
      </w:r>
      <w:r>
        <w:rPr>
          <w:rFonts w:ascii="Times New Roman" w:hAnsi="Times New Roman" w:cs="Times New Roman"/>
          <w:noProof/>
          <w:sz w:val="24"/>
          <w:lang w:val="en-IE"/>
        </w:rPr>
        <w:t>ms sufficient taking into account the length of Czechia’s TEN-T Core Network, provided that the refuelling points are widely distributed along the network.</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Concerning natural gas for transport, the estimates for vehicle uptake have been significantly reduc</w:t>
      </w:r>
      <w:r>
        <w:rPr>
          <w:rFonts w:ascii="Times New Roman" w:hAnsi="Times New Roman" w:cs="Times New Roman"/>
          <w:noProof/>
          <w:sz w:val="24"/>
          <w:lang w:val="en-IE"/>
        </w:rPr>
        <w:t xml:space="preserve">ed compared to those presented in the NPF. The NIR accounts for a share of CNG vehicles in 2030 below 1% of the fleet. In comparison to the fleet estimate, the deployment targets for CNG refuelling infrastructure remain rather high. A significant increase </w:t>
      </w:r>
      <w:r>
        <w:rPr>
          <w:rFonts w:ascii="Times New Roman" w:hAnsi="Times New Roman" w:cs="Times New Roman"/>
          <w:noProof/>
          <w:sz w:val="24"/>
          <w:lang w:val="en-IE"/>
        </w:rPr>
        <w:t>in LNG heavy-duty vehicles is expected in the coming years. In addition, the number of 30 LNG refuelling points planned for 2030 seems sufficient taking into account the length of Czechia’s TEN-T Core Network, provided that the refuelling points are widely</w:t>
      </w:r>
      <w:r>
        <w:rPr>
          <w:rFonts w:ascii="Times New Roman" w:hAnsi="Times New Roman" w:cs="Times New Roman"/>
          <w:noProof/>
          <w:sz w:val="24"/>
          <w:lang w:val="en-IE"/>
        </w:rPr>
        <w:t xml:space="preserve"> distributed along the network. Only two inland ports of the TEN-T Core Network are planned to supply LNG to ships. Czechia should ensure that the other two ports are also equipped with LNG infrastructure to ensure that LNG vessels can circulate throughout</w:t>
      </w:r>
      <w:r>
        <w:rPr>
          <w:rFonts w:ascii="Times New Roman" w:hAnsi="Times New Roman" w:cs="Times New Roman"/>
          <w:noProof/>
          <w:sz w:val="24"/>
          <w:lang w:val="en-IE"/>
        </w:rPr>
        <w:t xml:space="preserve"> the TEN-T Core Network.</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 fleet of 170,300 LPG vehicles already exists and their number is expected to increase to 256,050 vehicles until 2025. However, similarly to electric and CNG vehicles, the share in the total fleet is expected to remain very limite</w:t>
      </w:r>
      <w:r>
        <w:rPr>
          <w:rFonts w:ascii="Times New Roman" w:hAnsi="Times New Roman" w:cs="Times New Roman"/>
          <w:noProof/>
          <w:sz w:val="24"/>
          <w:lang w:val="en-IE"/>
        </w:rPr>
        <w:t>d.</w:t>
      </w:r>
    </w:p>
    <w:p w:rsidR="003C43BF" w:rsidRDefault="006C3212">
      <w:pPr>
        <w:spacing w:after="240"/>
        <w:jc w:val="both"/>
        <w:rPr>
          <w:rFonts w:ascii="Times New Roman" w:hAnsi="Times New Roman" w:cs="Times New Roman"/>
          <w:noProof/>
          <w:sz w:val="24"/>
          <w:lang w:val="en-IE"/>
        </w:rPr>
      </w:pPr>
      <w:r>
        <w:rPr>
          <w:rFonts w:ascii="Times New Roman" w:hAnsi="Times New Roman" w:cs="Times New Roman"/>
          <w:noProof/>
          <w:sz w:val="24"/>
          <w:lang w:val="en-IE"/>
        </w:rPr>
        <w:t xml:space="preserve">Further information should be provided on the use of biofuels in road and air transport. Czechia should provide more information on efforts to promote the use of renewable fuels in transport, and particularly in aviation.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107" w:name="_Toc55301769"/>
      <w:bookmarkStart w:id="108" w:name="_Toc56944115"/>
      <w:r>
        <w:rPr>
          <w:rFonts w:ascii="Times New Roman" w:hAnsi="Times New Roman" w:cs="Times New Roman"/>
          <w:noProof/>
          <w:sz w:val="24"/>
          <w:lang w:val="en-IE"/>
        </w:rPr>
        <w:t>ANNEX - Description of the M</w:t>
      </w:r>
      <w:r>
        <w:rPr>
          <w:rFonts w:ascii="Times New Roman" w:hAnsi="Times New Roman" w:cs="Times New Roman"/>
          <w:noProof/>
          <w:sz w:val="24"/>
          <w:lang w:val="en-IE"/>
        </w:rPr>
        <w:t>ember State</w:t>
      </w:r>
      <w:bookmarkEnd w:id="107"/>
      <w:bookmarkEnd w:id="108"/>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On a surface area of 78,900 km², Czechia has a population of 10.610 million people in 2010, which makes up for a population density of 134 inhabitants/km².</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17 urban agglomerations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In 20</w:t>
      </w:r>
      <w:r>
        <w:rPr>
          <w:rFonts w:ascii="Times New Roman" w:hAnsi="Times New Roman" w:cs="Times New Roman"/>
          <w:noProof/>
          <w:sz w:val="24"/>
          <w:lang w:val="en-IE"/>
        </w:rPr>
        <w:t xml:space="preserve">18, Czechia achieves a per capita gross domestic product at market prices of €19,530, which represents a per capita gross domestic product in purchasing power standards of 92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Length of the roa</w:t>
      </w:r>
      <w:r>
        <w:rPr>
          <w:rFonts w:ascii="Times New Roman" w:hAnsi="Times New Roman" w:cs="Times New Roman"/>
          <w:i/>
          <w:noProof/>
          <w:sz w:val="24"/>
          <w:lang w:val="en-IE"/>
        </w:rPr>
        <w:t xml:space="preserve">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Czechia is 1,017 km. The total road network length is 55,740 km, of which 1,252 km are motorways.</w:t>
      </w:r>
    </w:p>
    <w:p w:rsidR="003C43BF" w:rsidRDefault="006C3212">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TEN-T Road Corridors are present in Czechia: 6% (230 km) of the Baltic - Adr</w:t>
      </w:r>
      <w:r>
        <w:rPr>
          <w:rFonts w:ascii="Times New Roman" w:hAnsi="Times New Roman" w:cs="Times New Roman"/>
          <w:noProof/>
          <w:sz w:val="24"/>
          <w:lang w:val="en-IE"/>
        </w:rPr>
        <w:t xml:space="preserve">iatic Corridor, 9% (473 km) of the Orient/East - Mediterranean Corridor and 11 % (495 km) of the Rhine - Danube Corridor. </w:t>
      </w:r>
    </w:p>
    <w:p w:rsidR="003C43BF" w:rsidRDefault="006C3212">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Through the TEN-T Road Corridors, Czechia is connected with the following Member States:</w:t>
      </w:r>
      <w:r>
        <w:rPr>
          <w:rFonts w:ascii="Times New Roman" w:hAnsi="Times New Roman" w:cs="Times New Roman"/>
          <w:noProof/>
          <w:sz w:val="24"/>
          <w:lang w:val="en-IE"/>
        </w:rPr>
        <w:br/>
        <w:t>- Austria (through the Baltic - Adriatic and</w:t>
      </w:r>
      <w:r>
        <w:rPr>
          <w:rFonts w:ascii="Times New Roman" w:hAnsi="Times New Roman" w:cs="Times New Roman"/>
          <w:noProof/>
          <w:sz w:val="24"/>
          <w:lang w:val="en-IE"/>
        </w:rPr>
        <w:t xml:space="preserve"> the Orient/East - Mediterranean Corridor)</w:t>
      </w:r>
      <w:r>
        <w:rPr>
          <w:rFonts w:ascii="Times New Roman" w:hAnsi="Times New Roman" w:cs="Times New Roman"/>
          <w:noProof/>
          <w:sz w:val="24"/>
          <w:lang w:val="en-IE"/>
        </w:rPr>
        <w:br/>
        <w:t>- Poland (through the Baltic - Adriatic Corridor)</w:t>
      </w:r>
      <w:r>
        <w:rPr>
          <w:rFonts w:ascii="Times New Roman" w:hAnsi="Times New Roman" w:cs="Times New Roman"/>
          <w:noProof/>
          <w:sz w:val="24"/>
          <w:lang w:val="en-IE"/>
        </w:rPr>
        <w:br/>
        <w:t>- Germany (through the Orient/East Mediterranean Corridor and the Rhine - Danube Corridor)</w:t>
      </w:r>
      <w:r>
        <w:rPr>
          <w:rFonts w:ascii="Times New Roman" w:hAnsi="Times New Roman" w:cs="Times New Roman"/>
          <w:noProof/>
          <w:sz w:val="24"/>
          <w:lang w:val="en-IE"/>
        </w:rPr>
        <w:br/>
        <w:t>- Slovakia (through the Orient/East Mediterranean Corridor and the Rhine</w:t>
      </w:r>
      <w:r>
        <w:rPr>
          <w:rFonts w:ascii="Times New Roman" w:hAnsi="Times New Roman" w:cs="Times New Roman"/>
          <w:noProof/>
          <w:sz w:val="24"/>
          <w:lang w:val="en-IE"/>
        </w:rPr>
        <w:t xml:space="preserve"> - Danube Corridor)</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At the end of 2018, Czechia accounts for 7,582,962 registered road vehicles of which 5,747,913 are categorized as passenger cars, 441,303 as light goods vehicles, 269,319 as heavy goods vehicles and </w:t>
      </w:r>
      <w:r>
        <w:rPr>
          <w:rFonts w:ascii="Times New Roman" w:hAnsi="Times New Roman" w:cs="Times New Roman"/>
          <w:noProof/>
          <w:sz w:val="24"/>
          <w:lang w:val="en-IE"/>
        </w:rPr>
        <w:t>22,027 as buses and coaches. The motorisation rate is 542 passenger cars per 1,000 inhabitants.</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maritime ports</w:t>
      </w:r>
    </w:p>
    <w:p w:rsidR="003C43BF" w:rsidRDefault="006C3212">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4 inland ports in the TEN-T Core Network (Děčín, Mělník, Pardubice, Praha-Holešovice)</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5 inland port</w:t>
      </w:r>
      <w:r>
        <w:rPr>
          <w:rFonts w:ascii="Times New Roman" w:hAnsi="Times New Roman" w:cs="Times New Roman"/>
          <w:noProof/>
          <w:sz w:val="24"/>
          <w:lang w:val="en-IE"/>
        </w:rPr>
        <w:t>s in the TEN-T Comprehensive Network</w:t>
      </w:r>
    </w:p>
    <w:p w:rsidR="003C43BF" w:rsidRDefault="003C43BF">
      <w:pPr>
        <w:pStyle w:val="Text1"/>
        <w:spacing w:after="0"/>
        <w:ind w:left="714"/>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Through the 333 km inland waterways TEN-T Core Network, Czechia is connected with Germany by the Orient – East Mediterranean Corridor. </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airports in the TEN-T Core Network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airports in the TEN-T Core Network</w:t>
      </w:r>
      <w:r>
        <w:rPr>
          <w:rFonts w:ascii="Times New Roman" w:hAnsi="Times New Roman" w:cs="Times New Roman"/>
          <w:noProof/>
          <w:sz w:val="24"/>
          <w:lang w:val="en-IE"/>
        </w:rPr>
        <w:t xml:space="preserve"> (Ostrava, Praha-Václav Havel) </w:t>
      </w:r>
    </w:p>
    <w:p w:rsidR="003C43BF" w:rsidRDefault="006C3212">
      <w:pPr>
        <w:pStyle w:val="Text1"/>
        <w:numPr>
          <w:ilvl w:val="0"/>
          <w:numId w:val="13"/>
        </w:numPr>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Comprehensive Network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109" w:name="_Toc55301770"/>
      <w:bookmarkStart w:id="110" w:name="_Toc56944116"/>
      <w:r>
        <w:rPr>
          <w:rFonts w:ascii="Times New Roman" w:hAnsi="Times New Roman" w:cs="Times New Roman"/>
          <w:noProof/>
          <w:sz w:val="24"/>
          <w:lang w:val="en-IE"/>
        </w:rPr>
        <w:t>Denmark (DK)</w:t>
      </w:r>
      <w:bookmarkEnd w:id="109"/>
      <w:bookmarkEnd w:id="110"/>
    </w:p>
    <w:p w:rsidR="003C43BF" w:rsidRDefault="006C3212">
      <w:pPr>
        <w:pStyle w:val="Heading3"/>
        <w:ind w:left="720"/>
        <w:rPr>
          <w:rFonts w:ascii="Times New Roman" w:hAnsi="Times New Roman" w:cs="Times New Roman"/>
          <w:noProof/>
          <w:sz w:val="24"/>
          <w:lang w:val="en-IE"/>
        </w:rPr>
      </w:pPr>
      <w:bookmarkStart w:id="111" w:name="_Toc55301771"/>
      <w:bookmarkStart w:id="112" w:name="_Toc56944117"/>
      <w:r>
        <w:rPr>
          <w:rFonts w:ascii="Times New Roman" w:hAnsi="Times New Roman" w:cs="Times New Roman"/>
          <w:noProof/>
          <w:sz w:val="24"/>
          <w:lang w:val="en-IE"/>
        </w:rPr>
        <w:t xml:space="preserve">Main messages from the </w:t>
      </w:r>
      <w:bookmarkEnd w:id="111"/>
      <w:bookmarkEnd w:id="112"/>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its original assessment of the Danish NPF, the Commission concluded: </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The Danish NPF addresses most of </w:t>
      </w:r>
      <w:r>
        <w:rPr>
          <w:rFonts w:ascii="Times New Roman" w:hAnsi="Times New Roman" w:cs="Times New Roman"/>
          <w:i/>
          <w:noProof/>
          <w:color w:val="000000" w:themeColor="text1"/>
          <w:sz w:val="24"/>
          <w:lang w:val="en-IE"/>
        </w:rPr>
        <w:t>the requirements of Article 3. It presents the current state of alternative vehicle uptake and infrastructure and derives targets for future recharging points and CNG refuelling points (road). It discusses LNG refuelling in maritime ports and H2 refuelling</w:t>
      </w:r>
      <w:r>
        <w:rPr>
          <w:rFonts w:ascii="Times New Roman" w:hAnsi="Times New Roman" w:cs="Times New Roman"/>
          <w:i/>
          <w:noProof/>
          <w:color w:val="000000" w:themeColor="text1"/>
          <w:sz w:val="24"/>
          <w:lang w:val="en-IE"/>
        </w:rPr>
        <w:t xml:space="preserve"> points (road). It does not establish targets for LNG refuelling points for heavy-duty vehicles. The government in Denmark is committed to achieve the goal of becoming a low-emission society, independent of fossil fuels by 2050. The Danish government seeks</w:t>
      </w:r>
      <w:r>
        <w:rPr>
          <w:rFonts w:ascii="Times New Roman" w:hAnsi="Times New Roman" w:cs="Times New Roman"/>
          <w:i/>
          <w:noProof/>
          <w:color w:val="000000" w:themeColor="text1"/>
          <w:sz w:val="24"/>
          <w:lang w:val="en-IE"/>
        </w:rPr>
        <w:t xml:space="preserve"> to promote a market-driven (i.e. determined by market players) development of infrastructure deployment and to limit public financial aid, so that greater pressure on public finances can be avoided. Technology neutrality is emphasised in the NPF.</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For elec</w:t>
      </w:r>
      <w:r>
        <w:rPr>
          <w:rFonts w:ascii="Times New Roman" w:hAnsi="Times New Roman" w:cs="Times New Roman"/>
          <w:i/>
          <w:noProof/>
          <w:color w:val="000000" w:themeColor="text1"/>
          <w:sz w:val="24"/>
          <w:lang w:val="en-IE"/>
        </w:rPr>
        <w:t>tricity, the Danish NPF is relatively well-balanced in terms of future targets and the description of policy measures. Notwithstanding, the latter is fundamentally based on current rather than planned measures. The NPF estimates that the EV share (of all v</w:t>
      </w:r>
      <w:r>
        <w:rPr>
          <w:rFonts w:ascii="Times New Roman" w:hAnsi="Times New Roman" w:cs="Times New Roman"/>
          <w:i/>
          <w:noProof/>
          <w:color w:val="000000" w:themeColor="text1"/>
          <w:sz w:val="24"/>
          <w:lang w:val="en-IE"/>
        </w:rPr>
        <w:t>ehicles on the road) will remain below 1% until 2020. The prospects of shore-side electricity supply in Danish maritime ports are not good. The only policy measure mentioned in the NPF is tax relief for electricity. However, this incentive was not sufficie</w:t>
      </w:r>
      <w:r>
        <w:rPr>
          <w:rFonts w:ascii="Times New Roman" w:hAnsi="Times New Roman" w:cs="Times New Roman"/>
          <w:i/>
          <w:noProof/>
          <w:color w:val="000000" w:themeColor="text1"/>
          <w:sz w:val="24"/>
          <w:lang w:val="en-IE"/>
        </w:rPr>
        <w:t>nt to make the investment in shore-side electricity supply attractive in the context of the Nordhavn expansion of the Port of Copenhagen. At the opposite extreme lies the status of electricity supply for stationary airplanes. Denmark considers itself a lea</w:t>
      </w:r>
      <w:r>
        <w:rPr>
          <w:rFonts w:ascii="Times New Roman" w:hAnsi="Times New Roman" w:cs="Times New Roman"/>
          <w:i/>
          <w:noProof/>
          <w:color w:val="000000" w:themeColor="text1"/>
          <w:sz w:val="24"/>
          <w:lang w:val="en-IE"/>
        </w:rPr>
        <w:t>der in this matter. Notwithstanding, communication f the number of ground power units installed in the three largest airports would facilitate the assessment.</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For other alternative fuels, the NPF is not comprehensive.</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The NPF highlights the lack of market </w:t>
      </w:r>
      <w:r>
        <w:rPr>
          <w:rFonts w:ascii="Times New Roman" w:hAnsi="Times New Roman" w:cs="Times New Roman"/>
          <w:i/>
          <w:noProof/>
          <w:color w:val="000000" w:themeColor="text1"/>
          <w:sz w:val="24"/>
          <w:lang w:val="en-IE"/>
        </w:rPr>
        <w:t>momentum for private ownership of CNG cars. The NPF does not contain any future estimates for CNG vehicles. Although the sufficiency index for CNG refuelling points is adequate, it seems that Aarhus, in particular, could benefit from CNG infrastructure dep</w:t>
      </w:r>
      <w:r>
        <w:rPr>
          <w:rFonts w:ascii="Times New Roman" w:hAnsi="Times New Roman" w:cs="Times New Roman"/>
          <w:i/>
          <w:noProof/>
          <w:color w:val="000000" w:themeColor="text1"/>
          <w:sz w:val="24"/>
          <w:lang w:val="en-IE"/>
        </w:rPr>
        <w:t>loyment for two reasons: it is the second-largest city in the country and it is located along the TEN-T Network between Aalborg and Vejle.</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In terms of LNG for road transport, no infrastructure targets are given.</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There appears to be a lack of policy measure</w:t>
      </w:r>
      <w:r>
        <w:rPr>
          <w:rFonts w:ascii="Times New Roman" w:hAnsi="Times New Roman" w:cs="Times New Roman"/>
          <w:i/>
          <w:noProof/>
          <w:color w:val="000000" w:themeColor="text1"/>
          <w:sz w:val="24"/>
          <w:lang w:val="en-IE"/>
        </w:rPr>
        <w:t>s targeting LNG in the Danish maritime ports.</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At present, Denmark foresees insignificant market uptake for hydrogen vehicles before 2025.</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support measures defined in the Danish NPF are unlikely to have a high impact on removing market barriers.</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NPF</w:t>
      </w:r>
      <w:r>
        <w:rPr>
          <w:rFonts w:ascii="Times New Roman" w:hAnsi="Times New Roman" w:cs="Times New Roman"/>
          <w:i/>
          <w:noProof/>
          <w:color w:val="000000" w:themeColor="text1"/>
          <w:sz w:val="24"/>
          <w:lang w:val="en-IE"/>
        </w:rPr>
        <w:t xml:space="preserve"> does not provide any information on stakeholder engagement and cooperation with other Member States.</w:t>
      </w:r>
    </w:p>
    <w:p w:rsidR="003C43BF" w:rsidRDefault="006C3212">
      <w:pPr>
        <w:pStyle w:val="Heading3"/>
        <w:ind w:left="720"/>
        <w:rPr>
          <w:rFonts w:ascii="Times New Roman" w:hAnsi="Times New Roman" w:cs="Times New Roman"/>
          <w:b w:val="0"/>
          <w:noProof/>
          <w:sz w:val="24"/>
          <w:lang w:val="en-IE"/>
        </w:rPr>
      </w:pPr>
      <w:bookmarkStart w:id="113" w:name="_Toc55301772"/>
      <w:bookmarkStart w:id="114" w:name="_Toc56944118"/>
      <w:r>
        <w:rPr>
          <w:rFonts w:ascii="Times New Roman" w:hAnsi="Times New Roman" w:cs="Times New Roman"/>
          <w:noProof/>
          <w:sz w:val="24"/>
          <w:lang w:val="en-IE"/>
        </w:rPr>
        <w:t>Overview of requirements’ fulfilment from Annex I of the Directive</w:t>
      </w:r>
      <w:bookmarkEnd w:id="113"/>
      <w:bookmarkEnd w:id="114"/>
      <w:r>
        <w:rPr>
          <w:rFonts w:ascii="Times New Roman" w:hAnsi="Times New Roman" w:cs="Times New Roman"/>
          <w:noProof/>
          <w:color w:val="000000" w:themeColor="text1"/>
          <w:sz w:val="24"/>
          <w:lang w:val="en-IE"/>
        </w:rPr>
        <w:tab/>
      </w:r>
    </w:p>
    <w:p w:rsidR="003C43BF" w:rsidRDefault="006C3212">
      <w:pPr>
        <w:rPr>
          <w:rFonts w:ascii="Times New Roman" w:hAnsi="Times New Roman" w:cs="Times New Roman"/>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5.4.2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lang w:val="en-IE"/>
        </w:rPr>
        <w:t xml:space="preserve"> Checklist Table</w:t>
      </w:r>
    </w:p>
    <w:p w:rsidR="003C43BF" w:rsidRDefault="006C3212">
      <w:pPr>
        <w:pStyle w:val="Text1"/>
        <w:tabs>
          <w:tab w:val="left" w:pos="720"/>
        </w:tabs>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 </w:t>
      </w:r>
      <w:r>
        <w:rPr>
          <w:rFonts w:ascii="Times New Roman" w:hAnsi="Times New Roman" w:cs="Times New Roman"/>
          <w:noProof/>
          <w:color w:val="000000" w:themeColor="text1"/>
          <w:sz w:val="24"/>
          <w:lang w:eastAsia="en-GB"/>
        </w:rPr>
        <w:drawing>
          <wp:inline distT="0" distB="0" distL="0" distR="0">
            <wp:extent cx="5287982" cy="7802880"/>
            <wp:effectExtent l="0" t="0" r="8255"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5341" cy="7813740"/>
                    </a:xfrm>
                    <a:prstGeom prst="rect">
                      <a:avLst/>
                    </a:prstGeom>
                    <a:noFill/>
                  </pic:spPr>
                </pic:pic>
              </a:graphicData>
            </a:graphic>
          </wp:inline>
        </w:drawing>
      </w:r>
    </w:p>
    <w:p w:rsidR="003C43BF" w:rsidRDefault="003C43BF">
      <w:pPr>
        <w:pStyle w:val="Text1"/>
        <w:tabs>
          <w:tab w:val="left" w:pos="720"/>
        </w:tabs>
        <w:spacing w:after="0"/>
        <w:ind w:left="0"/>
        <w:rPr>
          <w:rFonts w:ascii="Times New Roman" w:hAnsi="Times New Roman" w:cs="Times New Roman"/>
          <w:noProof/>
          <w:color w:val="000000" w:themeColor="text1"/>
          <w:sz w:val="24"/>
          <w:lang w:val="en-IE"/>
        </w:rPr>
      </w:pP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noProof/>
          <w:sz w:val="24"/>
          <w:lang w:val="en-IE"/>
        </w:rPr>
        <w:t>checklist shows that almost all the requirements of Annex I from the Directive are covered.</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covered for all modes; CNG, hydrogen and LPG for road transport; LNG for road and mariti</w:t>
      </w:r>
      <w:r>
        <w:rPr>
          <w:rFonts w:ascii="Times New Roman" w:hAnsi="Times New Roman" w:cs="Times New Roman"/>
          <w:noProof/>
          <w:sz w:val="24"/>
          <w:lang w:val="en-IE"/>
        </w:rPr>
        <w:t>me transport; biofuels for air transport; all the other combinations are either absent or not applicable.</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Danish NIR reports around 50 measures. </w:t>
      </w:r>
      <w:r>
        <w:rPr>
          <w:rFonts w:ascii="Times New Roman" w:hAnsi="Times New Roman" w:cs="Times New Roman"/>
          <w:iCs/>
          <w:noProof/>
          <w:sz w:val="24"/>
          <w:lang w:val="en-IE"/>
        </w:rPr>
        <w:t xml:space="preserve">Under the Policy and Deployment &amp; Manufacturing sections it was possible to identify six AF/transport mode </w:t>
      </w:r>
      <w:r>
        <w:rPr>
          <w:rFonts w:ascii="Times New Roman" w:hAnsi="Times New Roman" w:cs="Times New Roman"/>
          <w:iCs/>
          <w:noProof/>
          <w:sz w:val="24"/>
          <w:lang w:val="en-IE"/>
        </w:rPr>
        <w:t>clusters of measures, of which five were assessable.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fr-BE"/>
        </w:rPr>
      </w:pPr>
      <w:bookmarkStart w:id="115" w:name="_Toc55301773"/>
      <w:bookmarkStart w:id="116" w:name="_Toc56944119"/>
      <w:r>
        <w:rPr>
          <w:rFonts w:ascii="Times New Roman" w:hAnsi="Times New Roman" w:cs="Times New Roman"/>
          <w:noProof/>
          <w:sz w:val="24"/>
          <w:lang w:val="fr-BE"/>
        </w:rPr>
        <w:t>Quantitative assessment: Vehicles and infrastructure</w:t>
      </w:r>
      <w:bookmarkEnd w:id="115"/>
      <w:bookmarkEnd w:id="116"/>
      <w:r>
        <w:rPr>
          <w:rFonts w:ascii="Times New Roman" w:hAnsi="Times New Roman" w:cs="Times New Roman"/>
          <w:noProof/>
          <w:sz w:val="24"/>
          <w:lang w:val="fr-BE"/>
        </w:rPr>
        <w:t xml:space="preserve"> </w:t>
      </w:r>
    </w:p>
    <w:p w:rsidR="003C43BF" w:rsidRDefault="006C3212">
      <w:pPr>
        <w:jc w:val="both"/>
        <w:rPr>
          <w:rFonts w:ascii="Times New Roman" w:hAnsi="Times New Roman" w:cs="Times New Roman"/>
          <w:i/>
          <w:noProof/>
          <w:sz w:val="20"/>
          <w:szCs w:val="18"/>
          <w:lang w:val="en-IE"/>
        </w:rPr>
      </w:pPr>
      <w:bookmarkStart w:id="117" w:name="_Ref53045417"/>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5.4.3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17"/>
      <w:r>
        <w:rPr>
          <w:rFonts w:ascii="Times New Roman" w:hAnsi="Times New Roman" w:cs="Times New Roman"/>
          <w:i/>
          <w:noProof/>
          <w:sz w:val="20"/>
          <w:szCs w:val="18"/>
          <w:lang w:val="en-IE"/>
        </w:rPr>
        <w:t xml:space="preserve"> National AFV estimates and AFI targets established in the NIR at the horizon 2020, 2025 and 2030 and their comparison with the NPF situation </w:t>
      </w:r>
    </w:p>
    <w:p w:rsidR="003C43BF" w:rsidRDefault="006C3212">
      <w:pPr>
        <w:pStyle w:val="Text1"/>
        <w:tabs>
          <w:tab w:val="left" w:pos="720"/>
        </w:tabs>
        <w:spacing w:after="0"/>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944235" cy="637095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6370955"/>
                    </a:xfrm>
                    <a:prstGeom prst="rect">
                      <a:avLst/>
                    </a:prstGeom>
                    <a:noFill/>
                  </pic:spPr>
                </pic:pic>
              </a:graphicData>
            </a:graphic>
          </wp:inline>
        </w:drawing>
      </w:r>
    </w:p>
    <w:p w:rsidR="003C43BF" w:rsidRDefault="006C3212">
      <w:pPr>
        <w:pStyle w:val="Text1"/>
        <w:tabs>
          <w:tab w:val="left" w:pos="720"/>
        </w:tabs>
        <w:spacing w:after="0"/>
        <w:ind w:left="0"/>
        <w:jc w:val="both"/>
        <w:rPr>
          <w:rFonts w:ascii="Times New Roman" w:hAnsi="Times New Roman" w:cs="Times New Roman"/>
          <w:noProof/>
          <w:color w:val="000000" w:themeColor="text1"/>
          <w:sz w:val="20"/>
          <w:lang w:val="en-IE"/>
        </w:rPr>
      </w:pPr>
      <w:r>
        <w:rPr>
          <w:rFonts w:ascii="Times New Roman" w:hAnsi="Times New Roman" w:cs="Times New Roman"/>
          <w:noProof/>
          <w:sz w:val="24"/>
          <w:lang w:eastAsia="en-GB"/>
        </w:rPr>
        <w:drawing>
          <wp:inline distT="0" distB="0" distL="0" distR="0">
            <wp:extent cx="3630304" cy="437362"/>
            <wp:effectExtent l="0" t="0" r="0"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Text1"/>
        <w:tabs>
          <w:tab w:val="left" w:pos="720"/>
        </w:tabs>
        <w:spacing w:after="0"/>
        <w:ind w:left="0"/>
        <w:jc w:val="both"/>
        <w:rPr>
          <w:rFonts w:ascii="Times New Roman" w:hAnsi="Times New Roman" w:cs="Times New Roman"/>
          <w:noProof/>
          <w:color w:val="000000" w:themeColor="text1"/>
          <w:sz w:val="20"/>
          <w:lang w:val="en-IE"/>
        </w:rPr>
      </w:pPr>
      <w:r>
        <w:rPr>
          <w:rFonts w:ascii="Times New Roman" w:hAnsi="Times New Roman" w:cs="Times New Roman"/>
          <w:noProof/>
          <w:color w:val="000000" w:themeColor="text1"/>
          <w:sz w:val="20"/>
          <w:lang w:val="en-IE"/>
        </w:rPr>
        <w:t>*The values for hydrogen refuelling points are shown for informational purposes only and should not be interp</w:t>
      </w:r>
      <w:r>
        <w:rPr>
          <w:rFonts w:ascii="Times New Roman" w:hAnsi="Times New Roman" w:cs="Times New Roman"/>
          <w:noProof/>
          <w:color w:val="000000" w:themeColor="text1"/>
          <w:sz w:val="20"/>
          <w:lang w:val="en-IE"/>
        </w:rPr>
        <w:t>reted as Denmark’s targets, for the Danish government officially excluded hydrogen from its NPF and NIR.</w:t>
      </w:r>
    </w:p>
    <w:p w:rsidR="003C43BF" w:rsidRDefault="006C3212">
      <w:pPr>
        <w:rPr>
          <w:rFonts w:ascii="Times New Roman" w:hAnsi="Times New Roman" w:cs="Times New Roman"/>
          <w:noProof/>
          <w:color w:val="000000" w:themeColor="text1"/>
          <w:sz w:val="20"/>
          <w:lang w:val="en-IE"/>
        </w:rPr>
      </w:pPr>
      <w:r>
        <w:rPr>
          <w:rFonts w:ascii="Times New Roman" w:hAnsi="Times New Roman" w:cs="Times New Roman"/>
          <w:noProof/>
          <w:color w:val="000000" w:themeColor="text1"/>
          <w:sz w:val="20"/>
          <w:lang w:val="en-IE"/>
        </w:rPr>
        <w:br w:type="page"/>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Denmark recorded 16,118 battery-electric and plug-in hybrid electric vehicles in use in 2018 (of which 15,205 were passenger cars, 905 were LCVs and 8 were buses and coaches)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_Ref53045417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5.4.3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 Danish NIR EV estimates are 35,675 for 2020 and 109,805 for 2025, which are respectively 16.50% and 67.33% higher than in the NPF. This reflects a higher policy ambition. Denmark had not provided 2030 EV esti</w:t>
      </w:r>
      <w:r>
        <w:rPr>
          <w:rFonts w:ascii="Times New Roman" w:hAnsi="Times New Roman" w:cs="Times New Roman"/>
          <w:noProof/>
          <w:sz w:val="24"/>
          <w:lang w:val="en-IE"/>
        </w:rPr>
        <w:t>mates in the NPF but the NIR presents estimates: by 2030, the Danish NIR expects that 88.7% of the 331,749 EVs in use will be passenger cars, 10.7% LCVs, 0.1% HCVs and 0.5% buses and coaches. In addition, the Danish NIR provides an estimate of 2,510 electr</w:t>
      </w:r>
      <w:r>
        <w:rPr>
          <w:rFonts w:ascii="Times New Roman" w:hAnsi="Times New Roman" w:cs="Times New Roman"/>
          <w:noProof/>
          <w:sz w:val="24"/>
          <w:lang w:val="en-IE"/>
        </w:rPr>
        <w:t xml:space="preserve">ic PTW in 2030, compared to 1,386 in 2018. </w:t>
      </w:r>
    </w:p>
    <w:p w:rsidR="003C43BF" w:rsidRDefault="006C3212">
      <w:pPr>
        <w:pStyle w:val="CommentText"/>
        <w:spacing w:afterLines="160" w:after="384" w:line="259" w:lineRule="auto"/>
        <w:jc w:val="both"/>
        <w:rPr>
          <w:rFonts w:ascii="Times New Roman" w:hAnsi="Times New Roman" w:cs="Times New Roman"/>
          <w:noProof/>
          <w:color w:val="000000" w:themeColor="text1"/>
          <w:sz w:val="22"/>
          <w:lang w:val="en-IE"/>
        </w:rPr>
      </w:pPr>
      <w:r>
        <w:rPr>
          <w:rFonts w:ascii="Times New Roman" w:hAnsi="Times New Roman" w:cs="Times New Roman"/>
          <w:noProof/>
          <w:sz w:val="24"/>
          <w:szCs w:val="22"/>
          <w:lang w:val="en-IE"/>
        </w:rPr>
        <w:t xml:space="preserve">The 2018 </w:t>
      </w:r>
      <w:r>
        <w:rPr>
          <w:rFonts w:ascii="Times New Roman" w:hAnsi="Times New Roman" w:cs="Times New Roman"/>
          <w:b/>
          <w:i/>
          <w:noProof/>
          <w:sz w:val="24"/>
          <w:szCs w:val="22"/>
          <w:lang w:val="en-IE"/>
        </w:rPr>
        <w:t>attainment</w:t>
      </w:r>
      <w:r>
        <w:rPr>
          <w:rFonts w:ascii="Times New Roman" w:hAnsi="Times New Roman" w:cs="Times New Roman"/>
          <w:noProof/>
          <w:sz w:val="24"/>
          <w:szCs w:val="22"/>
          <w:lang w:val="en-IE"/>
        </w:rPr>
        <w:t xml:space="preserve"> of future EV estimates is 45.18% for 2020 and</w:t>
      </w:r>
      <w:r>
        <w:rPr>
          <w:rFonts w:ascii="Times New Roman" w:hAnsi="Times New Roman" w:cs="Times New Roman"/>
          <w:iCs/>
          <w:noProof/>
          <w:color w:val="000000" w:themeColor="text1"/>
          <w:sz w:val="24"/>
          <w:szCs w:val="22"/>
          <w:lang w:val="en-IE"/>
        </w:rPr>
        <w:t xml:space="preserve"> 4.86%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szCs w:val="22"/>
          <w:lang w:val="en-IE"/>
        </w:rPr>
        <w:t xml:space="preserve">, the 2018 situation corresponds to a </w:t>
      </w:r>
      <w:r>
        <w:rPr>
          <w:rFonts w:ascii="Times New Roman" w:hAnsi="Times New Roman" w:cs="Times New Roman"/>
          <w:b/>
          <w:i/>
          <w:iCs/>
          <w:noProof/>
          <w:color w:val="000000" w:themeColor="text1"/>
          <w:sz w:val="24"/>
          <w:szCs w:val="22"/>
          <w:lang w:val="en-IE"/>
        </w:rPr>
        <w:t>slow progress</w:t>
      </w:r>
      <w:r>
        <w:rPr>
          <w:rFonts w:ascii="Times New Roman" w:hAnsi="Times New Roman" w:cs="Times New Roman"/>
          <w:iCs/>
          <w:noProof/>
          <w:color w:val="000000" w:themeColor="text1"/>
          <w:sz w:val="24"/>
          <w:szCs w:val="22"/>
          <w:lang w:val="en-IE"/>
        </w:rPr>
        <w:t xml:space="preserve"> towards reaching the envisaged EV estimates. The calculated </w:t>
      </w:r>
      <w:r>
        <w:rPr>
          <w:rFonts w:ascii="Times New Roman" w:hAnsi="Times New Roman" w:cs="Times New Roman"/>
          <w:b/>
          <w:i/>
          <w:iCs/>
          <w:noProof/>
          <w:color w:val="000000" w:themeColor="text1"/>
          <w:sz w:val="24"/>
          <w:szCs w:val="22"/>
          <w:lang w:val="en-IE"/>
        </w:rPr>
        <w:t>average</w:t>
      </w:r>
      <w:r>
        <w:rPr>
          <w:rFonts w:ascii="Times New Roman" w:hAnsi="Times New Roman" w:cs="Times New Roman"/>
          <w:iCs/>
          <w:noProof/>
          <w:color w:val="000000" w:themeColor="text1"/>
          <w:sz w:val="24"/>
          <w:szCs w:val="22"/>
          <w:lang w:val="en-IE"/>
        </w:rPr>
        <w:t xml:space="preserve"> </w:t>
      </w:r>
      <w:r>
        <w:rPr>
          <w:rFonts w:ascii="Times New Roman" w:hAnsi="Times New Roman" w:cs="Times New Roman"/>
          <w:b/>
          <w:i/>
          <w:iCs/>
          <w:noProof/>
          <w:color w:val="000000" w:themeColor="text1"/>
          <w:sz w:val="24"/>
          <w:szCs w:val="22"/>
          <w:lang w:val="en-IE"/>
        </w:rPr>
        <w:t>annual growth rate</w:t>
      </w:r>
      <w:r>
        <w:rPr>
          <w:rFonts w:ascii="Times New Roman" w:hAnsi="Times New Roman" w:cs="Times New Roman"/>
          <w:iCs/>
          <w:noProof/>
          <w:color w:val="000000" w:themeColor="text1"/>
          <w:sz w:val="24"/>
          <w:szCs w:val="22"/>
          <w:lang w:val="en-IE"/>
        </w:rPr>
        <w:t xml:space="preserve"> corresponding to the period 2016-2030 for EV fleet evolution planned by Denmark is equal to 27%.</w:t>
      </w:r>
      <w:r>
        <w:rPr>
          <w:rFonts w:ascii="Times New Roman" w:hAnsi="Times New Roman" w:cs="Times New Roman"/>
          <w:noProof/>
          <w:color w:val="000000" w:themeColor="text1"/>
          <w:sz w:val="24"/>
          <w:szCs w:val="22"/>
          <w:lang w:val="en-IE"/>
        </w:rPr>
        <w:t xml:space="preserv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Denmark recorded 3,648 publicly accessible recharging p</w:t>
      </w:r>
      <w:r>
        <w:rPr>
          <w:rFonts w:ascii="Times New Roman" w:hAnsi="Times New Roman" w:cs="Times New Roman"/>
          <w:noProof/>
          <w:sz w:val="24"/>
          <w:lang w:val="en-IE"/>
        </w:rPr>
        <w:t>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_Ref53045417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5.4.3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 NIR target for the publicly accessible recharging points for 2020 is 5,419. This is 80.65% higher than the target in </w:t>
      </w:r>
      <w:r>
        <w:rPr>
          <w:rFonts w:ascii="Times New Roman" w:hAnsi="Times New Roman" w:cs="Times New Roman"/>
          <w:noProof/>
          <w:sz w:val="24"/>
          <w:lang w:val="en-IE"/>
        </w:rPr>
        <w:t>the NPF. Denmark had not provided targets for publicly accessible recharging points for 2025 and 2030 in its NPF. This has now been modified in the NIR: 9,848 and 29,437 points respectively in 2025 and in 2030. Over the period 2020-2030, the share of publi</w:t>
      </w:r>
      <w:r>
        <w:rPr>
          <w:rFonts w:ascii="Times New Roman" w:hAnsi="Times New Roman" w:cs="Times New Roman"/>
          <w:noProof/>
          <w:sz w:val="24"/>
          <w:lang w:val="en-IE"/>
        </w:rPr>
        <w:t>cly accessible high power (&gt;22kW) recharging infrastructure is targeted to remain constant at a value of 62%.</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Danish NIR indicates that information on the number of private recharging points is unavailable. </w:t>
      </w:r>
    </w:p>
    <w:p w:rsidR="003C43BF" w:rsidRDefault="006C3212">
      <w:pPr>
        <w:tabs>
          <w:tab w:val="left" w:pos="360"/>
        </w:tabs>
        <w:spacing w:afterLines="160" w:after="384"/>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w:t>
      </w:r>
      <w:r>
        <w:rPr>
          <w:rFonts w:ascii="Times New Roman" w:hAnsi="Times New Roman" w:cs="Times New Roman"/>
          <w:noProof/>
          <w:sz w:val="24"/>
          <w:lang w:val="en-IE"/>
        </w:rPr>
        <w:t>publicly acces</w:t>
      </w:r>
      <w:r>
        <w:rPr>
          <w:rFonts w:ascii="Times New Roman" w:hAnsi="Times New Roman" w:cs="Times New Roman"/>
          <w:noProof/>
          <w:sz w:val="24"/>
          <w:lang w:val="en-IE"/>
        </w:rPr>
        <w:t>sible</w:t>
      </w:r>
      <w:r>
        <w:rPr>
          <w:rFonts w:ascii="Times New Roman" w:hAnsi="Times New Roman" w:cs="Times New Roman"/>
          <w:iCs/>
          <w:noProof/>
          <w:color w:val="000000" w:themeColor="text1"/>
          <w:sz w:val="24"/>
          <w:lang w:val="en-IE"/>
        </w:rPr>
        <w:t xml:space="preserve"> recharging infrastructure targets is 67.31% for 2020 and 12.39%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these envisaged targets. The calculate</w:t>
      </w:r>
      <w:r>
        <w:rPr>
          <w:rFonts w:ascii="Times New Roman" w:hAnsi="Times New Roman" w:cs="Times New Roman"/>
          <w:iCs/>
          <w:noProof/>
          <w:color w:val="000000" w:themeColor="text1"/>
          <w:sz w:val="24"/>
          <w:lang w:val="en-IE"/>
        </w:rPr>
        <w:t xml:space="preserv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Denmark is equal to 21%.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DK NIR, the following table shows the ratio between vehicles and publicly</w:t>
      </w:r>
      <w:r>
        <w:rPr>
          <w:rFonts w:ascii="Times New Roman" w:hAnsi="Times New Roman" w:cs="Times New Roman"/>
          <w:noProof/>
          <w:sz w:val="24"/>
          <w:lang w:val="en-IE"/>
        </w:rPr>
        <w:t xml:space="preserve"> accessible recharging points (i.e. sufficiency index) for the pair electricity/road. It can be seen that in 2030 the foreseen sufficiency index is not far from a value of 10 that, considering the planned 62% high power share, can be regarded as adequate.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020310" cy="405130"/>
            <wp:effectExtent l="0" t="0" r="889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0310" cy="405130"/>
                    </a:xfrm>
                    <a:prstGeom prst="rect">
                      <a:avLst/>
                    </a:prstGeom>
                    <a:noFill/>
                    <a:ln>
                      <a:noFill/>
                    </a:ln>
                  </pic:spPr>
                </pic:pic>
              </a:graphicData>
            </a:graphic>
          </wp:inline>
        </w:drawing>
      </w:r>
    </w:p>
    <w:p w:rsidR="003C43BF" w:rsidRDefault="003C43BF">
      <w:pPr>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Danish NIR.</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Denmark recorded 578 CNG vehicles in use in 2018, of which 130 were passenger cars, 138 LCVs, 156 HCVs (including refuse collection vehicles in many cities)</w:t>
      </w:r>
      <w:r>
        <w:rPr>
          <w:rFonts w:ascii="Times New Roman" w:hAnsi="Times New Roman" w:cs="Times New Roman"/>
          <w:noProof/>
          <w:sz w:val="24"/>
          <w:lang w:val="en-IE"/>
        </w:rPr>
        <w:t xml:space="preserve"> and 154 buses and coaches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_Ref53045417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5.4.3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By 2030, the Danish NIR expects that 37% of the 2,153 CNG vehicles in use will be passenger cars, 17% LCVs, </w:t>
      </w:r>
      <w:r>
        <w:rPr>
          <w:rFonts w:ascii="Times New Roman" w:hAnsi="Times New Roman" w:cs="Times New Roman"/>
          <w:noProof/>
          <w:sz w:val="24"/>
          <w:lang w:val="en-IE"/>
        </w:rPr>
        <w:t xml:space="preserve">4% HCVs and 42% buses and coaches. </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CNG vehicles estimates is 67.05% for 2020 and 26.85%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w:t>
      </w:r>
      <w:r>
        <w:rPr>
          <w:rFonts w:ascii="Times New Roman" w:hAnsi="Times New Roman" w:cs="Times New Roman"/>
          <w:iCs/>
          <w:noProof/>
          <w:color w:val="000000" w:themeColor="text1"/>
          <w:sz w:val="24"/>
          <w:lang w:val="en-IE"/>
        </w:rPr>
        <w:t xml:space="preserve">s reaching the envisaged CNG vehicles estimates.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Denmark is equal to 13%.</w:t>
      </w:r>
      <w:r>
        <w:rPr>
          <w:rFonts w:ascii="Times New Roman" w:hAnsi="Times New Roman" w:cs="Times New Roman"/>
          <w:noProof/>
          <w:color w:val="000000" w:themeColor="text1"/>
          <w:sz w:val="28"/>
          <w:szCs w:val="24"/>
          <w:lang w:val="en-IE"/>
        </w:rPr>
        <w:t xml:space="preserv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_Ref53045417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5.4.3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the Danish government plans that the 17 publicly accessible CNG refuelling points in 2018 remain in use until 2030. The AFI (CNG/ro</w:t>
      </w:r>
      <w:r>
        <w:rPr>
          <w:rFonts w:ascii="Times New Roman" w:hAnsi="Times New Roman" w:cs="Times New Roman"/>
          <w:noProof/>
          <w:sz w:val="24"/>
          <w:lang w:val="en-IE"/>
        </w:rPr>
        <w:t xml:space="preserve">ad) public target for 2020 provided in the NIR is 15.00% lower than in the NPF. </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publicly accessible CNG refuelling infrastructure targets is constant and equal to 100% for 2020, 2025 and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fast progress</w:t>
      </w:r>
      <w:r>
        <w:rPr>
          <w:rFonts w:ascii="Times New Roman" w:hAnsi="Times New Roman" w:cs="Times New Roman"/>
          <w:iCs/>
          <w:noProof/>
          <w:color w:val="000000" w:themeColor="text1"/>
          <w:sz w:val="24"/>
          <w:lang w:val="en-IE"/>
        </w:rPr>
        <w:t xml:space="preserve"> towards reaching </w:t>
      </w:r>
      <w:r>
        <w:rPr>
          <w:rFonts w:ascii="Times New Roman" w:hAnsi="Times New Roman" w:cs="Times New Roman"/>
          <w:iCs/>
          <w:noProof/>
          <w:color w:val="000000" w:themeColor="text1"/>
          <w:sz w:val="24"/>
          <w:lang w:val="en-IE"/>
        </w:rPr>
        <w:t xml:space="preserve">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CNG refuelling infrastructure evolution planned by Denmark is equal to 1%.</w:t>
      </w:r>
      <w:r>
        <w:rPr>
          <w:rFonts w:ascii="Times New Roman" w:hAnsi="Times New Roman" w:cs="Times New Roman"/>
          <w:noProof/>
          <w:color w:val="000000" w:themeColor="text1"/>
          <w:sz w:val="28"/>
          <w:szCs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DK NIR, the following table </w:t>
      </w:r>
      <w:r>
        <w:rPr>
          <w:rFonts w:ascii="Times New Roman" w:hAnsi="Times New Roman" w:cs="Times New Roman"/>
          <w:noProof/>
          <w:sz w:val="24"/>
          <w:lang w:val="en-IE"/>
        </w:rPr>
        <w:t>shows the ratio between vehicles and publicly accessible refuelling points (i.e. sufficiency index) for the pair CNG/road. It can be seen that the sufficiency index is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xml:space="preserve">) for the whole implementation </w:t>
      </w:r>
      <w:r>
        <w:rPr>
          <w:rFonts w:ascii="Times New Roman" w:hAnsi="Times New Roman" w:cs="Times New Roman"/>
          <w:noProof/>
          <w:sz w:val="24"/>
          <w:lang w:val="en-IE"/>
        </w:rPr>
        <w:t>period.</w:t>
      </w:r>
    </w:p>
    <w:p w:rsidR="003C43BF" w:rsidRDefault="006C3212">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eastAsia="en-GB"/>
        </w:rPr>
        <w:drawing>
          <wp:inline distT="0" distB="0" distL="0" distR="0">
            <wp:extent cx="5020310" cy="405130"/>
            <wp:effectExtent l="0" t="0" r="889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0310" cy="405130"/>
                    </a:xfrm>
                    <a:prstGeom prst="rect">
                      <a:avLst/>
                    </a:prstGeom>
                    <a:noFill/>
                    <a:ln>
                      <a:noFill/>
                    </a:ln>
                  </pic:spPr>
                </pic:pic>
              </a:graphicData>
            </a:graphic>
          </wp:inline>
        </w:drawing>
      </w:r>
    </w:p>
    <w:p w:rsidR="003C43BF" w:rsidRDefault="006C3212">
      <w:pPr>
        <w:rPr>
          <w:rFonts w:ascii="Times New Roman" w:hAnsi="Times New Roman" w:cs="Times New Roman"/>
          <w:noProof/>
          <w:color w:val="000000" w:themeColor="text1"/>
          <w:sz w:val="28"/>
          <w:szCs w:val="24"/>
          <w:lang w:val="en-IE"/>
        </w:rPr>
      </w:pPr>
      <w:r>
        <w:rPr>
          <w:rFonts w:ascii="Times New Roman" w:hAnsi="Times New Roman" w:cs="Times New Roman"/>
          <w:noProof/>
          <w:color w:val="000000" w:themeColor="text1"/>
          <w:sz w:val="28"/>
          <w:szCs w:val="24"/>
          <w:lang w:val="en-IE"/>
        </w:rPr>
        <w:br w:type="page"/>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strike/>
          <w:noProof/>
          <w:sz w:val="24"/>
          <w:lang w:val="en-IE"/>
        </w:rPr>
      </w:pPr>
      <w:r>
        <w:rPr>
          <w:rFonts w:ascii="Times New Roman" w:hAnsi="Times New Roman" w:cs="Times New Roman"/>
          <w:noProof/>
          <w:sz w:val="24"/>
          <w:lang w:val="en-IE"/>
        </w:rPr>
        <w:t>Three years after the notification of the Danish NPF, LNG road vehicles had not been deployed in Denmark yet. The Danish NIR provides a value of zero for the future estimates of LNG road vehicles. However, since the notification of its NPF, Denmark has bee</w:t>
      </w:r>
      <w:r>
        <w:rPr>
          <w:rFonts w:ascii="Times New Roman" w:hAnsi="Times New Roman" w:cs="Times New Roman"/>
          <w:noProof/>
          <w:sz w:val="24"/>
          <w:lang w:val="en-IE"/>
        </w:rPr>
        <w:t xml:space="preserve">n observing LNG developments in neighbouring countries and expects future transit traffic of LNG vehicles.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Danish NIR notes that refuelling a LNG vehicle on Denmark’s part of the TEN-T network is currently not possible. As it can be see</w:t>
      </w:r>
      <w:r>
        <w:rPr>
          <w:rFonts w:ascii="Times New Roman" w:hAnsi="Times New Roman" w:cs="Times New Roman"/>
          <w:noProof/>
          <w:sz w:val="24"/>
          <w:lang w:val="en-IE"/>
        </w:rPr>
        <w:t xml:space="preserve">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_Ref53045417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5.4.3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Denmark plans for the possibility of three LNG refuelling points to be deployed by 2025 (probably around Aalborg, the Triangle Region</w:t>
      </w:r>
      <w:r>
        <w:rPr>
          <w:rFonts w:ascii="Times New Roman" w:hAnsi="Times New Roman" w:cs="Times New Roman"/>
          <w:noProof/>
          <w:sz w:val="24"/>
          <w:lang w:val="en-IE"/>
        </w:rPr>
        <w:t xml:space="preserve"> and Copenhagen). According to the NIR, such deployment will be facilitated by market-driven developments.</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Because</w:t>
      </w:r>
      <w:r>
        <w:rPr>
          <w:rFonts w:ascii="Times New Roman" w:hAnsi="Times New Roman" w:cs="Times New Roman"/>
          <w:iCs/>
          <w:noProof/>
          <w:color w:val="000000" w:themeColor="text1"/>
          <w:sz w:val="24"/>
          <w:lang w:val="en-IE"/>
        </w:rPr>
        <w:t xml:space="preserve"> there were no LNG refuelling points in Denmark at the end of 2018</w:t>
      </w:r>
      <w:r>
        <w:rPr>
          <w:rFonts w:ascii="Times New Roman" w:hAnsi="Times New Roman" w:cs="Times New Roman"/>
          <w:noProof/>
          <w:sz w:val="24"/>
          <w:lang w:val="en-IE"/>
        </w:rPr>
        <w:t xml:space="preserve">, this assessment did not compute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values.</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there are no LNG vehicle estimates in the DK NIR it is not possible to compute the sufficiency index.</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Danish NIR indicates that 85 hydrogen-powered vehicles (all of them passenger cars) were in use in 2018. This number is expected to reach almost 1,000 units by 2030, of which 21 would be HCVs, 276 buses and coaches and the rest passenger cars. </w:t>
      </w:r>
    </w:p>
    <w:p w:rsidR="003C43BF" w:rsidRDefault="006C3212">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The 201</w:t>
      </w:r>
      <w:r>
        <w:rPr>
          <w:rFonts w:ascii="Times New Roman" w:hAnsi="Times New Roman" w:cs="Times New Roman"/>
          <w:noProof/>
          <w:sz w:val="24"/>
          <w:lang w:val="en-IE"/>
        </w:rPr>
        <w:t xml:space="preserve">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hydrogen vehicle estimates is </w:t>
      </w:r>
      <w:r>
        <w:rPr>
          <w:rFonts w:ascii="Times New Roman" w:hAnsi="Times New Roman" w:cs="Times New Roman"/>
          <w:iCs/>
          <w:noProof/>
          <w:color w:val="000000" w:themeColor="text1"/>
          <w:sz w:val="24"/>
          <w:lang w:val="en-IE"/>
        </w:rPr>
        <w:t xml:space="preserve">26.90% for 2020 and 8.91%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Denmark from 2016 until 2018 for hydrogen vehicles deployment is 1.81% of th</w:t>
      </w:r>
      <w:r>
        <w:rPr>
          <w:rFonts w:ascii="Times New Roman" w:hAnsi="Times New Roman" w:cs="Times New Roman"/>
          <w:iCs/>
          <w:noProof/>
          <w:color w:val="000000" w:themeColor="text1"/>
          <w:sz w:val="24"/>
          <w:lang w:val="en-IE"/>
        </w:rPr>
        <w:t xml:space="preserve">e overall planned deployment during the period 2016-2030.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Danish NPF did not include hydrogen infrastructure provisions. Data reported on hydrogen in the NPF and the NIR are presented here for informational purposes though.</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Danish N</w:t>
      </w:r>
      <w:r>
        <w:rPr>
          <w:rFonts w:ascii="Times New Roman" w:hAnsi="Times New Roman" w:cs="Times New Roman"/>
          <w:noProof/>
          <w:sz w:val="24"/>
          <w:lang w:val="en-IE"/>
        </w:rPr>
        <w:t>IR indicates that eight hydrogen refuelling points (all of them 700 bar and publicly accessible) were available in 2018, of which seven remained at the time the NIR was notified.</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Because the Danish government officially excluded hydrogen for its NPF and NI</w:t>
      </w:r>
      <w:r>
        <w:rPr>
          <w:rFonts w:ascii="Times New Roman" w:hAnsi="Times New Roman" w:cs="Times New Roman"/>
          <w:noProof/>
          <w:sz w:val="24"/>
          <w:lang w:val="en-IE"/>
        </w:rPr>
        <w:t xml:space="preserve">R, no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values have been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Because the Danish government officially excluded hydrogen for its NPF and NIR, no sufficiency index has been computed.</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Danish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As in the Danish NPF, the Danish NIR does not provide further information on infrastructure requirements for biofuels, as these are expected to be distributed through existing conventional fuels infrastructure.</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Danish govern</w:t>
      </w:r>
      <w:r>
        <w:rPr>
          <w:rFonts w:ascii="Times New Roman" w:hAnsi="Times New Roman" w:cs="Times New Roman"/>
          <w:noProof/>
          <w:sz w:val="24"/>
          <w:lang w:val="en-IE"/>
        </w:rPr>
        <w:t>ment expects that LPG for transport is fully phased out by 2030. Thus, the future number of LPG vehicles in use declines and is expected to reach zero by 2030.</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the Danish government expects the phase-out of LPG, no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values ha</w:t>
      </w:r>
      <w:r>
        <w:rPr>
          <w:rFonts w:ascii="Times New Roman" w:hAnsi="Times New Roman" w:cs="Times New Roman"/>
          <w:noProof/>
          <w:sz w:val="24"/>
          <w:lang w:val="en-IE"/>
        </w:rPr>
        <w:t>ve been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Given the expectation of an LPG phase-out by 2030, the number of publicly accessible LPG refuelling points halves by 2025 and further reduces to zero by 2030, according to the NIR.</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the Danish government expects the </w:t>
      </w:r>
      <w:r>
        <w:rPr>
          <w:rFonts w:ascii="Times New Roman" w:hAnsi="Times New Roman" w:cs="Times New Roman"/>
          <w:noProof/>
          <w:sz w:val="24"/>
          <w:lang w:val="en-IE"/>
        </w:rPr>
        <w:t xml:space="preserve">phase-out of LPG, no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values have been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DK NIR, the following table shows the ratio between vehicles and </w:t>
      </w:r>
      <w:r>
        <w:rPr>
          <w:rFonts w:ascii="Times New Roman" w:hAnsi="Times New Roman" w:cs="Times New Roman"/>
          <w:iCs/>
          <w:noProof/>
          <w:color w:val="000000" w:themeColor="text1"/>
          <w:sz w:val="24"/>
          <w:lang w:val="en-IE"/>
        </w:rPr>
        <w:t>publicly accessible refuelling points</w:t>
      </w:r>
      <w:r>
        <w:rPr>
          <w:rFonts w:ascii="Times New Roman" w:hAnsi="Times New Roman" w:cs="Times New Roman"/>
          <w:noProof/>
          <w:sz w:val="24"/>
          <w:lang w:val="en-IE"/>
        </w:rPr>
        <w:t xml:space="preserve"> (i.e. sufficiency index) for the pair LPG/road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w:t>
      </w:r>
      <w:r>
        <w:rPr>
          <w:rFonts w:ascii="Times New Roman" w:hAnsi="Times New Roman" w:cs="Times New Roman"/>
          <w:iCs/>
          <w:noProof/>
          <w:sz w:val="24"/>
          <w:lang w:val="en-IE"/>
        </w:rPr>
        <w:t>1.5</w:t>
      </w:r>
      <w:r>
        <w:rPr>
          <w:rFonts w:ascii="Times New Roman" w:hAnsi="Times New Roman" w:cs="Times New Roman"/>
          <w:noProof/>
          <w:sz w:val="24"/>
          <w:lang w:val="en-IE"/>
        </w:rPr>
        <w:t>). The 2030 value could not be computed since LPG will be phased out.</w:t>
      </w:r>
    </w:p>
    <w:p w:rsidR="003C43BF" w:rsidRDefault="003C43BF">
      <w:pPr>
        <w:jc w:val="both"/>
        <w:rPr>
          <w:rFonts w:ascii="Times New Roman" w:hAnsi="Times New Roman" w:cs="Times New Roman"/>
          <w:noProof/>
          <w:sz w:val="24"/>
          <w:lang w:val="en-IE"/>
        </w:rPr>
      </w:pPr>
    </w:p>
    <w:p w:rsidR="003C43BF" w:rsidRDefault="006C3212">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eastAsia="en-GB"/>
        </w:rPr>
        <w:drawing>
          <wp:inline distT="0" distB="0" distL="0" distR="0">
            <wp:extent cx="5019675" cy="4095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9675" cy="409575"/>
                    </a:xfrm>
                    <a:prstGeom prst="rect">
                      <a:avLst/>
                    </a:prstGeom>
                    <a:noFill/>
                    <a:ln>
                      <a:noFill/>
                    </a:ln>
                  </pic:spPr>
                </pic:pic>
              </a:graphicData>
            </a:graphic>
          </wp:inline>
        </w:drawing>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Danish NIR expects the number of electric locomotives to increase from 253 units in 2018 to 353 by 2030. This number is however similar to </w:t>
      </w:r>
      <w:r>
        <w:rPr>
          <w:rFonts w:ascii="Times New Roman" w:hAnsi="Times New Roman" w:cs="Times New Roman"/>
          <w:noProof/>
          <w:sz w:val="24"/>
          <w:lang w:val="en-IE"/>
        </w:rPr>
        <w:t>the 345 figure reported for 2016.</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According to the NIR, the full electrification of the 57 km Esbjerg-Lunderskov route in 2017 and the 45 km Køge-Næstved route in 2019 allows electric trains to circulate on these electrified routes. In addit</w:t>
      </w:r>
      <w:r>
        <w:rPr>
          <w:rFonts w:ascii="Times New Roman" w:hAnsi="Times New Roman" w:cs="Times New Roman"/>
          <w:noProof/>
          <w:sz w:val="24"/>
          <w:lang w:val="en-IE"/>
        </w:rPr>
        <w:t>ion, the 60 km high-speed Copenhagen–Ringsted line inaugurated in 2019 was also built as an electrified railway.</w:t>
      </w:r>
    </w:p>
    <w:p w:rsidR="003C43BF" w:rsidRDefault="003C43BF">
      <w:pPr>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Danish NIR expects the number of electric seagoing ships to increase from 3 units in </w:t>
      </w:r>
      <w:r>
        <w:rPr>
          <w:rFonts w:ascii="Times New Roman" w:hAnsi="Times New Roman" w:cs="Times New Roman"/>
          <w:noProof/>
          <w:sz w:val="24"/>
          <w:lang w:val="en-IE"/>
        </w:rPr>
        <w:t>2018 to 5 by 2030.</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According to the NIR, shore-side electricity supply installations are available for use in all the Danish ports by vessels requiring a rather limited power supply. However, the availability of shore-side electricity supply</w:t>
      </w:r>
      <w:r>
        <w:rPr>
          <w:rFonts w:ascii="Times New Roman" w:hAnsi="Times New Roman" w:cs="Times New Roman"/>
          <w:noProof/>
          <w:sz w:val="24"/>
          <w:lang w:val="en-IE"/>
        </w:rPr>
        <w:t xml:space="preserve"> installations for use by vessels requiring substantial power supply is uncertain and remains, on economic grounds, not widespread yet. The Danish NIR does not provide specific information on the threshold between ‘limited and substantial’ power supply. Th</w:t>
      </w:r>
      <w:r>
        <w:rPr>
          <w:rFonts w:ascii="Times New Roman" w:hAnsi="Times New Roman" w:cs="Times New Roman"/>
          <w:noProof/>
          <w:sz w:val="24"/>
          <w:lang w:val="en-IE"/>
        </w:rPr>
        <w:t xml:space="preserve">e NIR mentions that shore-side electricity supply will become available in the ports of Skagen, Hirtshals and Frederikshavn in next three years. As it can be seen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_Ref53045417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5.4.3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 number of recharging points providing shore-side electricity supply in the Danish maritime ports is expected to increase from two in 2018 to eleven by 2030. Denmark is likely to reach its 2020 target given that shore-side </w:t>
      </w:r>
      <w:r>
        <w:rPr>
          <w:rFonts w:ascii="Times New Roman" w:hAnsi="Times New Roman" w:cs="Times New Roman"/>
          <w:noProof/>
          <w:sz w:val="24"/>
          <w:lang w:val="en-IE"/>
        </w:rPr>
        <w:t>electricity supply became available also in the Port of Faaborg and the Port of Grenå in 2019 (in the latter, with a 2 MW capacity).</w:t>
      </w:r>
    </w:p>
    <w:p w:rsidR="003C43BF" w:rsidRDefault="006C3212">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of future targets for shore-side electricity supply for seagoing ships in maritime ports is 50% for 202</w:t>
      </w:r>
      <w:r>
        <w:rPr>
          <w:rFonts w:ascii="Times New Roman" w:hAnsi="Times New Roman" w:cs="Times New Roman"/>
          <w:iCs/>
          <w:noProof/>
          <w:color w:val="000000" w:themeColor="text1"/>
          <w:sz w:val="24"/>
          <w:lang w:val="en-IE"/>
        </w:rPr>
        <w:t xml:space="preserve">0 and 18.18%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Denmark obtained from 2016 until 2018 for shore-side electricity supply deployment in maritime ports is 60% of the overall planned deployment during the p</w:t>
      </w:r>
      <w:r>
        <w:rPr>
          <w:rFonts w:ascii="Times New Roman" w:hAnsi="Times New Roman" w:cs="Times New Roman"/>
          <w:iCs/>
          <w:noProof/>
          <w:color w:val="000000" w:themeColor="text1"/>
          <w:sz w:val="24"/>
          <w:lang w:val="en-IE"/>
        </w:rPr>
        <w:t xml:space="preserve">eriod 2016-2030. </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Danish NIR expects the number of LNG seagoing ships to increase from three units in 2018 to four by 2030.</w:t>
      </w:r>
    </w:p>
    <w:p w:rsidR="003C43BF" w:rsidRDefault="006C3212">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LNG seagoing ships estimates is 100% in 2020 and 75% in 2030. According to the assessm</w:t>
      </w:r>
      <w:r>
        <w:rPr>
          <w:rFonts w:ascii="Times New Roman" w:hAnsi="Times New Roman" w:cs="Times New Roman"/>
          <w:iCs/>
          <w:noProof/>
          <w:color w:val="000000" w:themeColor="text1"/>
          <w:sz w:val="24"/>
          <w:lang w:val="en-IE"/>
        </w:rPr>
        <w:t xml:space="preserve">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Denmark from 2016 until 2018 for LNG seagoing ships deployment is 0% of the overall planned deployment during the period 2016-2030.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it can be seen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_Ref53045417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5.4.3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there were two LNG refuelling points in Danish maritime ports in 2018. This entails that Denmark’s second LNG facility has become operati</w:t>
      </w:r>
      <w:r>
        <w:rPr>
          <w:rFonts w:ascii="Times New Roman" w:hAnsi="Times New Roman" w:cs="Times New Roman"/>
          <w:noProof/>
          <w:sz w:val="24"/>
          <w:lang w:val="en-IE"/>
        </w:rPr>
        <w:t>onal in the port of Hou since the notification of the NPF (and while Frederikshavn was mentioned in the NPF, no update on LNG availability in this port is provided in the NIR). According to the NIR, the future number of LNG refuelling points in Danish mari</w:t>
      </w:r>
      <w:r>
        <w:rPr>
          <w:rFonts w:ascii="Times New Roman" w:hAnsi="Times New Roman" w:cs="Times New Roman"/>
          <w:noProof/>
          <w:sz w:val="24"/>
          <w:lang w:val="en-IE"/>
        </w:rPr>
        <w:t>time ports is expected to remain unchanged. Accordingly, no LNG supply targets before 2030 are given for the two maritime ports that are part of the TEN-T Core Network (Aarhus and Copenhagen). Notwithstanding this, the Danish NIR reports the expectation th</w:t>
      </w:r>
      <w:r>
        <w:rPr>
          <w:rFonts w:ascii="Times New Roman" w:hAnsi="Times New Roman" w:cs="Times New Roman"/>
          <w:noProof/>
          <w:sz w:val="24"/>
          <w:lang w:val="en-IE"/>
        </w:rPr>
        <w:t xml:space="preserve">at the Directive’s minimum requirements will either be met by market-based developments or by regulatory initiatives, if necessary.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LNG refuelling infrastructure targets in maritime ports is 100% in 2020, 2025 and 2030. Accor</w:t>
      </w:r>
      <w:r>
        <w:rPr>
          <w:rFonts w:ascii="Times New Roman" w:hAnsi="Times New Roman" w:cs="Times New Roman"/>
          <w:noProof/>
          <w:sz w:val="24"/>
          <w:lang w:val="en-IE"/>
        </w:rPr>
        <w:t xml:space="preserve">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 by Denmark from 2016 until 2018 for LNG refuelling infrastructure deployment in maritime ports is 100% of the overall planned deployment during the period 2016-2030. </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w:t>
      </w:r>
      <w:r>
        <w:rPr>
          <w:rStyle w:val="Heading4Char"/>
          <w:rFonts w:ascii="Times New Roman" w:hAnsi="Times New Roman" w:cs="Times New Roman"/>
          <w:noProof/>
          <w:sz w:val="24"/>
          <w:lang w:val="en-IE"/>
        </w:rPr>
        <w:t>borne transport (inland)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Not applicable since Denmark has no inland ports in the TEN-T Core Network.</w:t>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Danish NIR considers that the deployment of hybrid-electric or fully-electric airplanes by 2030 remains highly uncertain.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As in the NPF, the Danish NIR indicates that the airports that account for more than 97</w:t>
      </w:r>
      <w:r>
        <w:rPr>
          <w:rFonts w:ascii="Times New Roman" w:hAnsi="Times New Roman" w:cs="Times New Roman"/>
          <w:noProof/>
          <w:sz w:val="24"/>
          <w:lang w:val="en-IE"/>
        </w:rPr>
        <w:t xml:space="preserve">% of passenger flights are equipped with devices that enable electricity supply for stationary airplanes. </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on flights / airplanes powered by biofuels is not provided in the Danish NIR.</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The Danish NIR gives some</w:t>
      </w:r>
      <w:r>
        <w:rPr>
          <w:rFonts w:ascii="Times New Roman" w:hAnsi="Times New Roman" w:cs="Times New Roman"/>
          <w:noProof/>
          <w:sz w:val="24"/>
          <w:lang w:val="en-IE"/>
        </w:rPr>
        <w:t xml:space="preserve"> consideration to the need for renewable jet fuel refuelling points in airports within the TEN-T Core Network. In Denmark, there was no sustainable aviation fuel production in late 2019. The NIR does not quantify sustainable aviation fuel production by 203</w:t>
      </w:r>
      <w:r>
        <w:rPr>
          <w:rFonts w:ascii="Times New Roman" w:hAnsi="Times New Roman" w:cs="Times New Roman"/>
          <w:noProof/>
          <w:sz w:val="24"/>
          <w:lang w:val="en-IE"/>
        </w:rPr>
        <w:t>0, though it expects it to increase towards 2030.</w:t>
      </w:r>
    </w:p>
    <w:p w:rsidR="003C43BF" w:rsidRDefault="003C43BF">
      <w:pPr>
        <w:tabs>
          <w:tab w:val="left" w:pos="360"/>
        </w:tabs>
        <w:spacing w:before="12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118" w:name="_Toc55301774"/>
      <w:bookmarkStart w:id="119" w:name="_Toc56944120"/>
      <w:r>
        <w:rPr>
          <w:rFonts w:ascii="Times New Roman" w:hAnsi="Times New Roman" w:cs="Times New Roman"/>
          <w:noProof/>
          <w:sz w:val="24"/>
          <w:lang w:val="en-IE"/>
        </w:rPr>
        <w:t>Measures assessment</w:t>
      </w:r>
      <w:bookmarkEnd w:id="118"/>
      <w:bookmarkEnd w:id="119"/>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As in the NPF, a relevant series of measures is mentioned in the Danish NIR. For the Policy and Deployment &amp; Manufacturing support measures, this results in five assessable AF/transpor</w:t>
      </w:r>
      <w:r>
        <w:rPr>
          <w:rFonts w:ascii="Times New Roman" w:hAnsi="Times New Roman" w:cs="Times New Roman"/>
          <w:iCs/>
          <w:noProof/>
          <w:sz w:val="24"/>
          <w:lang w:val="en-IE"/>
        </w:rPr>
        <w:t>t mode clusters.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Danish NPF had only mentioned one legal measure on advanced biofuels blending, which is no longer mentioned in the NIR. The Danish NIR contains now seven legal measures, representing a significant increase.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Whereas two </w:t>
      </w:r>
      <w:r>
        <w:rPr>
          <w:rFonts w:ascii="Times New Roman" w:hAnsi="Times New Roman" w:cs="Times New Roman"/>
          <w:noProof/>
          <w:sz w:val="24"/>
          <w:lang w:val="en-IE"/>
        </w:rPr>
        <w:t>of the legal measures described in the NIR have already expired, another one refers to the presentation of a proposal for an Act amendment (related to the implementation of the provisions stipulated in the Energy Performance of Buildings Directive (2018/84</w:t>
      </w:r>
      <w:r>
        <w:rPr>
          <w:rFonts w:ascii="Times New Roman" w:hAnsi="Times New Roman" w:cs="Times New Roman"/>
          <w:noProof/>
          <w:sz w:val="24"/>
          <w:lang w:val="en-IE"/>
        </w:rPr>
        <w:t xml:space="preserve">4/EU)). The rest are existing measures (all of them affecting road transport).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Considering all the legal measures, they appear, if fully implemented, to be fit to support the realisation of the AFV/AFI objectives as presented in the NPF and revised in the</w:t>
      </w:r>
      <w:r>
        <w:rPr>
          <w:rFonts w:ascii="Times New Roman" w:hAnsi="Times New Roman" w:cs="Times New Roman"/>
          <w:noProof/>
          <w:sz w:val="24"/>
          <w:lang w:val="en-IE"/>
        </w:rPr>
        <w:t xml:space="preserve"> NIR. The level of ambition of the legal measures has generally increased in the NIR compared to the NPF.</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All the legal measures described in the Danish NIR can be categorised as legislative and regulatory measures and include the </w:t>
      </w:r>
      <w:r>
        <w:rPr>
          <w:rFonts w:ascii="Times New Roman" w:hAnsi="Times New Roman" w:cs="Times New Roman"/>
          <w:noProof/>
          <w:sz w:val="24"/>
          <w:lang w:val="en-IE"/>
        </w:rPr>
        <w:t>following ones:</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Norms &amp; requirements: zero- and low-emission parking benefits and stricter energy requirements for the taxi fleet.</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Permits: quotas of permits for zero-emission taxis and access to bus lanes for low-emission vehicles.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noProof/>
          <w:sz w:val="24"/>
          <w:lang w:val="en-IE"/>
        </w:rPr>
        <w:t>Danish NIR does not provide specific information on administrative measures.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its NPF, the Danish government had signalled the willingness to re-examine public support if conditions varied considerably on various policy issues. The Danis</w:t>
      </w:r>
      <w:r>
        <w:rPr>
          <w:rFonts w:ascii="Times New Roman" w:hAnsi="Times New Roman" w:cs="Times New Roman"/>
          <w:noProof/>
          <w:sz w:val="24"/>
          <w:lang w:val="en-IE"/>
        </w:rPr>
        <w:t>h NIR contains nine policy measures, which represents no change in the number of measures compared to the ones identified in the NPF (adopted or existing at the time). In contrast to the NPF, the abolition of the public service obligation tax and public pr</w:t>
      </w:r>
      <w:r>
        <w:rPr>
          <w:rFonts w:ascii="Times New Roman" w:hAnsi="Times New Roman" w:cs="Times New Roman"/>
          <w:noProof/>
          <w:sz w:val="24"/>
          <w:lang w:val="en-IE"/>
        </w:rPr>
        <w:t>ocurement for alternative fuel vehicles are no longer mentioned.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all the policy measures described in the Danish NIR, six can be categorised as measures to ensure national targets and obj</w:t>
      </w:r>
      <w:r>
        <w:rPr>
          <w:rFonts w:ascii="Times New Roman" w:hAnsi="Times New Roman" w:cs="Times New Roman"/>
          <w:noProof/>
          <w:sz w:val="24"/>
          <w:lang w:val="en-IE"/>
        </w:rPr>
        <w:t>ectives. None of these target AFI. All of them, with one exception, involve taxation: tax reductions or exemptions for alternative fuels or for vehicle registration. Although most of them were present also in the NPF, changes on two relevant acts have take</w:t>
      </w:r>
      <w:r>
        <w:rPr>
          <w:rFonts w:ascii="Times New Roman" w:hAnsi="Times New Roman" w:cs="Times New Roman"/>
          <w:noProof/>
          <w:sz w:val="24"/>
          <w:lang w:val="en-IE"/>
        </w:rPr>
        <w:t>n place since then: Act No. 687 in 2017 and Act No. 1730 in 2018. According to the Danish NIR, the energy tax benefits electricity and hydrogen while the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tax favours in addition biofuels and natural gas (including biogas). Moreover, reductions in the o</w:t>
      </w:r>
      <w:r>
        <w:rPr>
          <w:rFonts w:ascii="Times New Roman" w:hAnsi="Times New Roman" w:cs="Times New Roman"/>
          <w:noProof/>
          <w:sz w:val="24"/>
          <w:lang w:val="en-IE"/>
        </w:rPr>
        <w:t>rdinary electricity tax can be expected until 2025 from the 89.2 øre/kWh level in 2020.</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taxation for vehicle registration, the Danish NIR distinguishes between the registration and the motor vehicle tax. Fuel cell-powered vehicles will be exempte</w:t>
      </w:r>
      <w:r>
        <w:rPr>
          <w:rFonts w:ascii="Times New Roman" w:hAnsi="Times New Roman" w:cs="Times New Roman"/>
          <w:noProof/>
          <w:sz w:val="24"/>
          <w:lang w:val="en-IE"/>
        </w:rPr>
        <w:t>d from both until 2021, fully subject to the motor vehicle tax from 2022 and gradually subject to the registration tax between 2022 and 2025. For BEVs</w:t>
      </w:r>
      <w:r>
        <w:rPr>
          <w:rStyle w:val="FootnoteReference"/>
          <w:rFonts w:ascii="Times New Roman" w:hAnsi="Times New Roman" w:cs="Times New Roman"/>
          <w:noProof/>
          <w:sz w:val="24"/>
          <w:lang w:val="en-IE"/>
        </w:rPr>
        <w:footnoteReference w:id="13"/>
      </w:r>
      <w:r>
        <w:rPr>
          <w:rFonts w:ascii="Times New Roman" w:hAnsi="Times New Roman" w:cs="Times New Roman"/>
          <w:noProof/>
          <w:sz w:val="24"/>
          <w:lang w:val="en-IE"/>
        </w:rPr>
        <w:t xml:space="preserve">, the NIR further distinguishes between a special battery allowance and a tax-free allowance. The Danish </w:t>
      </w:r>
      <w:r>
        <w:rPr>
          <w:rFonts w:ascii="Times New Roman" w:hAnsi="Times New Roman" w:cs="Times New Roman"/>
          <w:noProof/>
          <w:sz w:val="24"/>
          <w:lang w:val="en-IE"/>
        </w:rPr>
        <w:t xml:space="preserve">NIR considers that in practice BEVs valued at DKK 400,000 (around €60,000), or less, paid no registration taxes in 2019 and 2020. The registration tax will be gradually phased in for BEVs, PHEVs and CNG vehicles. Under current policy, BEVs will be subject </w:t>
      </w:r>
      <w:r>
        <w:rPr>
          <w:rFonts w:ascii="Times New Roman" w:hAnsi="Times New Roman" w:cs="Times New Roman"/>
          <w:noProof/>
          <w:sz w:val="24"/>
          <w:lang w:val="en-IE"/>
        </w:rPr>
        <w:t>to the full registration tax in 2023 (and not in 2020 as the NPF had stated).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Danish NPF mentioned the reduction of the electricity tax for shore-side electricity supply. Although a few of the policy measures target alternative </w:t>
      </w:r>
      <w:r>
        <w:rPr>
          <w:rFonts w:ascii="Times New Roman" w:hAnsi="Times New Roman" w:cs="Times New Roman"/>
          <w:noProof/>
          <w:sz w:val="24"/>
          <w:lang w:val="en-IE"/>
        </w:rPr>
        <w:t>fuels and can be considered to potentially affect water transport, no concrete policy measures targeting water transport are listed in the Danish NIR.</w:t>
      </w:r>
    </w:p>
    <w:p w:rsidR="003C43BF" w:rsidRDefault="003C43BF">
      <w:pPr>
        <w:jc w:val="both"/>
        <w:rPr>
          <w:rFonts w:ascii="Times New Roman" w:hAnsi="Times New Roman" w:cs="Times New Roman"/>
          <w:noProof/>
          <w:sz w:val="24"/>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all the policy measures described in the A</w:t>
      </w:r>
      <w:r>
        <w:rPr>
          <w:rFonts w:ascii="Times New Roman" w:hAnsi="Times New Roman" w:cs="Times New Roman"/>
          <w:noProof/>
          <w:sz w:val="24"/>
          <w:lang w:val="en-IE"/>
        </w:rPr>
        <w:t>nnex of the Danish NIR, two can be categorised as measures that can promote AFI in public transport services. Both of them are existing measures: one dealing with electric buses at local level and the other with electric railway vehicles at regional level.</w:t>
      </w:r>
      <w:r>
        <w:rPr>
          <w:rFonts w:ascii="Times New Roman" w:hAnsi="Times New Roman" w:cs="Times New Roman"/>
          <w:noProof/>
          <w:sz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Buses</w:t>
      </w:r>
    </w:p>
    <w:p w:rsidR="003C43BF" w:rsidRDefault="006C3212">
      <w:pPr>
        <w:jc w:val="both"/>
        <w:rPr>
          <w:rFonts w:ascii="Times New Roman" w:hAnsi="Times New Roman" w:cs="Times New Roman"/>
          <w:b/>
          <w:noProof/>
          <w:sz w:val="24"/>
          <w:lang w:val="en-IE"/>
        </w:rPr>
      </w:pPr>
      <w:r>
        <w:rPr>
          <w:rFonts w:ascii="Times New Roman" w:hAnsi="Times New Roman" w:cs="Times New Roman"/>
          <w:noProof/>
          <w:sz w:val="24"/>
          <w:lang w:val="en-IE"/>
        </w:rPr>
        <w:t>The Danish NIR mentions that electric buses have been trialled in many routes in Copenhagen and Frederiksberg since 2016. Moreover, over 40 new electric buses were expected to be introduced in Denmark in the year in which the NIR was notified (2019</w:t>
      </w:r>
      <w:r>
        <w:rPr>
          <w:rFonts w:ascii="Times New Roman" w:hAnsi="Times New Roman" w:cs="Times New Roman"/>
          <w:noProof/>
          <w:sz w:val="24"/>
          <w:lang w:val="en-IE"/>
        </w:rPr>
        <w:t>).</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According to the Danish NIR, further electrification of the railways is pursued, including the Fredericia-Aarhus, Aarhus-Lindholm and Roskilde-Kalundborg routes. To this end, the Banedanmark’s Electrification Programme is being implemente</w:t>
      </w:r>
      <w:r>
        <w:rPr>
          <w:rFonts w:ascii="Times New Roman" w:hAnsi="Times New Roman" w:cs="Times New Roman"/>
          <w:noProof/>
          <w:sz w:val="24"/>
          <w:lang w:val="en-IE"/>
        </w:rPr>
        <w:t xml:space="preserve">d with the objective of electrifying much of the country’s railway network, according to the NIR. </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lists a measure to support the deployment of private electro-mobi</w:t>
      </w:r>
      <w:r>
        <w:rPr>
          <w:rFonts w:ascii="Times New Roman" w:hAnsi="Times New Roman" w:cs="Times New Roman"/>
          <w:noProof/>
          <w:sz w:val="24"/>
          <w:lang w:val="en-IE"/>
        </w:rPr>
        <w:t>lity infrastructure, namely the low rate of industry process electricity tax (0.4 øre/kWh) for commercially recharged EVs. It seems that this measure was expected to expire at the end of 2019 but has been extended until 2021.</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Deployment and manufacturing s</w:t>
      </w:r>
      <w:r>
        <w:rPr>
          <w:rFonts w:ascii="Times New Roman" w:hAnsi="Times New Roman" w:cs="Times New Roman"/>
          <w:noProof/>
          <w:sz w:val="24"/>
          <w:lang w:val="en-IE"/>
        </w:rPr>
        <w:t xml:space="preserve">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Danish NIR contains 11 AFI deployment support measures</w:t>
      </w:r>
      <w:r>
        <w:rPr>
          <w:rStyle w:val="FootnoteReference"/>
          <w:rFonts w:ascii="Times New Roman" w:hAnsi="Times New Roman" w:cs="Times New Roman"/>
          <w:noProof/>
          <w:sz w:val="24"/>
          <w:lang w:val="en-IE"/>
        </w:rPr>
        <w:footnoteReference w:id="14"/>
      </w:r>
      <w:r>
        <w:rPr>
          <w:rFonts w:ascii="Times New Roman" w:hAnsi="Times New Roman" w:cs="Times New Roman"/>
          <w:noProof/>
          <w:sz w:val="24"/>
          <w:lang w:val="en-IE"/>
        </w:rPr>
        <w:t>, which represents a significant increase compared to the four measures identified in the NPF. Nine of the eleven can be considered measures that have already expired. The m</w:t>
      </w:r>
      <w:r>
        <w:rPr>
          <w:rFonts w:ascii="Times New Roman" w:hAnsi="Times New Roman" w:cs="Times New Roman"/>
          <w:noProof/>
          <w:sz w:val="24"/>
          <w:lang w:val="en-IE"/>
        </w:rPr>
        <w:t>easures cover various alternative fuels and transport modes, including for instance funds to support e-bike use and to supply harbour buses with green biodiesel. The total estimated budget for AFI deployment reported in the NIR amounts to 140 million € for</w:t>
      </w:r>
      <w:r>
        <w:rPr>
          <w:rFonts w:ascii="Times New Roman" w:hAnsi="Times New Roman" w:cs="Times New Roman"/>
          <w:noProof/>
          <w:sz w:val="24"/>
          <w:lang w:val="en-IE"/>
        </w:rPr>
        <w:t xml:space="preserve"> the period 2016-2025.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The Danish NIR contains one measure that had been mentioned in the NPF to support manufacturing plants for AF technologies. The measure, to be implemented between 2021 and 2030, is</w:t>
      </w:r>
      <w:r>
        <w:rPr>
          <w:rFonts w:ascii="Times New Roman" w:eastAsia="Calibri" w:hAnsi="Times New Roman" w:cs="Times New Roman"/>
          <w:noProof/>
          <w:sz w:val="24"/>
          <w:lang w:val="en-IE"/>
        </w:rPr>
        <w:t xml:space="preserve"> backed by a ca. 286 million € fund with the aim of supporting the use of biogas in transport and industrial processes. </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w:t>
      </w:r>
      <w:r>
        <w:rPr>
          <w:rFonts w:ascii="Times New Roman" w:hAnsi="Times New Roman" w:cs="Times New Roman"/>
          <w:noProof/>
          <w:sz w:val="24"/>
          <w:lang w:val="en-IE"/>
        </w:rPr>
        <w:t>not available in the Danish NIR.</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spacing w:before="120" w:after="0"/>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_Ref53045496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5.4.4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w:t>
      </w:r>
      <w:r>
        <w:rPr>
          <w:rFonts w:ascii="Times New Roman" w:hAnsi="Times New Roman" w:cs="Times New Roman"/>
          <w:noProof/>
          <w:sz w:val="24"/>
          <w:lang w:val="en-IE"/>
        </w:rPr>
        <w:t xml:space="preserve">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the electricity/road cluster is the only having a high score. None of the clusters identified can be considered</w:t>
      </w:r>
      <w:r>
        <w:rPr>
          <w:rFonts w:ascii="Times New Roman" w:hAnsi="Times New Roman" w:cs="Times New Roman"/>
          <w:noProof/>
          <w:sz w:val="24"/>
          <w:lang w:val="en-IE"/>
        </w:rPr>
        <w:t xml:space="preserve"> comprehensive. Support measures continue to be irrelevant or not assessable for LNG/road and for LNG/water (maritime) (for instance, it seems that the Danish NIR does not consider LNG retrofit for vessels to be an option). </w:t>
      </w:r>
    </w:p>
    <w:p w:rsidR="003C43BF" w:rsidRDefault="006C3212">
      <w:pPr>
        <w:spacing w:before="120"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In terms of expected impact of </w:t>
      </w:r>
      <w:r>
        <w:rPr>
          <w:rFonts w:ascii="Times New Roman" w:hAnsi="Times New Roman" w:cs="Times New Roman"/>
          <w:noProof/>
          <w:sz w:val="24"/>
          <w:lang w:val="en-IE"/>
        </w:rPr>
        <w:t>these measures to support the realisation of the AFV/AFI objectives as presented in the NPF and revised in the NIR, the measures for the pair electricity/road have a medium impact, those for the pairs CNG/road, biofuels/road, hydrogen/road and electricity/</w:t>
      </w:r>
      <w:r>
        <w:rPr>
          <w:rFonts w:ascii="Times New Roman" w:hAnsi="Times New Roman" w:cs="Times New Roman"/>
          <w:noProof/>
          <w:sz w:val="24"/>
          <w:lang w:val="en-IE"/>
        </w:rPr>
        <w:t>rail result to have a low impact.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Compared to the NPF, the level of ambition of the Policy and Deployment &amp; Manufacturing measures has increased for all the assessable pairs.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jc w:val="both"/>
        <w:rPr>
          <w:rFonts w:ascii="Times New Roman" w:eastAsia="Calibri" w:hAnsi="Times New Roman" w:cs="Times New Roman"/>
          <w:noProof/>
          <w:color w:val="7030A0"/>
          <w:sz w:val="24"/>
          <w:lang w:val="en-IE"/>
        </w:rPr>
      </w:pPr>
      <w:bookmarkStart w:id="120" w:name="_Ref53045496"/>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5.4.4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20"/>
      <w:r>
        <w:rPr>
          <w:rFonts w:ascii="Times New Roman" w:hAnsi="Times New Roman" w:cs="Times New Roman"/>
          <w:noProof/>
          <w:sz w:val="24"/>
          <w:lang w:val="en-IE"/>
        </w:rPr>
        <w:t xml:space="preserve"> </w:t>
      </w:r>
      <w:r>
        <w:rPr>
          <w:rFonts w:ascii="Times New Roman" w:hAnsi="Times New Roman" w:cs="Times New Roman"/>
          <w:i/>
          <w:noProof/>
          <w:sz w:val="20"/>
          <w:lang w:val="en-IE"/>
        </w:rPr>
        <w:t xml:space="preserve">Quantitative </w:t>
      </w:r>
      <w:r>
        <w:rPr>
          <w:rFonts w:ascii="Times New Roman" w:hAnsi="Times New Roman" w:cs="Times New Roman"/>
          <w:i/>
          <w:noProof/>
          <w:sz w:val="20"/>
          <w:lang w:val="en-IE"/>
        </w:rPr>
        <w:t>assessment of Policy and Deployment &amp; Manufacturing support measures</w:t>
      </w:r>
      <w:r>
        <w:rPr>
          <w:rFonts w:ascii="Times New Roman" w:hAnsi="Times New Roman" w:cs="Times New Roman"/>
          <w:noProof/>
          <w:sz w:val="20"/>
          <w:lang w:val="en-IE"/>
        </w:rPr>
        <w:t xml:space="preserve"> </w:t>
      </w:r>
    </w:p>
    <w:p w:rsidR="003C43BF" w:rsidRDefault="006C3212">
      <w:pPr>
        <w:pStyle w:val="Caption"/>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158496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4235" cy="1584960"/>
                    </a:xfrm>
                    <a:prstGeom prst="rect">
                      <a:avLst/>
                    </a:prstGeom>
                    <a:noFill/>
                  </pic:spPr>
                </pic:pic>
              </a:graphicData>
            </a:graphic>
          </wp:inline>
        </w:drawing>
      </w:r>
    </w:p>
    <w:p w:rsidR="003C43BF" w:rsidRDefault="006C3212">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H = high; M = medium; L = low; X = not assessable. Comprehensiveness: C = comprehensive; N = Not comprehensive. Ambition level: ‘+’ means ‘higher’; ‘=’ means ‘comparable</w:t>
      </w:r>
      <w:r>
        <w:rPr>
          <w:rFonts w:ascii="Times New Roman" w:eastAsia="Calibri" w:hAnsi="Times New Roman" w:cs="Times New Roman"/>
          <w:noProof/>
          <w:sz w:val="20"/>
          <w:szCs w:val="18"/>
          <w:lang w:val="en-IE"/>
        </w:rPr>
        <w:t>’; ‘-‘ means ‘lower’.</w:t>
      </w:r>
    </w:p>
    <w:p w:rsidR="003C43BF" w:rsidRDefault="003C43BF">
      <w:pPr>
        <w:jc w:val="both"/>
        <w:rPr>
          <w:rFonts w:ascii="Times New Roman" w:eastAsia="Calibri" w:hAnsi="Times New Roman" w:cs="Times New Roman"/>
          <w:noProof/>
          <w:sz w:val="20"/>
          <w:szCs w:val="18"/>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Danish NIR contains 19 RTD&amp;D projects of relevance: 3 supported in 2019, 8 in 2018, 4 in 2017 and 4 in 2016. This represents a significant increase compared to the six RTD&amp;D </w:t>
      </w:r>
      <w:r>
        <w:rPr>
          <w:rFonts w:ascii="Times New Roman" w:hAnsi="Times New Roman" w:cs="Times New Roman"/>
          <w:noProof/>
          <w:sz w:val="24"/>
          <w:lang w:val="en-IE"/>
        </w:rPr>
        <w:t>projects identified in the NPF. The NIR does not provide specific details</w:t>
      </w:r>
      <w:r>
        <w:rPr>
          <w:rStyle w:val="FootnoteReference"/>
          <w:rFonts w:ascii="Times New Roman" w:hAnsi="Times New Roman" w:cs="Times New Roman"/>
          <w:noProof/>
          <w:sz w:val="24"/>
          <w:lang w:val="en-IE"/>
        </w:rPr>
        <w:footnoteReference w:id="15"/>
      </w:r>
      <w:r>
        <w:rPr>
          <w:rFonts w:ascii="Times New Roman" w:hAnsi="Times New Roman" w:cs="Times New Roman"/>
          <w:noProof/>
          <w:sz w:val="24"/>
          <w:lang w:val="en-IE"/>
        </w:rPr>
        <w:t xml:space="preserve"> about each of these projects, which does not allows us to either make direct comparisons with the projects listed in the NPF or to cluster them. The NIR states that the vast majorit</w:t>
      </w:r>
      <w:r>
        <w:rPr>
          <w:rFonts w:ascii="Times New Roman" w:hAnsi="Times New Roman" w:cs="Times New Roman"/>
          <w:noProof/>
          <w:sz w:val="24"/>
          <w:lang w:val="en-IE"/>
        </w:rPr>
        <w:t>y of these projects focus on hydrogen, with a couple of them dealing with electricity for maritime transport and bioethanol. The total estimated budget for RTD&amp;D projects reported in the NIR amounts to 36 million € for the period 2016-2019, mainly channell</w:t>
      </w:r>
      <w:r>
        <w:rPr>
          <w:rFonts w:ascii="Times New Roman" w:hAnsi="Times New Roman" w:cs="Times New Roman"/>
          <w:noProof/>
          <w:sz w:val="24"/>
          <w:lang w:val="en-IE"/>
        </w:rPr>
        <w:t>ed through the Energy Technology Development and Demonstration Programme, the Innovation Fund and the EU framework schemes.</w:t>
      </w:r>
    </w:p>
    <w:p w:rsidR="003C43BF" w:rsidRDefault="003C43BF">
      <w:pPr>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121" w:name="_Toc55301775"/>
      <w:bookmarkStart w:id="122" w:name="_Toc56944121"/>
      <w:r>
        <w:rPr>
          <w:rFonts w:ascii="Times New Roman" w:hAnsi="Times New Roman" w:cs="Times New Roman"/>
          <w:noProof/>
          <w:sz w:val="24"/>
          <w:lang w:val="en-IE"/>
        </w:rPr>
        <w:t>Additional information on alternative fuels infrastructure developments</w:t>
      </w:r>
      <w:bookmarkEnd w:id="121"/>
      <w:bookmarkEnd w:id="122"/>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Danish NIR provides information on the changes in fuel </w:t>
      </w:r>
      <w:r>
        <w:rPr>
          <w:rFonts w:ascii="Times New Roman" w:hAnsi="Times New Roman" w:cs="Times New Roman"/>
          <w:noProof/>
          <w:sz w:val="24"/>
          <w:lang w:val="en-IE"/>
        </w:rPr>
        <w:t xml:space="preserve">use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_Ref53045546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5.4.5</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Style w:val="FootnoteReference"/>
          <w:rFonts w:ascii="Times New Roman" w:hAnsi="Times New Roman" w:cs="Times New Roman"/>
          <w:noProof/>
          <w:sz w:val="24"/>
          <w:lang w:val="en-IE"/>
        </w:rPr>
        <w:footnoteReference w:id="16"/>
      </w:r>
      <w:r>
        <w:rPr>
          <w:rFonts w:ascii="Times New Roman" w:hAnsi="Times New Roman" w:cs="Times New Roman"/>
          <w:noProof/>
          <w:sz w:val="24"/>
          <w:lang w:val="en-IE"/>
        </w:rPr>
        <w:t xml:space="preserve">). As it can be seen, biofuels are expected to remain the dominating alternative fuel in road transport throughout the period, </w:t>
      </w:r>
      <w:r>
        <w:rPr>
          <w:rFonts w:ascii="Times New Roman" w:hAnsi="Times New Roman" w:cs="Times New Roman"/>
          <w:noProof/>
          <w:sz w:val="24"/>
          <w:lang w:val="en-IE"/>
        </w:rPr>
        <w:t>followed by electricity. No real increase in LNG use in maritime transport is expected.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rPr>
          <w:rFonts w:ascii="Times New Roman" w:hAnsi="Times New Roman" w:cs="Times New Roman"/>
          <w:i/>
          <w:iCs/>
          <w:noProof/>
          <w:color w:val="44546A" w:themeColor="text2"/>
          <w:sz w:val="20"/>
          <w:szCs w:val="18"/>
          <w:lang w:val="en-IE"/>
        </w:rPr>
      </w:pPr>
      <w:bookmarkStart w:id="123" w:name="_Ref53045546"/>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5.4.5</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23"/>
      <w:r>
        <w:rPr>
          <w:rFonts w:ascii="Times New Roman" w:hAnsi="Times New Roman" w:cs="Times New Roman"/>
          <w:i/>
          <w:noProof/>
          <w:sz w:val="20"/>
          <w:szCs w:val="18"/>
          <w:lang w:val="en-IE"/>
        </w:rPr>
        <w:t xml:space="preserve"> </w:t>
      </w:r>
      <w:r>
        <w:rPr>
          <w:rFonts w:ascii="Times New Roman" w:hAnsi="Times New Roman" w:cs="Times New Roman"/>
          <w:i/>
          <w:iCs/>
          <w:noProof/>
          <w:sz w:val="20"/>
          <w:szCs w:val="18"/>
          <w:lang w:val="en-IE"/>
        </w:rPr>
        <w:t>Changes in fuels use in transport sector (2016-2030)</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4543425" cy="1786304"/>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2399" cy="1789832"/>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0"/>
          <w:lang w:val="en-IE"/>
        </w:rPr>
      </w:pPr>
      <w:r>
        <w:rPr>
          <w:rFonts w:ascii="Times New Roman" w:hAnsi="Times New Roman" w:cs="Times New Roman"/>
          <w:noProof/>
          <w:sz w:val="20"/>
          <w:lang w:val="en-IE"/>
        </w:rPr>
        <w:t xml:space="preserve">*Note: Since the values for ‘other AF’ provided in the NIR are zero and CNG use in Denmark is dominated by biomethane, it is unclear whether the biofuels figures include biomethane. </w:t>
      </w:r>
    </w:p>
    <w:p w:rsidR="003C43BF" w:rsidRDefault="003C43BF">
      <w:pPr>
        <w:jc w:val="both"/>
        <w:rPr>
          <w:rFonts w:ascii="Times New Roman" w:hAnsi="Times New Roman" w:cs="Times New Roman"/>
          <w:noProof/>
          <w:sz w:val="20"/>
          <w:lang w:val="en-IE"/>
        </w:rPr>
      </w:pPr>
    </w:p>
    <w:p w:rsidR="003C43BF" w:rsidRDefault="006C3212">
      <w:pPr>
        <w:pStyle w:val="Heading3"/>
        <w:ind w:left="720"/>
        <w:rPr>
          <w:rFonts w:ascii="Times New Roman" w:hAnsi="Times New Roman" w:cs="Times New Roman"/>
          <w:noProof/>
          <w:sz w:val="24"/>
          <w:lang w:val="en-IE"/>
        </w:rPr>
      </w:pPr>
      <w:bookmarkStart w:id="124" w:name="_Toc55301776"/>
      <w:bookmarkStart w:id="125" w:name="_Toc56944122"/>
      <w:r>
        <w:rPr>
          <w:rFonts w:ascii="Times New Roman" w:hAnsi="Times New Roman" w:cs="Times New Roman"/>
          <w:noProof/>
          <w:sz w:val="24"/>
          <w:lang w:val="en-IE"/>
        </w:rPr>
        <w:t>Summary of the assessment</w:t>
      </w:r>
      <w:bookmarkEnd w:id="124"/>
      <w:bookmarkEnd w:id="125"/>
      <w:r>
        <w:rPr>
          <w:rFonts w:ascii="Times New Roman" w:hAnsi="Times New Roman" w:cs="Times New Roman"/>
          <w:noProof/>
          <w:sz w:val="24"/>
          <w:lang w:val="en-IE"/>
        </w:rPr>
        <w:tab/>
      </w:r>
    </w:p>
    <w:p w:rsidR="003C43BF" w:rsidRDefault="006C3212">
      <w:pPr>
        <w:spacing w:line="240" w:lineRule="auto"/>
        <w:rPr>
          <w:rFonts w:ascii="Times New Roman" w:hAnsi="Times New Roman" w:cs="Times New Roman"/>
          <w:b/>
          <w:noProof/>
          <w:sz w:val="24"/>
          <w:lang w:val="en-IE"/>
        </w:rPr>
      </w:pPr>
      <w:r>
        <w:rPr>
          <w:rFonts w:ascii="Times New Roman" w:hAnsi="Times New Roman" w:cs="Times New Roman"/>
          <w:b/>
          <w:noProof/>
          <w:sz w:val="24"/>
          <w:lang w:val="en-IE"/>
        </w:rPr>
        <w:t>Tabular overview</w:t>
      </w:r>
      <w:r>
        <w:rPr>
          <w:rFonts w:ascii="Times New Roman" w:hAnsi="Times New Roman" w:cs="Times New Roman"/>
          <w:noProof/>
          <w:sz w:val="28"/>
          <w:szCs w:val="24"/>
          <w:lang w:val="en-IE"/>
        </w:rPr>
        <w:t xml:space="preserve"> </w:t>
      </w:r>
    </w:p>
    <w:p w:rsidR="003C43BF" w:rsidRDefault="006C3212">
      <w:pPr>
        <w:spacing w:before="240"/>
        <w:rPr>
          <w:rFonts w:ascii="Times New Roman" w:hAnsi="Times New Roman" w:cs="Times New Roman"/>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5.4.6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i/>
          <w:noProof/>
          <w:sz w:val="20"/>
          <w:lang w:val="en-IE"/>
        </w:rPr>
        <w:t>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600401" cy="373380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3913" cy="3736142"/>
                    </a:xfrm>
                    <a:prstGeom prst="rect">
                      <a:avLst/>
                    </a:prstGeom>
                    <a:noFill/>
                  </pic:spPr>
                </pic:pic>
              </a:graphicData>
            </a:graphic>
          </wp:inline>
        </w:drawing>
      </w:r>
    </w:p>
    <w:p w:rsidR="003C43BF" w:rsidRDefault="006C3212">
      <w:pPr>
        <w:pStyle w:val="Text1"/>
        <w:tabs>
          <w:tab w:val="left" w:pos="720"/>
        </w:tabs>
        <w:spacing w:after="0"/>
        <w:ind w:left="0"/>
        <w:jc w:val="both"/>
        <w:rPr>
          <w:rFonts w:ascii="Times New Roman" w:hAnsi="Times New Roman" w:cs="Times New Roman"/>
          <w:noProof/>
          <w:color w:val="000000" w:themeColor="text1"/>
          <w:sz w:val="20"/>
          <w:lang w:val="en-IE"/>
        </w:rPr>
      </w:pPr>
      <w:r>
        <w:rPr>
          <w:rFonts w:ascii="Times New Roman" w:hAnsi="Times New Roman" w:cs="Times New Roman"/>
          <w:noProof/>
          <w:sz w:val="24"/>
          <w:lang w:eastAsia="en-GB"/>
        </w:rPr>
        <w:drawing>
          <wp:inline distT="0" distB="0" distL="0" distR="0">
            <wp:extent cx="3630304" cy="437362"/>
            <wp:effectExtent l="0" t="0" r="0"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Text1"/>
        <w:tabs>
          <w:tab w:val="left" w:pos="720"/>
        </w:tabs>
        <w:spacing w:after="0"/>
        <w:ind w:left="0"/>
        <w:jc w:val="both"/>
        <w:rPr>
          <w:rFonts w:ascii="Times New Roman" w:hAnsi="Times New Roman" w:cs="Times New Roman"/>
          <w:noProof/>
          <w:color w:val="000000" w:themeColor="text1"/>
          <w:sz w:val="20"/>
          <w:lang w:val="en-IE"/>
        </w:rPr>
      </w:pPr>
      <w:r>
        <w:rPr>
          <w:rFonts w:ascii="Times New Roman" w:hAnsi="Times New Roman" w:cs="Times New Roman"/>
          <w:noProof/>
          <w:color w:val="000000" w:themeColor="text1"/>
          <w:sz w:val="20"/>
          <w:lang w:val="en-IE"/>
        </w:rPr>
        <w:t xml:space="preserve">*The values for hydrogen are shown for informational purposes only and should not be interpreted as Denmark’s policy goals, for the Danish government officially excluded hydrogen for her NPF and NIR. For this reason, we do not report our assessment on the </w:t>
      </w:r>
      <w:r>
        <w:rPr>
          <w:rFonts w:ascii="Times New Roman" w:hAnsi="Times New Roman" w:cs="Times New Roman"/>
          <w:noProof/>
          <w:color w:val="000000" w:themeColor="text1"/>
          <w:sz w:val="20"/>
          <w:lang w:val="en-IE"/>
        </w:rPr>
        <w:t xml:space="preserve">measures for hydrogen. </w:t>
      </w:r>
    </w:p>
    <w:p w:rsidR="003C43BF" w:rsidRDefault="003C43BF">
      <w:pPr>
        <w:spacing w:after="0"/>
        <w:rPr>
          <w:rFonts w:ascii="Times New Roman" w:hAnsi="Times New Roman" w:cs="Times New Roman"/>
          <w:noProof/>
          <w:sz w:val="24"/>
          <w:lang w:val="en-IE"/>
        </w:rPr>
      </w:pPr>
    </w:p>
    <w:p w:rsidR="003C43BF" w:rsidRDefault="003C43BF">
      <w:pPr>
        <w:spacing w:after="0"/>
        <w:rPr>
          <w:rFonts w:ascii="Times New Roman" w:hAnsi="Times New Roman" w:cs="Times New Roman"/>
          <w:noProof/>
          <w:sz w:val="24"/>
          <w:lang w:val="en-IE"/>
        </w:rPr>
      </w:pPr>
    </w:p>
    <w:p w:rsidR="003C43BF" w:rsidRDefault="006C3212">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The Danish NIR covers the whole AFID period (2016-2030). Compared to the NPF that did not meet several of the requirements of Article 3 of the Directive, the Danish NIR almost fully addresses the requirements of Annex I of the Dir</w:t>
      </w:r>
      <w:r>
        <w:rPr>
          <w:rFonts w:ascii="Times New Roman" w:hAnsi="Times New Roman" w:cs="Times New Roman"/>
          <w:noProof/>
          <w:sz w:val="24"/>
          <w:lang w:val="en-IE"/>
        </w:rPr>
        <w:t>ective, with the exception of: a) information on the methodology applied to take account of the charging efficiency of high power recharging points; b) information on any particular needs during the initial phase of AFI deployment.</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main outcomes of the</w:t>
      </w:r>
      <w:r>
        <w:rPr>
          <w:rFonts w:ascii="Times New Roman" w:hAnsi="Times New Roman" w:cs="Times New Roman"/>
          <w:noProof/>
          <w:sz w:val="24"/>
          <w:lang w:val="en-IE"/>
        </w:rPr>
        <w:t xml:space="preserve"> technical assessment of the Danish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ListParagraph"/>
        <w:numPr>
          <w:ilvl w:val="0"/>
          <w:numId w:val="34"/>
        </w:numPr>
        <w:spacing w:after="0" w:line="240" w:lineRule="auto"/>
        <w:ind w:left="360"/>
        <w:jc w:val="both"/>
        <w:rPr>
          <w:rFonts w:ascii="Times New Roman" w:hAnsi="Times New Roman" w:cs="Times New Roman"/>
          <w:noProof/>
          <w:sz w:val="28"/>
          <w:szCs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Denmark recorded 16,118 electric vehicles and 3,648 publicly accessible recharging points in 2018. With reference to the objectives of the DK NPF as updated by the NIR, Denmark is progressing adequately in terms of infrastructure and slowly in terms of </w:t>
      </w:r>
      <w:r>
        <w:rPr>
          <w:rFonts w:ascii="Times New Roman" w:hAnsi="Times New Roman" w:cs="Times New Roman"/>
          <w:noProof/>
          <w:sz w:val="24"/>
          <w:lang w:val="en-IE"/>
        </w:rPr>
        <w:t>EV deployment. The NIR increases the level of ambition compared to the existing objectives in the NPF and provides a new set of vehicle estimates and infrastructure targets until 2030. The calculated Danish sufficiency index deteriorates slightly over time</w:t>
      </w:r>
      <w:r>
        <w:rPr>
          <w:rFonts w:ascii="Times New Roman" w:hAnsi="Times New Roman" w:cs="Times New Roman"/>
          <w:noProof/>
          <w:sz w:val="24"/>
          <w:lang w:val="en-IE"/>
        </w:rPr>
        <w:t xml:space="preserve"> but is considered still adequate</w:t>
      </w:r>
      <w:r>
        <w:rPr>
          <w:rStyle w:val="FootnoteReference"/>
          <w:rFonts w:ascii="Times New Roman" w:hAnsi="Times New Roman" w:cs="Times New Roman"/>
          <w:noProof/>
          <w:sz w:val="24"/>
          <w:lang w:val="en-IE"/>
        </w:rPr>
        <w:footnoteReference w:id="17"/>
      </w:r>
      <w:r>
        <w:rPr>
          <w:rFonts w:ascii="Times New Roman" w:hAnsi="Times New Roman" w:cs="Times New Roman"/>
          <w:noProof/>
          <w:sz w:val="24"/>
          <w:lang w:val="en-IE"/>
        </w:rPr>
        <w:t xml:space="preserve">. The Danish NIR expects that, by 2030, the stock of electric HCVs will reach 208 units and two-thirds of the electric buses in use will be fully electric. </w:t>
      </w:r>
    </w:p>
    <w:p w:rsidR="003C43BF" w:rsidRDefault="006C3212">
      <w:pPr>
        <w:pStyle w:val="ListParagraph"/>
        <w:numPr>
          <w:ilvl w:val="0"/>
          <w:numId w:val="34"/>
        </w:numPr>
        <w:tabs>
          <w:tab w:val="left" w:pos="720"/>
          <w:tab w:val="left" w:pos="966"/>
        </w:tabs>
        <w:spacing w:after="24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–The Danish NIR does not foresee a further expansion of the 1</w:t>
      </w:r>
      <w:r>
        <w:rPr>
          <w:rFonts w:ascii="Times New Roman" w:hAnsi="Times New Roman" w:cs="Times New Roman"/>
          <w:noProof/>
          <w:sz w:val="24"/>
          <w:lang w:val="en-IE"/>
        </w:rPr>
        <w:t>7 CNG refuelling infrastructure recorded in 2018, while CNG vehicle stock is expected to grow from 578 units in 2018 to 2,153 units in 2030 (an increasing stock of CNG passenger cars, LCVs and buses/coaches and a declining number of HCVs), which would lead</w:t>
      </w:r>
      <w:r>
        <w:rPr>
          <w:rFonts w:ascii="Times New Roman" w:hAnsi="Times New Roman" w:cs="Times New Roman"/>
          <w:noProof/>
          <w:sz w:val="24"/>
          <w:lang w:val="en-IE"/>
        </w:rPr>
        <w:t xml:space="preserve"> to greater utilisation of the existing CNG refuelling points. By 2025, the Danish NIR expects the stock of CNG buses to be overtaken by electric buses. With regards to CNG road vehicle deployment, Denmark is progressing adequately. Concerning the progress</w:t>
      </w:r>
      <w:r>
        <w:rPr>
          <w:rFonts w:ascii="Times New Roman" w:hAnsi="Times New Roman" w:cs="Times New Roman"/>
          <w:noProof/>
          <w:sz w:val="24"/>
          <w:lang w:val="en-IE"/>
        </w:rPr>
        <w:t xml:space="preserve"> of infrastructure deployment, this is obviously fast, as the new 2030 target declared in the DK NIR has been already achieved in 2018.</w:t>
      </w:r>
    </w:p>
    <w:p w:rsidR="003C43BF" w:rsidRDefault="006C3212">
      <w:pPr>
        <w:pStyle w:val="ListParagraph"/>
        <w:numPr>
          <w:ilvl w:val="0"/>
          <w:numId w:val="35"/>
        </w:numPr>
        <w:tabs>
          <w:tab w:val="left" w:pos="966"/>
        </w:tabs>
        <w:spacing w:after="24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In contrast to the NPF, the Danish NIR provides future targets for LNG refuelling infrastructure deployment (three</w:t>
      </w:r>
      <w:r>
        <w:rPr>
          <w:rFonts w:ascii="Times New Roman" w:hAnsi="Times New Roman" w:cs="Times New Roman"/>
          <w:noProof/>
          <w:sz w:val="24"/>
          <w:lang w:val="en-IE"/>
        </w:rPr>
        <w:t xml:space="preserve"> by 2025). The NIR does not foresee deployment of road vehicles powered by LNG. </w:t>
      </w:r>
    </w:p>
    <w:p w:rsidR="003C43BF" w:rsidRDefault="006C3212">
      <w:pPr>
        <w:pStyle w:val="ListParagraph"/>
        <w:numPr>
          <w:ilvl w:val="0"/>
          <w:numId w:val="34"/>
        </w:numPr>
        <w:tabs>
          <w:tab w:val="left" w:pos="966"/>
        </w:tabs>
        <w:spacing w:before="120" w:after="16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–The NIR reports future values for the stock of vehicles but does not include official hydrogen infrastructure provisions. Furthermore, the NIR mentions measures for </w:t>
      </w:r>
      <w:r>
        <w:rPr>
          <w:rFonts w:ascii="Times New Roman" w:hAnsi="Times New Roman" w:cs="Times New Roman"/>
          <w:noProof/>
          <w:sz w:val="24"/>
          <w:lang w:val="en-IE"/>
        </w:rPr>
        <w:t>supporting the market and expects some market-driven uptake of vehicles and refuelling points.</w:t>
      </w:r>
    </w:p>
    <w:p w:rsidR="003C43BF" w:rsidRDefault="006C3212">
      <w:pPr>
        <w:pStyle w:val="ListParagraph"/>
        <w:numPr>
          <w:ilvl w:val="0"/>
          <w:numId w:val="34"/>
        </w:numPr>
        <w:tabs>
          <w:tab w:val="left" w:pos="966"/>
        </w:tabs>
        <w:spacing w:before="120" w:after="16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Danish NIR expects the share of biofuels use in road transport to remain constant at 6% until 2030.</w:t>
      </w:r>
    </w:p>
    <w:p w:rsidR="003C43BF" w:rsidRDefault="006C3212">
      <w:pPr>
        <w:pStyle w:val="ListParagraph"/>
        <w:numPr>
          <w:ilvl w:val="0"/>
          <w:numId w:val="34"/>
        </w:numPr>
        <w:tabs>
          <w:tab w:val="left" w:pos="966"/>
        </w:tabs>
        <w:spacing w:after="16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–The NIR notes that LPG will essentially p</w:t>
      </w:r>
      <w:r>
        <w:rPr>
          <w:rFonts w:ascii="Times New Roman" w:hAnsi="Times New Roman" w:cs="Times New Roman"/>
          <w:noProof/>
          <w:sz w:val="24"/>
          <w:lang w:val="en-IE"/>
        </w:rPr>
        <w:t>lay no role in the future Danish transport system.</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Danish NIR reports recent railway electrification. It also expects the strong decline in electric locomotive stock that took place between 2016 and 2017 to be reversed by 2030.</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Danish NIR expects the</w:t>
      </w:r>
      <w:r>
        <w:rPr>
          <w:rFonts w:ascii="Times New Roman" w:hAnsi="Times New Roman" w:cs="Times New Roman"/>
          <w:noProof/>
          <w:sz w:val="24"/>
          <w:lang w:val="en-IE"/>
        </w:rPr>
        <w:t xml:space="preserve"> number of battery-powered seagoing vessels to increase from three units in 2018 and 2020 to five in 2025 and 2030. The number of maritime ports providing access to shore-side electricity supply is expected to grow from two in 2018 to eleven in 2025 and 20</w:t>
      </w:r>
      <w:r>
        <w:rPr>
          <w:rFonts w:ascii="Times New Roman" w:hAnsi="Times New Roman" w:cs="Times New Roman"/>
          <w:noProof/>
          <w:sz w:val="24"/>
          <w:lang w:val="en-IE"/>
        </w:rPr>
        <w:t>30.</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Concerning LNG vessels, no real uptake is expected in the Danish NIR. The number of maritime ports providing access to LNG is reported by the NIR as remaining stable with two ports, making it uncertain whether LNG will be available in the two por</w:t>
      </w:r>
      <w:r>
        <w:rPr>
          <w:rFonts w:ascii="Times New Roman" w:hAnsi="Times New Roman" w:cs="Times New Roman"/>
          <w:noProof/>
          <w:sz w:val="24"/>
          <w:lang w:val="en-IE"/>
        </w:rPr>
        <w:t>ts that are part of the TEN-T Core Network.</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Danish NIR expects sustainable aviation fuel production to start in the future.</w:t>
      </w:r>
    </w:p>
    <w:p w:rsidR="003C43BF" w:rsidRDefault="003C43BF">
      <w:pPr>
        <w:jc w:val="both"/>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in the NPF, the Danish NIR continues to provide a reasonable amount of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to support the uptake of alternative fuels for transport. The number of legal measures and deployment &amp; manufacturing support measures has increased in the NIR compared to those reported in the NPF, while the number of policy measures has not. Regarding t</w:t>
      </w:r>
      <w:r>
        <w:rPr>
          <w:rFonts w:ascii="Times New Roman" w:hAnsi="Times New Roman" w:cs="Times New Roman"/>
          <w:noProof/>
          <w:sz w:val="24"/>
          <w:lang w:val="en-IE"/>
        </w:rPr>
        <w:t>he combination of Policy and Deployment &amp; Manufacturing measures, six clusters were identified for as many AF/transport mode pairs. Five clusters were assessable, with the pair electricity/road obtaining a high score and the other four a low score. No clus</w:t>
      </w:r>
      <w:r>
        <w:rPr>
          <w:rFonts w:ascii="Times New Roman" w:hAnsi="Times New Roman" w:cs="Times New Roman"/>
          <w:noProof/>
          <w:sz w:val="24"/>
          <w:lang w:val="en-IE"/>
        </w:rPr>
        <w:t>ter could be considered comprehensive. Support measures continue to be irrelevant or not assessable for LNG/road and for LNG/water (maritime). In terms of expected impact of these measures to support the realisation of the AFV/AFI objectives as presented i</w:t>
      </w:r>
      <w:r>
        <w:rPr>
          <w:rFonts w:ascii="Times New Roman" w:hAnsi="Times New Roman" w:cs="Times New Roman"/>
          <w:noProof/>
          <w:sz w:val="24"/>
          <w:lang w:val="en-IE"/>
        </w:rPr>
        <w:t>n the NPF and revised in the NIR, the measures for the pair electricity/road have a medium impact, those for the pairs CNG/road, biofuels/road, hydrogen/road and electricity/rail result to have a low impact. The level of ambition of Policy and Deployment &amp;</w:t>
      </w:r>
      <w:r>
        <w:rPr>
          <w:rFonts w:ascii="Times New Roman" w:hAnsi="Times New Roman" w:cs="Times New Roman"/>
          <w:noProof/>
          <w:sz w:val="24"/>
          <w:lang w:val="en-IE"/>
        </w:rPr>
        <w:t xml:space="preserve"> Manufacturing support measures has increased in the NIR for all the assessable pairs, however the NIR does not report support measures for publicly accessible recharging infrastructure, increasing the uncertainty on how the future targets will be attained</w:t>
      </w:r>
      <w:r>
        <w:rPr>
          <w:rFonts w:ascii="Times New Roman" w:hAnsi="Times New Roman" w:cs="Times New Roman"/>
          <w:noProof/>
          <w:sz w:val="24"/>
          <w:lang w:val="en-IE"/>
        </w:rPr>
        <w:t xml:space="preserve">. In the absence of LNG support measures, the Danish NIR seems to rely on developments in the private sector and other neighbouring markets. Although the government of Denmark officially excluded hydrogen from its plans, the prominence of this alternative </w:t>
      </w:r>
      <w:r>
        <w:rPr>
          <w:rFonts w:ascii="Times New Roman" w:hAnsi="Times New Roman" w:cs="Times New Roman"/>
          <w:noProof/>
          <w:sz w:val="24"/>
          <w:lang w:val="en-IE"/>
        </w:rPr>
        <w:t>fuel in support measures, particularly RTD&amp;D funding, is noteworthy.</w:t>
      </w: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6C3212">
      <w:pPr>
        <w:pStyle w:val="Heading3"/>
        <w:rPr>
          <w:rFonts w:ascii="Times New Roman" w:hAnsi="Times New Roman" w:cs="Times New Roman"/>
          <w:noProof/>
          <w:sz w:val="24"/>
          <w:lang w:val="en-IE"/>
        </w:rPr>
      </w:pPr>
      <w:bookmarkStart w:id="126" w:name="_Toc56944123"/>
      <w:r>
        <w:rPr>
          <w:rFonts w:ascii="Times New Roman" w:hAnsi="Times New Roman" w:cs="Times New Roman"/>
          <w:noProof/>
          <w:sz w:val="24"/>
          <w:lang w:val="en-IE"/>
        </w:rPr>
        <w:t>Final remarks</w:t>
      </w:r>
      <w:bookmarkEnd w:id="126"/>
      <w:r>
        <w:rPr>
          <w:rFonts w:ascii="Times New Roman" w:hAnsi="Times New Roman" w:cs="Times New Roman"/>
          <w:noProof/>
          <w:sz w:val="24"/>
          <w:lang w:val="en-IE"/>
        </w:rPr>
        <w:t xml:space="preserve">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Danish NIR provides a comprehensive report on the efforts to implement the Directive. These efforts are mostly in line with the provisions of Annex I to the Directive</w:t>
      </w:r>
      <w:r>
        <w:rPr>
          <w:rFonts w:ascii="Times New Roman" w:hAnsi="Times New Roman" w:cs="Times New Roman"/>
          <w:noProof/>
          <w:sz w:val="24"/>
          <w:lang w:val="en-IE"/>
        </w:rPr>
        <w:t xml:space="preserve">. All alternative fuels are addressed in the Danish NIR. Denmark has a clear ambition to foster the large-scale electrification of road transport, railways, maritime transport and airports. The estimated extension of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in ports </w:t>
      </w:r>
      <w:r>
        <w:rPr>
          <w:rFonts w:ascii="Times New Roman" w:hAnsi="Times New Roman" w:cs="Times New Roman"/>
          <w:noProof/>
          <w:sz w:val="24"/>
          <w:lang w:val="en-IE"/>
        </w:rPr>
        <w:t xml:space="preserve">should support the greening of the waterborne sector. The Danish NIR includes a significant amount of measures to promote the uptake of zero- and low-emission vehicles, including a significant number of R&amp;I projects on hydrogen and fuel cell technologies. </w:t>
      </w:r>
      <w:r>
        <w:rPr>
          <w:rFonts w:ascii="Times New Roman" w:hAnsi="Times New Roman" w:cs="Times New Roman"/>
          <w:noProof/>
          <w:sz w:val="24"/>
          <w:lang w:val="en-IE"/>
        </w:rPr>
        <w:t xml:space="preserve">Denmark should provide further information on some of those measures in future reporting to be able to fully assess their impact.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With regard to electricity for road transport, the NIR estimates approximately 332,000 electric vehicles on the road in 2030,</w:t>
      </w:r>
      <w:r>
        <w:rPr>
          <w:rFonts w:ascii="Times New Roman" w:hAnsi="Times New Roman" w:cs="Times New Roman"/>
          <w:noProof/>
          <w:sz w:val="24"/>
          <w:lang w:val="en-IE"/>
        </w:rPr>
        <w:t xml:space="preserve"> representing about 9% of the fleet by that time. However, taking into account the current situation and expected trend development, this level of ambition does not appear to be fully compatible with the pace of deployment of electric vehicles considered n</w:t>
      </w:r>
      <w:r>
        <w:rPr>
          <w:rFonts w:ascii="Times New Roman" w:hAnsi="Times New Roman" w:cs="Times New Roman"/>
          <w:noProof/>
          <w:sz w:val="24"/>
          <w:lang w:val="en-IE"/>
        </w:rPr>
        <w:t xml:space="preserve">ecessary for a full transition to carbon neutrality by 2050. Moreover, attention needs to be paid also to infrastructure deployment. No information on charging efficiency is provided. The NIR estimates around 11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facilities by </w:t>
      </w:r>
      <w:r>
        <w:rPr>
          <w:rFonts w:ascii="Times New Roman" w:hAnsi="Times New Roman" w:cs="Times New Roman"/>
          <w:noProof/>
          <w:sz w:val="24"/>
          <w:lang w:val="en-IE"/>
        </w:rPr>
        <w:t xml:space="preserve">2030. Five electric seagoing ships are estimated to be in operation by 2030. The NIR indicates that the airports accounting for more than 97% of passenger traffic provide electricity supply for stationary airplanes. The NIR lacks sufficient information on </w:t>
      </w:r>
      <w:r>
        <w:rPr>
          <w:rFonts w:ascii="Times New Roman" w:hAnsi="Times New Roman" w:cs="Times New Roman"/>
          <w:noProof/>
          <w:sz w:val="24"/>
          <w:lang w:val="en-IE"/>
        </w:rPr>
        <w:t>the share of the electrified rail network.</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Regarding hydrogen for road transport, there was already a small fleet of FCHVs and eight hydrogen-refuelling stations in Denmark in 2018. No targets are set for future deployment by 2025 and 2030. More informatio</w:t>
      </w:r>
      <w:r>
        <w:rPr>
          <w:rFonts w:ascii="Times New Roman" w:hAnsi="Times New Roman" w:cs="Times New Roman"/>
          <w:noProof/>
          <w:sz w:val="24"/>
          <w:lang w:val="en-IE"/>
        </w:rPr>
        <w:t>n in future reporting on further development of vehicles and infrastructure uptake would be beneficial.</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Regarding natural gas for transport, Denmark plans to keep the number of CNG refuelling points at a constant number of 17 until 2030. It estimates 1,522</w:t>
      </w:r>
      <w:r>
        <w:rPr>
          <w:rFonts w:ascii="Times New Roman" w:hAnsi="Times New Roman" w:cs="Times New Roman"/>
          <w:noProof/>
          <w:sz w:val="24"/>
          <w:lang w:val="en-IE"/>
        </w:rPr>
        <w:t xml:space="preserve"> CNG vehicles by 2025 and 2,153 CNG vehicles by 2030. The NIR does not provide estimates for LNG vehicles. However, the number of three LNG refuelling points planned for 2025 and 2030 seems sufficient taking into account the extensiveness of the Danish TEN</w:t>
      </w:r>
      <w:r>
        <w:rPr>
          <w:rFonts w:ascii="Times New Roman" w:hAnsi="Times New Roman" w:cs="Times New Roman"/>
          <w:noProof/>
          <w:sz w:val="24"/>
          <w:lang w:val="en-IE"/>
        </w:rPr>
        <w:t>-T Core road Network, provided that the refuelling points are widely distributed along the network. On the other hand, LNG refuelling points are already installed in the two Danish ports, although they are not part of the TEN-T Core Network.</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As regards LPG</w:t>
      </w:r>
      <w:r>
        <w:rPr>
          <w:rFonts w:ascii="Times New Roman" w:hAnsi="Times New Roman" w:cs="Times New Roman"/>
          <w:noProof/>
          <w:sz w:val="24"/>
          <w:lang w:val="en-IE"/>
        </w:rPr>
        <w:t>, there were 12 LPG vehicles in 2018. The number is to decrease to zero by 2030.</w:t>
      </w:r>
    </w:p>
    <w:p w:rsidR="003C43BF" w:rsidRDefault="006C3212">
      <w:pPr>
        <w:tabs>
          <w:tab w:val="left" w:pos="360"/>
        </w:tabs>
        <w:spacing w:after="240"/>
        <w:jc w:val="both"/>
        <w:rPr>
          <w:rFonts w:ascii="Times New Roman" w:hAnsi="Times New Roman" w:cs="Times New Roman"/>
          <w:noProof/>
          <w:sz w:val="24"/>
          <w:lang w:val="en-IE"/>
        </w:rPr>
      </w:pPr>
      <w:r>
        <w:rPr>
          <w:rFonts w:ascii="Times New Roman" w:hAnsi="Times New Roman" w:cs="Times New Roman"/>
          <w:noProof/>
          <w:sz w:val="24"/>
          <w:lang w:val="en-IE"/>
        </w:rPr>
        <w:t xml:space="preserve">Denmark should provide more information in future reporting on efforts to promote the use of renewable fuels in transport, and particularly in aviation.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127" w:name="_Toc55301778"/>
      <w:bookmarkStart w:id="128" w:name="_Toc56944124"/>
      <w:r>
        <w:rPr>
          <w:rFonts w:ascii="Times New Roman" w:hAnsi="Times New Roman" w:cs="Times New Roman"/>
          <w:noProof/>
          <w:sz w:val="24"/>
          <w:lang w:val="en-IE"/>
        </w:rPr>
        <w:t>ANNEX - Description</w:t>
      </w:r>
      <w:r>
        <w:rPr>
          <w:rFonts w:ascii="Times New Roman" w:hAnsi="Times New Roman" w:cs="Times New Roman"/>
          <w:noProof/>
          <w:sz w:val="24"/>
          <w:lang w:val="en-IE"/>
        </w:rPr>
        <w:t xml:space="preserve"> of the Member State</w:t>
      </w:r>
      <w:bookmarkEnd w:id="127"/>
      <w:bookmarkEnd w:id="128"/>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43,100 km², Denmark has a population of 5.781 million people in 2018, which makes up for a population density of 134 inhabitants/km².</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4 urban agglomerations &gt; 50,000 inhabitants</w:t>
      </w:r>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Denmark achieves a per capita gross domestic product at market prices of €52,010, which represents a per capita gross domestic product in purchasing power standards of 128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Denmark is 813 km. The total road network length is 74,674 km, of which 1,329 km are motorways.</w:t>
      </w:r>
    </w:p>
    <w:p w:rsidR="003C43BF" w:rsidRDefault="006C3212">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following lengths of the TEN-T Road Corridors are present in Denmark: 7% (456 km) </w:t>
      </w:r>
      <w:r>
        <w:rPr>
          <w:rFonts w:ascii="Times New Roman" w:hAnsi="Times New Roman" w:cs="Times New Roman"/>
          <w:noProof/>
          <w:sz w:val="24"/>
          <w:lang w:val="en-IE"/>
        </w:rPr>
        <w:t>of the Scandinavian – Mediterranean Corridor.</w:t>
      </w:r>
    </w:p>
    <w:p w:rsidR="003C43BF" w:rsidRDefault="006C3212">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Through the TEN-T Road Corridors, Denmark is connected with the following Member States:</w:t>
      </w:r>
      <w:r>
        <w:rPr>
          <w:rFonts w:ascii="Times New Roman" w:hAnsi="Times New Roman" w:cs="Times New Roman"/>
          <w:noProof/>
          <w:sz w:val="24"/>
          <w:lang w:val="en-IE"/>
        </w:rPr>
        <w:br/>
        <w:t xml:space="preserve">- Germany (through the Scandinavian – Mediterranean Corridor), </w:t>
      </w:r>
      <w:r>
        <w:rPr>
          <w:rFonts w:ascii="Times New Roman" w:hAnsi="Times New Roman" w:cs="Times New Roman"/>
          <w:noProof/>
          <w:sz w:val="24"/>
          <w:lang w:val="en-IE"/>
        </w:rPr>
        <w:br/>
        <w:t>- Sweden (through the Scandinavian – Mediterranean Corrid</w:t>
      </w:r>
      <w:r>
        <w:rPr>
          <w:rFonts w:ascii="Times New Roman" w:hAnsi="Times New Roman" w:cs="Times New Roman"/>
          <w:noProof/>
          <w:sz w:val="24"/>
          <w:lang w:val="en-IE"/>
        </w:rPr>
        <w:t>or)</w:t>
      </w:r>
      <w:r>
        <w:rPr>
          <w:rFonts w:ascii="Times New Roman" w:hAnsi="Times New Roman" w:cs="Times New Roman"/>
          <w:noProof/>
          <w:sz w:val="24"/>
          <w:lang w:val="en-IE"/>
        </w:rPr>
        <w:br/>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Denmark accounts for 3,237,751 registered road vehicles of which 2,594,469 are categorized as passenger cars, 389,461 as light goods vehicles, 42,663 as heavy goods vehicles and 13,158 as buses a</w:t>
      </w:r>
      <w:r>
        <w:rPr>
          <w:rFonts w:ascii="Times New Roman" w:hAnsi="Times New Roman" w:cs="Times New Roman"/>
          <w:noProof/>
          <w:sz w:val="24"/>
          <w:lang w:val="en-IE"/>
        </w:rPr>
        <w:t>nd coaches. The motorisation rate is 449 passenger cars per 1,000 inhabitants.</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rPr>
          <w:rFonts w:ascii="Times New Roman" w:hAnsi="Times New Roman" w:cs="Times New Roman"/>
          <w:noProof/>
          <w:sz w:val="24"/>
          <w:lang w:val="en-IE"/>
        </w:rPr>
      </w:pPr>
      <w:r>
        <w:rPr>
          <w:rFonts w:ascii="Times New Roman" w:hAnsi="Times New Roman" w:cs="Times New Roman"/>
          <w:noProof/>
          <w:sz w:val="24"/>
          <w:lang w:val="en-IE"/>
        </w:rPr>
        <w:t>2 maritime ports in the TEN-T Core Network (Aarhus, Copenhagen)</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maritime ports in the TEN-T Comprehensive Network</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No inland ports </w:t>
      </w:r>
    </w:p>
    <w:p w:rsidR="003C43BF" w:rsidRDefault="003C43BF">
      <w:pPr>
        <w:pStyle w:val="Text1"/>
        <w:spacing w:after="0"/>
        <w:ind w:left="714"/>
        <w:rPr>
          <w:rFonts w:ascii="Times New Roman" w:hAnsi="Times New Roman" w:cs="Times New Roman"/>
          <w:noProof/>
          <w:sz w:val="24"/>
          <w:lang w:val="en-IE"/>
        </w:rPr>
      </w:pPr>
    </w:p>
    <w:p w:rsidR="003C43BF" w:rsidRDefault="006C3212">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Core Network (Copenhagen – Kastrup) </w:t>
      </w:r>
    </w:p>
    <w:p w:rsidR="003C43BF" w:rsidRDefault="006C3212">
      <w:pPr>
        <w:pStyle w:val="Text1"/>
        <w:numPr>
          <w:ilvl w:val="0"/>
          <w:numId w:val="13"/>
        </w:numPr>
        <w:rPr>
          <w:rFonts w:ascii="Times New Roman" w:hAnsi="Times New Roman" w:cs="Times New Roman"/>
          <w:noProof/>
          <w:sz w:val="24"/>
          <w:lang w:val="en-IE"/>
        </w:rPr>
      </w:pPr>
      <w:r>
        <w:rPr>
          <w:rFonts w:ascii="Times New Roman" w:hAnsi="Times New Roman" w:cs="Times New Roman"/>
          <w:noProof/>
          <w:sz w:val="24"/>
          <w:lang w:val="en-IE"/>
        </w:rPr>
        <w:t xml:space="preserve">3 airports in the TEN-T Comprehensive Network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129" w:name="_Toc55301779"/>
      <w:bookmarkStart w:id="130" w:name="_Toc56944125"/>
      <w:r>
        <w:rPr>
          <w:rFonts w:ascii="Times New Roman" w:hAnsi="Times New Roman" w:cs="Times New Roman"/>
          <w:noProof/>
          <w:sz w:val="24"/>
          <w:lang w:val="en-IE"/>
        </w:rPr>
        <w:t>Germany (DE)</w:t>
      </w:r>
      <w:bookmarkEnd w:id="129"/>
      <w:bookmarkEnd w:id="130"/>
    </w:p>
    <w:p w:rsidR="003C43BF" w:rsidRDefault="006C3212">
      <w:pPr>
        <w:pStyle w:val="Heading3"/>
        <w:ind w:left="720"/>
        <w:rPr>
          <w:rFonts w:ascii="Times New Roman" w:hAnsi="Times New Roman" w:cs="Times New Roman"/>
          <w:noProof/>
          <w:sz w:val="24"/>
          <w:lang w:val="en-IE"/>
        </w:rPr>
      </w:pPr>
      <w:bookmarkStart w:id="131" w:name="_Toc55301780"/>
      <w:bookmarkStart w:id="132" w:name="_Toc56944126"/>
      <w:r>
        <w:rPr>
          <w:rFonts w:ascii="Times New Roman" w:hAnsi="Times New Roman" w:cs="Times New Roman"/>
          <w:noProof/>
          <w:sz w:val="24"/>
          <w:lang w:val="en-IE"/>
        </w:rPr>
        <w:t xml:space="preserve">Main messages from the </w:t>
      </w:r>
      <w:bookmarkEnd w:id="131"/>
      <w:bookmarkEnd w:id="132"/>
      <w:r>
        <w:rPr>
          <w:rFonts w:ascii="Times New Roman" w:hAnsi="Times New Roman" w:cs="Times New Roman"/>
          <w:noProof/>
          <w:sz w:val="24"/>
          <w:lang w:val="en-IE"/>
        </w:rPr>
        <w:t>Commission assessment of the NPF</w:t>
      </w:r>
    </w:p>
    <w:p w:rsidR="003C43BF" w:rsidRDefault="006C3212">
      <w:pPr>
        <w:pStyle w:val="Text1"/>
        <w:spacing w:after="120" w:line="240" w:lineRule="auto"/>
        <w:ind w:left="0"/>
        <w:jc w:val="both"/>
        <w:rPr>
          <w:rFonts w:ascii="Times New Roman" w:hAnsi="Times New Roman" w:cs="Times New Roman"/>
          <w:noProof/>
          <w:color w:val="000000" w:themeColor="text1"/>
          <w:sz w:val="24"/>
          <w:highlight w:val="lightGray"/>
          <w:lang w:val="en-IE"/>
        </w:rPr>
      </w:pPr>
      <w:r>
        <w:rPr>
          <w:rFonts w:ascii="Times New Roman" w:hAnsi="Times New Roman" w:cs="Times New Roman"/>
          <w:noProof/>
          <w:color w:val="000000" w:themeColor="text1"/>
          <w:sz w:val="24"/>
          <w:lang w:val="en-IE"/>
        </w:rPr>
        <w:t>In its original assessment of t</w:t>
      </w:r>
      <w:r>
        <w:rPr>
          <w:rFonts w:ascii="Times New Roman" w:hAnsi="Times New Roman" w:cs="Times New Roman"/>
          <w:noProof/>
          <w:color w:val="000000" w:themeColor="text1"/>
          <w:sz w:val="24"/>
          <w:lang w:val="en-IE"/>
        </w:rPr>
        <w:t>he German NPF the Commission concluded:</w:t>
      </w:r>
    </w:p>
    <w:p w:rsidR="003C43BF" w:rsidRDefault="006C3212">
      <w:pPr>
        <w:pStyle w:val="Text1"/>
        <w:spacing w:after="120"/>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German NPF addresses most of the requirements of Article 3. It presents the current state of alternative vehicle uptake and infrastructure and derives targets for future recharging points, LNG refuelling points (road), and H2 refuelling points (road). </w:t>
      </w:r>
      <w:r>
        <w:rPr>
          <w:rFonts w:ascii="Times New Roman" w:hAnsi="Times New Roman" w:cs="Times New Roman"/>
          <w:i/>
          <w:noProof/>
          <w:sz w:val="24"/>
          <w:lang w:val="en-IE"/>
        </w:rPr>
        <w:t xml:space="preserve">It does not establish targets for LNG refuelling points in ports beyond the already existing facilities. </w:t>
      </w:r>
    </w:p>
    <w:p w:rsidR="003C43BF" w:rsidRDefault="006C3212">
      <w:pPr>
        <w:pStyle w:val="Text1"/>
        <w:spacing w:after="120"/>
        <w:ind w:left="0"/>
        <w:jc w:val="both"/>
        <w:rPr>
          <w:rFonts w:ascii="Times New Roman" w:hAnsi="Times New Roman" w:cs="Times New Roman"/>
          <w:i/>
          <w:noProof/>
          <w:sz w:val="24"/>
          <w:lang w:val="en-IE"/>
        </w:rPr>
      </w:pPr>
      <w:r>
        <w:rPr>
          <w:rFonts w:ascii="Times New Roman" w:hAnsi="Times New Roman" w:cs="Times New Roman"/>
          <w:i/>
          <w:noProof/>
          <w:sz w:val="24"/>
          <w:lang w:val="en-IE"/>
        </w:rPr>
        <w:t>A main focus of the German NPF is on electric vehicles. It estimates a share of roughly 2% electric vehicles on the road in 2020. This is a comparably</w:t>
      </w:r>
      <w:r>
        <w:rPr>
          <w:rFonts w:ascii="Times New Roman" w:hAnsi="Times New Roman" w:cs="Times New Roman"/>
          <w:i/>
          <w:noProof/>
          <w:sz w:val="24"/>
          <w:lang w:val="en-IE"/>
        </w:rPr>
        <w:t xml:space="preserve"> high estimate and will require a rapid growth of EV deployment in Germany in the coming years. While the targeted number of recharging points seems adequate to cover the needs of electric vehicles in terms of distance requirements in Germany, the ratio of</w:t>
      </w:r>
      <w:r>
        <w:rPr>
          <w:rFonts w:ascii="Times New Roman" w:hAnsi="Times New Roman" w:cs="Times New Roman"/>
          <w:i/>
          <w:noProof/>
          <w:sz w:val="24"/>
          <w:lang w:val="en-IE"/>
        </w:rPr>
        <w:t xml:space="preserve"> only one public recharging point per 23 electric vehicles estimated for 2020 could evolve to become a barrier for the further market deployment of electric vehicles. This could also lead to market fragmentation within the EU. It will be important to close</w:t>
      </w:r>
      <w:r>
        <w:rPr>
          <w:rFonts w:ascii="Times New Roman" w:hAnsi="Times New Roman" w:cs="Times New Roman"/>
          <w:i/>
          <w:noProof/>
          <w:sz w:val="24"/>
          <w:lang w:val="en-IE"/>
        </w:rPr>
        <w:t>ly monitor this development and correct infrastructure targets in line with the market developments. The NPF does not provide any targets for further deployment of electricity supply for stationary airplanes. For shore-side electricity, it does not contain</w:t>
      </w:r>
      <w:r>
        <w:rPr>
          <w:rFonts w:ascii="Times New Roman" w:hAnsi="Times New Roman" w:cs="Times New Roman"/>
          <w:i/>
          <w:noProof/>
          <w:sz w:val="24"/>
          <w:lang w:val="en-IE"/>
        </w:rPr>
        <w:t xml:space="preserve"> targets. Instead, it refers to pilot projects with a focus on inland ports. </w:t>
      </w:r>
    </w:p>
    <w:p w:rsidR="003C43BF" w:rsidRDefault="006C3212">
      <w:pPr>
        <w:pStyle w:val="Text1"/>
        <w:spacing w:after="120"/>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NPF enables for potentially significant further market uptake of CNG vehicles. Germany has already today a relatively dense network of CNG refuelling points, offering a good </w:t>
      </w:r>
      <w:r>
        <w:rPr>
          <w:rFonts w:ascii="Times New Roman" w:hAnsi="Times New Roman" w:cs="Times New Roman"/>
          <w:i/>
          <w:noProof/>
          <w:sz w:val="24"/>
          <w:lang w:val="en-IE"/>
        </w:rPr>
        <w:t xml:space="preserve">coverage in most regions and in all urban agglomerations. Available infrastructure could probably support more than five times the CNG vehicles on the road in Germany today. No CNG infrastructure build-up beyond present levels is intended. </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German NPF </w:t>
      </w:r>
      <w:r>
        <w:rPr>
          <w:rFonts w:ascii="Times New Roman" w:hAnsi="Times New Roman" w:cs="Times New Roman"/>
          <w:i/>
          <w:noProof/>
          <w:sz w:val="24"/>
          <w:lang w:val="en-IE"/>
        </w:rPr>
        <w:t>defines a network of nine road LNG refuelling points that could guarantee fulfilment of the maximum distance requirement for LNG refuelling points for heavy-duty vehicles along the TEN-T Core Network on German territory. However, LNG propelled heavy-duty v</w:t>
      </w:r>
      <w:r>
        <w:rPr>
          <w:rFonts w:ascii="Times New Roman" w:hAnsi="Times New Roman" w:cs="Times New Roman"/>
          <w:i/>
          <w:noProof/>
          <w:sz w:val="24"/>
          <w:lang w:val="en-IE"/>
        </w:rPr>
        <w:t>ehicles may have to deviate from the shortest route in order to refuel when travelling on the TEN-T Core Network.</w:t>
      </w:r>
    </w:p>
    <w:p w:rsidR="003C43BF" w:rsidRDefault="006C3212">
      <w:pPr>
        <w:pStyle w:val="Text1"/>
        <w:spacing w:after="120"/>
        <w:ind w:left="0"/>
        <w:jc w:val="both"/>
        <w:rPr>
          <w:rFonts w:ascii="Times New Roman" w:hAnsi="Times New Roman" w:cs="Times New Roman"/>
          <w:i/>
          <w:noProof/>
          <w:sz w:val="24"/>
          <w:lang w:val="en-IE"/>
        </w:rPr>
      </w:pPr>
      <w:r>
        <w:rPr>
          <w:rFonts w:ascii="Times New Roman" w:hAnsi="Times New Roman" w:cs="Times New Roman"/>
          <w:i/>
          <w:noProof/>
          <w:sz w:val="24"/>
          <w:lang w:val="en-IE"/>
        </w:rPr>
        <w:t>The NPF does not establish target numbers for LNG refuelling points for ports, nor does it define an LNG distribution system as required by th</w:t>
      </w:r>
      <w:r>
        <w:rPr>
          <w:rFonts w:ascii="Times New Roman" w:hAnsi="Times New Roman" w:cs="Times New Roman"/>
          <w:i/>
          <w:noProof/>
          <w:sz w:val="24"/>
          <w:lang w:val="en-IE"/>
        </w:rPr>
        <w:t xml:space="preserve">e Directive. According to the NPF, LNG infrastructure build-up will be pursued depending on market needs. </w:t>
      </w:r>
    </w:p>
    <w:p w:rsidR="003C43BF" w:rsidRDefault="006C3212">
      <w:pPr>
        <w:pStyle w:val="Text1"/>
        <w:spacing w:after="120"/>
        <w:ind w:left="0"/>
        <w:jc w:val="both"/>
        <w:rPr>
          <w:rFonts w:ascii="Times New Roman" w:hAnsi="Times New Roman" w:cs="Times New Roman"/>
          <w:i/>
          <w:noProof/>
          <w:sz w:val="24"/>
          <w:lang w:val="en-IE"/>
        </w:rPr>
      </w:pPr>
      <w:r>
        <w:rPr>
          <w:rFonts w:ascii="Times New Roman" w:hAnsi="Times New Roman" w:cs="Times New Roman"/>
          <w:i/>
          <w:noProof/>
          <w:sz w:val="24"/>
          <w:lang w:val="en-IE"/>
        </w:rPr>
        <w:t>The German plan allows for potentially ambitious market uptake of H2 vehicles, where infrastructure sufficiency is planned to be achieved in the near</w:t>
      </w:r>
      <w:r>
        <w:rPr>
          <w:rFonts w:ascii="Times New Roman" w:hAnsi="Times New Roman" w:cs="Times New Roman"/>
          <w:i/>
          <w:noProof/>
          <w:sz w:val="24"/>
          <w:lang w:val="en-IE"/>
        </w:rPr>
        <w:t xml:space="preserve"> future. </w:t>
      </w:r>
    </w:p>
    <w:p w:rsidR="003C43BF" w:rsidRDefault="006C3212">
      <w:pPr>
        <w:pStyle w:val="Text1"/>
        <w:spacing w:after="120"/>
        <w:ind w:left="0"/>
        <w:jc w:val="both"/>
        <w:rPr>
          <w:rFonts w:ascii="Times New Roman" w:hAnsi="Times New Roman" w:cs="Times New Roman"/>
          <w:i/>
          <w:noProof/>
          <w:sz w:val="24"/>
          <w:lang w:val="en-IE"/>
        </w:rPr>
      </w:pPr>
      <w:r>
        <w:rPr>
          <w:rFonts w:ascii="Times New Roman" w:hAnsi="Times New Roman" w:cs="Times New Roman"/>
          <w:i/>
          <w:noProof/>
          <w:sz w:val="24"/>
          <w:lang w:val="en-IE"/>
        </w:rPr>
        <w:t>The German NPF contains a comprehensive list of measures which are already existing or adopted. Measures are focussed on electric vehicles and infrastructure for road, but measures are proposed also for other road AFI/AFV types as well as for wat</w:t>
      </w:r>
      <w:r>
        <w:rPr>
          <w:rFonts w:ascii="Times New Roman" w:hAnsi="Times New Roman" w:cs="Times New Roman"/>
          <w:i/>
          <w:noProof/>
          <w:sz w:val="24"/>
          <w:lang w:val="en-IE"/>
        </w:rPr>
        <w:t>erborne transport. Most of them can be considered having a medium or low impact on market actor's decisions. Some measures attain a low overall measure score due to scarce information on planned budget and boundaries which allows for qualitative evaluation</w:t>
      </w:r>
      <w:r>
        <w:rPr>
          <w:rFonts w:ascii="Times New Roman" w:hAnsi="Times New Roman" w:cs="Times New Roman"/>
          <w:i/>
          <w:noProof/>
          <w:sz w:val="24"/>
          <w:lang w:val="en-IE"/>
        </w:rPr>
        <w:t xml:space="preserve"> only. Measures presented seem sufficient to contribute to the achievement of the targets set in the NPF. The NPF also contains several support measures to promote the deployment of alternative fuels infrastructure in public transport services. </w:t>
      </w:r>
    </w:p>
    <w:p w:rsidR="003C43BF" w:rsidRDefault="006C3212">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Interests </w:t>
      </w:r>
      <w:r>
        <w:rPr>
          <w:rFonts w:ascii="Times New Roman" w:hAnsi="Times New Roman" w:cs="Times New Roman"/>
          <w:i/>
          <w:noProof/>
          <w:sz w:val="24"/>
          <w:lang w:val="en-IE"/>
        </w:rPr>
        <w:t>of regional and local authorities as well as stakeholders have been considered during the drafting of the German NPF. Germany is actively involved in coordinating its plans on alternative fuels infrastructure with other Member States as well as collaborati</w:t>
      </w:r>
      <w:r>
        <w:rPr>
          <w:rFonts w:ascii="Times New Roman" w:hAnsi="Times New Roman" w:cs="Times New Roman"/>
          <w:i/>
          <w:noProof/>
          <w:sz w:val="24"/>
          <w:lang w:val="en-IE"/>
        </w:rPr>
        <w:t>ng with them in this field.</w:t>
      </w:r>
    </w:p>
    <w:p w:rsidR="003C43BF" w:rsidRDefault="003C43BF">
      <w:pPr>
        <w:pStyle w:val="Text1"/>
        <w:spacing w:after="120" w:line="240" w:lineRule="auto"/>
        <w:ind w:left="0"/>
        <w:jc w:val="both"/>
        <w:rPr>
          <w:rFonts w:ascii="Times New Roman" w:hAnsi="Times New Roman" w:cs="Times New Roman"/>
          <w:i/>
          <w:noProof/>
          <w:sz w:val="24"/>
          <w:lang w:val="en-IE"/>
        </w:rPr>
      </w:pPr>
    </w:p>
    <w:p w:rsidR="003C43BF" w:rsidRDefault="006C3212">
      <w:pPr>
        <w:pStyle w:val="Heading3"/>
        <w:spacing w:after="120"/>
        <w:ind w:left="720"/>
        <w:rPr>
          <w:rFonts w:ascii="Times New Roman" w:hAnsi="Times New Roman" w:cs="Times New Roman"/>
          <w:noProof/>
          <w:color w:val="000000" w:themeColor="text1"/>
          <w:sz w:val="24"/>
          <w:lang w:val="en-IE"/>
        </w:rPr>
      </w:pPr>
      <w:bookmarkStart w:id="133" w:name="_Toc55301781"/>
      <w:bookmarkStart w:id="134" w:name="_Toc56944127"/>
      <w:r>
        <w:rPr>
          <w:rFonts w:ascii="Times New Roman" w:hAnsi="Times New Roman" w:cs="Times New Roman"/>
          <w:noProof/>
          <w:sz w:val="24"/>
          <w:lang w:val="en-IE"/>
        </w:rPr>
        <w:t>Overview of requirements’ fulfilment from Annex I of the Directive</w:t>
      </w:r>
      <w:bookmarkEnd w:id="133"/>
      <w:bookmarkEnd w:id="134"/>
      <w:r>
        <w:rPr>
          <w:rFonts w:ascii="Times New Roman" w:hAnsi="Times New Roman" w:cs="Times New Roman"/>
          <w:noProof/>
          <w:color w:val="000000" w:themeColor="text1"/>
          <w:sz w:val="24"/>
          <w:lang w:val="en-IE"/>
        </w:rPr>
        <w:tab/>
      </w:r>
    </w:p>
    <w:p w:rsidR="003C43BF" w:rsidRDefault="006C3212">
      <w:pPr>
        <w:spacing w:after="60"/>
        <w:rPr>
          <w:rFonts w:ascii="Times New Roman" w:hAnsi="Times New Roman" w:cs="Times New Roman"/>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5.5.2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lang w:val="en-IE"/>
        </w:rPr>
        <w:t xml:space="preserve"> Checklist Table</w:t>
      </w:r>
    </w:p>
    <w:p w:rsidR="003C43BF" w:rsidRDefault="006C3212">
      <w:pPr>
        <w:spacing w:after="120" w:line="240" w:lineRule="auto"/>
        <w:jc w:val="both"/>
        <w:rPr>
          <w:rFonts w:ascii="Times New Roman" w:hAnsi="Times New Roman" w:cs="Times New Roman"/>
          <w:noProof/>
          <w:color w:val="222222"/>
          <w:sz w:val="24"/>
          <w:shd w:val="clear" w:color="auto" w:fill="FFFFFF"/>
          <w:lang w:val="en-IE"/>
        </w:rPr>
      </w:pPr>
      <w:r>
        <w:rPr>
          <w:rFonts w:ascii="Times New Roman" w:hAnsi="Times New Roman" w:cs="Times New Roman"/>
          <w:noProof/>
          <w:color w:val="222222"/>
          <w:sz w:val="24"/>
          <w:shd w:val="clear" w:color="auto" w:fill="FFFFFF"/>
          <w:lang w:val="en-IE"/>
        </w:rPr>
        <w:t xml:space="preserve"> </w:t>
      </w:r>
      <w:r>
        <w:rPr>
          <w:rFonts w:ascii="Times New Roman" w:hAnsi="Times New Roman" w:cs="Times New Roman"/>
          <w:noProof/>
          <w:sz w:val="24"/>
          <w:lang w:eastAsia="en-GB"/>
        </w:rPr>
        <w:drawing>
          <wp:inline distT="0" distB="0" distL="0" distR="0">
            <wp:extent cx="5760720" cy="8268040"/>
            <wp:effectExtent l="0" t="0" r="0" b="0"/>
            <wp:docPr id="7224" name="Picture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8268040"/>
                    </a:xfrm>
                    <a:prstGeom prst="rect">
                      <a:avLst/>
                    </a:prstGeom>
                    <a:noFill/>
                    <a:ln>
                      <a:noFill/>
                    </a:ln>
                  </pic:spPr>
                </pic:pic>
              </a:graphicData>
            </a:graphic>
          </wp:inline>
        </w:drawing>
      </w:r>
    </w:p>
    <w:p w:rsidR="003C43BF" w:rsidRDefault="006C3212">
      <w:pPr>
        <w:pStyle w:val="Text1"/>
        <w:tabs>
          <w:tab w:val="left" w:pos="720"/>
        </w:tabs>
        <w:spacing w:before="240"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checklist shows that almost all the requirements of Annex I from the </w:t>
      </w:r>
      <w:r>
        <w:rPr>
          <w:rFonts w:ascii="Times New Roman" w:hAnsi="Times New Roman" w:cs="Times New Roman"/>
          <w:noProof/>
          <w:color w:val="000000" w:themeColor="text1"/>
          <w:sz w:val="24"/>
          <w:lang w:val="en-IE"/>
        </w:rPr>
        <w:t>Directive are covered.</w:t>
      </w: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Regarding the combination of AF/AFV/AFI with transport mode, electricity is covered for all modes; all the other pairs are partially covered, in particular: CNG and LPG for road transport; LNG for road and waterborne transport; hydro</w:t>
      </w:r>
      <w:r>
        <w:rPr>
          <w:rFonts w:ascii="Times New Roman" w:hAnsi="Times New Roman" w:cs="Times New Roman"/>
          <w:noProof/>
          <w:color w:val="000000" w:themeColor="text1"/>
          <w:sz w:val="24"/>
          <w:lang w:val="en-IE"/>
        </w:rPr>
        <w:t>gen for road and rail transport; biofuels for air transport; synthetic and paraffinic fuels for road, inland waterway transport and air transport. All the other combinations are either absent or not applicable.</w:t>
      </w:r>
    </w:p>
    <w:p w:rsidR="003C43BF" w:rsidRDefault="006C3212">
      <w:pPr>
        <w:spacing w:after="120" w:line="240" w:lineRule="auto"/>
        <w:jc w:val="both"/>
        <w:rPr>
          <w:rFonts w:ascii="Times New Roman" w:hAnsi="Times New Roman" w:cs="Times New Roman"/>
          <w:iCs/>
          <w:noProof/>
          <w:sz w:val="24"/>
          <w:lang w:val="en-IE"/>
        </w:rPr>
      </w:pPr>
      <w:r>
        <w:rPr>
          <w:rFonts w:ascii="Times New Roman" w:hAnsi="Times New Roman" w:cs="Times New Roman"/>
          <w:noProof/>
          <w:sz w:val="24"/>
          <w:lang w:val="en-IE"/>
        </w:rPr>
        <w:t>The German NIR reports a list of 180 measures</w:t>
      </w:r>
      <w:r>
        <w:rPr>
          <w:rFonts w:ascii="Times New Roman" w:hAnsi="Times New Roman" w:cs="Times New Roman"/>
          <w:noProof/>
          <w:sz w:val="24"/>
          <w:lang w:val="en-IE"/>
        </w:rPr>
        <w:t xml:space="preserve">. </w:t>
      </w:r>
      <w:r>
        <w:rPr>
          <w:rFonts w:ascii="Times New Roman" w:hAnsi="Times New Roman" w:cs="Times New Roman"/>
          <w:iCs/>
          <w:noProof/>
          <w:sz w:val="24"/>
          <w:lang w:val="en-IE"/>
        </w:rPr>
        <w:t>Under the Policy and Deployment &amp; Manufacturing sections it was possible to identify 12 AF/transport mode clusters of measures, all assessable.</w:t>
      </w:r>
    </w:p>
    <w:p w:rsidR="003C43BF" w:rsidRDefault="006C3212">
      <w:pPr>
        <w:rPr>
          <w:rFonts w:ascii="Times New Roman" w:hAnsi="Times New Roman" w:cs="Times New Roman"/>
          <w:iCs/>
          <w:noProof/>
          <w:sz w:val="24"/>
          <w:lang w:val="en-IE"/>
        </w:rPr>
      </w:pPr>
      <w:r>
        <w:rPr>
          <w:rFonts w:ascii="Times New Roman" w:hAnsi="Times New Roman" w:cs="Times New Roman"/>
          <w:iCs/>
          <w:noProof/>
          <w:sz w:val="24"/>
          <w:lang w:val="en-IE"/>
        </w:rPr>
        <w:br w:type="page"/>
      </w:r>
    </w:p>
    <w:p w:rsidR="003C43BF" w:rsidRDefault="006C3212">
      <w:pPr>
        <w:pStyle w:val="Heading3"/>
        <w:ind w:left="720"/>
        <w:rPr>
          <w:rFonts w:ascii="Times New Roman" w:hAnsi="Times New Roman" w:cs="Times New Roman"/>
          <w:noProof/>
          <w:sz w:val="24"/>
          <w:lang w:val="fr-BE"/>
        </w:rPr>
      </w:pPr>
      <w:bookmarkStart w:id="135" w:name="_Toc55301782"/>
      <w:bookmarkStart w:id="136" w:name="_Toc56944128"/>
      <w:r>
        <w:rPr>
          <w:rFonts w:ascii="Times New Roman" w:hAnsi="Times New Roman" w:cs="Times New Roman"/>
          <w:noProof/>
          <w:sz w:val="24"/>
          <w:lang w:val="fr-BE"/>
        </w:rPr>
        <w:t>Quantitative assessment: Vehicles and infrastructure</w:t>
      </w:r>
      <w:bookmarkEnd w:id="135"/>
      <w:bookmarkEnd w:id="136"/>
      <w:r>
        <w:rPr>
          <w:rFonts w:ascii="Times New Roman" w:hAnsi="Times New Roman" w:cs="Times New Roman"/>
          <w:noProof/>
          <w:sz w:val="24"/>
          <w:lang w:val="fr-BE"/>
        </w:rPr>
        <w:t xml:space="preserve"> </w:t>
      </w:r>
    </w:p>
    <w:p w:rsidR="003C43BF" w:rsidRDefault="006C3212">
      <w:pPr>
        <w:jc w:val="both"/>
        <w:rPr>
          <w:rFonts w:ascii="Times New Roman" w:hAnsi="Times New Roman" w:cs="Times New Roman"/>
          <w:i/>
          <w:noProof/>
          <w:sz w:val="20"/>
          <w:szCs w:val="18"/>
          <w:lang w:val="en-IE"/>
        </w:rPr>
      </w:pPr>
      <w:bookmarkStart w:id="137" w:name="_Ref52888697"/>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5.5.3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37"/>
      <w:r>
        <w:rPr>
          <w:rFonts w:ascii="Times New Roman" w:hAnsi="Times New Roman" w:cs="Times New Roman"/>
          <w:i/>
          <w:noProof/>
          <w:sz w:val="20"/>
          <w:szCs w:val="18"/>
          <w:lang w:val="en-IE"/>
        </w:rPr>
        <w:t xml:space="preserve"> National AFV estimates and AFI targets established in the NIR at the horizon 2020, 2025 and 2030 and their comparison with the NPF situation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3600" cy="6718592"/>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718592"/>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0"/>
          <w:lang w:val="en-IE"/>
        </w:rPr>
      </w:pPr>
      <w:r>
        <w:rPr>
          <w:rFonts w:ascii="Times New Roman" w:hAnsi="Times New Roman" w:cs="Times New Roman"/>
          <w:noProof/>
          <w:sz w:val="24"/>
          <w:lang w:eastAsia="en-GB"/>
        </w:rPr>
        <w:drawing>
          <wp:inline distT="0" distB="0" distL="0" distR="0">
            <wp:extent cx="3630304" cy="437362"/>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0"/>
          <w:lang w:val="en-IE"/>
        </w:rPr>
      </w:pPr>
      <w:r>
        <w:rPr>
          <w:rFonts w:ascii="Times New Roman" w:hAnsi="Times New Roman" w:cs="Times New Roman"/>
          <w:noProof/>
          <w:sz w:val="20"/>
          <w:lang w:val="en-IE"/>
        </w:rPr>
        <w:t xml:space="preserve">*In this particular case, the value includes L-category vehicles. **The values refer to stationary shore-to-ship facilities (i.e. bunkering stations) (see Section 5.5.3.3.2). ***The NIR states that two new LNG vessels are planned but no indicative year of </w:t>
      </w:r>
      <w:r>
        <w:rPr>
          <w:rFonts w:ascii="Times New Roman" w:hAnsi="Times New Roman" w:cs="Times New Roman"/>
          <w:noProof/>
          <w:sz w:val="20"/>
          <w:lang w:val="en-IE"/>
        </w:rPr>
        <w:t xml:space="preserve">deployment is provided. </w:t>
      </w:r>
    </w:p>
    <w:p w:rsidR="003C43BF" w:rsidRDefault="003C43BF">
      <w:pPr>
        <w:jc w:val="both"/>
        <w:rPr>
          <w:rFonts w:ascii="Times New Roman" w:hAnsi="Times New Roman" w:cs="Times New Roman"/>
          <w:noProof/>
          <w:sz w:val="20"/>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strike/>
          <w:noProof/>
          <w:sz w:val="24"/>
          <w:lang w:val="en-IE"/>
        </w:rPr>
      </w:pPr>
      <w:r>
        <w:rPr>
          <w:rFonts w:ascii="Times New Roman" w:hAnsi="Times New Roman" w:cs="Times New Roman"/>
          <w:noProof/>
          <w:sz w:val="24"/>
          <w:lang w:val="en-IE"/>
        </w:rPr>
        <w:t>Germany recorded 164,566 battery-electric and plug-in hybrid electric vehicles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these, 148,845 were passenger cars (55% were battery-electric), 15,423 were LCVs (almost all of them battery-electric), 165 were HCVs (all battery-electric) and 133 were buses and coaches</w:t>
      </w:r>
      <w:r>
        <w:rPr>
          <w:rFonts w:ascii="Times New Roman" w:hAnsi="Times New Roman" w:cs="Times New Roman"/>
          <w:noProof/>
          <w:sz w:val="24"/>
          <w:lang w:val="en-IE"/>
        </w:rPr>
        <w:t xml:space="preserve"> (all battery-electric). In addition, the NIR reported a stock of 62 trolleybuses (operating in the municipalities of Eberswalde, Esslingen and Solingen) and 9,684 L-category vehicles. Although not sufficiently explicitly, the NIR seems to retain the 2020 </w:t>
      </w:r>
      <w:r>
        <w:rPr>
          <w:rFonts w:ascii="Times New Roman" w:hAnsi="Times New Roman" w:cs="Times New Roman"/>
          <w:noProof/>
          <w:sz w:val="24"/>
          <w:lang w:val="en-IE"/>
        </w:rPr>
        <w:t>target of 1 million EVs. Both the NPF and NIR lack estimates for the EV fleet in 2025. The NIR expects that, by 2030, between 7 and 10 million electric passenger cars will be in use; electric buses will account for up to 50% of the city bus stock and aroun</w:t>
      </w:r>
      <w:r>
        <w:rPr>
          <w:rFonts w:ascii="Times New Roman" w:hAnsi="Times New Roman" w:cs="Times New Roman"/>
          <w:noProof/>
          <w:sz w:val="24"/>
          <w:lang w:val="en-IE"/>
        </w:rPr>
        <w:t xml:space="preserve">d 33% of vehicle mileage in heavy road haulage will be undertaken by means of electricity.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16.46% in 2020 and 1.94% for 2030. According to the assessment methodology described in Section 2.1, the 2018 situatio</w:t>
      </w:r>
      <w:r>
        <w:rPr>
          <w:rFonts w:ascii="Times New Roman" w:hAnsi="Times New Roman" w:cs="Times New Roman"/>
          <w:iCs/>
          <w:noProof/>
          <w:sz w:val="24"/>
          <w:lang w:val="en-IE"/>
        </w:rPr>
        <w:t xml:space="preserve">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Germany is equal to </w:t>
      </w:r>
      <w:r>
        <w:rPr>
          <w:rFonts w:ascii="Times New Roman" w:hAnsi="Times New Roman" w:cs="Times New Roman"/>
          <w:iCs/>
          <w:noProof/>
          <w:sz w:val="24"/>
          <w:lang w:val="en-IE"/>
        </w:rPr>
        <w:t>43%.</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Germany recorded </w:t>
      </w:r>
      <w:r>
        <w:rPr>
          <w:rFonts w:ascii="Times New Roman" w:hAnsi="Times New Roman" w:cs="Times New Roman"/>
          <w:noProof/>
          <w:sz w:val="24"/>
          <w:lang w:val="en-IE"/>
        </w:rPr>
        <w:t>17,245 publicly accessible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2,562 were high power (&gt;22kW) points (of these 40.1% were AC fast chargin</w:t>
      </w:r>
      <w:r>
        <w:rPr>
          <w:rFonts w:ascii="Times New Roman" w:hAnsi="Times New Roman" w:cs="Times New Roman"/>
          <w:noProof/>
          <w:sz w:val="24"/>
          <w:lang w:val="en-IE"/>
        </w:rPr>
        <w:t>g, 53.6% DC fast and 6.3% DC ultrafast). The NIR seems to endorse the 2020 targets reported in the NPF and indicates that one million recharging points can be expected by 2030 (without details on the share of high power recharging points). Both the NPF and</w:t>
      </w:r>
      <w:r>
        <w:rPr>
          <w:rFonts w:ascii="Times New Roman" w:hAnsi="Times New Roman" w:cs="Times New Roman"/>
          <w:noProof/>
          <w:sz w:val="24"/>
          <w:lang w:val="en-IE"/>
        </w:rPr>
        <w:t xml:space="preserve"> NIR lacked 2025 targets. The DE NIR provides no information on private recharging points on the grounds that the available information is not robust.</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w:t>
      </w:r>
      <w:r>
        <w:rPr>
          <w:rFonts w:ascii="Times New Roman" w:hAnsi="Times New Roman" w:cs="Times New Roman"/>
          <w:noProof/>
          <w:sz w:val="24"/>
          <w:lang w:val="en-IE"/>
        </w:rPr>
        <w:t>publicly accessible</w:t>
      </w:r>
      <w:r>
        <w:rPr>
          <w:rFonts w:ascii="Times New Roman" w:hAnsi="Times New Roman" w:cs="Times New Roman"/>
          <w:iCs/>
          <w:noProof/>
          <w:sz w:val="24"/>
          <w:lang w:val="en-IE"/>
        </w:rPr>
        <w:t xml:space="preserve"> recharging infrastructure targets is 40.10% for 2020 an</w:t>
      </w:r>
      <w:r>
        <w:rPr>
          <w:rFonts w:ascii="Times New Roman" w:hAnsi="Times New Roman" w:cs="Times New Roman"/>
          <w:iCs/>
          <w:noProof/>
          <w:sz w:val="24"/>
          <w:lang w:val="en-IE"/>
        </w:rPr>
        <w:t xml:space="preserve">d 1.72%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w:t>
      </w:r>
      <w:r>
        <w:rPr>
          <w:rFonts w:ascii="Times New Roman" w:hAnsi="Times New Roman" w:cs="Times New Roman"/>
          <w:iCs/>
          <w:noProof/>
          <w:color w:val="000000" w:themeColor="text1"/>
          <w:sz w:val="24"/>
          <w:lang w:val="en-IE"/>
        </w:rPr>
        <w:t xml:space="preserve">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Germany is </w:t>
      </w:r>
      <w:r>
        <w:rPr>
          <w:rFonts w:ascii="Times New Roman" w:hAnsi="Times New Roman" w:cs="Times New Roman"/>
          <w:iCs/>
          <w:noProof/>
          <w:sz w:val="24"/>
          <w:lang w:val="en-IE"/>
        </w:rPr>
        <w:t>42%.</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DE NIR, the following table shows the ratio between vehicles and publicly accessible recharging points (i.e. sufficiency index) for the pair </w:t>
      </w:r>
      <w:r>
        <w:rPr>
          <w:rFonts w:ascii="Times New Roman" w:hAnsi="Times New Roman" w:cs="Times New Roman"/>
          <w:noProof/>
          <w:sz w:val="24"/>
          <w:lang w:val="en-IE"/>
        </w:rPr>
        <w:t>electricity/road. It can be seen that the sufficiency index fluctuated around the value of 10 between 2016 and 2018 and was thus adequate to support EV uptake. The foreseen sufficiency index is 23.26 for 2020 (potentially not adequate) and 8.50 for 2030.</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359400" cy="4000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9400" cy="400050"/>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0"/>
          <w:lang w:val="en-IE"/>
        </w:rPr>
      </w:pPr>
      <w:r>
        <w:rPr>
          <w:rFonts w:ascii="Times New Roman" w:hAnsi="Times New Roman" w:cs="Times New Roman"/>
          <w:noProof/>
          <w:sz w:val="20"/>
          <w:lang w:val="en-IE"/>
        </w:rPr>
        <w:t xml:space="preserve">*In this particular case, the vehicle estimate includes L-category vehicles.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 fulfils the requirements on charging efficiency reporting by providing comprehensive information, based on representative sampl</w:t>
      </w:r>
      <w:r>
        <w:rPr>
          <w:rFonts w:ascii="Times New Roman" w:hAnsi="Times New Roman" w:cs="Times New Roman"/>
          <w:noProof/>
          <w:sz w:val="24"/>
          <w:lang w:val="en-IE"/>
        </w:rPr>
        <w:t>es, on actual capacity usage by type of recharging point. For instance, for high power recharging points (43 &lt; P &lt; 100 kW): a) the average number of charging processes/day/point is 0.5; b) the average energy delivered/day/point is 6.8 kWh; c) the average o</w:t>
      </w:r>
      <w:r>
        <w:rPr>
          <w:rFonts w:ascii="Times New Roman" w:hAnsi="Times New Roman" w:cs="Times New Roman"/>
          <w:noProof/>
          <w:sz w:val="24"/>
          <w:lang w:val="en-IE"/>
        </w:rPr>
        <w:t>ccupancy time/point/day is 18 minutes. Additional data related to the charging process, the sample and for other types of recharging points are reported in Table 12 of the German NIR.</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Germany recorded 78,251 CNG vehicles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w:instrText>
      </w:r>
      <w:r>
        <w:rPr>
          <w:rFonts w:ascii="Times New Roman" w:hAnsi="Times New Roman" w:cs="Times New Roman"/>
          <w:noProof/>
          <w:sz w:val="24"/>
          <w:lang w:val="en-IE"/>
        </w:rPr>
        <w:instrText xml:space="preserve">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these, 71,122 were passenger cars, 6,316 LCVs, 369 HCVs and 444 buses and coaches. Both the NPF and NIR lack estimates on future CNG vehicles,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German NIR indicates t</w:t>
      </w:r>
      <w:r>
        <w:rPr>
          <w:rFonts w:ascii="Times New Roman" w:hAnsi="Times New Roman" w:cs="Times New Roman"/>
          <w:noProof/>
          <w:sz w:val="24"/>
          <w:lang w:val="en-IE"/>
        </w:rPr>
        <w:t>hat 862 publicly accessible CNG refuelling points were available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 decline compared to the 913 points available in 2016. Both t</w:t>
      </w:r>
      <w:r>
        <w:rPr>
          <w:rFonts w:ascii="Times New Roman" w:hAnsi="Times New Roman" w:cs="Times New Roman"/>
          <w:noProof/>
          <w:sz w:val="24"/>
          <w:lang w:val="en-IE"/>
        </w:rPr>
        <w:t>he NPF and NIR lack targets for future publicly accessible CNG refuelling points.</w:t>
      </w:r>
    </w:p>
    <w:p w:rsidR="003C43BF" w:rsidRDefault="006C3212">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Because there were no future CNG road refuelling infrastructure targets provided in the German NIR, 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and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could not be computed.</w:t>
      </w:r>
      <w:r>
        <w:rPr>
          <w:rFonts w:ascii="Times New Roman" w:hAnsi="Times New Roman" w:cs="Times New Roman"/>
          <w:noProof/>
          <w:sz w:val="28"/>
          <w:szCs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w:t>
      </w:r>
      <w:r>
        <w:rPr>
          <w:rFonts w:ascii="Times New Roman" w:hAnsi="Times New Roman" w:cs="Times New Roman"/>
          <w:noProof/>
          <w:sz w:val="24"/>
          <w:lang w:val="en-IE"/>
        </w:rPr>
        <w:t>the DE NIR, the following table shows the ratio between vehicles and publicly accessible refuelling points (i.e. sufficiency index) for the pair CNG/road. It can be seen that the sufficiency index was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w:t>
      </w:r>
      <w:r>
        <w:rPr>
          <w:rFonts w:ascii="Times New Roman" w:hAnsi="Times New Roman" w:cs="Times New Roman"/>
          <w:iCs/>
          <w:noProof/>
          <w:sz w:val="24"/>
          <w:lang w:val="en-IE"/>
        </w:rPr>
        <w:t>.5</w:t>
      </w:r>
      <w:r>
        <w:rPr>
          <w:rFonts w:ascii="Times New Roman" w:hAnsi="Times New Roman" w:cs="Times New Roman"/>
          <w:noProof/>
          <w:sz w:val="24"/>
          <w:lang w:val="en-IE"/>
        </w:rPr>
        <w:t>) between 2016 and 2018. However, the foreseen sufficiency index cannot be computed.</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eastAsia="en-GB"/>
        </w:rPr>
        <w:drawing>
          <wp:inline distT="0" distB="0" distL="0" distR="0">
            <wp:extent cx="5324475" cy="4000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4475" cy="400050"/>
                    </a:xfrm>
                    <a:prstGeom prst="rect">
                      <a:avLst/>
                    </a:prstGeom>
                    <a:noFill/>
                    <a:ln>
                      <a:noFill/>
                    </a:ln>
                  </pic:spPr>
                </pic:pic>
              </a:graphicData>
            </a:graphic>
          </wp:inline>
        </w:drawing>
      </w:r>
      <w:r>
        <w:rPr>
          <w:rFonts w:ascii="Times New Roman" w:hAnsi="Times New Roman" w:cs="Times New Roman"/>
          <w:noProof/>
          <w:sz w:val="24"/>
          <w:lang w:val="en-IE"/>
        </w:rPr>
        <w:t xml:space="preserve">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Germany recorded seven LNG vehicles in use in 2018: one LCV and six HCVs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r>
        <w:rPr>
          <w:rStyle w:val="FootnoteReference"/>
          <w:rFonts w:ascii="Times New Roman" w:hAnsi="Times New Roman" w:cs="Times New Roman"/>
          <w:noProof/>
          <w:sz w:val="24"/>
          <w:lang w:val="en-IE"/>
        </w:rPr>
        <w:footnoteReference w:id="18"/>
      </w:r>
      <w:r>
        <w:rPr>
          <w:rFonts w:ascii="Times New Roman" w:hAnsi="Times New Roman" w:cs="Times New Roman"/>
          <w:noProof/>
          <w:sz w:val="24"/>
          <w:lang w:val="en-IE"/>
        </w:rPr>
        <w:t xml:space="preserve">. Both the NPF and NIR lacked future LNG vehicle estimates,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indicates that four publicly accessible LNG refuelling </w:t>
      </w:r>
      <w:r>
        <w:rPr>
          <w:rFonts w:ascii="Times New Roman" w:hAnsi="Times New Roman" w:cs="Times New Roman"/>
          <w:noProof/>
          <w:sz w:val="24"/>
          <w:lang w:val="en-IE"/>
        </w:rPr>
        <w:t>points were available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three are on the TEN-T Core Network. The NIR states that “</w:t>
      </w:r>
      <w:r>
        <w:rPr>
          <w:rFonts w:ascii="Times New Roman" w:hAnsi="Times New Roman" w:cs="Times New Roman"/>
          <w:i/>
          <w:noProof/>
          <w:sz w:val="24"/>
          <w:lang w:val="en-IE"/>
        </w:rPr>
        <w:t>at least 9 LNG refuelling points for he</w:t>
      </w:r>
      <w:r>
        <w:rPr>
          <w:rFonts w:ascii="Times New Roman" w:hAnsi="Times New Roman" w:cs="Times New Roman"/>
          <w:i/>
          <w:noProof/>
          <w:sz w:val="24"/>
          <w:lang w:val="en-IE"/>
        </w:rPr>
        <w:t>avy goods vehicles are to be in operation on the TEN-T Core Network by 2025</w:t>
      </w:r>
      <w:r>
        <w:rPr>
          <w:rFonts w:ascii="Times New Roman" w:hAnsi="Times New Roman" w:cs="Times New Roman"/>
          <w:noProof/>
          <w:sz w:val="24"/>
          <w:lang w:val="en-IE"/>
        </w:rPr>
        <w:t>”, which is in line with the target provided in the NPF.</w:t>
      </w:r>
    </w:p>
    <w:p w:rsidR="003C43BF" w:rsidRDefault="006C3212">
      <w:pPr>
        <w:tabs>
          <w:tab w:val="left" w:pos="360"/>
        </w:tabs>
        <w:spacing w:after="120" w:line="240" w:lineRule="auto"/>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w:t>
      </w:r>
      <w:r>
        <w:rPr>
          <w:rFonts w:ascii="Times New Roman" w:hAnsi="Times New Roman" w:cs="Times New Roman"/>
          <w:noProof/>
          <w:sz w:val="24"/>
          <w:lang w:val="en-IE"/>
        </w:rPr>
        <w:t>publicly accessible</w:t>
      </w:r>
      <w:r>
        <w:rPr>
          <w:rFonts w:ascii="Times New Roman" w:hAnsi="Times New Roman" w:cs="Times New Roman"/>
          <w:iCs/>
          <w:noProof/>
          <w:sz w:val="24"/>
          <w:lang w:val="en-IE"/>
        </w:rPr>
        <w:t xml:space="preserve"> LNG refuelling infrastructure targets is 44.44% for 2025.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Germany for </w:t>
      </w:r>
      <w:r>
        <w:rPr>
          <w:rFonts w:ascii="Times New Roman" w:hAnsi="Times New Roman" w:cs="Times New Roman"/>
          <w:noProof/>
          <w:sz w:val="24"/>
          <w:lang w:val="en-IE"/>
        </w:rPr>
        <w:t>publicly accessible</w:t>
      </w:r>
      <w:r>
        <w:rPr>
          <w:rFonts w:ascii="Times New Roman" w:hAnsi="Times New Roman" w:cs="Times New Roman"/>
          <w:iCs/>
          <w:noProof/>
          <w:sz w:val="24"/>
          <w:lang w:val="en-IE"/>
        </w:rPr>
        <w:t xml:space="preserve"> LNG refuelling infrastructure deployment from 2016 until 2018 versus the p</w:t>
      </w:r>
      <w:r>
        <w:rPr>
          <w:rFonts w:ascii="Times New Roman" w:hAnsi="Times New Roman" w:cs="Times New Roman"/>
          <w:iCs/>
          <w:noProof/>
          <w:sz w:val="24"/>
          <w:lang w:val="en-IE"/>
        </w:rPr>
        <w:t xml:space="preserve">eriod 2016-2030 could not be computed because the 2030 target is not provided.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Based on the DE NIR, the following table shows the ratio between vehicles and publicly accessible refuelling points (i.e. sufficiency index) for the pair LNG/road, comput</w:t>
      </w:r>
      <w:r>
        <w:rPr>
          <w:rFonts w:ascii="Times New Roman" w:hAnsi="Times New Roman" w:cs="Times New Roman"/>
          <w:noProof/>
          <w:sz w:val="24"/>
          <w:lang w:val="en-IE"/>
        </w:rPr>
        <w:t xml:space="preserve">able only for 2018.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5324475" cy="4000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4475" cy="400050"/>
                    </a:xfrm>
                    <a:prstGeom prst="rect">
                      <a:avLst/>
                    </a:prstGeom>
                    <a:noFill/>
                    <a:ln>
                      <a:noFill/>
                    </a:ln>
                  </pic:spPr>
                </pic:pic>
              </a:graphicData>
            </a:graphic>
          </wp:inline>
        </w:drawing>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German NIR indicates that 378 hydrogen-powered vehicles</w:t>
      </w:r>
      <w:r>
        <w:rPr>
          <w:rStyle w:val="FootnoteReference"/>
          <w:rFonts w:ascii="Times New Roman" w:hAnsi="Times New Roman" w:cs="Times New Roman"/>
          <w:noProof/>
          <w:sz w:val="24"/>
          <w:lang w:val="en-IE"/>
        </w:rPr>
        <w:footnoteReference w:id="19"/>
      </w:r>
      <w:r>
        <w:rPr>
          <w:rFonts w:ascii="Times New Roman" w:hAnsi="Times New Roman" w:cs="Times New Roman"/>
          <w:noProof/>
          <w:sz w:val="24"/>
          <w:lang w:val="en-IE"/>
        </w:rPr>
        <w:t xml:space="preserve"> were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367 were passenger cars and 11 were buses and coaches. In addition, the NIR reports one L-category vehicle powered by hydrogen. Both the NPF and NIR lacked future hydrogen vehicle e</w:t>
      </w:r>
      <w:r>
        <w:rPr>
          <w:rFonts w:ascii="Times New Roman" w:hAnsi="Times New Roman" w:cs="Times New Roman"/>
          <w:noProof/>
          <w:sz w:val="24"/>
          <w:lang w:val="en-IE"/>
        </w:rPr>
        <w:t xml:space="preserve">stimates,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 indicates that 66 publicly accessible hydrogen refuelling points were available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4 were 350-bar points and the rest 700-bar. This represents a strong increase compared to the 23 points available in 2016. According to the NIR, “the Federal Government is supporting the ob</w:t>
      </w:r>
      <w:r>
        <w:rPr>
          <w:rFonts w:ascii="Times New Roman" w:hAnsi="Times New Roman" w:cs="Times New Roman"/>
          <w:noProof/>
          <w:sz w:val="24"/>
          <w:lang w:val="en-IE"/>
        </w:rPr>
        <w:t>jective of 100 public refuelling stations in 2020 which was formulated by the industry and – subject to the condition of an appropriate vehicle ramp-up – the objective of 400 public refuelling stations in 2025”. No infrastructure target for 2030 is provide</w:t>
      </w:r>
      <w:r>
        <w:rPr>
          <w:rFonts w:ascii="Times New Roman" w:hAnsi="Times New Roman" w:cs="Times New Roman"/>
          <w:noProof/>
          <w:sz w:val="24"/>
          <w:lang w:val="en-IE"/>
        </w:rPr>
        <w:t>d.</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w:t>
      </w:r>
      <w:r>
        <w:rPr>
          <w:rFonts w:ascii="Times New Roman" w:hAnsi="Times New Roman" w:cs="Times New Roman"/>
          <w:noProof/>
          <w:sz w:val="24"/>
          <w:lang w:val="en-IE"/>
        </w:rPr>
        <w:t>publicly accessible</w:t>
      </w:r>
      <w:r>
        <w:rPr>
          <w:rFonts w:ascii="Times New Roman" w:hAnsi="Times New Roman" w:cs="Times New Roman"/>
          <w:iCs/>
          <w:noProof/>
          <w:sz w:val="24"/>
          <w:lang w:val="en-IE"/>
        </w:rPr>
        <w:t xml:space="preserve"> hydrogen refuelling infrastructure targets is 66.00% for 2020 and 16.50% for 2025.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Germany for </w:t>
      </w:r>
      <w:r>
        <w:rPr>
          <w:rFonts w:ascii="Times New Roman" w:hAnsi="Times New Roman" w:cs="Times New Roman"/>
          <w:noProof/>
          <w:sz w:val="24"/>
          <w:lang w:val="en-IE"/>
        </w:rPr>
        <w:t>publicly accessib</w:t>
      </w:r>
      <w:r>
        <w:rPr>
          <w:rFonts w:ascii="Times New Roman" w:hAnsi="Times New Roman" w:cs="Times New Roman"/>
          <w:noProof/>
          <w:sz w:val="24"/>
          <w:lang w:val="en-IE"/>
        </w:rPr>
        <w:t>le</w:t>
      </w:r>
      <w:r>
        <w:rPr>
          <w:rFonts w:ascii="Times New Roman" w:hAnsi="Times New Roman" w:cs="Times New Roman"/>
          <w:iCs/>
          <w:noProof/>
          <w:sz w:val="24"/>
          <w:lang w:val="en-IE"/>
        </w:rPr>
        <w:t xml:space="preserve"> hydrogen refuelling infrastructure deployment from 2016 until 2018 versus the period 2016-2030 could not be computed because the 2030 target is not provided. </w:t>
      </w:r>
    </w:p>
    <w:p w:rsidR="003C43BF" w:rsidRDefault="003C43BF">
      <w:pPr>
        <w:tabs>
          <w:tab w:val="left" w:pos="360"/>
        </w:tabs>
        <w:jc w:val="both"/>
        <w:rPr>
          <w:rFonts w:ascii="Times New Roman" w:hAnsi="Times New Roman" w:cs="Times New Roman"/>
          <w:iCs/>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DE NIR, the following table shows the ratio between vehicles and infrastructure (i.e. sufficiency index) for the pair hydrogen/road (see </w:t>
      </w:r>
      <w:r>
        <w:rPr>
          <w:rFonts w:ascii="Times New Roman" w:hAnsi="Times New Roman" w:cs="Times New Roman"/>
          <w:iCs/>
          <w:noProof/>
          <w:sz w:val="24"/>
          <w:lang w:val="en-IE"/>
        </w:rPr>
        <w:t>Section 2.1.5</w:t>
      </w:r>
      <w:r>
        <w:rPr>
          <w:rFonts w:ascii="Times New Roman" w:hAnsi="Times New Roman" w:cs="Times New Roman"/>
          <w:noProof/>
          <w:sz w:val="24"/>
          <w:lang w:val="en-IE"/>
        </w:rPr>
        <w: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5324475" cy="4000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4475" cy="400050"/>
                    </a:xfrm>
                    <a:prstGeom prst="rect">
                      <a:avLst/>
                    </a:prstGeom>
                    <a:noFill/>
                    <a:ln>
                      <a:noFill/>
                    </a:ln>
                  </pic:spPr>
                </pic:pic>
              </a:graphicData>
            </a:graphic>
          </wp:inline>
        </w:drawing>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German NIR.</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w:t>
      </w:r>
      <w:r>
        <w:rPr>
          <w:rFonts w:ascii="Times New Roman" w:hAnsi="Times New Roman" w:cs="Times New Roman"/>
          <w:noProof/>
          <w:sz w:val="24"/>
          <w:lang w:val="en-IE"/>
        </w:rPr>
        <w:t>indicates that 213,718 LPG vehicles were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which represents a 3% decline compared to 2016. Of these, 206,786 were passenger</w:t>
      </w:r>
      <w:r>
        <w:rPr>
          <w:rFonts w:ascii="Times New Roman" w:hAnsi="Times New Roman" w:cs="Times New Roman"/>
          <w:noProof/>
          <w:sz w:val="24"/>
          <w:lang w:val="en-IE"/>
        </w:rPr>
        <w:t xml:space="preserve"> cars, 6,907 were LCVs, 20 were HCVs and 5 were buses and coaches. In addition, the NIR reports 34 L-category vehicles powered by LPG. Both the NPF and NIR lacked future LPG vehicle estimates,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w:t>
      </w:r>
      <w:r>
        <w:rPr>
          <w:rFonts w:ascii="Times New Roman" w:hAnsi="Times New Roman" w:cs="Times New Roman"/>
          <w:noProof/>
          <w:sz w:val="24"/>
          <w:lang w:val="en-IE"/>
        </w:rPr>
        <w:t>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 indicates that 7,128 publicly accessible LPG refuelling points were available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_Ref52888697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compared to 7,061 points in 2016 (no data is provided for 2017). Both the NPF and NIR lacked future targets for publicly accessible LPG refuelling points,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w:t>
      </w:r>
      <w:r>
        <w:rPr>
          <w:rFonts w:ascii="Times New Roman" w:hAnsi="Times New Roman" w:cs="Times New Roman"/>
          <w:b/>
          <w:i/>
          <w:noProof/>
          <w:sz w:val="24"/>
          <w:lang w:val="en-IE"/>
        </w:rPr>
        <w:t>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DE NIR, the following table shows the ratio between vehicles and infrastructure (i.e. sufficiency index) for the pair LPG/road (see </w:t>
      </w:r>
      <w:r>
        <w:rPr>
          <w:rFonts w:ascii="Times New Roman" w:hAnsi="Times New Roman" w:cs="Times New Roman"/>
          <w:iCs/>
          <w:noProof/>
          <w:sz w:val="24"/>
          <w:lang w:val="en-IE"/>
        </w:rPr>
        <w:t>Section 2.1.5</w:t>
      </w:r>
      <w:r>
        <w:rPr>
          <w:rFonts w:ascii="Times New Roman" w:hAnsi="Times New Roman" w:cs="Times New Roman"/>
          <w:noProof/>
          <w:sz w:val="24"/>
          <w:lang w:val="en-IE"/>
        </w:rPr>
        <w:t>).</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359400" cy="4000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9400" cy="400050"/>
                    </a:xfrm>
                    <a:prstGeom prst="rect">
                      <a:avLst/>
                    </a:prstGeom>
                    <a:noFill/>
                    <a:ln>
                      <a:noFill/>
                    </a:ln>
                  </pic:spPr>
                </pic:pic>
              </a:graphicData>
            </a:graphic>
          </wp:inline>
        </w:drawing>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Synthetic and paraffinic 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NIR </w:t>
      </w:r>
      <w:r>
        <w:rPr>
          <w:rFonts w:ascii="Times New Roman" w:hAnsi="Times New Roman" w:cs="Times New Roman"/>
          <w:noProof/>
          <w:sz w:val="24"/>
          <w:lang w:val="en-IE"/>
        </w:rPr>
        <w:t>mentions two passenger cars powered by methanol.</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DE NIR.</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indicates that the stock of electric railway vehicles in use was 6,173 in March 2019, compared </w:t>
      </w:r>
      <w:r>
        <w:rPr>
          <w:rFonts w:ascii="Times New Roman" w:hAnsi="Times New Roman" w:cs="Times New Roman"/>
          <w:noProof/>
          <w:sz w:val="24"/>
          <w:lang w:val="en-IE"/>
        </w:rPr>
        <w:t>to 5,572 in 2016 (no disaggregation between locomotives and railcars is reported). The NIR also mentions that diesel-electric hybrid locomotives have been deployed for shunting operations and have been presented for long-distance freight transport (see als</w:t>
      </w:r>
      <w:r>
        <w:rPr>
          <w:rFonts w:ascii="Times New Roman" w:hAnsi="Times New Roman" w:cs="Times New Roman"/>
          <w:noProof/>
          <w:sz w:val="24"/>
          <w:lang w:val="en-IE"/>
        </w:rPr>
        <w:t>o Section 5.5.4).</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According to the DE NIR, overhead contact lines are presently not available in around 40% of the rail network, most of it affecting low traffic passenger services. Germany’s ambition is to deploy alternative fuels or, when </w:t>
      </w:r>
      <w:r>
        <w:rPr>
          <w:rFonts w:ascii="Times New Roman" w:hAnsi="Times New Roman" w:cs="Times New Roman"/>
          <w:noProof/>
          <w:sz w:val="24"/>
          <w:lang w:val="en-IE"/>
        </w:rPr>
        <w:t>economically feasible, to pursue further electrification of those lines.</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German NIR indicates that two hydrogen-powered railway vehicles were in use in March 2019. It is expected that by 2022 there will be 26 hydrogen trains in regula</w:t>
      </w:r>
      <w:r>
        <w:rPr>
          <w:rFonts w:ascii="Times New Roman" w:hAnsi="Times New Roman" w:cs="Times New Roman"/>
          <w:noProof/>
          <w:sz w:val="24"/>
          <w:lang w:val="en-IE"/>
        </w:rPr>
        <w:t>r operation in Hessen and 14 hydrogen trains in Niedersachsen.</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indicates that one hydrogen refuelling point (350-bar) was available for rail services in 2018. </w:t>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w:t>
      </w:r>
      <w:r>
        <w:rPr>
          <w:rFonts w:ascii="Times New Roman" w:hAnsi="Times New Roman" w:cs="Times New Roman"/>
          <w:noProof/>
          <w:sz w:val="24"/>
          <w:lang w:val="en-IE"/>
        </w:rPr>
        <w:t xml:space="preserve"> indicates that there were no electric maritime vessels in use in 2018 and it does not provide future estimates.</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indicates that there were three maritime ports providing shore-side electricity supply in 2018. Both the NPF and </w:t>
      </w:r>
      <w:r>
        <w:rPr>
          <w:rFonts w:ascii="Times New Roman" w:hAnsi="Times New Roman" w:cs="Times New Roman"/>
          <w:noProof/>
          <w:sz w:val="24"/>
          <w:lang w:val="en-IE"/>
        </w:rPr>
        <w:t xml:space="preserve">NIR lack targets for future deployment of shore-side electricity supply in maritime ports,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indicates that two LNG maritime vessels were in use in 2018. Both the NPF and NIR lacked future LNG maritime vessel estimates,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The NIR, however, states that two new state-owne</w:t>
      </w:r>
      <w:r>
        <w:rPr>
          <w:rFonts w:ascii="Times New Roman" w:hAnsi="Times New Roman" w:cs="Times New Roman"/>
          <w:noProof/>
          <w:sz w:val="24"/>
          <w:lang w:val="en-IE"/>
        </w:rPr>
        <w:t>d LNG maritime vessels are planned, though no tentative year of deployment is indicated.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 reports that there were no maritime ports supplying LNG in stationary bunkering stations in 2018. Both the NPF and NIR lacked future targ</w:t>
      </w:r>
      <w:r>
        <w:rPr>
          <w:rFonts w:ascii="Times New Roman" w:hAnsi="Times New Roman" w:cs="Times New Roman"/>
          <w:noProof/>
          <w:sz w:val="24"/>
          <w:lang w:val="en-IE"/>
        </w:rPr>
        <w:t xml:space="preserve">ets for publicly accessible LNG refuelling points in maritime ports,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The NIR, however, mentions that “truck-to-ship” supply is available and that “ship-to-ship” supply will be available in t</w:t>
      </w:r>
      <w:r>
        <w:rPr>
          <w:rFonts w:ascii="Times New Roman" w:hAnsi="Times New Roman" w:cs="Times New Roman"/>
          <w:noProof/>
          <w:sz w:val="24"/>
          <w:lang w:val="en-IE"/>
        </w:rPr>
        <w:t>he future. Four ports (Brunsbüttel, Rostock, Stade and Wilhelmshaven) are being considered by private investors as suitable locations for the deployment of LNG import/distribution terminals.</w:t>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w:t>
      </w:r>
      <w:r>
        <w:rPr>
          <w:rFonts w:ascii="Times New Roman" w:hAnsi="Times New Roman" w:cs="Times New Roman"/>
          <w:noProof/>
          <w:sz w:val="24"/>
          <w:lang w:val="en-IE"/>
        </w:rPr>
        <w:t xml:space="preserve">indicates the use of 14 inland vessels powered by electricity in 2018, including two plug-in hybrid vessels. Both the NPF and NIR lacked future electric inland vessel estimates,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w:t>
      </w:r>
      <w:r>
        <w:rPr>
          <w:rStyle w:val="Heading4Char"/>
          <w:rFonts w:ascii="Times New Roman" w:hAnsi="Times New Roman" w:cs="Times New Roman"/>
          <w:noProof/>
          <w:sz w:val="24"/>
          <w:lang w:val="en-IE"/>
        </w:rPr>
        <w:t>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 indicates that there were 128 inland ports providing shore-side electricity supply in 2018</w:t>
      </w:r>
      <w:r>
        <w:rPr>
          <w:rStyle w:val="FootnoteReference"/>
          <w:rFonts w:ascii="Times New Roman" w:hAnsi="Times New Roman" w:cs="Times New Roman"/>
          <w:noProof/>
          <w:sz w:val="24"/>
          <w:lang w:val="en-IE"/>
        </w:rPr>
        <w:footnoteReference w:id="20"/>
      </w:r>
      <w:r>
        <w:rPr>
          <w:rFonts w:ascii="Times New Roman" w:hAnsi="Times New Roman" w:cs="Times New Roman"/>
          <w:noProof/>
          <w:sz w:val="24"/>
          <w:lang w:val="en-IE"/>
        </w:rPr>
        <w:t xml:space="preserve">. In addition, the NIR specifies that there were 279 facilities providing electricity along inland waterways, thus the total number of ‘shore-side </w:t>
      </w:r>
      <w:r>
        <w:rPr>
          <w:rFonts w:ascii="Times New Roman" w:hAnsi="Times New Roman" w:cs="Times New Roman"/>
          <w:noProof/>
          <w:sz w:val="24"/>
          <w:lang w:val="en-IE"/>
        </w:rPr>
        <w:t xml:space="preserve">electricity facilities’ for inland vessels amounted to 407 in 2018. Both the NPF and NIR lacked future targets for shore-side electricity supply in inland ports,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 i</w:t>
      </w:r>
      <w:r>
        <w:rPr>
          <w:rFonts w:ascii="Times New Roman" w:hAnsi="Times New Roman" w:cs="Times New Roman"/>
          <w:noProof/>
          <w:sz w:val="24"/>
          <w:lang w:val="en-IE"/>
        </w:rPr>
        <w:t xml:space="preserve">ndicates that there were no LNG inland vessels in use in 2018. Both the NPF and NIR lacked future LNG inland vessel estimates,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color w:val="FF0000"/>
          <w:sz w:val="24"/>
          <w:lang w:val="en-IE"/>
        </w:rPr>
      </w:pPr>
      <w:r>
        <w:rPr>
          <w:rFonts w:ascii="Times New Roman" w:hAnsi="Times New Roman" w:cs="Times New Roman"/>
          <w:noProof/>
          <w:sz w:val="24"/>
          <w:lang w:val="en-IE"/>
        </w:rPr>
        <w:t xml:space="preserve">The German NIR reports that there were no inland ports supplying LNG in stationary bunkering in 2018. Both the NPF and NIR lacked future targets for publicly accessible LNG refuelling points in inland ports and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w:t>
      </w:r>
      <w:r>
        <w:rPr>
          <w:rFonts w:ascii="Times New Roman" w:hAnsi="Times New Roman" w:cs="Times New Roman"/>
          <w:noProof/>
          <w:sz w:val="24"/>
          <w:lang w:val="en-IE"/>
        </w:rPr>
        <w:t xml:space="preserve"> computed. The NIR, however, indicates that “truck-to-ship” supply is available and that “ship-to-ship” supply will be available in the future. The NIR mentions plans to deploy 14 stations and the interest from the private sector to set up an LNG distribut</w:t>
      </w:r>
      <w:r>
        <w:rPr>
          <w:rFonts w:ascii="Times New Roman" w:hAnsi="Times New Roman" w:cs="Times New Roman"/>
          <w:noProof/>
          <w:sz w:val="24"/>
          <w:lang w:val="en-IE"/>
        </w:rPr>
        <w:t xml:space="preserve">ion network along the German section of the Rhine River.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Synthetic and paraffinic</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indicates that one passenger vessel, powered by renewable methanol, is operating on the Baldeneysee.</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DE NI</w:t>
      </w:r>
      <w:r>
        <w:rPr>
          <w:rFonts w:ascii="Times New Roman" w:hAnsi="Times New Roman" w:cs="Times New Roman"/>
          <w:noProof/>
          <w:sz w:val="24"/>
          <w:lang w:val="en-IE"/>
        </w:rPr>
        <w:t>R.</w:t>
      </w:r>
    </w:p>
    <w:p w:rsidR="003C43BF" w:rsidRDefault="003C43BF">
      <w:pPr>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The NIR indicates that all-electric and hybrid-electric engines for commercial air taxis as well as hybrid-electric propulsion for small commercial aircraft are being developed. The NIR considers that electric </w:t>
      </w:r>
      <w:r>
        <w:rPr>
          <w:rFonts w:ascii="Times New Roman" w:hAnsi="Times New Roman" w:cs="Times New Roman"/>
          <w:noProof/>
          <w:sz w:val="24"/>
          <w:lang w:val="en-IE"/>
        </w:rPr>
        <w:t>engines are still at an early stage of development for use in air transport.</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provides information on two sources of electricity supply to stationary airplanes at airports (at the terminal and on the </w:t>
      </w:r>
      <w:r>
        <w:rPr>
          <w:rFonts w:ascii="Times New Roman" w:hAnsi="Times New Roman" w:cs="Times New Roman"/>
          <w:noProof/>
          <w:sz w:val="24"/>
          <w:lang w:val="en-IE"/>
        </w:rPr>
        <w:t xml:space="preserve">tarmac) based on the responses to a 2016 survey covering fourteen airports (all part of the </w:t>
      </w:r>
      <w:r>
        <w:rPr>
          <w:rFonts w:ascii="Times New Roman" w:hAnsi="Times New Roman" w:cs="Times New Roman"/>
          <w:i/>
          <w:noProof/>
          <w:sz w:val="24"/>
          <w:lang w:val="en-IE"/>
        </w:rPr>
        <w:t>Flughafenverband ADV</w:t>
      </w:r>
      <w:r>
        <w:rPr>
          <w:rFonts w:ascii="Times New Roman" w:hAnsi="Times New Roman" w:cs="Times New Roman"/>
          <w:noProof/>
          <w:sz w:val="24"/>
          <w:lang w:val="en-IE"/>
        </w:rPr>
        <w:t>). With regards to supply at the terminal, almost all of the 270 terminal positions are equipped with stationary ground power connections. In co</w:t>
      </w:r>
      <w:r>
        <w:rPr>
          <w:rFonts w:ascii="Times New Roman" w:hAnsi="Times New Roman" w:cs="Times New Roman"/>
          <w:noProof/>
          <w:sz w:val="24"/>
          <w:lang w:val="en-IE"/>
        </w:rPr>
        <w:t>ntrast, the NIR acknowledges that supply on the tarmac is less developed: around 40% of ca. 580 positions on the tarmac are equipped.</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The NIR indicates that hydrogen-powered fuel cell engines are being developed for commercial air taxis,</w:t>
      </w:r>
      <w:r>
        <w:rPr>
          <w:rFonts w:ascii="Times New Roman" w:hAnsi="Times New Roman" w:cs="Times New Roman"/>
          <w:noProof/>
          <w:sz w:val="24"/>
          <w:lang w:val="en-IE"/>
        </w:rPr>
        <w:t xml:space="preserve"> but are still at an early stage.</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NIR mentions an existing research project focusing on on-board power supply via hydrogen fuel cell auxiliary power units</w:t>
      </w:r>
      <w:r>
        <w:rPr>
          <w:rFonts w:ascii="Times New Roman" w:hAnsi="Times New Roman" w:cs="Times New Roman"/>
          <w:noProof/>
          <w:color w:val="000000" w:themeColor="text1"/>
          <w:sz w:val="24"/>
          <w:lang w:val="en-IE"/>
        </w:rPr>
        <w:t xml:space="preserve"> (see Section 5.5.4).</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DE NIR</w:t>
      </w:r>
      <w:r>
        <w:rPr>
          <w:rFonts w:ascii="Times New Roman" w:hAnsi="Times New Roman" w:cs="Times New Roman"/>
          <w:noProof/>
          <w:sz w:val="24"/>
          <w:lang w:val="en-IE"/>
        </w:rPr>
        <w:t>.</w:t>
      </w:r>
    </w:p>
    <w:p w:rsidR="003C43BF" w:rsidRDefault="003C43BF">
      <w:pPr>
        <w:tabs>
          <w:tab w:val="left" w:pos="360"/>
        </w:tabs>
        <w:spacing w:before="120"/>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NIR considers that there is no need for renewable jet fuel refuelling points in German airports within the TEN-T Core Network.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Synthetic and paraffinic</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DE NIR.</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NIR ment</w:t>
      </w:r>
      <w:r>
        <w:rPr>
          <w:rFonts w:ascii="Times New Roman" w:hAnsi="Times New Roman" w:cs="Times New Roman"/>
          <w:noProof/>
          <w:color w:val="000000" w:themeColor="text1"/>
          <w:sz w:val="24"/>
          <w:lang w:val="en-IE"/>
        </w:rPr>
        <w:t>ions that research and demonstrations projects targeting synthetic kerosene production for use in aviation have been initiated (see Section 5.5.4) however, no further information is provided on the expected growth path.</w:t>
      </w:r>
    </w:p>
    <w:p w:rsidR="003C43BF" w:rsidRDefault="003C43BF">
      <w:pPr>
        <w:tabs>
          <w:tab w:val="left" w:pos="360"/>
        </w:tabs>
        <w:spacing w:before="12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138" w:name="_Toc55301783"/>
      <w:bookmarkStart w:id="139" w:name="_Toc56944129"/>
      <w:r>
        <w:rPr>
          <w:rFonts w:ascii="Times New Roman" w:hAnsi="Times New Roman" w:cs="Times New Roman"/>
          <w:noProof/>
          <w:sz w:val="24"/>
          <w:lang w:val="en-IE"/>
        </w:rPr>
        <w:t>Measures assessment</w:t>
      </w:r>
      <w:bookmarkEnd w:id="138"/>
      <w:bookmarkEnd w:id="139"/>
      <w:r>
        <w:rPr>
          <w:rFonts w:ascii="Times New Roman" w:hAnsi="Times New Roman" w:cs="Times New Roman"/>
          <w:noProof/>
          <w:sz w:val="24"/>
          <w:lang w:val="en-IE"/>
        </w:rPr>
        <w:t xml:space="preserve"> </w:t>
      </w:r>
    </w:p>
    <w:p w:rsidR="003C43BF" w:rsidRDefault="006C3212">
      <w:pPr>
        <w:pBdr>
          <w:top w:val="single" w:sz="4" w:space="1" w:color="auto"/>
          <w:left w:val="single" w:sz="4" w:space="4" w:color="auto"/>
          <w:bottom w:val="single" w:sz="4" w:space="1" w:color="auto"/>
          <w:right w:val="single" w:sz="4" w:space="4" w:color="auto"/>
        </w:pBdr>
        <w:tabs>
          <w:tab w:val="left" w:pos="291"/>
          <w:tab w:val="right" w:leader="dot" w:pos="9040"/>
        </w:tabs>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German NIR</w:t>
      </w:r>
      <w:r>
        <w:rPr>
          <w:rFonts w:ascii="Times New Roman" w:hAnsi="Times New Roman" w:cs="Times New Roman"/>
          <w:noProof/>
          <w:color w:val="000000" w:themeColor="text1"/>
          <w:sz w:val="24"/>
          <w:lang w:val="en-IE"/>
        </w:rPr>
        <w:t xml:space="preserve"> assigns each measure to one or more of the following categories: strategies and framework programmes, legislative measures, administrative measures, R&amp;D, procurement of vehicles, establishment of infrastructure, public transport, funding of production fac</w:t>
      </w:r>
      <w:r>
        <w:rPr>
          <w:rFonts w:ascii="Times New Roman" w:hAnsi="Times New Roman" w:cs="Times New Roman"/>
          <w:noProof/>
          <w:color w:val="000000" w:themeColor="text1"/>
          <w:sz w:val="24"/>
          <w:lang w:val="en-IE"/>
        </w:rPr>
        <w:t xml:space="preserve">ilities and other policy measures. For the purpose of this assessment, the following two preliminary steps were executed: (i) each category appearing in the NIR was mapped into a category used for the assessment (refer to the Guidance document provided to </w:t>
      </w:r>
      <w:r>
        <w:rPr>
          <w:rFonts w:ascii="Times New Roman" w:hAnsi="Times New Roman" w:cs="Times New Roman"/>
          <w:noProof/>
          <w:color w:val="000000" w:themeColor="text1"/>
          <w:sz w:val="24"/>
          <w:lang w:val="en-IE"/>
        </w:rPr>
        <w:t>the Member States); (ii) for those measures listed by the NIR as belonging to more than one category, the most appropriate category used for the assessment was chosen. Due to the limited information on budget provided and to the large number of measures li</w:t>
      </w:r>
      <w:r>
        <w:rPr>
          <w:rFonts w:ascii="Times New Roman" w:hAnsi="Times New Roman" w:cs="Times New Roman"/>
          <w:noProof/>
          <w:color w:val="000000" w:themeColor="text1"/>
          <w:sz w:val="24"/>
          <w:lang w:val="en-IE"/>
        </w:rPr>
        <w:t>sted, the clustering of the measures was performed only for the national ones. However, the most salient regional measures (typically those with a reported budget exceeding 10 million €) were taken into account in the final assessment. Finally, the NIR ind</w:t>
      </w:r>
      <w:r>
        <w:rPr>
          <w:rFonts w:ascii="Times New Roman" w:hAnsi="Times New Roman" w:cs="Times New Roman"/>
          <w:noProof/>
          <w:color w:val="000000" w:themeColor="text1"/>
          <w:sz w:val="24"/>
          <w:lang w:val="en-IE"/>
        </w:rPr>
        <w:t xml:space="preserve">icates when a given measure is reported twice (in separate sections) and when an individual measure is part of a package / programme listed separately. In these cases and for the purpose of assigning the overall cluster score and to avoid double counting, </w:t>
      </w:r>
      <w:r>
        <w:rPr>
          <w:rFonts w:ascii="Times New Roman" w:hAnsi="Times New Roman" w:cs="Times New Roman"/>
          <w:noProof/>
          <w:color w:val="000000" w:themeColor="text1"/>
          <w:sz w:val="24"/>
          <w:lang w:val="en-IE"/>
        </w:rPr>
        <w:t>the measure in question was considered once.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 reports a long list of 180 measures. A few of the measures reported in the NIR can be considered packages or programmes consisting of individual measures that are also listed separately with speci</w:t>
      </w:r>
      <w:r>
        <w:rPr>
          <w:rFonts w:ascii="Times New Roman" w:hAnsi="Times New Roman" w:cs="Times New Roman"/>
          <w:noProof/>
          <w:sz w:val="24"/>
          <w:lang w:val="en-IE"/>
        </w:rPr>
        <w:t>fic budgets. An example of this is the “</w:t>
      </w:r>
      <w:r>
        <w:rPr>
          <w:rFonts w:ascii="Times New Roman" w:hAnsi="Times New Roman" w:cs="Times New Roman"/>
          <w:i/>
          <w:noProof/>
          <w:sz w:val="24"/>
          <w:lang w:val="en-IE"/>
        </w:rPr>
        <w:t>Marktanreizpaket Elektromobilität</w:t>
      </w:r>
      <w:r>
        <w:rPr>
          <w:rFonts w:ascii="Times New Roman" w:hAnsi="Times New Roman" w:cs="Times New Roman"/>
          <w:noProof/>
          <w:sz w:val="24"/>
          <w:lang w:val="en-IE"/>
        </w:rPr>
        <w:t xml:space="preserve">” (Market Incentive Programme for Electric Mobility). </w:t>
      </w:r>
      <w:r>
        <w:rPr>
          <w:rFonts w:ascii="Times New Roman" w:hAnsi="Times New Roman" w:cs="Times New Roman"/>
          <w:noProof/>
          <w:color w:val="000000" w:themeColor="text1"/>
          <w:sz w:val="24"/>
          <w:lang w:val="en-IE"/>
        </w:rPr>
        <w:t>The German NIR reports the measures in two lists: national and regional measures</w:t>
      </w:r>
      <w:r>
        <w:rPr>
          <w:rStyle w:val="FootnoteReference"/>
          <w:rFonts w:ascii="Times New Roman" w:hAnsi="Times New Roman" w:cs="Times New Roman"/>
          <w:noProof/>
          <w:color w:val="000000" w:themeColor="text1"/>
          <w:sz w:val="24"/>
          <w:lang w:val="en-IE"/>
        </w:rPr>
        <w:footnoteReference w:id="21"/>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 xml:space="preserve">Although the budget for the regional measures </w:t>
      </w:r>
      <w:r>
        <w:rPr>
          <w:rFonts w:ascii="Times New Roman" w:hAnsi="Times New Roman" w:cs="Times New Roman"/>
          <w:noProof/>
          <w:sz w:val="24"/>
          <w:lang w:val="en-IE"/>
        </w:rPr>
        <w:t>is incomplete, the indicated sum amounts to at least 1 billion €. The following regional measures can be highlighted (with the figure within the square brackets indicating the number of measures listed in the NIR for each region):</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Baden-Württemberg [15]: E</w:t>
      </w:r>
      <w:r>
        <w:rPr>
          <w:rFonts w:ascii="Times New Roman" w:hAnsi="Times New Roman" w:cs="Times New Roman"/>
          <w:noProof/>
          <w:sz w:val="24"/>
          <w:lang w:val="en-IE"/>
        </w:rPr>
        <w:t>lectro-mobility federal state initiatives II and III, with a budget of 50 million € and 83.7 million € respectively;</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Bayern [4]: public transport grants;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Berlin [6]: taxi programme;</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Brandenburg [10]: public transport grants, including for procurement and f</w:t>
      </w:r>
      <w:r>
        <w:rPr>
          <w:rFonts w:ascii="Times New Roman" w:hAnsi="Times New Roman" w:cs="Times New Roman"/>
          <w:noProof/>
          <w:sz w:val="24"/>
          <w:lang w:val="en-IE"/>
        </w:rPr>
        <w:t>or tram and trolleybus infrastructure, with a budget of 65 million €;</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Bremen [3]: public transport electrification;</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Hamburg [10]: public recharging infrastructure deployment and ‘ELectrify Buildings for EVs’ (ELBE) project, with respectively a budget of 27</w:t>
      </w:r>
      <w:r>
        <w:rPr>
          <w:rFonts w:ascii="Times New Roman" w:hAnsi="Times New Roman" w:cs="Times New Roman"/>
          <w:noProof/>
          <w:sz w:val="24"/>
          <w:lang w:val="en-IE"/>
        </w:rPr>
        <w:t xml:space="preserve"> million € and 16 million €;</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Hessen [7]: two electro-mobility support programmes, with a combined budget of 24.3 million €, and electric bus procurement with a budget of 15 million €;</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Mecklenburg-Vorpommern [2]: municipal and business climate support guide</w:t>
      </w:r>
      <w:r>
        <w:rPr>
          <w:rFonts w:ascii="Times New Roman" w:hAnsi="Times New Roman" w:cs="Times New Roman"/>
          <w:noProof/>
          <w:sz w:val="24"/>
          <w:lang w:val="en-IE"/>
        </w:rPr>
        <w:t>lines, including for electricity and hydrogen in road transport, with a budget of 47 million €;</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Niedersachsen [11]: 125 million € for local public transport bus procurement, ca. 278.4 million € for electric railway vehicle procurement and 89 million € for </w:t>
      </w:r>
      <w:r>
        <w:rPr>
          <w:rFonts w:ascii="Times New Roman" w:hAnsi="Times New Roman" w:cs="Times New Roman"/>
          <w:noProof/>
          <w:sz w:val="24"/>
          <w:lang w:val="en-IE"/>
        </w:rPr>
        <w:t>fuel cell railway vehicle procurement and the provision of related refuelling infrastructure;</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Nordrhein-Westfalen [15]: two R&amp;D projects covering fuel cell and battery technology and synthetic and biofuels, with a combined budget of 91.1 million €, and fun</w:t>
      </w:r>
      <w:r>
        <w:rPr>
          <w:rFonts w:ascii="Times New Roman" w:hAnsi="Times New Roman" w:cs="Times New Roman"/>
          <w:noProof/>
          <w:sz w:val="24"/>
          <w:lang w:val="en-IE"/>
        </w:rPr>
        <w:t>ding in the amount of 40 million € for fuel cell vehicle and EV procurement and recharging infrastructure;</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Rheinland-Pfalz [2]: training and information measures;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Saarland [1]: measure under preparation to convert trains to battery-electric railcars; </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Sach</w:t>
      </w:r>
      <w:r>
        <w:rPr>
          <w:rFonts w:ascii="Times New Roman" w:hAnsi="Times New Roman" w:cs="Times New Roman"/>
          <w:noProof/>
          <w:sz w:val="24"/>
          <w:lang w:val="en-IE"/>
        </w:rPr>
        <w:t>sen [4]: vehicle procurement and retrofitting and grants for alternative fuels infrastructure at inland ports;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Sachsen-Anhalt [5]: financial support amounting to 35.7 million € for EV procurement and deployment of recharging infrastructure;</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Schleswig-Holst</w:t>
      </w:r>
      <w:r>
        <w:rPr>
          <w:rFonts w:ascii="Times New Roman" w:hAnsi="Times New Roman" w:cs="Times New Roman"/>
          <w:noProof/>
          <w:sz w:val="24"/>
          <w:lang w:val="en-IE"/>
        </w:rPr>
        <w:t>ein [4]: R&amp;D projects for sustainable logistics;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Thüringen [6]: 14 million € for the procurement of public road transport vehicles powered by electricity and the construction of recharging infrastructure.</w:t>
      </w:r>
    </w:p>
    <w:p w:rsidR="003C43BF" w:rsidRDefault="006C3212">
      <w:pPr>
        <w:tabs>
          <w:tab w:val="left" w:pos="291"/>
          <w:tab w:val="right" w:leader="dot" w:pos="9040"/>
        </w:tabs>
        <w:spacing w:after="120" w:line="240" w:lineRule="auto"/>
        <w:jc w:val="both"/>
        <w:rPr>
          <w:rFonts w:ascii="Times New Roman" w:hAnsi="Times New Roman" w:cs="Times New Roman"/>
          <w:iCs/>
          <w:noProof/>
          <w:sz w:val="24"/>
          <w:lang w:val="en-IE"/>
        </w:rPr>
      </w:pPr>
      <w:r>
        <w:rPr>
          <w:rFonts w:ascii="Times New Roman" w:hAnsi="Times New Roman" w:cs="Times New Roman"/>
          <w:noProof/>
          <w:color w:val="000000" w:themeColor="text1"/>
          <w:sz w:val="24"/>
          <w:lang w:val="en-IE"/>
        </w:rPr>
        <w:t>As in the NPF, the German NIR contains a comprehens</w:t>
      </w:r>
      <w:r>
        <w:rPr>
          <w:rFonts w:ascii="Times New Roman" w:hAnsi="Times New Roman" w:cs="Times New Roman"/>
          <w:noProof/>
          <w:color w:val="000000" w:themeColor="text1"/>
          <w:sz w:val="24"/>
          <w:lang w:val="en-IE"/>
        </w:rPr>
        <w:t xml:space="preserve">ive list of measures already existing or adopted. Information on the budget implications is limited and not available on an annual basis. </w:t>
      </w:r>
      <w:r>
        <w:rPr>
          <w:rFonts w:ascii="Times New Roman" w:hAnsi="Times New Roman" w:cs="Times New Roman"/>
          <w:iCs/>
          <w:noProof/>
          <w:sz w:val="24"/>
          <w:lang w:val="en-IE"/>
        </w:rPr>
        <w:t>The reported measures tend to target a combination of alternative fuels, or of transport modes or both. For those meas</w:t>
      </w:r>
      <w:r>
        <w:rPr>
          <w:rFonts w:ascii="Times New Roman" w:hAnsi="Times New Roman" w:cs="Times New Roman"/>
          <w:iCs/>
          <w:noProof/>
          <w:sz w:val="24"/>
          <w:lang w:val="en-IE"/>
        </w:rPr>
        <w:t xml:space="preserve">ures listed </w:t>
      </w:r>
      <w:r>
        <w:rPr>
          <w:rFonts w:ascii="Times New Roman" w:hAnsi="Times New Roman" w:cs="Times New Roman"/>
          <w:noProof/>
          <w:sz w:val="24"/>
          <w:lang w:val="en-IE"/>
        </w:rPr>
        <w:t xml:space="preserve">as targeting all the alternative fuels, the NIR points out that LPG is generally excluded. </w:t>
      </w:r>
      <w:r>
        <w:rPr>
          <w:rFonts w:ascii="Times New Roman" w:hAnsi="Times New Roman" w:cs="Times New Roman"/>
          <w:iCs/>
          <w:noProof/>
          <w:sz w:val="24"/>
          <w:lang w:val="en-IE"/>
        </w:rPr>
        <w:t>Nonetheless, it is possible to identify twelve AF/transport mode clusters for the quantitative assessment: electricity/road, electricity/rail, electricit</w:t>
      </w:r>
      <w:r>
        <w:rPr>
          <w:rFonts w:ascii="Times New Roman" w:hAnsi="Times New Roman" w:cs="Times New Roman"/>
          <w:iCs/>
          <w:noProof/>
          <w:sz w:val="24"/>
          <w:lang w:val="en-IE"/>
        </w:rPr>
        <w:t>y/water (maritime), electricity/water (inland), electricity/air</w:t>
      </w:r>
      <w:r>
        <w:rPr>
          <w:rStyle w:val="FootnoteReference"/>
          <w:rFonts w:ascii="Times New Roman" w:hAnsi="Times New Roman" w:cs="Times New Roman"/>
          <w:iCs/>
          <w:noProof/>
          <w:sz w:val="24"/>
          <w:lang w:val="en-IE"/>
        </w:rPr>
        <w:footnoteReference w:id="22"/>
      </w:r>
      <w:r>
        <w:rPr>
          <w:rFonts w:ascii="Times New Roman" w:hAnsi="Times New Roman" w:cs="Times New Roman"/>
          <w:iCs/>
          <w:noProof/>
          <w:sz w:val="24"/>
          <w:lang w:val="en-IE"/>
        </w:rPr>
        <w:t>, CNG/road, LNG/road, LNG/water (maritime), LNG/water (inland), hydrogen/road, hydrogen/rail and hydrogen/water (maritime)</w:t>
      </w:r>
      <w:r>
        <w:rPr>
          <w:rStyle w:val="FootnoteReference"/>
          <w:rFonts w:ascii="Times New Roman" w:hAnsi="Times New Roman" w:cs="Times New Roman"/>
          <w:iCs/>
          <w:noProof/>
          <w:sz w:val="24"/>
          <w:lang w:val="en-IE"/>
        </w:rPr>
        <w:footnoteReference w:id="23"/>
      </w:r>
      <w:r>
        <w:rPr>
          <w:rFonts w:ascii="Times New Roman" w:hAnsi="Times New Roman" w:cs="Times New Roman"/>
          <w:iCs/>
          <w:noProof/>
          <w:sz w:val="24"/>
          <w:lang w:val="en-IE"/>
        </w:rPr>
        <w:t xml:space="preserve"> (see </w:t>
      </w:r>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REF _Ref52888804 \h  \* MERGEFORMAT </w:instrText>
      </w:r>
      <w:r>
        <w:rPr>
          <w:rFonts w:ascii="Times New Roman" w:hAnsi="Times New Roman" w:cs="Times New Roman"/>
          <w:iCs/>
          <w:noProof/>
          <w:sz w:val="24"/>
          <w:lang w:val="en-IE"/>
        </w:rPr>
      </w:r>
      <w:r>
        <w:rPr>
          <w:rFonts w:ascii="Times New Roman" w:hAnsi="Times New Roman" w:cs="Times New Roman"/>
          <w:iCs/>
          <w:noProof/>
          <w:sz w:val="24"/>
          <w:lang w:val="en-IE"/>
        </w:rPr>
        <w:fldChar w:fldCharType="separate"/>
      </w:r>
      <w:r w:rsidRPr="006C3212">
        <w:rPr>
          <w:rFonts w:ascii="Times New Roman" w:hAnsi="Times New Roman" w:cs="Times New Roman"/>
          <w:iCs/>
          <w:noProof/>
          <w:color w:val="000000" w:themeColor="text1"/>
          <w:sz w:val="24"/>
          <w:lang w:val="en-IE"/>
        </w:rPr>
        <w:t>Table 5.5.4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iCs/>
          <w:noProof/>
          <w:sz w:val="24"/>
          <w:lang w:val="en-IE"/>
        </w:rPr>
        <w:fldChar w:fldCharType="end"/>
      </w:r>
      <w:r>
        <w:rPr>
          <w:rFonts w:ascii="Times New Roman" w:hAnsi="Times New Roman" w:cs="Times New Roman"/>
          <w:iCs/>
          <w:noProof/>
          <w:sz w:val="24"/>
          <w:lang w:val="en-IE"/>
        </w:rPr>
        <w:t>).</w:t>
      </w:r>
    </w:p>
    <w:p w:rsidR="003C43BF" w:rsidRDefault="003C43BF">
      <w:pPr>
        <w:tabs>
          <w:tab w:val="left" w:pos="291"/>
          <w:tab w:val="right" w:leader="dot" w:pos="9040"/>
        </w:tabs>
        <w:spacing w:after="120" w:line="240" w:lineRule="auto"/>
        <w:jc w:val="both"/>
        <w:rPr>
          <w:rFonts w:ascii="Times New Roman" w:hAnsi="Times New Roman" w:cs="Times New Roman"/>
          <w:noProof/>
          <w:color w:val="000000" w:themeColor="text1"/>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tabs>
          <w:tab w:val="left" w:pos="360"/>
        </w:tabs>
        <w:spacing w:after="120" w:line="240" w:lineRule="auto"/>
        <w:jc w:val="both"/>
        <w:rPr>
          <w:rFonts w:ascii="Times New Roman" w:hAnsi="Times New Roman" w:cs="Times New Roman"/>
          <w:noProof/>
          <w:sz w:val="24"/>
          <w:highlight w:val="yellow"/>
          <w:lang w:val="en-IE"/>
        </w:rPr>
      </w:pPr>
      <w:r>
        <w:rPr>
          <w:rFonts w:ascii="Times New Roman" w:hAnsi="Times New Roman" w:cs="Times New Roman"/>
          <w:noProof/>
          <w:sz w:val="24"/>
          <w:lang w:val="en-IE"/>
        </w:rPr>
        <w:t>The German NIR contains 15 national legal measures, which is almost twice the number of measures identified in the NPF (most of which focused on cooperation with other Member States and consideration of stakeholders’ interests). Eight of the measures targe</w:t>
      </w:r>
      <w:r>
        <w:rPr>
          <w:rFonts w:ascii="Times New Roman" w:hAnsi="Times New Roman" w:cs="Times New Roman"/>
          <w:noProof/>
          <w:sz w:val="24"/>
          <w:lang w:val="en-IE"/>
        </w:rPr>
        <w:t xml:space="preserve">t electricity, six target a combination of alternative fuels and one hydrogen. All the measures were in place during the implementation period and all the transport modes are covered.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all the national legal measures described i</w:t>
      </w:r>
      <w:r>
        <w:rPr>
          <w:rFonts w:ascii="Times New Roman" w:hAnsi="Times New Roman" w:cs="Times New Roman"/>
          <w:noProof/>
          <w:sz w:val="24"/>
          <w:lang w:val="en-IE"/>
        </w:rPr>
        <w:t>n the German NIR, six can be categorised as legislative and regulatory measures (most of them targeting road transport) and include among others:</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Norms &amp; requirements: Charging Point Regulation with a focus on public recharging points; Product Safety Act, </w:t>
      </w:r>
      <w:r>
        <w:rPr>
          <w:rFonts w:ascii="Times New Roman" w:hAnsi="Times New Roman" w:cs="Times New Roman"/>
          <w:noProof/>
          <w:sz w:val="24"/>
          <w:lang w:val="en-IE"/>
        </w:rPr>
        <w:t>transposing technical standards for hydrogen refuelling; amendment to the 10</w:t>
      </w:r>
      <w:r>
        <w:rPr>
          <w:rFonts w:ascii="Times New Roman" w:hAnsi="Times New Roman" w:cs="Times New Roman"/>
          <w:noProof/>
          <w:sz w:val="24"/>
          <w:vertAlign w:val="superscript"/>
          <w:lang w:val="en-IE"/>
        </w:rPr>
        <w:t>th</w:t>
      </w:r>
      <w:r>
        <w:rPr>
          <w:rFonts w:ascii="Times New Roman" w:hAnsi="Times New Roman" w:cs="Times New Roman"/>
          <w:noProof/>
          <w:sz w:val="24"/>
          <w:lang w:val="en-IE"/>
        </w:rPr>
        <w:t xml:space="preserve"> Federal Emissions Control Regulation, transposing labelling requirements; and Amendment to the Energy Industry Act, which also covers technical standards for shore-side electric</w:t>
      </w:r>
      <w:r>
        <w:rPr>
          <w:rFonts w:ascii="Times New Roman" w:hAnsi="Times New Roman" w:cs="Times New Roman"/>
          <w:noProof/>
          <w:sz w:val="24"/>
          <w:lang w:val="en-IE"/>
        </w:rPr>
        <w:t>ity facilities.</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Other: Federal Rail Network Expansion Act, which may include measures for railway electrification.</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all the national legal measures described in the German NIR, nine can be categorised as administrative measures (sub-type “</w:t>
      </w:r>
      <w:r>
        <w:rPr>
          <w:rFonts w:ascii="Times New Roman" w:hAnsi="Times New Roman" w:cs="Times New Roman"/>
          <w:noProof/>
          <w:sz w:val="24"/>
          <w:lang w:val="en-IE"/>
        </w:rPr>
        <w:t>other”). Of these, four were found in the NPF. Taken together, these measures cover road, rail, waterborne transport (particularly inland) or combinations thereof. Four of these measures target electricity and the rest a combination of alternative fuels.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P</w:t>
      </w:r>
      <w:r>
        <w:rPr>
          <w:rFonts w:ascii="Times New Roman" w:hAnsi="Times New Roman" w:cs="Times New Roman"/>
          <w:noProof/>
          <w:sz w:val="24"/>
          <w:lang w:val="en-IE"/>
        </w:rPr>
        <w:t xml:space="preserve">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 contains 14 policy measures at national level, a similar number as identified in the NPF. Four measures no longer explicitly found in the NIR are: fast recharging for highway resting areas, tax incentive for company cars that</w:t>
      </w:r>
      <w:r>
        <w:rPr>
          <w:rFonts w:ascii="Times New Roman" w:hAnsi="Times New Roman" w:cs="Times New Roman"/>
          <w:noProof/>
          <w:sz w:val="24"/>
          <w:lang w:val="en-IE"/>
        </w:rPr>
        <w:t xml:space="preserve"> excludes the battery price, minimum tax rate for shore-side electricity and tax exemption for electricity generated on board of vessels and airplanes. All of the measures reported in the NIR were in place during the implementation period. The majority of </w:t>
      </w:r>
      <w:r>
        <w:rPr>
          <w:rFonts w:ascii="Times New Roman" w:hAnsi="Times New Roman" w:cs="Times New Roman"/>
          <w:noProof/>
          <w:sz w:val="24"/>
          <w:lang w:val="en-IE"/>
        </w:rPr>
        <w:t xml:space="preserve">these measures have a financial nature (though information on the budget is rather limited) and focus on road transport. Half of the measures target a combination of alternative fuels.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all the national</w:t>
      </w:r>
      <w:r>
        <w:rPr>
          <w:rFonts w:ascii="Times New Roman" w:hAnsi="Times New Roman" w:cs="Times New Roman"/>
          <w:noProof/>
          <w:sz w:val="24"/>
          <w:lang w:val="en-IE"/>
        </w:rPr>
        <w:t xml:space="preserve"> policy measures described in the German NIR, eleven can be categorised as measures to ensure national targets and objectives (of which five were found in the NPF). Among these, the following can be highlighted:</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Purchase incentives: environmental premium w</w:t>
      </w:r>
      <w:r>
        <w:rPr>
          <w:rFonts w:ascii="Times New Roman" w:hAnsi="Times New Roman" w:cs="Times New Roman"/>
          <w:noProof/>
          <w:sz w:val="24"/>
          <w:lang w:val="en-IE"/>
        </w:rPr>
        <w:t>ith a budget of 600 million € for the period 2016-2019 to subsidise EV sales;</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Road toll exemptions: Amendment to the Federal Trunk Road Toll Act to exempt electric, fuel cell and natural gas powered HCVs from the “</w:t>
      </w:r>
      <w:r>
        <w:rPr>
          <w:rFonts w:ascii="Times New Roman" w:hAnsi="Times New Roman" w:cs="Times New Roman"/>
          <w:i/>
          <w:noProof/>
          <w:sz w:val="24"/>
          <w:lang w:val="en-IE"/>
        </w:rPr>
        <w:t>LKW-Maut</w:t>
      </w:r>
      <w:r>
        <w:rPr>
          <w:rFonts w:ascii="Times New Roman" w:hAnsi="Times New Roman" w:cs="Times New Roman"/>
          <w:noProof/>
          <w:sz w:val="24"/>
          <w:lang w:val="en-IE"/>
        </w:rPr>
        <w:t>” (HCV toll) scheme.</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Retrofitting:</w:t>
      </w:r>
      <w:r>
        <w:rPr>
          <w:rFonts w:ascii="Times New Roman" w:hAnsi="Times New Roman" w:cs="Times New Roman"/>
          <w:noProof/>
          <w:sz w:val="24"/>
          <w:lang w:val="en-IE"/>
        </w:rPr>
        <w:t xml:space="preserve"> Subsidies for the use of LNG by retrofitting and equipping new seagoing vessels.</w:t>
      </w:r>
    </w:p>
    <w:p w:rsidR="003C43BF" w:rsidRDefault="006C3212">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Preferential lanes/access to restricted areas: Electro-mobility Act establishing preferential treatment for electric vehicles, including fuel cell electric vehicles. At munic</w:t>
      </w:r>
      <w:r>
        <w:rPr>
          <w:rFonts w:ascii="Times New Roman" w:hAnsi="Times New Roman" w:cs="Times New Roman"/>
          <w:noProof/>
          <w:sz w:val="24"/>
          <w:lang w:val="en-IE"/>
        </w:rPr>
        <w:t>ipal level, the NIR reports that 110 municipalities had lowered parking charges for electric road vehicles by May 2018, 3 municipalities had allowed their partial circulation on bus lanes and 2 municipalities had lifted access restrictions.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w:t>
      </w:r>
      <w:r>
        <w:rPr>
          <w:rFonts w:ascii="Times New Roman" w:hAnsi="Times New Roman" w:cs="Times New Roman"/>
          <w:noProof/>
          <w:sz w:val="24"/>
          <w:lang w:val="en-IE"/>
        </w:rPr>
        <w:t>an promote AFI in public 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all the national policy measures described in the German NIR, three can be categorised as measures that can promote AFI in public transport services. All of them are new measures targeting electricity. The NIR</w:t>
      </w:r>
      <w:r>
        <w:rPr>
          <w:rFonts w:ascii="Times New Roman" w:hAnsi="Times New Roman" w:cs="Times New Roman"/>
          <w:noProof/>
          <w:sz w:val="24"/>
          <w:lang w:val="en-IE"/>
        </w:rPr>
        <w:t xml:space="preserve"> lists a national measure on electric bus procurement, including public, and recharging infrastructure in the public road transport network, with a budget of 292 million €. In addition, half of the Federal States are listed to provide financial support for</w:t>
      </w:r>
      <w:r>
        <w:rPr>
          <w:rFonts w:ascii="Times New Roman" w:hAnsi="Times New Roman" w:cs="Times New Roman"/>
          <w:noProof/>
          <w:sz w:val="24"/>
          <w:lang w:val="en-IE"/>
        </w:rPr>
        <w:t xml:space="preserve"> public transport vehicle procurement (for some examples, see the list above). The NIR also lists a national measure to support public transport by rail, to which a budget of 500 million € was allocated. At regional level, in addition to the measures liste</w:t>
      </w:r>
      <w:r>
        <w:rPr>
          <w:rFonts w:ascii="Times New Roman" w:hAnsi="Times New Roman" w:cs="Times New Roman"/>
          <w:noProof/>
          <w:sz w:val="24"/>
          <w:lang w:val="en-IE"/>
        </w:rPr>
        <w:t>d above for several regions and information on future hydrogen train deployment in Hessen (see Section 5.5.3.2.2), the DE NIR indicates that 55 battery-powered railcars will replace diesel railcars in Schleswig-Holstein.</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w:t>
      </w:r>
      <w:r>
        <w:rPr>
          <w:rFonts w:ascii="Times New Roman" w:hAnsi="Times New Roman" w:cs="Times New Roman"/>
          <w:noProof/>
          <w:sz w:val="24"/>
          <w:lang w:val="en-IE"/>
        </w:rPr>
        <w:t>yment of private electro-mobility infrastructure</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No national measure devoted to this aspect was identified in the DE NIR</w:t>
      </w:r>
      <w:r>
        <w:rPr>
          <w:rStyle w:val="FootnoteReference"/>
          <w:rFonts w:ascii="Times New Roman" w:hAnsi="Times New Roman" w:cs="Times New Roman"/>
          <w:noProof/>
          <w:color w:val="000000" w:themeColor="text1"/>
          <w:sz w:val="24"/>
          <w:lang w:val="en-IE"/>
        </w:rPr>
        <w:footnoteReference w:id="24"/>
      </w:r>
      <w:r>
        <w:rPr>
          <w:rFonts w:ascii="Times New Roman" w:hAnsi="Times New Roman" w:cs="Times New Roman"/>
          <w:noProof/>
          <w:color w:val="000000" w:themeColor="text1"/>
          <w:sz w:val="24"/>
          <w:lang w:val="en-IE"/>
        </w:rPr>
        <w:t>. However, the NIR mentions in the context of the “standortTOOL” the possibility of funding in the future jointly used private and comm</w:t>
      </w:r>
      <w:r>
        <w:rPr>
          <w:rFonts w:ascii="Times New Roman" w:hAnsi="Times New Roman" w:cs="Times New Roman"/>
          <w:noProof/>
          <w:color w:val="000000" w:themeColor="text1"/>
          <w:sz w:val="24"/>
          <w:lang w:val="en-IE"/>
        </w:rPr>
        <w:t>ercial recharging infrastructure. At regional level, five measures explicitly mention the deployment of private electro-mobility infrastructure in Bremen, Hamburg, Hessen and Nordrhein-Westfalen.</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color w:val="FF0000"/>
          <w:sz w:val="24"/>
          <w:lang w:val="en-IE"/>
        </w:rPr>
      </w:pPr>
      <w:r>
        <w:rPr>
          <w:rFonts w:ascii="Times New Roman" w:hAnsi="Times New Roman" w:cs="Times New Roman"/>
          <w:noProof/>
          <w:color w:val="000000" w:themeColor="text1"/>
          <w:sz w:val="24"/>
          <w:lang w:val="en-IE"/>
        </w:rPr>
        <w:t xml:space="preserve">The </w:t>
      </w:r>
      <w:r>
        <w:rPr>
          <w:rFonts w:ascii="Times New Roman" w:hAnsi="Times New Roman" w:cs="Times New Roman"/>
          <w:noProof/>
          <w:color w:val="000000" w:themeColor="text1"/>
          <w:sz w:val="24"/>
          <w:lang w:val="en-IE"/>
        </w:rPr>
        <w:t>German NIR reports eight AFI deployment measures, half of which were found in the NPF. They target hydrogen, electricity for road and waterborne transport and combinations of alternative fuels and/or transport modes. All of them were in place during the im</w:t>
      </w:r>
      <w:r>
        <w:rPr>
          <w:rFonts w:ascii="Times New Roman" w:hAnsi="Times New Roman" w:cs="Times New Roman"/>
          <w:noProof/>
          <w:color w:val="000000" w:themeColor="text1"/>
          <w:sz w:val="24"/>
          <w:lang w:val="en-IE"/>
        </w:rPr>
        <w:t>plementation period. Among the measures for which budget information is provided, the following can be highlighted: 300 million € (2017-2020) to install public recharging infrastructure; 250 million € (2016-2019) to inter alia construct hydrogen refuelling</w:t>
      </w:r>
      <w:r>
        <w:rPr>
          <w:rFonts w:ascii="Times New Roman" w:hAnsi="Times New Roman" w:cs="Times New Roman"/>
          <w:noProof/>
          <w:color w:val="000000" w:themeColor="text1"/>
          <w:sz w:val="24"/>
          <w:lang w:val="en-IE"/>
        </w:rPr>
        <w:t xml:space="preserve"> infrastructure and electrolysis units (though it is unclear what fraction of the budget was devoted to AFI deployment only); and 217.5 million € (2015-2019) for investments in alternative fuels infrastructure development.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w:t>
      </w:r>
      <w:r>
        <w:rPr>
          <w:rFonts w:ascii="Times New Roman" w:hAnsi="Times New Roman" w:cs="Times New Roman"/>
          <w:noProof/>
          <w:sz w:val="24"/>
          <w:lang w:val="en-IE"/>
        </w:rPr>
        <w:t>or AF technologies</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German NIR lists five measures to support manufacturing plants for AF technologies, of which one focusing on waterborne transport was found in the NPF. The remaining four deal with electricity for all modes of transport. One of them,</w:t>
      </w:r>
      <w:r>
        <w:rPr>
          <w:rFonts w:ascii="Times New Roman" w:hAnsi="Times New Roman" w:cs="Times New Roman"/>
          <w:noProof/>
          <w:color w:val="000000" w:themeColor="text1"/>
          <w:sz w:val="24"/>
          <w:lang w:val="en-IE"/>
        </w:rPr>
        <w:t xml:space="preserve"> with an estimated budget of 1 billion € for the period 2019-2022, targets battery cell production and the rest are part of the “battery research factory” support scheme, which has a total budget of 500 million € for the same period. All the measures were </w:t>
      </w:r>
      <w:r>
        <w:rPr>
          <w:rFonts w:ascii="Times New Roman" w:hAnsi="Times New Roman" w:cs="Times New Roman"/>
          <w:noProof/>
          <w:color w:val="000000" w:themeColor="text1"/>
          <w:sz w:val="24"/>
          <w:lang w:val="en-IE"/>
        </w:rPr>
        <w:t xml:space="preserve">in place during the implementation period.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German NIR indicates the following: “</w:t>
      </w:r>
      <w:r>
        <w:rPr>
          <w:rFonts w:ascii="Times New Roman" w:hAnsi="Times New Roman" w:cs="Times New Roman"/>
          <w:i/>
          <w:noProof/>
          <w:sz w:val="24"/>
          <w:lang w:val="en-IE"/>
        </w:rPr>
        <w:t>The initial phase of the market introduction of alter</w:t>
      </w:r>
      <w:r>
        <w:rPr>
          <w:rFonts w:ascii="Times New Roman" w:hAnsi="Times New Roman" w:cs="Times New Roman"/>
          <w:i/>
          <w:noProof/>
          <w:sz w:val="24"/>
          <w:lang w:val="en-IE"/>
        </w:rPr>
        <w:t>native drivetrain technologies is a special challenge because sufficiently dense supply infrastructure is a necessary condition for alternative fuels to be broadly accepted by the users. The objective of the measures taken by the Federal Government and the</w:t>
      </w:r>
      <w:r>
        <w:rPr>
          <w:rFonts w:ascii="Times New Roman" w:hAnsi="Times New Roman" w:cs="Times New Roman"/>
          <w:i/>
          <w:noProof/>
          <w:sz w:val="24"/>
          <w:lang w:val="en-IE"/>
        </w:rPr>
        <w:t xml:space="preserve"> federal states is to overcome this barrier while ensuring European interoperability through uniform standards</w:t>
      </w:r>
      <w:r>
        <w:rPr>
          <w:rFonts w:ascii="Times New Roman" w:hAnsi="Times New Roman" w:cs="Times New Roman"/>
          <w:noProof/>
          <w:sz w:val="24"/>
          <w:lang w:val="en-IE"/>
        </w:rPr>
        <w:t>”.</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REF _Ref52888804 \h  \* MERGEFORMAT </w:instrText>
      </w:r>
      <w:r>
        <w:rPr>
          <w:rFonts w:ascii="Times New Roman" w:hAnsi="Times New Roman" w:cs="Times New Roman"/>
          <w:iCs/>
          <w:noProof/>
          <w:sz w:val="24"/>
          <w:lang w:val="en-IE"/>
        </w:rPr>
      </w:r>
      <w:r>
        <w:rPr>
          <w:rFonts w:ascii="Times New Roman" w:hAnsi="Times New Roman" w:cs="Times New Roman"/>
          <w:iCs/>
          <w:noProof/>
          <w:sz w:val="24"/>
          <w:lang w:val="en-IE"/>
        </w:rPr>
        <w:fldChar w:fldCharType="separate"/>
      </w:r>
      <w:r w:rsidRPr="006C3212">
        <w:rPr>
          <w:rFonts w:ascii="Times New Roman" w:hAnsi="Times New Roman" w:cs="Times New Roman"/>
          <w:iCs/>
          <w:noProof/>
          <w:color w:val="000000" w:themeColor="text1"/>
          <w:sz w:val="24"/>
          <w:lang w:val="en-IE"/>
        </w:rPr>
        <w:t>Table 5.5.4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iCs/>
          <w:noProof/>
          <w:sz w:val="24"/>
          <w:lang w:val="en-IE"/>
        </w:rPr>
        <w:fldChar w:fldCharType="end"/>
      </w:r>
      <w:r>
        <w:rPr>
          <w:rFonts w:ascii="Times New Roman" w:hAnsi="Times New Roman" w:cs="Times New Roman"/>
          <w:iCs/>
          <w:noProof/>
          <w:sz w:val="24"/>
          <w:lang w:val="en-IE"/>
        </w:rPr>
        <w:t xml:space="preserve"> </w:t>
      </w:r>
      <w:r>
        <w:rPr>
          <w:rFonts w:ascii="Times New Roman" w:hAnsi="Times New Roman" w:cs="Times New Roman"/>
          <w:noProof/>
          <w:sz w:val="24"/>
          <w:lang w:val="en-IE"/>
        </w:rPr>
        <w:t xml:space="preserve">presents an analysis of all the national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cluste</w:t>
      </w:r>
      <w:r>
        <w:rPr>
          <w:rFonts w:ascii="Times New Roman" w:hAnsi="Times New Roman" w:cs="Times New Roman"/>
          <w:noProof/>
          <w:sz w:val="24"/>
          <w:lang w:val="en-IE"/>
        </w:rPr>
        <w:t>rs of measures could be identified in the German NIR on electricity, CNG, LNG and hydrogen for road transport, electricity and hydrogen for rail transport, electricity and LNG for inland waterborne transport, electricity, LNG and hydrogen for maritime wate</w:t>
      </w:r>
      <w:r>
        <w:rPr>
          <w:rFonts w:ascii="Times New Roman" w:hAnsi="Times New Roman" w:cs="Times New Roman"/>
          <w:noProof/>
          <w:sz w:val="24"/>
          <w:lang w:val="en-IE"/>
        </w:rPr>
        <w:t xml:space="preserve">rborne transport and electricity for air transport. </w:t>
      </w:r>
    </w:p>
    <w:p w:rsidR="003C43BF" w:rsidRDefault="006C3212">
      <w:pPr>
        <w:pStyle w:val="Text1"/>
        <w:tabs>
          <w:tab w:val="left" w:pos="720"/>
        </w:tabs>
        <w:spacing w:after="160"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The electricity/road and hydrogen/road clusters are the only ones with a high score; the rest of the clusters involving road and rail receive a medium score; the clusters related to waterborne and air tr</w:t>
      </w:r>
      <w:r>
        <w:rPr>
          <w:rFonts w:ascii="Times New Roman" w:hAnsi="Times New Roman" w:cs="Times New Roman"/>
          <w:noProof/>
          <w:sz w:val="24"/>
          <w:lang w:val="en-IE"/>
        </w:rPr>
        <w:t>ansport have a low score. All the clusters, with the exception of electricity/air and hydrogen/water (maritime), can be considered comprehensive. In terms of expected impact of these measures to support the realisation of the AFV/AFI objectives as presente</w:t>
      </w:r>
      <w:r>
        <w:rPr>
          <w:rFonts w:ascii="Times New Roman" w:hAnsi="Times New Roman" w:cs="Times New Roman"/>
          <w:noProof/>
          <w:sz w:val="24"/>
          <w:lang w:val="en-IE"/>
        </w:rPr>
        <w:t>d in the NPF and revised in the NIR, the lack of future targets and estimates does not facilitate the task of putting this assessment into perspective. Based on the impact seen during the implementation period, it can be said that in the future the measure</w:t>
      </w:r>
      <w:r>
        <w:rPr>
          <w:rFonts w:ascii="Times New Roman" w:hAnsi="Times New Roman" w:cs="Times New Roman"/>
          <w:noProof/>
          <w:sz w:val="24"/>
          <w:lang w:val="en-IE"/>
        </w:rPr>
        <w:t>s for the pairs electricity/road and hydrogen/road are expected to have a high impact, those for the pairs electricity/rail, CNG/road, LNG/road and hydrogen/rail might have a medium impact while all the other measures should have a low impact. However, a c</w:t>
      </w:r>
      <w:r>
        <w:rPr>
          <w:rFonts w:ascii="Times New Roman" w:hAnsi="Times New Roman" w:cs="Times New Roman"/>
          <w:noProof/>
          <w:sz w:val="24"/>
          <w:lang w:val="en-IE"/>
        </w:rPr>
        <w:t>aveat is due: because most of these clusters are the result of adding measures that target a combination of alternative fuels and/or transport modes and information on budget is limited, the possibility cannot be ruled out that budget competition in practi</w:t>
      </w:r>
      <w:r>
        <w:rPr>
          <w:rFonts w:ascii="Times New Roman" w:hAnsi="Times New Roman" w:cs="Times New Roman"/>
          <w:noProof/>
          <w:sz w:val="24"/>
          <w:lang w:val="en-IE"/>
        </w:rPr>
        <w:t>ce might constrain the overall impact of certain clusters.</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Compared to the NPF, the level of ambition of the Policy and Deployment &amp; Manufacturing support measures has increased for all the identified clusters.</w:t>
      </w:r>
    </w:p>
    <w:p w:rsidR="003C43BF" w:rsidRDefault="006C3212">
      <w:pPr>
        <w:jc w:val="both"/>
        <w:rPr>
          <w:rFonts w:ascii="Times New Roman" w:eastAsia="Calibri" w:hAnsi="Times New Roman" w:cs="Times New Roman"/>
          <w:noProof/>
          <w:color w:val="7030A0"/>
          <w:sz w:val="24"/>
          <w:lang w:val="en-IE"/>
        </w:rPr>
      </w:pPr>
      <w:bookmarkStart w:id="140" w:name="_Ref52888804"/>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5.5.4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w:instrText>
      </w:r>
      <w:r>
        <w:rPr>
          <w:rFonts w:ascii="Times New Roman" w:hAnsi="Times New Roman" w:cs="Times New Roman"/>
          <w:i/>
          <w:iCs/>
          <w:noProof/>
          <w:color w:val="000000" w:themeColor="text1"/>
          <w:sz w:val="20"/>
          <w:szCs w:val="18"/>
          <w:lang w:val="en-IE"/>
        </w:rPr>
        <w:instrText xml:space="preserve">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40"/>
      <w:r>
        <w:rPr>
          <w:rFonts w:ascii="Times New Roman" w:hAnsi="Times New Roman" w:cs="Times New Roman"/>
          <w:noProof/>
          <w:sz w:val="24"/>
          <w:lang w:val="en-IE"/>
        </w:rPr>
        <w:t xml:space="preserve"> </w:t>
      </w:r>
      <w:r>
        <w:rPr>
          <w:rFonts w:ascii="Times New Roman" w:hAnsi="Times New Roman" w:cs="Times New Roman"/>
          <w:i/>
          <w:noProof/>
          <w:sz w:val="20"/>
          <w:lang w:val="en-IE"/>
        </w:rPr>
        <w:t>Quantitative assessment of Policy and Deployment &amp; Manufacturing support measures</w:t>
      </w:r>
      <w:r>
        <w:rPr>
          <w:rFonts w:ascii="Times New Roman" w:hAnsi="Times New Roman" w:cs="Times New Roman"/>
          <w:noProof/>
          <w:sz w:val="20"/>
          <w:lang w:val="en-IE"/>
        </w:rPr>
        <w:t xml:space="preserve"> </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944235" cy="2127885"/>
            <wp:effectExtent l="0" t="0" r="0" b="571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4235" cy="2127885"/>
                    </a:xfrm>
                    <a:prstGeom prst="rect">
                      <a:avLst/>
                    </a:prstGeom>
                    <a:noFill/>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rsidR="003C43BF" w:rsidRDefault="003C43BF">
      <w:pPr>
        <w:jc w:val="both"/>
        <w:rPr>
          <w:rFonts w:ascii="Times New Roman" w:eastAsia="Calibri" w:hAnsi="Times New Roman" w:cs="Times New Roman"/>
          <w:noProof/>
          <w:sz w:val="20"/>
          <w:szCs w:val="18"/>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w:t>
      </w:r>
      <w:r>
        <w:rPr>
          <w:rFonts w:ascii="Times New Roman" w:hAnsi="Times New Roman" w:cs="Times New Roman"/>
          <w:noProof/>
          <w:sz w:val="24"/>
          <w:lang w:val="en-IE"/>
        </w:rPr>
        <w:t>ration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contains 67 RTD&amp;D projects, which represents a significant increase compared to the 17 RTD&amp;D projects identified in the NPF. Of those, 33 are national RTD&amp;D projects and 34 regional ones. All the national RTD&amp;D projects were in place </w:t>
      </w:r>
      <w:r>
        <w:rPr>
          <w:rFonts w:ascii="Times New Roman" w:hAnsi="Times New Roman" w:cs="Times New Roman"/>
          <w:noProof/>
          <w:sz w:val="24"/>
          <w:lang w:val="en-IE"/>
        </w:rPr>
        <w:t>during the implementation period, with 15% of them having expired by 2019. Over half of the national RTD&amp;D projects described in the NIR are applicable to more than one transport mode. Almost 40% of the national RTD&amp;D projects refer to road transport only,</w:t>
      </w:r>
      <w:r>
        <w:rPr>
          <w:rFonts w:ascii="Times New Roman" w:hAnsi="Times New Roman" w:cs="Times New Roman"/>
          <w:noProof/>
          <w:sz w:val="24"/>
          <w:lang w:val="en-IE"/>
        </w:rPr>
        <w:t xml:space="preserve"> with the vast majority of these targeting electricity. The NIR also lists national projects dedicated to waterborne and air transport, targeting a combination of fuels. RTD&amp;D projects are also reported for biofuels and synthetic and paraffinic fuels, incl</w:t>
      </w:r>
      <w:r>
        <w:rPr>
          <w:rFonts w:ascii="Times New Roman" w:hAnsi="Times New Roman" w:cs="Times New Roman"/>
          <w:noProof/>
          <w:sz w:val="24"/>
          <w:lang w:val="en-IE"/>
        </w:rPr>
        <w:t xml:space="preserve">uding synthetic kerosene.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Among the list of national RTD&amp;D projects, the National Hydrogen and Fuel Cell Technology Innovation Programme (NIP; phases I and II), with a budget of over 1 billion €, and funding for R&amp;D in the field of electro-mobility, with </w:t>
      </w:r>
      <w:r>
        <w:rPr>
          <w:rFonts w:ascii="Times New Roman" w:hAnsi="Times New Roman" w:cs="Times New Roman"/>
          <w:noProof/>
          <w:sz w:val="24"/>
          <w:lang w:val="en-IE"/>
        </w:rPr>
        <w:t>a budget of up to 380.5 million € (2017-2020), can be singled out. For the “battery research factory”, see Section 5.5.4.3.2.</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acknowledges that annual budget values could not be reported on the ground that some projects go beyond alternative fuels,</w:t>
      </w:r>
      <w:r>
        <w:rPr>
          <w:rFonts w:ascii="Times New Roman" w:hAnsi="Times New Roman" w:cs="Times New Roman"/>
          <w:noProof/>
          <w:sz w:val="24"/>
          <w:lang w:val="en-IE"/>
        </w:rPr>
        <w:t xml:space="preserve"> so total budget figures are provided in their stead, though not for all the projects listed (in fact, budget information is not available for 27% of the reported national RTD&amp;D projects). For projects where budget is reported, the total estimated budget a</w:t>
      </w:r>
      <w:r>
        <w:rPr>
          <w:rFonts w:ascii="Times New Roman" w:hAnsi="Times New Roman" w:cs="Times New Roman"/>
          <w:noProof/>
          <w:sz w:val="24"/>
          <w:lang w:val="en-IE"/>
        </w:rPr>
        <w:t xml:space="preserve">mounts to 2.8 billion € for the period 2006-2023 (for those projects that started in 2017 or later, the estimated value is 1 billion €). Information on the type of funding and, for some projects, the length of the project, is not provided. </w:t>
      </w:r>
    </w:p>
    <w:p w:rsidR="003C43BF" w:rsidRDefault="003C43BF">
      <w:pPr>
        <w:spacing w:after="120" w:line="240" w:lineRule="auto"/>
        <w:jc w:val="both"/>
        <w:rPr>
          <w:rFonts w:ascii="Times New Roman" w:hAnsi="Times New Roman" w:cs="Times New Roman"/>
          <w:noProof/>
          <w:color w:val="000000" w:themeColor="text1"/>
          <w:sz w:val="24"/>
          <w:lang w:val="en-IE"/>
        </w:rPr>
      </w:pPr>
    </w:p>
    <w:p w:rsidR="003C43BF" w:rsidRDefault="006C3212">
      <w:pPr>
        <w:pStyle w:val="Heading3"/>
        <w:ind w:left="720"/>
        <w:rPr>
          <w:rFonts w:ascii="Times New Roman" w:hAnsi="Times New Roman" w:cs="Times New Roman"/>
          <w:noProof/>
          <w:sz w:val="24"/>
          <w:lang w:val="en-IE"/>
        </w:rPr>
      </w:pPr>
      <w:bookmarkStart w:id="141" w:name="_Toc55301784"/>
      <w:bookmarkStart w:id="142" w:name="_Toc56944130"/>
      <w:r>
        <w:rPr>
          <w:rFonts w:ascii="Times New Roman" w:hAnsi="Times New Roman" w:cs="Times New Roman"/>
          <w:noProof/>
          <w:sz w:val="24"/>
          <w:lang w:val="en-IE"/>
        </w:rPr>
        <w:t>Additional inf</w:t>
      </w:r>
      <w:r>
        <w:rPr>
          <w:rFonts w:ascii="Times New Roman" w:hAnsi="Times New Roman" w:cs="Times New Roman"/>
          <w:noProof/>
          <w:sz w:val="24"/>
          <w:lang w:val="en-IE"/>
        </w:rPr>
        <w:t>ormation on alternative fuels infrastructure developments</w:t>
      </w:r>
      <w:bookmarkEnd w:id="141"/>
      <w:bookmarkEnd w:id="142"/>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DE NIR.</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143" w:name="_Toc55301785"/>
      <w:bookmarkStart w:id="144" w:name="_Toc56944131"/>
      <w:r>
        <w:rPr>
          <w:rFonts w:ascii="Times New Roman" w:hAnsi="Times New Roman" w:cs="Times New Roman"/>
          <w:noProof/>
          <w:sz w:val="24"/>
          <w:lang w:val="en-IE"/>
        </w:rPr>
        <w:t>Summary of the assessment</w:t>
      </w:r>
      <w:bookmarkEnd w:id="143"/>
      <w:bookmarkEnd w:id="144"/>
      <w:r>
        <w:rPr>
          <w:rFonts w:ascii="Times New Roman" w:hAnsi="Times New Roman" w:cs="Times New Roman"/>
          <w:noProof/>
          <w:sz w:val="24"/>
          <w:lang w:val="en-IE"/>
        </w:rPr>
        <w:tab/>
      </w:r>
    </w:p>
    <w:p w:rsidR="003C43BF" w:rsidRDefault="006C3212">
      <w:pPr>
        <w:spacing w:after="120" w:line="240" w:lineRule="auto"/>
        <w:rPr>
          <w:rFonts w:ascii="Times New Roman" w:hAnsi="Times New Roman" w:cs="Times New Roman"/>
          <w:b/>
          <w:noProof/>
          <w:sz w:val="24"/>
          <w:lang w:val="en-IE"/>
        </w:rPr>
      </w:pPr>
      <w:r>
        <w:rPr>
          <w:rFonts w:ascii="Times New Roman" w:hAnsi="Times New Roman" w:cs="Times New Roman"/>
          <w:b/>
          <w:noProof/>
          <w:sz w:val="24"/>
          <w:lang w:val="en-IE"/>
        </w:rPr>
        <w:t>Tabular overview</w:t>
      </w:r>
    </w:p>
    <w:p w:rsidR="003C43BF" w:rsidRDefault="006C3212">
      <w:pPr>
        <w:pStyle w:val="Caption"/>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5.5.6</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Overview of the NIR assessment</w:t>
      </w:r>
    </w:p>
    <w:p w:rsidR="003C43BF" w:rsidRDefault="006C3212">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388937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4235" cy="3889375"/>
                    </a:xfrm>
                    <a:prstGeom prst="rect">
                      <a:avLst/>
                    </a:prstGeom>
                    <a:noFill/>
                  </pic:spPr>
                </pic:pic>
              </a:graphicData>
            </a:graphic>
          </wp:inline>
        </w:drawing>
      </w:r>
    </w:p>
    <w:p w:rsidR="003C43BF" w:rsidRDefault="006C3212">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Text1"/>
        <w:tabs>
          <w:tab w:val="left" w:pos="720"/>
        </w:tabs>
        <w:spacing w:after="0" w:line="240" w:lineRule="auto"/>
        <w:ind w:left="0"/>
        <w:jc w:val="both"/>
        <w:rPr>
          <w:rFonts w:ascii="Times New Roman" w:hAnsi="Times New Roman" w:cs="Times New Roman"/>
          <w:noProof/>
          <w:color w:val="000000" w:themeColor="text1"/>
          <w:sz w:val="20"/>
          <w:lang w:val="en-IE"/>
        </w:rPr>
      </w:pPr>
      <w:r>
        <w:rPr>
          <w:rFonts w:ascii="Times New Roman" w:hAnsi="Times New Roman" w:cs="Times New Roman"/>
          <w:noProof/>
          <w:color w:val="000000" w:themeColor="text1"/>
          <w:sz w:val="20"/>
          <w:lang w:val="en-IE"/>
        </w:rPr>
        <w:t xml:space="preserve">*The NIR </w:t>
      </w:r>
      <w:r>
        <w:rPr>
          <w:rFonts w:ascii="Times New Roman" w:hAnsi="Times New Roman" w:cs="Times New Roman"/>
          <w:noProof/>
          <w:color w:val="000000" w:themeColor="text1"/>
          <w:sz w:val="20"/>
          <w:lang w:val="en-IE"/>
        </w:rPr>
        <w:t>expects that between 7 and 10 million electric passenger cars will be in use by 2030 (see Section 5.5.3.1.1 for information on other vehicle types). **The values refer to stationary shore-to-ship facilities (i.e. bunkering stations) (see Section 5.5.3.3.2)</w:t>
      </w:r>
      <w:r>
        <w:rPr>
          <w:rFonts w:ascii="Times New Roman" w:hAnsi="Times New Roman" w:cs="Times New Roman"/>
          <w:noProof/>
          <w:color w:val="000000" w:themeColor="text1"/>
          <w:sz w:val="20"/>
          <w:lang w:val="en-IE"/>
        </w:rPr>
        <w:t>.</w:t>
      </w:r>
    </w:p>
    <w:p w:rsidR="003C43BF" w:rsidRDefault="003C43BF">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After the adoption of the “</w:t>
      </w:r>
      <w:r>
        <w:rPr>
          <w:rFonts w:ascii="Times New Roman" w:hAnsi="Times New Roman" w:cs="Times New Roman"/>
          <w:i/>
          <w:noProof/>
          <w:color w:val="000000" w:themeColor="text1"/>
          <w:sz w:val="24"/>
          <w:lang w:val="en-IE"/>
        </w:rPr>
        <w:t>Klimaschutzgesetz</w:t>
      </w:r>
      <w:r>
        <w:rPr>
          <w:rFonts w:ascii="Times New Roman" w:hAnsi="Times New Roman" w:cs="Times New Roman"/>
          <w:noProof/>
          <w:color w:val="000000" w:themeColor="text1"/>
          <w:sz w:val="24"/>
          <w:lang w:val="en-IE"/>
        </w:rPr>
        <w:t>” (Climate Change Act), the German government is committed to reducing 95 million tonnes of CO</w:t>
      </w:r>
      <w:r>
        <w:rPr>
          <w:rFonts w:ascii="Times New Roman" w:hAnsi="Times New Roman" w:cs="Times New Roman"/>
          <w:noProof/>
          <w:color w:val="000000" w:themeColor="text1"/>
          <w:sz w:val="24"/>
          <w:vertAlign w:val="subscript"/>
          <w:lang w:val="en-IE"/>
        </w:rPr>
        <w:t>2</w:t>
      </w:r>
      <w:r>
        <w:rPr>
          <w:rFonts w:ascii="Times New Roman" w:hAnsi="Times New Roman" w:cs="Times New Roman"/>
          <w:noProof/>
          <w:color w:val="000000" w:themeColor="text1"/>
          <w:sz w:val="24"/>
          <w:lang w:val="en-IE"/>
        </w:rPr>
        <w:t xml:space="preserve"> transport emissions by 2030 and achieving GHG neutrality by 2050. The government of Germany stresses that it is pursuing a technology-neutral approach for the uptake of alternative fuel technology, while it considers that the most energy-efficient and cli</w:t>
      </w:r>
      <w:r>
        <w:rPr>
          <w:rFonts w:ascii="Times New Roman" w:hAnsi="Times New Roman" w:cs="Times New Roman"/>
          <w:noProof/>
          <w:color w:val="000000" w:themeColor="text1"/>
          <w:sz w:val="24"/>
          <w:lang w:val="en-IE"/>
        </w:rPr>
        <w:t>mate-friendly option should prevail. Furthermore, the German government has introduced the following initiatives in recent years: “</w:t>
      </w:r>
      <w:r>
        <w:rPr>
          <w:rFonts w:ascii="Times New Roman" w:hAnsi="Times New Roman" w:cs="Times New Roman"/>
          <w:i/>
          <w:noProof/>
          <w:color w:val="000000" w:themeColor="text1"/>
          <w:sz w:val="24"/>
          <w:lang w:val="en-IE"/>
        </w:rPr>
        <w:t>Klimaschutzprogramm 2030</w:t>
      </w:r>
      <w:r>
        <w:rPr>
          <w:rFonts w:ascii="Times New Roman" w:hAnsi="Times New Roman" w:cs="Times New Roman"/>
          <w:noProof/>
          <w:color w:val="000000" w:themeColor="text1"/>
          <w:sz w:val="24"/>
          <w:lang w:val="en-IE"/>
        </w:rPr>
        <w:t>” (2030 Climate Change Programme), “</w:t>
      </w:r>
      <w:r>
        <w:rPr>
          <w:rFonts w:ascii="Times New Roman" w:hAnsi="Times New Roman" w:cs="Times New Roman"/>
          <w:i/>
          <w:noProof/>
          <w:color w:val="000000" w:themeColor="text1"/>
          <w:sz w:val="24"/>
          <w:lang w:val="en-IE"/>
        </w:rPr>
        <w:t>Mobilitäts- und Kraftstoffstrategie</w:t>
      </w:r>
      <w:r>
        <w:rPr>
          <w:rFonts w:ascii="Times New Roman" w:hAnsi="Times New Roman" w:cs="Times New Roman"/>
          <w:noProof/>
          <w:color w:val="000000" w:themeColor="text1"/>
          <w:sz w:val="24"/>
          <w:lang w:val="en-IE"/>
        </w:rPr>
        <w:t xml:space="preserve"> (MKS)” (Mobility and Fuels St</w:t>
      </w:r>
      <w:r>
        <w:rPr>
          <w:rFonts w:ascii="Times New Roman" w:hAnsi="Times New Roman" w:cs="Times New Roman"/>
          <w:noProof/>
          <w:color w:val="000000" w:themeColor="text1"/>
          <w:sz w:val="24"/>
          <w:lang w:val="en-IE"/>
        </w:rPr>
        <w:t>rategy), “</w:t>
      </w:r>
      <w:r>
        <w:rPr>
          <w:rFonts w:ascii="Times New Roman" w:hAnsi="Times New Roman" w:cs="Times New Roman"/>
          <w:i/>
          <w:noProof/>
          <w:color w:val="000000" w:themeColor="text1"/>
          <w:sz w:val="24"/>
          <w:lang w:val="en-IE"/>
        </w:rPr>
        <w:t>Marktanreizpaket Elektromobilität</w:t>
      </w:r>
      <w:r>
        <w:rPr>
          <w:rFonts w:ascii="Times New Roman" w:hAnsi="Times New Roman" w:cs="Times New Roman"/>
          <w:noProof/>
          <w:color w:val="000000" w:themeColor="text1"/>
          <w:sz w:val="24"/>
          <w:lang w:val="en-IE"/>
        </w:rPr>
        <w:t>” (Market Incentive Programme for Electric Mobility), “</w:t>
      </w:r>
      <w:r>
        <w:rPr>
          <w:rFonts w:ascii="Times New Roman" w:hAnsi="Times New Roman" w:cs="Times New Roman"/>
          <w:i/>
          <w:noProof/>
          <w:color w:val="000000" w:themeColor="text1"/>
          <w:sz w:val="24"/>
          <w:lang w:val="en-IE"/>
        </w:rPr>
        <w:t>Sofortprogramm Saubere Luft 2017-2020</w:t>
      </w:r>
      <w:r>
        <w:rPr>
          <w:rFonts w:ascii="Times New Roman" w:hAnsi="Times New Roman" w:cs="Times New Roman"/>
          <w:noProof/>
          <w:color w:val="000000" w:themeColor="text1"/>
          <w:sz w:val="24"/>
          <w:lang w:val="en-IE"/>
        </w:rPr>
        <w:t>” (2017-2020 Immediate Action Programme for Clean Air) and the research agenda “Sustainable urban mobility”.</w:t>
      </w:r>
    </w:p>
    <w:p w:rsidR="003C43BF" w:rsidRDefault="006C3212">
      <w:pPr>
        <w:tabs>
          <w:tab w:val="left" w:pos="966"/>
        </w:tabs>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 xml:space="preserve">Compared to </w:t>
      </w:r>
      <w:r>
        <w:rPr>
          <w:rFonts w:ascii="Times New Roman" w:hAnsi="Times New Roman" w:cs="Times New Roman"/>
          <w:noProof/>
          <w:sz w:val="24"/>
          <w:lang w:val="en-IE"/>
        </w:rPr>
        <w:t>the German NPF that fulfilled many but not all of the requirements of Article 3 of the Directive, the NIR fully addresses the requirements of Annex I of the Directive. However, it cannot be stated that the German NIR covers the whole AFID period (2016-2030</w:t>
      </w:r>
      <w:r>
        <w:rPr>
          <w:rFonts w:ascii="Times New Roman" w:hAnsi="Times New Roman" w:cs="Times New Roman"/>
          <w:noProof/>
          <w:sz w:val="24"/>
          <w:lang w:val="en-IE"/>
        </w:rPr>
        <w:t>), for it lacks infrastructure targets and vehicle estimates for several alternative fuels.</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German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w:t>
      </w:r>
      <w:r>
        <w:rPr>
          <w:rFonts w:ascii="Times New Roman" w:hAnsi="Times New Roman" w:cs="Times New Roman"/>
          <w:noProof/>
          <w:sz w:val="24"/>
          <w:lang w:val="en-IE"/>
        </w:rPr>
        <w:t>rt</w:t>
      </w:r>
    </w:p>
    <w:p w:rsidR="003C43BF" w:rsidRDefault="006C3212">
      <w:pPr>
        <w:pStyle w:val="Text1"/>
        <w:numPr>
          <w:ilvl w:val="0"/>
          <w:numId w:val="55"/>
        </w:numPr>
        <w:tabs>
          <w:tab w:val="left" w:pos="720"/>
        </w:tabs>
        <w:spacing w:after="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 2018, Germany recorded 164,268 light-duty EVs, 298 heavy-duty vehicles and 17,245 publicly accessible recharging points. With reference to the objectives of the DE NPF as updated by the NIR, Germany is progressing adequately in both veh</w:t>
      </w:r>
      <w:r>
        <w:rPr>
          <w:rFonts w:ascii="Times New Roman" w:hAnsi="Times New Roman" w:cs="Times New Roman"/>
          <w:noProof/>
          <w:sz w:val="24"/>
          <w:lang w:val="en-IE"/>
        </w:rPr>
        <w:t>icles and infrastructure uptake. The NIR expects one million publicly accessible recharging points to provide electricity to 8.5 million EVs in 2030. The NIR does not provide recharging points targets / EV estimates for 2025.</w:t>
      </w:r>
    </w:p>
    <w:p w:rsidR="003C43BF" w:rsidRDefault="006C3212">
      <w:pPr>
        <w:pStyle w:val="ListParagraph"/>
        <w:numPr>
          <w:ilvl w:val="0"/>
          <w:numId w:val="54"/>
        </w:numPr>
        <w:tabs>
          <w:tab w:val="left" w:pos="966"/>
        </w:tabs>
        <w:spacing w:after="24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In 2018, Germany recorde</w:t>
      </w:r>
      <w:r>
        <w:rPr>
          <w:rFonts w:ascii="Times New Roman" w:hAnsi="Times New Roman" w:cs="Times New Roman"/>
          <w:noProof/>
          <w:sz w:val="24"/>
          <w:lang w:val="en-IE"/>
        </w:rPr>
        <w:t>d 78,251 CNG vehicles, the majority of which were passenger cars, and 862 publicly accessible CNG refuelling points. Both the NPF and NIR lacked future targets for publicly accessible CNG refuelling points and CNG vehicle estimates. Due to this, the progre</w:t>
      </w:r>
      <w:r>
        <w:rPr>
          <w:rFonts w:ascii="Times New Roman" w:hAnsi="Times New Roman" w:cs="Times New Roman"/>
          <w:noProof/>
          <w:sz w:val="24"/>
          <w:lang w:val="en-IE"/>
        </w:rPr>
        <w:t>ss could not be computed. Notwithstanding, the DE NIR expects CNG technology to play an important role for HCVs.</w:t>
      </w:r>
    </w:p>
    <w:p w:rsidR="003C43BF" w:rsidRDefault="006C3212">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In 2018, Germany recorded seven LNG vehicles and four publicly accessible LNG refuelling points. Both the NPF and NIR lacked future LNG v</w:t>
      </w:r>
      <w:r>
        <w:rPr>
          <w:rFonts w:ascii="Times New Roman" w:hAnsi="Times New Roman" w:cs="Times New Roman"/>
          <w:noProof/>
          <w:sz w:val="24"/>
          <w:lang w:val="en-IE"/>
        </w:rPr>
        <w:t>ehicle estimates. Nonetheless, the NIR expects LNG technology to play a more prominent role for HCVs. In line with the NPF, the NIR expects that a minimum of 9 LNG refuelling points will be available for HCVs by 2025.</w:t>
      </w:r>
    </w:p>
    <w:p w:rsidR="003C43BF" w:rsidRDefault="006C3212">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In 2018, Germany recorded 378 fuel cell vehicles, of which 11 were buses and the rest passenger cars, and 66 publicly accessible hydrogen refuelling points. Both the NPF and NIR lacked future hydrogen vehicle estimates, but in terms of infrastructure th</w:t>
      </w:r>
      <w:r>
        <w:rPr>
          <w:rFonts w:ascii="Times New Roman" w:hAnsi="Times New Roman" w:cs="Times New Roman"/>
          <w:noProof/>
          <w:sz w:val="24"/>
          <w:lang w:val="en-IE"/>
        </w:rPr>
        <w:t>e DE NIR expects that 400 publicly accessible hydrogen refuelling points will be in operation in 2025.</w:t>
      </w:r>
    </w:p>
    <w:p w:rsidR="003C43BF" w:rsidRDefault="006C3212">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color w:val="000000" w:themeColor="text1"/>
          <w:sz w:val="24"/>
          <w:lang w:val="en-IE"/>
        </w:rPr>
        <w:t>Biofuels</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 There was no information on road vehicles powered by biofuels and related infrastructure in the NIR.</w:t>
      </w:r>
    </w:p>
    <w:p w:rsidR="003C43BF" w:rsidRDefault="006C3212">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In 2018, Germany recorded 213,718 L</w:t>
      </w:r>
      <w:r>
        <w:rPr>
          <w:rFonts w:ascii="Times New Roman" w:hAnsi="Times New Roman" w:cs="Times New Roman"/>
          <w:noProof/>
          <w:sz w:val="24"/>
          <w:lang w:val="en-IE"/>
        </w:rPr>
        <w:t>PG vehicles, most of which were passenger cars, and 7,128 publicly accessible LPG refuelling points. Apart from this, LPG plays a minor role in the NIR.</w:t>
      </w:r>
    </w:p>
    <w:p w:rsidR="003C43BF" w:rsidRDefault="006C3212">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 xml:space="preserve">Synthetic and paraffinic </w:t>
      </w:r>
      <w:r>
        <w:rPr>
          <w:rFonts w:ascii="Times New Roman" w:hAnsi="Times New Roman" w:cs="Times New Roman"/>
          <w:noProof/>
          <w:sz w:val="24"/>
          <w:lang w:val="en-IE"/>
        </w:rPr>
        <w:t xml:space="preserve">–The NIR mentions a project with two methanol-powered passenger cars.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 xml:space="preserve">Rail </w:t>
      </w:r>
      <w:r>
        <w:rPr>
          <w:rFonts w:ascii="Times New Roman" w:hAnsi="Times New Roman" w:cs="Times New Roman"/>
          <w:noProof/>
          <w:sz w:val="24"/>
          <w:lang w:val="en-IE"/>
        </w:rPr>
        <w:t>transport</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 2018, Germany recorded 6,173 electric railway locomotives. The NIR expects the deployment of alternative fuels in Germany on the non-electrified railways, or further network electrification.</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Hydrogen </w:t>
      </w:r>
      <w:r>
        <w:rPr>
          <w:rFonts w:ascii="Times New Roman" w:hAnsi="Times New Roman" w:cs="Times New Roman"/>
          <w:noProof/>
          <w:sz w:val="24"/>
          <w:lang w:val="en-IE"/>
        </w:rPr>
        <w:t>– In 2018, Germany recorded t</w:t>
      </w:r>
      <w:r>
        <w:rPr>
          <w:rFonts w:ascii="Times New Roman" w:hAnsi="Times New Roman" w:cs="Times New Roman"/>
          <w:noProof/>
          <w:sz w:val="24"/>
          <w:lang w:val="en-IE"/>
        </w:rPr>
        <w:t>wo fuel cell locomotives powered by hydrogen and one point to refuel them. The NIR expects a stock of at least 40 hydrogen trains in two Federal States in 2022.</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NIR indicates that there were three maritime </w:t>
      </w:r>
      <w:r>
        <w:rPr>
          <w:rFonts w:ascii="Times New Roman" w:hAnsi="Times New Roman" w:cs="Times New Roman"/>
          <w:noProof/>
          <w:sz w:val="24"/>
          <w:lang w:val="en-IE"/>
        </w:rPr>
        <w:t>ports providing shore-side electricity supply but no German maritime vessels powered by electricity in 2018. Both the NPF and NIR lacked future targets for shore-side electricity supply in maritime ports and electric maritime vessel estimates.</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NI</w:t>
      </w:r>
      <w:r>
        <w:rPr>
          <w:rFonts w:ascii="Times New Roman" w:hAnsi="Times New Roman" w:cs="Times New Roman"/>
          <w:noProof/>
          <w:sz w:val="24"/>
          <w:lang w:val="en-IE"/>
        </w:rPr>
        <w:t>R indicates that there were two LNG maritime vessels in operation in 2018. In the same year, LNG supply was not available in stationary bunkering stations at maritime ports but “truck-to-ship” supply was. Both the NPF and NIR lacked future targets for publ</w:t>
      </w:r>
      <w:r>
        <w:rPr>
          <w:rFonts w:ascii="Times New Roman" w:hAnsi="Times New Roman" w:cs="Times New Roman"/>
          <w:noProof/>
          <w:sz w:val="24"/>
          <w:lang w:val="en-IE"/>
        </w:rPr>
        <w:t xml:space="preserve">icly accessible LNG refuelling points in maritime ports and estimates of maritime vessels powered by LNG. However, the NIR expects “ship-to-ship” LNG supply to become available and new LNG maritime vessels to be deployed.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w:t>
      </w:r>
      <w:r>
        <w:rPr>
          <w:rFonts w:ascii="Times New Roman" w:hAnsi="Times New Roman" w:cs="Times New Roman"/>
          <w:b/>
          <w:noProof/>
          <w:sz w:val="24"/>
          <w:lang w:val="en-IE"/>
        </w:rPr>
        <w:t>ctricity</w:t>
      </w:r>
      <w:r>
        <w:rPr>
          <w:rFonts w:ascii="Times New Roman" w:hAnsi="Times New Roman" w:cs="Times New Roman"/>
          <w:noProof/>
          <w:sz w:val="24"/>
          <w:lang w:val="en-IE"/>
        </w:rPr>
        <w:t xml:space="preserve"> – In 2018, Germany recorded 14 electric inland vessels and a total of 407 facilities supplying electricity in inland ports and along waterways. Both the NPF and NIR lacked future targets for shore-side electricity supply in inland ports and electr</w:t>
      </w:r>
      <w:r>
        <w:rPr>
          <w:rFonts w:ascii="Times New Roman" w:hAnsi="Times New Roman" w:cs="Times New Roman"/>
          <w:noProof/>
          <w:sz w:val="24"/>
          <w:lang w:val="en-IE"/>
        </w:rPr>
        <w:t>ic inland vessel estimates.</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xml:space="preserve">– In 2018, there was no use of LNG in Germany’s inland waterborne transport system (i.e. no LNG supply in inland ports and no stock of LNG inland vessels). Both the NPF and NIR lacked future targets for LNG supply in inland </w:t>
      </w:r>
      <w:r>
        <w:rPr>
          <w:rFonts w:ascii="Times New Roman" w:hAnsi="Times New Roman" w:cs="Times New Roman"/>
          <w:noProof/>
          <w:sz w:val="24"/>
          <w:lang w:val="en-IE"/>
        </w:rPr>
        <w:t xml:space="preserve">ports and LNG inland vessel estimates. Notwithstanding, the NIR expects 14 LNG stations to become available in the future, seemingly along the German Rhine. </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Synthetic and paraffinic</w:t>
      </w:r>
      <w:r>
        <w:rPr>
          <w:rFonts w:ascii="Times New Roman" w:hAnsi="Times New Roman" w:cs="Times New Roman"/>
          <w:noProof/>
          <w:sz w:val="24"/>
          <w:lang w:val="en-IE"/>
        </w:rPr>
        <w:t xml:space="preserve"> – The NIR mentions one methanol-powered passenger vessel in operation.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w:t>
      </w:r>
      <w:r>
        <w:rPr>
          <w:rFonts w:ascii="Times New Roman" w:hAnsi="Times New Roman" w:cs="Times New Roman"/>
          <w:noProof/>
          <w:sz w:val="24"/>
          <w:lang w:val="en-IE"/>
        </w:rPr>
        <w:t>r transport</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NIR sees no need to nurture this market on the grounds that blend limits currently exist.</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Synthetic and paraffinic</w:t>
      </w:r>
      <w:r>
        <w:rPr>
          <w:rFonts w:ascii="Times New Roman" w:hAnsi="Times New Roman" w:cs="Times New Roman"/>
          <w:noProof/>
          <w:sz w:val="24"/>
          <w:lang w:val="en-IE"/>
        </w:rPr>
        <w:t xml:space="preserve"> – The NIR indicates that R&amp;D projects are targeting synthetic kerosene production and use for aviation.</w:t>
      </w:r>
    </w:p>
    <w:p w:rsidR="003C43BF" w:rsidRDefault="006C3212">
      <w:pPr>
        <w:pStyle w:val="Text1"/>
        <w:tabs>
          <w:tab w:val="left" w:pos="720"/>
        </w:tabs>
        <w:spacing w:after="160" w:line="259" w:lineRule="auto"/>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As for the </w:t>
      </w:r>
      <w:r>
        <w:rPr>
          <w:rFonts w:ascii="Times New Roman" w:hAnsi="Times New Roman" w:cs="Times New Roman"/>
          <w:b/>
          <w:noProof/>
          <w:color w:val="000000" w:themeColor="text1"/>
          <w:sz w:val="24"/>
          <w:lang w:val="en-IE"/>
        </w:rPr>
        <w:t>measures</w:t>
      </w:r>
      <w:r>
        <w:rPr>
          <w:rFonts w:ascii="Times New Roman" w:hAnsi="Times New Roman" w:cs="Times New Roman"/>
          <w:noProof/>
          <w:color w:val="000000" w:themeColor="text1"/>
          <w:sz w:val="24"/>
          <w:lang w:val="en-IE"/>
        </w:rPr>
        <w:t>, the German NIR reports a long list of 75 national measures and 105 regional measures</w:t>
      </w:r>
      <w:r>
        <w:rPr>
          <w:rFonts w:ascii="Times New Roman" w:hAnsi="Times New Roman" w:cs="Times New Roman"/>
          <w:noProof/>
          <w:sz w:val="24"/>
          <w:lang w:val="en-IE"/>
        </w:rPr>
        <w:t>. Only two of them cover LPG. For the rest of the alternative fuels, the set of measures reported by the German government is wide-ranging, as the emer</w:t>
      </w:r>
      <w:r>
        <w:rPr>
          <w:rFonts w:ascii="Times New Roman" w:hAnsi="Times New Roman" w:cs="Times New Roman"/>
          <w:noProof/>
          <w:sz w:val="24"/>
          <w:lang w:val="en-IE"/>
        </w:rPr>
        <w:t>gence of twelve clusters shows. Given the emphasis on electrification, the bundle of measures focusing on battery research and production can be highlighted. Considering all the legal measures, they appear, if fully implemented, to be fit to support the re</w:t>
      </w:r>
      <w:r>
        <w:rPr>
          <w:rFonts w:ascii="Times New Roman" w:hAnsi="Times New Roman" w:cs="Times New Roman"/>
          <w:noProof/>
          <w:sz w:val="24"/>
          <w:lang w:val="en-IE"/>
        </w:rPr>
        <w:t>alisation of the AFV/AFI objectives as described in the NPF and revised in the NIR. Compared to the NPF, the level of ambition of the legal measures has increased in the NIR, except of the cluster LNG/water (maritime). No legal measures were identified for</w:t>
      </w:r>
      <w:r>
        <w:rPr>
          <w:rFonts w:ascii="Times New Roman" w:hAnsi="Times New Roman" w:cs="Times New Roman"/>
          <w:noProof/>
          <w:sz w:val="24"/>
          <w:lang w:val="en-IE"/>
        </w:rPr>
        <w:t xml:space="preserve"> the clusters hydrogen/rail and hydrogen/water (maritime). </w:t>
      </w:r>
      <w:r>
        <w:rPr>
          <w:rFonts w:ascii="Times New Roman" w:hAnsi="Times New Roman" w:cs="Times New Roman"/>
          <w:noProof/>
          <w:color w:val="000000" w:themeColor="text1"/>
          <w:sz w:val="24"/>
          <w:lang w:val="en-IE"/>
        </w:rPr>
        <w:t>With reference to the Policy and Deployment &amp; Manufacturing measures, the level of ambition has increased for all the clusters, with the ones on road for electricity and hydrogen receiving the high</w:t>
      </w:r>
      <w:r>
        <w:rPr>
          <w:rFonts w:ascii="Times New Roman" w:hAnsi="Times New Roman" w:cs="Times New Roman"/>
          <w:noProof/>
          <w:color w:val="000000" w:themeColor="text1"/>
          <w:sz w:val="24"/>
          <w:lang w:val="en-IE"/>
        </w:rPr>
        <w:t xml:space="preserve">est score. </w:t>
      </w:r>
      <w:r>
        <w:rPr>
          <w:rFonts w:ascii="Times New Roman" w:hAnsi="Times New Roman" w:cs="Times New Roman"/>
          <w:noProof/>
          <w:sz w:val="24"/>
          <w:lang w:val="en-IE"/>
        </w:rPr>
        <w:t>In terms of expected impact of these measures to support the realisation of the AFV/AFI objectives as presented in the NPF and revised in the NIR, the lack of future targets and estimates does not facilitate the task of putting this assessment i</w:t>
      </w:r>
      <w:r>
        <w:rPr>
          <w:rFonts w:ascii="Times New Roman" w:hAnsi="Times New Roman" w:cs="Times New Roman"/>
          <w:noProof/>
          <w:sz w:val="24"/>
          <w:lang w:val="en-IE"/>
        </w:rPr>
        <w:t xml:space="preserve">nto perspective. Based on the impact seen during the implementation period, it can be said that in the future the measures for the pairs electricity/road and hydrogen/road are expected to have a high impact, those for the pairs electricity/rail, CNG/road, </w:t>
      </w:r>
      <w:r>
        <w:rPr>
          <w:rFonts w:ascii="Times New Roman" w:hAnsi="Times New Roman" w:cs="Times New Roman"/>
          <w:noProof/>
          <w:sz w:val="24"/>
          <w:lang w:val="en-IE"/>
        </w:rPr>
        <w:t xml:space="preserve">LNG/road and hydrogen/rail a medium impact while all the other measures are expected to have a low impact. As for RTD&amp;D measures, </w:t>
      </w:r>
      <w:r>
        <w:rPr>
          <w:rFonts w:ascii="Times New Roman" w:hAnsi="Times New Roman" w:cs="Times New Roman"/>
          <w:iCs/>
          <w:noProof/>
          <w:sz w:val="24"/>
          <w:lang w:val="en-IE"/>
        </w:rPr>
        <w:t>on the basis of the available information and in comparison to the NPF, the level of ambition for RTD&amp;D projects in the NIR ca</w:t>
      </w:r>
      <w:r>
        <w:rPr>
          <w:rFonts w:ascii="Times New Roman" w:hAnsi="Times New Roman" w:cs="Times New Roman"/>
          <w:iCs/>
          <w:noProof/>
          <w:sz w:val="24"/>
          <w:lang w:val="en-IE"/>
        </w:rPr>
        <w:t>n be considered to have increased for the five clusters targeting electricity and the three clusters focusing on hydrogen, while it has remained similar for the pair LNG/water (maritime).</w:t>
      </w:r>
      <w:r>
        <w:rPr>
          <w:rFonts w:ascii="Times New Roman" w:hAnsi="Times New Roman" w:cs="Times New Roman"/>
          <w:noProof/>
          <w:sz w:val="24"/>
          <w:lang w:val="en-IE"/>
        </w:rPr>
        <w:t xml:space="preserve"> </w:t>
      </w:r>
      <w:r>
        <w:rPr>
          <w:rFonts w:ascii="Times New Roman" w:hAnsi="Times New Roman" w:cs="Times New Roman"/>
          <w:iCs/>
          <w:noProof/>
          <w:sz w:val="24"/>
          <w:lang w:val="en-IE"/>
        </w:rPr>
        <w:t xml:space="preserve">No RTD&amp;D projects were identified for the clusters CNG/road, </w:t>
      </w:r>
      <w:r>
        <w:rPr>
          <w:rFonts w:ascii="Times New Roman" w:hAnsi="Times New Roman" w:cs="Times New Roman"/>
          <w:iCs/>
          <w:noProof/>
          <w:sz w:val="24"/>
          <w:lang w:val="en-IE"/>
        </w:rPr>
        <w:t>LNG/road and LNG/water (inland).</w:t>
      </w:r>
      <w:r>
        <w:rPr>
          <w:rFonts w:ascii="Times New Roman" w:hAnsi="Times New Roman" w:cs="Times New Roman"/>
          <w:noProof/>
          <w:sz w:val="24"/>
          <w:lang w:val="en-IE"/>
        </w:rPr>
        <w:t xml:space="preserve"> </w:t>
      </w:r>
    </w:p>
    <w:p w:rsidR="003C43BF" w:rsidRDefault="003C43BF">
      <w:pPr>
        <w:rPr>
          <w:rFonts w:ascii="Times New Roman" w:hAnsi="Times New Roman" w:cs="Times New Roman"/>
          <w:noProof/>
          <w:sz w:val="24"/>
          <w:lang w:val="en-IE"/>
        </w:rPr>
      </w:pPr>
    </w:p>
    <w:p w:rsidR="003C43BF" w:rsidRDefault="006C3212">
      <w:pPr>
        <w:pStyle w:val="Heading3"/>
        <w:rPr>
          <w:rFonts w:ascii="Times New Roman" w:hAnsi="Times New Roman" w:cs="Times New Roman"/>
          <w:noProof/>
          <w:sz w:val="24"/>
          <w:lang w:val="en-IE"/>
        </w:rPr>
      </w:pPr>
      <w:bookmarkStart w:id="145" w:name="_Toc55301786"/>
      <w:bookmarkStart w:id="146" w:name="_Toc56944132"/>
      <w:bookmarkEnd w:id="145"/>
      <w:r>
        <w:rPr>
          <w:rFonts w:ascii="Times New Roman" w:hAnsi="Times New Roman" w:cs="Times New Roman"/>
          <w:noProof/>
          <w:sz w:val="24"/>
          <w:lang w:val="en-IE"/>
        </w:rPr>
        <w:t>Final remarks</w:t>
      </w:r>
      <w:bookmarkEnd w:id="146"/>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German NIR provides a comprehensive report on the efforts to implement the Directive. The NIR is largely in line with the provisions of Annex I to the Directive, with the main exception that it does not </w:t>
      </w:r>
      <w:r>
        <w:rPr>
          <w:rFonts w:ascii="Times New Roman" w:hAnsi="Times New Roman" w:cs="Times New Roman"/>
          <w:noProof/>
          <w:sz w:val="24"/>
          <w:lang w:val="en-IE"/>
        </w:rPr>
        <w:t>include estimates for future market uptake of natural gas vehicles and vessels and related targets for natural gas infrastructures, except for LNG vehicle refuelling points in 2025. A significant number of measures are being implemented to promote a wide r</w:t>
      </w:r>
      <w:r>
        <w:rPr>
          <w:rFonts w:ascii="Times New Roman" w:hAnsi="Times New Roman" w:cs="Times New Roman"/>
          <w:noProof/>
          <w:sz w:val="24"/>
          <w:lang w:val="en-IE"/>
        </w:rPr>
        <w:t>ange of alternative fuels, with a strong focus on electro-mobility and hydrogen for the different transport modes. A significant budget is devoted to research and innovation projects focusing mainly on the development of batteries and fuel cell technologie</w:t>
      </w:r>
      <w:r>
        <w:rPr>
          <w:rFonts w:ascii="Times New Roman" w:hAnsi="Times New Roman" w:cs="Times New Roman"/>
          <w:noProof/>
          <w:sz w:val="24"/>
          <w:lang w:val="en-IE"/>
        </w:rPr>
        <w:t>s. Research and demonstrations projects targeting synthetic kerosene production for use in aviation are funded too.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regard to electricity, the NIR estimates that approximately 8,500,000 vehicles could be on the roads by 2030, representing about 17% of</w:t>
      </w:r>
      <w:r>
        <w:rPr>
          <w:rFonts w:ascii="Times New Roman" w:hAnsi="Times New Roman" w:cs="Times New Roman"/>
          <w:noProof/>
          <w:sz w:val="24"/>
          <w:lang w:val="en-IE"/>
        </w:rPr>
        <w:t xml:space="preserve"> the fleet by that time. One million charging points should serve that fleet in the same year. Taking into account the current situation and expected trend development, this level of ambition appears to be broadly consistent with the pace of deployment of </w:t>
      </w:r>
      <w:r>
        <w:rPr>
          <w:rFonts w:ascii="Times New Roman" w:hAnsi="Times New Roman" w:cs="Times New Roman"/>
          <w:noProof/>
          <w:sz w:val="24"/>
          <w:lang w:val="en-IE"/>
        </w:rPr>
        <w:t xml:space="preserve">electric vehicles considered necessary for a full transition to carbon neutrality by 2050. The number of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facilities for inland vessels amounted to 407 in 2018. However, only 3 out of 6 maritime ports of the TEN-T Core Network </w:t>
      </w:r>
      <w:r>
        <w:rPr>
          <w:rFonts w:ascii="Times New Roman" w:hAnsi="Times New Roman" w:cs="Times New Roman"/>
          <w:noProof/>
          <w:sz w:val="24"/>
          <w:lang w:val="en-IE"/>
        </w:rPr>
        <w:t xml:space="preserve">in Germany are equipped with such facilities. Germany should provide information on its plans to supply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in the remaining three maritime ports of the TEN-T Core Network. Fourteen electric inland waterways vessels are already in</w:t>
      </w:r>
      <w:r>
        <w:rPr>
          <w:rFonts w:ascii="Times New Roman" w:hAnsi="Times New Roman" w:cs="Times New Roman"/>
          <w:noProof/>
          <w:sz w:val="24"/>
          <w:lang w:val="en-IE"/>
        </w:rPr>
        <w:t xml:space="preserve"> use in Germany. Moreover, almost all of the 270 airport terminals are equipped with stationary ground power connections. Around 60% of Germany’s rail network is electrified. Information on charging efficiency is provided.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hydrogen for transport,</w:t>
      </w:r>
      <w:r>
        <w:rPr>
          <w:rFonts w:ascii="Times New Roman" w:hAnsi="Times New Roman" w:cs="Times New Roman"/>
          <w:noProof/>
          <w:sz w:val="24"/>
          <w:lang w:val="en-IE"/>
        </w:rPr>
        <w:t xml:space="preserve"> the NIR presents the ambitious target of 400 hydrogen refuelling stations in place by 2025, but it does not provide estimates for FCHVs. The number of refuelling stations seems sufficient taking into account the length of Germany’s TEN-T Core network, pro</w:t>
      </w:r>
      <w:r>
        <w:rPr>
          <w:rFonts w:ascii="Times New Roman" w:hAnsi="Times New Roman" w:cs="Times New Roman"/>
          <w:noProof/>
          <w:sz w:val="24"/>
          <w:lang w:val="en-IE"/>
        </w:rPr>
        <w:t>vided that the refuelling points are widely distributed along the network. Further, the NIR foresees the use of hydrogen in rail transport as well in aviation in the longer term.</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terms of natural gas for transport, Germany has the second largest network</w:t>
      </w:r>
      <w:r>
        <w:rPr>
          <w:rFonts w:ascii="Times New Roman" w:hAnsi="Times New Roman" w:cs="Times New Roman"/>
          <w:noProof/>
          <w:sz w:val="24"/>
          <w:lang w:val="en-IE"/>
        </w:rPr>
        <w:t xml:space="preserve"> of CNG refuelling stations in the EU. It seems sufficient for serving a larger fleet of CNG vehicles compared to the current one. Germany does not provide any estimates for the future growth of such vehicles. The NIR does not provide estimates for LNG veh</w:t>
      </w:r>
      <w:r>
        <w:rPr>
          <w:rFonts w:ascii="Times New Roman" w:hAnsi="Times New Roman" w:cs="Times New Roman"/>
          <w:noProof/>
          <w:sz w:val="24"/>
          <w:lang w:val="en-IE"/>
        </w:rPr>
        <w:t>icles either. The NIR foresees at least nine LNG refuelling points by 2025 in the TEN-T Core Network. This number seems rather low compared to the overall extensiveness of the German TEN-T Core Network. Although the NIR reports that two LNG maritime vessel</w:t>
      </w:r>
      <w:r>
        <w:rPr>
          <w:rFonts w:ascii="Times New Roman" w:hAnsi="Times New Roman" w:cs="Times New Roman"/>
          <w:noProof/>
          <w:sz w:val="24"/>
          <w:lang w:val="en-IE"/>
        </w:rPr>
        <w:t xml:space="preserve">s were in use in 2018, it does not provide any target for LNG refuelling points in maritime and inland ports. Germany should provide further detail in future reporting.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2018, there were 213,718 LPG vehicles (less than those registered in 2016) and 7,12</w:t>
      </w:r>
      <w:r>
        <w:rPr>
          <w:rFonts w:ascii="Times New Roman" w:hAnsi="Times New Roman" w:cs="Times New Roman"/>
          <w:noProof/>
          <w:sz w:val="24"/>
          <w:lang w:val="en-IE"/>
        </w:rPr>
        <w:t>8 refuelling points registered. The NIR does not provide information on the estimated future number of LPG vehicles and refuelling points.</w:t>
      </w:r>
    </w:p>
    <w:p w:rsidR="003C43BF" w:rsidRDefault="006C3212">
      <w:pPr>
        <w:spacing w:after="240"/>
        <w:jc w:val="both"/>
        <w:rPr>
          <w:rFonts w:ascii="Times New Roman" w:hAnsi="Times New Roman" w:cs="Times New Roman"/>
          <w:noProof/>
          <w:sz w:val="24"/>
          <w:lang w:val="en-IE"/>
        </w:rPr>
      </w:pPr>
      <w:r>
        <w:rPr>
          <w:rFonts w:ascii="Times New Roman" w:hAnsi="Times New Roman" w:cs="Times New Roman"/>
          <w:noProof/>
          <w:sz w:val="24"/>
          <w:lang w:val="en-IE"/>
        </w:rPr>
        <w:t>With regards to renewable fuels, Germany should provide more information in future reporting on efforts to promote th</w:t>
      </w:r>
      <w:r>
        <w:rPr>
          <w:rFonts w:ascii="Times New Roman" w:hAnsi="Times New Roman" w:cs="Times New Roman"/>
          <w:noProof/>
          <w:sz w:val="24"/>
          <w:lang w:val="en-IE"/>
        </w:rPr>
        <w:t>e use of renewable fuels in transport, and particularly in aviation.</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147" w:name="_Toc55301788"/>
      <w:bookmarkStart w:id="148" w:name="_Toc56944133"/>
      <w:r>
        <w:rPr>
          <w:rFonts w:ascii="Times New Roman" w:hAnsi="Times New Roman" w:cs="Times New Roman"/>
          <w:noProof/>
          <w:sz w:val="24"/>
          <w:lang w:val="en-IE"/>
        </w:rPr>
        <w:t>ANNEX - Description of the Member State</w:t>
      </w:r>
      <w:bookmarkEnd w:id="147"/>
      <w:bookmarkEnd w:id="148"/>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357,100 km², Germany has a population of 82.792 million people in 2018, which makes up for a population density of 232 inhab</w:t>
      </w:r>
      <w:r>
        <w:rPr>
          <w:rFonts w:ascii="Times New Roman" w:hAnsi="Times New Roman" w:cs="Times New Roman"/>
          <w:noProof/>
          <w:color w:val="000000" w:themeColor="text1"/>
          <w:sz w:val="24"/>
          <w:lang w:val="en-IE"/>
        </w:rPr>
        <w:t>itants/km².</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126 urban agglomerations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In 2018, Germany achieves a per capita gross domestic product at market prices of €40,340, which represents a per capita gross domestic product in purchasing po</w:t>
      </w:r>
      <w:r>
        <w:rPr>
          <w:rFonts w:ascii="Times New Roman" w:hAnsi="Times New Roman" w:cs="Times New Roman"/>
          <w:noProof/>
          <w:sz w:val="24"/>
          <w:lang w:val="en-IE"/>
        </w:rPr>
        <w:t xml:space="preserve">wer standards of 122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Germany is 6,363 km. The total road network length is 230,035 km, of which 13,141 km are motorway</w:t>
      </w:r>
      <w:r>
        <w:rPr>
          <w:rFonts w:ascii="Times New Roman" w:hAnsi="Times New Roman" w:cs="Times New Roman"/>
          <w:noProof/>
          <w:sz w:val="24"/>
          <w:lang w:val="en-IE"/>
        </w:rPr>
        <w:t>s.</w:t>
      </w:r>
    </w:p>
    <w:p w:rsidR="003C43BF" w:rsidRDefault="006C3212">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Germany: 35% (1,393 km) of the North Sea - Baltic Corridor, 26% (1,398 km) of the Orient / East - Mediterranean Corridor, 30% (1,895 km) of the Scandinavian - Mediterranean Corridor, 50% (</w:t>
      </w:r>
      <w:r>
        <w:rPr>
          <w:rFonts w:ascii="Times New Roman" w:hAnsi="Times New Roman" w:cs="Times New Roman"/>
          <w:noProof/>
          <w:sz w:val="24"/>
          <w:lang w:val="en-IE"/>
        </w:rPr>
        <w:t>707 km) of Rhine - Alpine Corridor and 27% (1,191 km) of the Rhine - Danube Corridor.</w:t>
      </w:r>
    </w:p>
    <w:p w:rsidR="003C43BF" w:rsidRDefault="006C3212">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Through the TEN-T Road Corridors, Germany is connected with the following Member States:</w:t>
      </w:r>
      <w:r>
        <w:rPr>
          <w:rFonts w:ascii="Times New Roman" w:hAnsi="Times New Roman" w:cs="Times New Roman"/>
          <w:noProof/>
          <w:sz w:val="24"/>
          <w:lang w:val="en-IE"/>
        </w:rPr>
        <w:br/>
        <w:t>- Poland (through the North Sea - Baltic Corridor)</w:t>
      </w:r>
      <w:r>
        <w:rPr>
          <w:rFonts w:ascii="Times New Roman" w:hAnsi="Times New Roman" w:cs="Times New Roman"/>
          <w:noProof/>
          <w:sz w:val="24"/>
          <w:lang w:val="en-IE"/>
        </w:rPr>
        <w:br/>
        <w:t>- the Netherlands (through the</w:t>
      </w:r>
      <w:r>
        <w:rPr>
          <w:rFonts w:ascii="Times New Roman" w:hAnsi="Times New Roman" w:cs="Times New Roman"/>
          <w:noProof/>
          <w:sz w:val="24"/>
          <w:lang w:val="en-IE"/>
        </w:rPr>
        <w:t xml:space="preserve"> North Sea - Baltic and the Rhine - Alpine Corridor)</w:t>
      </w:r>
      <w:r>
        <w:rPr>
          <w:rFonts w:ascii="Times New Roman" w:hAnsi="Times New Roman" w:cs="Times New Roman"/>
          <w:noProof/>
          <w:sz w:val="24"/>
          <w:lang w:val="en-IE"/>
        </w:rPr>
        <w:br/>
        <w:t>- Belgium (through the North Sea - Baltic and the Rhine - Alpine Corridor)</w:t>
      </w:r>
      <w:r>
        <w:rPr>
          <w:rFonts w:ascii="Times New Roman" w:hAnsi="Times New Roman" w:cs="Times New Roman"/>
          <w:noProof/>
          <w:sz w:val="24"/>
          <w:lang w:val="en-IE"/>
        </w:rPr>
        <w:br/>
        <w:t>- Czechia (through the Orient/ East Mediterranean and the Rhine - Danube Corridor)</w:t>
      </w:r>
      <w:r>
        <w:rPr>
          <w:rFonts w:ascii="Times New Roman" w:hAnsi="Times New Roman" w:cs="Times New Roman"/>
          <w:noProof/>
          <w:sz w:val="24"/>
          <w:lang w:val="en-IE"/>
        </w:rPr>
        <w:br/>
        <w:t>- Austria (through the Scandinavian - Mediter</w:t>
      </w:r>
      <w:r>
        <w:rPr>
          <w:rFonts w:ascii="Times New Roman" w:hAnsi="Times New Roman" w:cs="Times New Roman"/>
          <w:noProof/>
          <w:sz w:val="24"/>
          <w:lang w:val="en-IE"/>
        </w:rPr>
        <w:t>ranean and the Rhine - Danube Corridor)</w:t>
      </w:r>
      <w:r>
        <w:rPr>
          <w:rFonts w:ascii="Times New Roman" w:hAnsi="Times New Roman" w:cs="Times New Roman"/>
          <w:noProof/>
          <w:sz w:val="24"/>
          <w:lang w:val="en-IE"/>
        </w:rPr>
        <w:br/>
        <w:t>- Denmark (through the Scandinavian - Mediterranean Corridor)</w:t>
      </w:r>
      <w:r>
        <w:rPr>
          <w:rFonts w:ascii="Times New Roman" w:hAnsi="Times New Roman" w:cs="Times New Roman"/>
          <w:noProof/>
          <w:sz w:val="24"/>
          <w:lang w:val="en-IE"/>
        </w:rPr>
        <w:br/>
        <w:t>- France (through the Rhine - Danube Corridor)</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At the end of 2018, Germany accounts for 54,915,724 registered road </w:t>
      </w:r>
      <w:r>
        <w:rPr>
          <w:rFonts w:ascii="Times New Roman" w:hAnsi="Times New Roman" w:cs="Times New Roman"/>
          <w:noProof/>
          <w:sz w:val="24"/>
          <w:lang w:val="en-IE"/>
        </w:rPr>
        <w:t>vehicles of which 47,095,784 are categorized as passenger cars, 2,616,118 as light goods vehicles, 750,303 as heavy goods vehicles and 80,519 as buses and coaches. The motorisation rate is 569 passenger cars per 1,000 inhabitants.</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6 maritime ports in the TEN-T Core Network (Bremen, Bremerhaven, Hamburg, Lübeck, Rostock, Wilhelmshaven)</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15 maritime ports in the TEN-T Comprehensive Network</w:t>
      </w:r>
    </w:p>
    <w:p w:rsidR="003C43BF" w:rsidRDefault="006C3212">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21 inland ports in the TEN-T Core Network (Berlin, Bra</w:t>
      </w:r>
      <w:r>
        <w:rPr>
          <w:rFonts w:ascii="Times New Roman" w:hAnsi="Times New Roman" w:cs="Times New Roman"/>
          <w:noProof/>
          <w:sz w:val="24"/>
          <w:lang w:val="en-IE"/>
        </w:rPr>
        <w:t>unschweig, Bremen, Bremerhaven, Dortmund, Duisburg, Düsseldorf- Neuss, Frankfurt am Main, Hamburg, Hamm, Hannover, Karlsruhe, Koblenz, Köln, Lübeck, Magdeburg, Mainz, Mannheim-Ludwigshafen, Nürnberg, Regensburg, Stuttgart)</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68 inland ports in the TEN-T Comp</w:t>
      </w:r>
      <w:r>
        <w:rPr>
          <w:rFonts w:ascii="Times New Roman" w:hAnsi="Times New Roman" w:cs="Times New Roman"/>
          <w:noProof/>
          <w:sz w:val="24"/>
          <w:lang w:val="en-IE"/>
        </w:rPr>
        <w:t>rehensive Network</w:t>
      </w:r>
    </w:p>
    <w:p w:rsidR="003C43BF" w:rsidRDefault="003C43BF">
      <w:pPr>
        <w:pStyle w:val="Text1"/>
        <w:spacing w:after="0"/>
        <w:ind w:left="714"/>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Through the 4,248 km inland waterways TEN-T Core Network, Germany is connected with the Netherlands through the North Sea - Baltic and Rhine - Alpine Corridors, with Austria through the Rhine - Danube Corridor, with France through the Rh</w:t>
      </w:r>
      <w:r>
        <w:rPr>
          <w:rFonts w:ascii="Times New Roman" w:hAnsi="Times New Roman" w:cs="Times New Roman"/>
          <w:noProof/>
          <w:sz w:val="24"/>
          <w:lang w:val="en-IE"/>
        </w:rPr>
        <w:t xml:space="preserve">ine-Alpine and the North Sea - Mediterranean Corridor, with Czechia through the Orient/East-Mediterranean Corridor, with Luxembourg through the Rhine-Alpine Corridor and with Poland through the core network. </w:t>
      </w:r>
    </w:p>
    <w:p w:rsidR="003C43BF" w:rsidRDefault="006C3212">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1</w:t>
      </w:r>
      <w:r>
        <w:rPr>
          <w:rFonts w:ascii="Times New Roman" w:hAnsi="Times New Roman" w:cs="Times New Roman"/>
          <w:noProof/>
          <w:sz w:val="24"/>
          <w:lang w:val="en-IE"/>
        </w:rPr>
        <w:t xml:space="preserve">1 airports in the TEN-T Core Network (Berlin-Brandenburg Intl., Bremen, Düsseldorf, Frankfurt am Main, Hamburg, Hannover, Köln-Bonn, Leipzig-Halle, München, Nürnberg, Stuttgart) </w:t>
      </w:r>
    </w:p>
    <w:p w:rsidR="003C43BF" w:rsidRDefault="006C3212">
      <w:pPr>
        <w:pStyle w:val="Text1"/>
        <w:numPr>
          <w:ilvl w:val="0"/>
          <w:numId w:val="13"/>
        </w:numPr>
        <w:rPr>
          <w:noProof/>
          <w:lang w:val="en-IE"/>
        </w:rPr>
      </w:pPr>
      <w:r>
        <w:rPr>
          <w:rFonts w:ascii="Times New Roman" w:hAnsi="Times New Roman" w:cs="Times New Roman"/>
          <w:noProof/>
          <w:sz w:val="24"/>
          <w:lang w:val="en-IE"/>
        </w:rPr>
        <w:t xml:space="preserve">13 airports in the TEN-T Comprehensive Network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149" w:name="_Toc55301789"/>
      <w:bookmarkStart w:id="150" w:name="_Toc56944134"/>
      <w:r>
        <w:rPr>
          <w:rFonts w:ascii="Times New Roman" w:hAnsi="Times New Roman" w:cs="Times New Roman"/>
          <w:noProof/>
          <w:sz w:val="24"/>
          <w:lang w:val="en-IE"/>
        </w:rPr>
        <w:t>Estonia (EE)</w:t>
      </w:r>
      <w:bookmarkEnd w:id="149"/>
      <w:bookmarkEnd w:id="150"/>
    </w:p>
    <w:p w:rsidR="003C43BF" w:rsidRDefault="006C3212">
      <w:pPr>
        <w:pStyle w:val="Heading3"/>
        <w:ind w:left="720"/>
        <w:rPr>
          <w:rFonts w:ascii="Times New Roman" w:hAnsi="Times New Roman" w:cs="Times New Roman"/>
          <w:noProof/>
          <w:sz w:val="24"/>
          <w:lang w:val="en-IE"/>
        </w:rPr>
      </w:pPr>
      <w:bookmarkStart w:id="151" w:name="_Toc55301790"/>
      <w:bookmarkStart w:id="152" w:name="_Toc56944135"/>
      <w:r>
        <w:rPr>
          <w:rFonts w:ascii="Times New Roman" w:hAnsi="Times New Roman" w:cs="Times New Roman"/>
          <w:noProof/>
          <w:sz w:val="24"/>
          <w:lang w:val="en-IE"/>
        </w:rPr>
        <w:t xml:space="preserve">Main messages </w:t>
      </w:r>
      <w:r>
        <w:rPr>
          <w:rFonts w:ascii="Times New Roman" w:hAnsi="Times New Roman" w:cs="Times New Roman"/>
          <w:noProof/>
          <w:sz w:val="24"/>
          <w:lang w:val="en-IE"/>
        </w:rPr>
        <w:t xml:space="preserve">from the </w:t>
      </w:r>
      <w:bookmarkEnd w:id="151"/>
      <w:bookmarkEnd w:id="152"/>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its original assessment of the Estonian NPF the Commission concluded: </w:t>
      </w:r>
    </w:p>
    <w:p w:rsidR="003C43BF" w:rsidRDefault="006C3212">
      <w:pPr>
        <w:pStyle w:val="Text2"/>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The Estonian NPF addresses partially the requirements of Directive’s Article 3. For many aspects more details would have been needed for an </w:t>
      </w:r>
      <w:r>
        <w:rPr>
          <w:rFonts w:ascii="Times New Roman" w:hAnsi="Times New Roman" w:cs="Times New Roman"/>
          <w:i/>
          <w:noProof/>
          <w:color w:val="000000" w:themeColor="text1"/>
          <w:sz w:val="24"/>
          <w:lang w:val="en-IE"/>
        </w:rPr>
        <w:t>accurate assessment. The NPF does not contain any future estimates for alternative fuels vehicles. Vague targets are provided concerning AFI for 2020 (&gt;100 for high power recharging points and &gt;10 for biomethane refuelling points). Spatial distribution det</w:t>
      </w:r>
      <w:r>
        <w:rPr>
          <w:rFonts w:ascii="Times New Roman" w:hAnsi="Times New Roman" w:cs="Times New Roman"/>
          <w:i/>
          <w:noProof/>
          <w:color w:val="000000" w:themeColor="text1"/>
          <w:sz w:val="24"/>
          <w:lang w:val="en-IE"/>
        </w:rPr>
        <w:t>ails or references to urban areas and the TEN-T network are not presented. Estonia is focusing on increasing the proportion of alternative fuels use in road transport and is seeking to increase the use of renewable energy sources in road transport to 10% o</w:t>
      </w:r>
      <w:r>
        <w:rPr>
          <w:rFonts w:ascii="Times New Roman" w:hAnsi="Times New Roman" w:cs="Times New Roman"/>
          <w:i/>
          <w:noProof/>
          <w:color w:val="000000" w:themeColor="text1"/>
          <w:sz w:val="24"/>
          <w:lang w:val="en-IE"/>
        </w:rPr>
        <w:t>f the amount of fuel consumed. The objective is to be achieved through three types of fuel – liquid biofuels, biomethane and electricity.</w:t>
      </w:r>
    </w:p>
    <w:p w:rsidR="003C43BF" w:rsidRDefault="006C3212">
      <w:pPr>
        <w:pStyle w:val="Text2"/>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Estonian NPF lacks concrete targets for EV infrastructure and information about the future EV vehicle market devel</w:t>
      </w:r>
      <w:r>
        <w:rPr>
          <w:rFonts w:ascii="Times New Roman" w:hAnsi="Times New Roman" w:cs="Times New Roman"/>
          <w:i/>
          <w:noProof/>
          <w:color w:val="000000" w:themeColor="text1"/>
          <w:sz w:val="24"/>
          <w:lang w:val="en-IE"/>
        </w:rPr>
        <w:t>opment. It neither contains targets for further deployment of electricity supply for stationary airplanes nor shore-side electricity.</w:t>
      </w:r>
    </w:p>
    <w:p w:rsidR="003C43BF" w:rsidRDefault="006C3212">
      <w:pPr>
        <w:pStyle w:val="Text2"/>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One of the Estonian NPF's main objectives is the introduction of methane-based fuels in transport. Longer term preference </w:t>
      </w:r>
      <w:r>
        <w:rPr>
          <w:rFonts w:ascii="Times New Roman" w:hAnsi="Times New Roman" w:cs="Times New Roman"/>
          <w:i/>
          <w:noProof/>
          <w:color w:val="000000" w:themeColor="text1"/>
          <w:sz w:val="24"/>
          <w:lang w:val="en-IE"/>
        </w:rPr>
        <w:t xml:space="preserve">is biomethane because of its environmental and energy security benefits. Promoting the creation of a comprehensive network of natural gas refuelling points is considered to be the main challenge in the period leading up to 2020. </w:t>
      </w:r>
    </w:p>
    <w:p w:rsidR="003C43BF" w:rsidRDefault="006C3212">
      <w:pPr>
        <w:pStyle w:val="Text2"/>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Regarding LNG, the NPF men</w:t>
      </w:r>
      <w:r>
        <w:rPr>
          <w:rFonts w:ascii="Times New Roman" w:hAnsi="Times New Roman" w:cs="Times New Roman"/>
          <w:i/>
          <w:noProof/>
          <w:color w:val="000000" w:themeColor="text1"/>
          <w:sz w:val="24"/>
          <w:lang w:val="en-IE"/>
        </w:rPr>
        <w:t xml:space="preserve">tions that an LNG terminal including an LNG bunkering terminal is due to be completed in 2017, at the Harbour of Muuga (part of the Tallinn port) where a distribution system will also be developed, including loading facilities for LNG tank vehicles. </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For h</w:t>
      </w:r>
      <w:r>
        <w:rPr>
          <w:rFonts w:ascii="Times New Roman" w:hAnsi="Times New Roman" w:cs="Times New Roman"/>
          <w:i/>
          <w:noProof/>
          <w:color w:val="000000" w:themeColor="text1"/>
          <w:sz w:val="24"/>
          <w:lang w:val="en-IE"/>
        </w:rPr>
        <w:t>ydrogen, a first pilot project is pointed out, in which the University of Tartu and the private sector plan to jointly create a hydrogen refuelling point, a production facility in Pärnu.</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Estonian NPF contains a reduced and vaguely described portfolio o</w:t>
      </w:r>
      <w:r>
        <w:rPr>
          <w:rFonts w:ascii="Times New Roman" w:hAnsi="Times New Roman" w:cs="Times New Roman"/>
          <w:i/>
          <w:noProof/>
          <w:color w:val="000000" w:themeColor="text1"/>
          <w:sz w:val="24"/>
          <w:lang w:val="en-IE"/>
        </w:rPr>
        <w:t>f existing and proposed measures covering road transport and shore-side electricity supply. All the measures concerning the use of electricity for road transport (private or public infrastructure) have expired and no future ones are proposed. Support measu</w:t>
      </w:r>
      <w:r>
        <w:rPr>
          <w:rFonts w:ascii="Times New Roman" w:hAnsi="Times New Roman" w:cs="Times New Roman"/>
          <w:i/>
          <w:noProof/>
          <w:color w:val="000000" w:themeColor="text1"/>
          <w:sz w:val="24"/>
          <w:lang w:val="en-IE"/>
        </w:rPr>
        <w:t xml:space="preserve">res for natural gas infrastructure and the promotion of biomethane are vaguely mentioned and lack concrete information (e.g. start year, budget). Biofuels are promoted in the short term and Estonia’s energy policy regulates the blending shares of biofuels </w:t>
      </w:r>
      <w:r>
        <w:rPr>
          <w:rFonts w:ascii="Times New Roman" w:hAnsi="Times New Roman" w:cs="Times New Roman"/>
          <w:i/>
          <w:noProof/>
          <w:color w:val="000000" w:themeColor="text1"/>
          <w:sz w:val="24"/>
          <w:lang w:val="en-IE"/>
        </w:rPr>
        <w:t>in petrol and diesel (gradually increasing up to at least 10% as of 2020). For LNG, no measures are proposed at this moment but the degree of interest and need will be further investigated after the completion of the first terminal in 2017. The NPF present</w:t>
      </w:r>
      <w:r>
        <w:rPr>
          <w:rFonts w:ascii="Times New Roman" w:hAnsi="Times New Roman" w:cs="Times New Roman"/>
          <w:i/>
          <w:noProof/>
          <w:color w:val="000000" w:themeColor="text1"/>
          <w:sz w:val="24"/>
          <w:lang w:val="en-IE"/>
        </w:rPr>
        <w:t>s two measures regarding public transport that relate to public procurement of CNG and hydrogen public buses.</w:t>
      </w:r>
    </w:p>
    <w:p w:rsidR="003C43BF" w:rsidRDefault="006C3212">
      <w:pPr>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NPF mentions cross-border cooperation focussing on shore-side electricity supply.</w:t>
      </w:r>
    </w:p>
    <w:p w:rsidR="003C43BF" w:rsidRDefault="003C43BF">
      <w:pPr>
        <w:jc w:val="both"/>
        <w:rPr>
          <w:rFonts w:ascii="Times New Roman" w:hAnsi="Times New Roman" w:cs="Times New Roman"/>
          <w:i/>
          <w:noProof/>
          <w:color w:val="000000" w:themeColor="text1"/>
          <w:sz w:val="24"/>
          <w:lang w:val="en-IE"/>
        </w:rPr>
      </w:pPr>
    </w:p>
    <w:p w:rsidR="003C43BF" w:rsidRDefault="006C3212">
      <w:pPr>
        <w:pStyle w:val="Heading3"/>
        <w:ind w:left="720"/>
        <w:rPr>
          <w:rFonts w:ascii="Times New Roman" w:hAnsi="Times New Roman" w:cs="Times New Roman"/>
          <w:noProof/>
          <w:color w:val="000000" w:themeColor="text1"/>
          <w:sz w:val="24"/>
          <w:lang w:val="en-IE"/>
        </w:rPr>
      </w:pPr>
      <w:bookmarkStart w:id="153" w:name="_Toc55301791"/>
      <w:bookmarkStart w:id="154" w:name="_Toc56944136"/>
      <w:r>
        <w:rPr>
          <w:rFonts w:ascii="Times New Roman" w:hAnsi="Times New Roman" w:cs="Times New Roman"/>
          <w:noProof/>
          <w:sz w:val="24"/>
          <w:lang w:val="en-IE"/>
        </w:rPr>
        <w:t xml:space="preserve">Overview of requirements’ fulfilment from Annex I of the </w:t>
      </w:r>
      <w:r>
        <w:rPr>
          <w:rFonts w:ascii="Times New Roman" w:hAnsi="Times New Roman" w:cs="Times New Roman"/>
          <w:noProof/>
          <w:sz w:val="24"/>
          <w:lang w:val="en-IE"/>
        </w:rPr>
        <w:t>Directive</w:t>
      </w:r>
      <w:bookmarkEnd w:id="153"/>
      <w:bookmarkEnd w:id="154"/>
      <w:r>
        <w:rPr>
          <w:rFonts w:ascii="Times New Roman" w:hAnsi="Times New Roman" w:cs="Times New Roman"/>
          <w:noProof/>
          <w:color w:val="000000" w:themeColor="text1"/>
          <w:sz w:val="24"/>
          <w:lang w:val="en-IE"/>
        </w:rPr>
        <w:tab/>
      </w:r>
    </w:p>
    <w:p w:rsidR="003C43BF" w:rsidRDefault="006C3212">
      <w:pPr>
        <w:rPr>
          <w:rFonts w:ascii="Times New Roman" w:hAnsi="Times New Roman" w:cs="Times New Roman"/>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5.6.2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lang w:val="en-IE"/>
        </w:rPr>
        <w:t xml:space="preserve"> Checklist Table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80685" cy="7364730"/>
            <wp:effectExtent l="0" t="0" r="5715" b="762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0685" cy="7364730"/>
                    </a:xfrm>
                    <a:prstGeom prst="rect">
                      <a:avLst/>
                    </a:prstGeom>
                    <a:noFill/>
                  </pic:spPr>
                </pic:pic>
              </a:graphicData>
            </a:graphic>
          </wp:inline>
        </w:drawing>
      </w:r>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checklist shows that the requirements of Annex I from the Directive are scarcely covered </w:t>
      </w:r>
      <w:r>
        <w:rPr>
          <w:rFonts w:ascii="Times New Roman" w:hAnsi="Times New Roman" w:cs="Times New Roman"/>
          <w:noProof/>
          <w:sz w:val="24"/>
          <w:lang w:val="en-IE"/>
        </w:rPr>
        <w:t>in the Estonian NIR</w:t>
      </w:r>
      <w:r>
        <w:rPr>
          <w:rFonts w:ascii="Times New Roman" w:hAnsi="Times New Roman" w:cs="Times New Roman"/>
          <w:noProof/>
          <w:color w:val="000000" w:themeColor="text1"/>
          <w:sz w:val="24"/>
          <w:lang w:val="en-IE"/>
        </w:rPr>
        <w:t>.</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does not offer any quantitative future AFI targets and provides only AFV estimates on a cumulative all-AFs level. </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EE NIR reports 13 measures in total. </w:t>
      </w:r>
      <w:r>
        <w:rPr>
          <w:rFonts w:ascii="Times New Roman" w:hAnsi="Times New Roman" w:cs="Times New Roman"/>
          <w:iCs/>
          <w:noProof/>
          <w:sz w:val="24"/>
          <w:lang w:val="en-IE"/>
        </w:rPr>
        <w:t>Under the Policy and Deployment &amp; Manufacturing sections it was possible to identif</w:t>
      </w:r>
      <w:r>
        <w:rPr>
          <w:rFonts w:ascii="Times New Roman" w:hAnsi="Times New Roman" w:cs="Times New Roman"/>
          <w:iCs/>
          <w:noProof/>
          <w:sz w:val="24"/>
          <w:lang w:val="en-IE"/>
        </w:rPr>
        <w:t>y three AF/transport mode clusters of measures, all assessable.</w:t>
      </w:r>
    </w:p>
    <w:p w:rsidR="003C43BF" w:rsidRDefault="003C43BF">
      <w:pPr>
        <w:pStyle w:val="Text1"/>
        <w:tabs>
          <w:tab w:val="left" w:pos="720"/>
        </w:tabs>
        <w:ind w:left="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155" w:name="_Toc55301792"/>
      <w:bookmarkStart w:id="156" w:name="_Toc56944137"/>
      <w:r>
        <w:rPr>
          <w:rFonts w:ascii="Times New Roman" w:hAnsi="Times New Roman" w:cs="Times New Roman"/>
          <w:noProof/>
          <w:sz w:val="24"/>
          <w:lang w:val="en-IE"/>
        </w:rPr>
        <w:t>Quantitative assessment: Vehicles and infrastructure</w:t>
      </w:r>
      <w:bookmarkEnd w:id="155"/>
      <w:bookmarkEnd w:id="156"/>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i/>
          <w:noProof/>
          <w:sz w:val="20"/>
          <w:szCs w:val="18"/>
          <w:lang w:val="en-IE"/>
        </w:rPr>
      </w:pPr>
      <w:bookmarkStart w:id="157" w:name="_Ref52816743"/>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5.6.3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57"/>
      <w:r>
        <w:rPr>
          <w:rFonts w:ascii="Times New Roman" w:hAnsi="Times New Roman" w:cs="Times New Roman"/>
          <w:i/>
          <w:noProof/>
          <w:sz w:val="20"/>
          <w:szCs w:val="18"/>
          <w:lang w:val="en-IE"/>
        </w:rPr>
        <w:t xml:space="preserve"> National AFV estimates and AFI targets established in the NIR at the horizon</w:t>
      </w:r>
      <w:r>
        <w:rPr>
          <w:rFonts w:ascii="Times New Roman" w:hAnsi="Times New Roman" w:cs="Times New Roman"/>
          <w:i/>
          <w:noProof/>
          <w:sz w:val="20"/>
          <w:szCs w:val="18"/>
          <w:lang w:val="en-IE"/>
        </w:rPr>
        <w:t xml:space="preserve"> 2020, 2025 and 2030 and their comparison with the NPF situation </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944235" cy="507238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4235" cy="5072380"/>
                    </a:xfrm>
                    <a:prstGeom prst="rect">
                      <a:avLst/>
                    </a:prstGeom>
                    <a:noFill/>
                  </pic:spPr>
                </pic:pic>
              </a:graphicData>
            </a:graphic>
          </wp:inline>
        </w:drawing>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3630304" cy="437362"/>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0"/>
          <w:szCs w:val="18"/>
          <w:lang w:val="en-IE"/>
        </w:rPr>
        <w:t xml:space="preserve">* Data from EAFO since the EE NIR did not provide detailed information, ** Values corresponding to 2019 from EAFO (the NIR mentions that the CNG infrastructure was established in 2019 </w:t>
      </w:r>
      <w:r>
        <w:rPr>
          <w:rFonts w:ascii="Times New Roman" w:hAnsi="Times New Roman" w:cs="Times New Roman"/>
          <w:noProof/>
          <w:color w:val="000000" w:themeColor="text1"/>
          <w:sz w:val="20"/>
          <w:szCs w:val="18"/>
          <w:lang w:val="en-IE"/>
        </w:rPr>
        <w:t>and no further plans are presented), *** Targets from the EE NPF.</w:t>
      </w:r>
    </w:p>
    <w:p w:rsidR="003C43BF" w:rsidRDefault="006C3212">
      <w:pPr>
        <w:pStyle w:val="Heading4"/>
        <w:rPr>
          <w:rFonts w:ascii="Times New Roman" w:hAnsi="Times New Roman" w:cs="Times New Roman"/>
          <w:noProof/>
          <w:sz w:val="24"/>
          <w:lang w:val="en-IE"/>
        </w:rPr>
      </w:pPr>
      <w:r>
        <w:rPr>
          <w:rFonts w:ascii="Times New Roman" w:hAnsi="Times New Roman" w:cs="Times New Roman"/>
          <w:bCs/>
          <w:noProof/>
          <w:sz w:val="24"/>
          <w:lang w:eastAsia="en-GB"/>
        </w:rPr>
        <mc:AlternateContent>
          <mc:Choice Requires="wps">
            <w:drawing>
              <wp:anchor distT="45720" distB="45720" distL="114300" distR="114300" simplePos="0" relativeHeight="251656192" behindDoc="0" locked="0" layoutInCell="1" allowOverlap="1">
                <wp:simplePos x="0" y="0"/>
                <wp:positionH relativeFrom="margin">
                  <wp:align>right</wp:align>
                </wp:positionH>
                <wp:positionV relativeFrom="paragraph">
                  <wp:posOffset>352425</wp:posOffset>
                </wp:positionV>
                <wp:extent cx="5924550" cy="723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23900"/>
                        </a:xfrm>
                        <a:prstGeom prst="rect">
                          <a:avLst/>
                        </a:prstGeom>
                        <a:solidFill>
                          <a:srgbClr val="FFFFFF"/>
                        </a:solidFill>
                        <a:ln w="9525">
                          <a:solidFill>
                            <a:srgbClr val="000000"/>
                          </a:solidFill>
                          <a:miter lim="800000"/>
                          <a:headEnd/>
                          <a:tailEnd/>
                        </a:ln>
                      </wps:spPr>
                      <wps:txbx>
                        <w:txbxContent>
                          <w:p w:rsidR="003C43BF" w:rsidRDefault="006C3212">
                            <w:pPr>
                              <w:tabs>
                                <w:tab w:val="left" w:pos="360"/>
                              </w:tabs>
                              <w:jc w:val="both"/>
                              <w:rPr>
                                <w:rFonts w:ascii="Times New Roman" w:hAnsi="Times New Roman" w:cs="Times New Roman"/>
                              </w:rPr>
                            </w:pPr>
                            <w:r>
                              <w:rPr>
                                <w:rFonts w:ascii="Times New Roman" w:hAnsi="Times New Roman" w:cs="Times New Roman"/>
                              </w:rPr>
                              <w:t>NOTE: Similarly to the NPF, there are no fuel-specific AFV estimates presented in the Estonian NIR. Instead, an overall projection of AFV on Estonian roads is provided. Total AFV fleet is foreseen to develop from 5,500 vehicles in 2018 to 7,000 in 2020, 14</w:t>
                            </w:r>
                            <w:r>
                              <w:rPr>
                                <w:rFonts w:ascii="Times New Roman" w:hAnsi="Times New Roman" w:cs="Times New Roman"/>
                              </w:rPr>
                              <w:t xml:space="preserve">,200 in 2025 and 25,000 in 2030. </w:t>
                            </w:r>
                          </w:p>
                          <w:p w:rsidR="003C43BF" w:rsidRDefault="003C4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5.3pt;margin-top:27.75pt;width:466.5pt;height:57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">
                <v:textbox>
                  <w:txbxContent>
                    <w:p w:rsidR="003C43BF" w:rsidRDefault="006C3212">
                      <w:pPr>
                        <w:tabs>
                          <w:tab w:val="left" w:pos="360"/>
                        </w:tabs>
                        <w:jc w:val="both"/>
                        <w:rPr>
                          <w:rFonts w:ascii="Times New Roman" w:hAnsi="Times New Roman" w:cs="Times New Roman"/>
                        </w:rPr>
                      </w:pPr>
                      <w:r>
                        <w:rPr>
                          <w:rFonts w:ascii="Times New Roman" w:hAnsi="Times New Roman" w:cs="Times New Roman"/>
                        </w:rPr>
                        <w:t>NOTE: Similarly to the NPF, there are no fuel-specific AFV estimates presented in the Estonian NIR. Instead, an overall projection of AFV on Estonian roads is provided. Total AFV fleet is foreseen to develop from 5,500 vehicles in 2018 to 7,000 in 2020, 14</w:t>
                      </w:r>
                      <w:r>
                        <w:rPr>
                          <w:rFonts w:ascii="Times New Roman" w:hAnsi="Times New Roman" w:cs="Times New Roman"/>
                        </w:rPr>
                        <w:t xml:space="preserve">,200 in 2025 and 25,000 in 2030. </w:t>
                      </w:r>
                    </w:p>
                    <w:p w:rsidR="003C43BF" w:rsidRDefault="003C43BF"/>
                  </w:txbxContent>
                </v:textbox>
                <w10:wrap type="square" anchorx="margin"/>
              </v:shape>
            </w:pict>
          </mc:Fallback>
        </mc:AlternateContent>
      </w:r>
      <w:r>
        <w:rPr>
          <w:rFonts w:ascii="Times New Roman" w:hAnsi="Times New Roman" w:cs="Times New Roman"/>
          <w:noProof/>
          <w:sz w:val="24"/>
          <w:lang w:val="en-IE"/>
        </w:rPr>
        <w:t>Road transport</w:t>
      </w:r>
    </w:p>
    <w:p w:rsidR="003C43BF" w:rsidRDefault="006C3212">
      <w:pPr>
        <w:rPr>
          <w:rFonts w:ascii="Times New Roman" w:hAnsi="Times New Roman" w:cs="Times New Roman"/>
          <w:bCs/>
          <w:noProof/>
          <w:sz w:val="24"/>
          <w:lang w:val="en-IE"/>
        </w:rPr>
      </w:pPr>
      <w:r>
        <w:rPr>
          <w:rFonts w:ascii="Times New Roman" w:hAnsi="Times New Roman" w:cs="Times New Roman"/>
          <w:bCs/>
          <w:noProof/>
          <w:sz w:val="24"/>
          <w:lang w:val="en-IE"/>
        </w:rPr>
        <w:t>The Estonian NIR provides no quantitative future AFI targets for any alternative fuel.</w:t>
      </w:r>
      <w:r>
        <w:rPr>
          <w:rFonts w:ascii="Times New Roman" w:hAnsi="Times New Roman" w:cs="Times New Roman"/>
          <w:noProof/>
          <w:sz w:val="24"/>
          <w:lang w:val="en-IE"/>
        </w:rPr>
        <w:t xml:space="preserve"> </w:t>
      </w:r>
    </w:p>
    <w:p w:rsidR="003C43BF" w:rsidRDefault="006C3212">
      <w:pPr>
        <w:jc w:val="both"/>
        <w:rPr>
          <w:rStyle w:val="Heading4Char"/>
          <w:rFonts w:ascii="Times New Roman" w:hAnsi="Times New Roman" w:cs="Times New Roman"/>
          <w:i/>
          <w:iCs/>
          <w:noProof/>
          <w:sz w:val="24"/>
          <w:lang w:val="en-IE"/>
        </w:rPr>
      </w:pPr>
      <w:r>
        <w:rPr>
          <w:rFonts w:ascii="Times New Roman" w:hAnsi="Times New Roman" w:cs="Times New Roman"/>
          <w:noProof/>
          <w:sz w:val="24"/>
          <w:lang w:val="en-IE"/>
        </w:rPr>
        <w:t>The NIR mentions that Estonia will complete its National Transport and Mobility Development Plan 2021+ by the end of 2</w:t>
      </w:r>
      <w:r>
        <w:rPr>
          <w:rFonts w:ascii="Times New Roman" w:hAnsi="Times New Roman" w:cs="Times New Roman"/>
          <w:noProof/>
          <w:sz w:val="24"/>
          <w:lang w:val="en-IE"/>
        </w:rPr>
        <w:t>020 in order to set new national objectives for the deployment of alternative fuels and their infrastructure.</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does not provide the 2016-2018 quantitative situation regarding electric vehicles. According to EAFO, </w:t>
      </w:r>
      <w:r>
        <w:rPr>
          <w:rFonts w:ascii="Times New Roman" w:hAnsi="Times New Roman" w:cs="Times New Roman"/>
          <w:noProof/>
          <w:sz w:val="24"/>
          <w:lang w:val="en-IE"/>
        </w:rPr>
        <w:t>Estonia recorded 1,434 battery-electric and plug-in hybrid electric vehicles in use in 2018, of which 1,377 were passenger cars, 31 LCVs and 26 buses and coaches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_Ref52816743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5.6.3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Estonian NPF, the NIR did not provide future electric vehicle estimates and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NIR does not provide the 2016-2018 quantitative situ</w:t>
      </w:r>
      <w:r>
        <w:rPr>
          <w:rFonts w:ascii="Times New Roman" w:hAnsi="Times New Roman" w:cs="Times New Roman"/>
          <w:noProof/>
          <w:sz w:val="24"/>
          <w:lang w:val="en-IE"/>
        </w:rPr>
        <w:t>ation regarding publicly accessible recharging infrastructure. According to EAFO, Estonia recorded 384 publicly accessible recharging points in 2016 and 2017, and 394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_Ref52816743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5.6.3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the Estonian NIR, no specific future targets are listed concerning the development of electric recharging points. Instead, the long-term vision is loosely described as planned to achieve recharging infrastructure </w:t>
      </w:r>
      <w:r>
        <w:rPr>
          <w:rFonts w:ascii="Times New Roman" w:hAnsi="Times New Roman" w:cs="Times New Roman"/>
          <w:noProof/>
          <w:sz w:val="24"/>
          <w:lang w:val="en-IE"/>
        </w:rPr>
        <w:t xml:space="preserve">that would be convenient for all users.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NIR mentions that, during the process of privatising the national recharging infrastructure, obligations derived from the AFI Directive were put on the new owners (e.g. adding ‘Combo 2’ sockets to the e</w:t>
      </w:r>
      <w:r>
        <w:rPr>
          <w:rFonts w:ascii="Times New Roman" w:hAnsi="Times New Roman" w:cs="Times New Roman"/>
          <w:noProof/>
          <w:sz w:val="24"/>
          <w:lang w:val="en-IE"/>
        </w:rPr>
        <w:t xml:space="preserve">xisting/future high-power recharging points, distance between recharging points). Developing the national recharging infrastructure is considered to depend on the business plan of the new owners.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targets for 2020 and 2025 considered in the Estonian </w:t>
      </w:r>
      <w:r>
        <w:rPr>
          <w:rFonts w:ascii="Times New Roman" w:hAnsi="Times New Roman" w:cs="Times New Roman"/>
          <w:noProof/>
          <w:sz w:val="24"/>
          <w:lang w:val="en-IE"/>
        </w:rPr>
        <w:t>NPF assessment were both equal to 384 publicly accessible recharging points.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the Estonian NIR did not provide any future targets for publicly accessible recharging points,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E</w:t>
      </w:r>
      <w:r>
        <w:rPr>
          <w:rFonts w:ascii="Times New Roman" w:hAnsi="Times New Roman" w:cs="Times New Roman"/>
          <w:noProof/>
          <w:sz w:val="24"/>
          <w:lang w:val="en-IE"/>
        </w:rPr>
        <w:t xml:space="preserve">E NIR, the following table shows the ratio between vehicles and publicly accessible recharging points (i.e. sufficiency index) for the pair electricity/road. Because the Estonian NIR did not provide present values and future targets, the sufficiency index </w:t>
      </w:r>
      <w:r>
        <w:rPr>
          <w:rFonts w:ascii="Times New Roman" w:hAnsi="Times New Roman" w:cs="Times New Roman"/>
          <w:noProof/>
          <w:sz w:val="24"/>
          <w:lang w:val="en-IE"/>
        </w:rPr>
        <w:t>could only be computed for 2016 and 2018 by using data from EAFO. The 2016 - 2018 situation is considered adequate since the sufficiency index is inferior to the indicative value of 10.</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005070" cy="389890"/>
            <wp:effectExtent l="0" t="0" r="508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5070" cy="389890"/>
                    </a:xfrm>
                    <a:prstGeom prst="rect">
                      <a:avLst/>
                    </a:prstGeom>
                    <a:noFill/>
                  </pic:spPr>
                </pic:pic>
              </a:graphicData>
            </a:graphic>
          </wp:inline>
        </w:drawing>
      </w:r>
    </w:p>
    <w:p w:rsidR="003C43BF" w:rsidRDefault="006C3212">
      <w:pPr>
        <w:rPr>
          <w:rFonts w:ascii="Times New Roman" w:hAnsi="Times New Roman" w:cs="Times New Roman"/>
          <w:noProof/>
          <w:sz w:val="20"/>
          <w:szCs w:val="18"/>
          <w:lang w:val="en-IE"/>
        </w:rPr>
      </w:pPr>
      <w:r>
        <w:rPr>
          <w:rFonts w:ascii="Times New Roman" w:hAnsi="Times New Roman" w:cs="Times New Roman"/>
          <w:noProof/>
          <w:sz w:val="20"/>
          <w:szCs w:val="18"/>
          <w:lang w:val="en-IE"/>
        </w:rPr>
        <w:t>* data from EAFO</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NIR mentions</w:t>
      </w:r>
      <w:r>
        <w:rPr>
          <w:rFonts w:ascii="Times New Roman" w:hAnsi="Times New Roman" w:cs="Times New Roman"/>
          <w:noProof/>
          <w:sz w:val="24"/>
          <w:lang w:val="en-IE"/>
        </w:rPr>
        <w:t xml:space="preserve"> that, due to Estonia’s privatization process of the recharging infrastructure, the specific methodology to take account of the charging efficiency of high power (&gt;22kW) recharging points is subject to the developer’s business plan. </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w:t>
      </w:r>
      <w:r>
        <w:rPr>
          <w:rFonts w:ascii="Times New Roman" w:hAnsi="Times New Roman" w:cs="Times New Roman"/>
          <w:noProof/>
          <w:sz w:val="24"/>
          <w:lang w:val="en-IE"/>
        </w:rPr>
        <w:t>nian NIR does not provide the 2016-2018 quantitative situation regarding CNG vehicles. The report only mentions that public transport in Estonia is largely based on natural gas buses and some support vehicles at airports use biogas.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According to EAFO, </w:t>
      </w:r>
      <w:r>
        <w:rPr>
          <w:rFonts w:ascii="Times New Roman" w:hAnsi="Times New Roman" w:cs="Times New Roman"/>
          <w:noProof/>
          <w:sz w:val="24"/>
          <w:lang w:val="en-IE"/>
        </w:rPr>
        <w:t>Estonia recorded 1,014 CNG vehicles in use in 2018, of which 651 were passenger cars, 170 LCVs, 82 HCVs and 111 buses and coaches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_Ref52816743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5.6.3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There are no future CNG vehicle estimates provided in the Estonian NIR, thus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NIR does not provide the 2016-2018 quantitative situation regarding publicly accessible CNG re</w:t>
      </w:r>
      <w:r>
        <w:rPr>
          <w:rFonts w:ascii="Times New Roman" w:hAnsi="Times New Roman" w:cs="Times New Roman"/>
          <w:noProof/>
          <w:sz w:val="24"/>
          <w:lang w:val="en-IE"/>
        </w:rPr>
        <w:t>fuelling infrastructure. According to EAFO, Estonia recorded 6 CNG refuelling points in 2016 and 2017, 10 in 2018 (and 19 in 2019).</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provides no specific quantitative future targets for publicly accessible CNG refuelling points but reports </w:t>
      </w:r>
      <w:r>
        <w:rPr>
          <w:rFonts w:ascii="Times New Roman" w:hAnsi="Times New Roman" w:cs="Times New Roman"/>
          <w:noProof/>
          <w:sz w:val="24"/>
          <w:lang w:val="en-IE"/>
        </w:rPr>
        <w:t>that the nationwide CNG and biogas refuelling infrastructure has already been established in 2019, funded by the government and the private sector that contributed each with 2.78 million €. In the case of biogas, it is added that the refuelling infrastruct</w:t>
      </w:r>
      <w:r>
        <w:rPr>
          <w:rFonts w:ascii="Times New Roman" w:hAnsi="Times New Roman" w:cs="Times New Roman"/>
          <w:noProof/>
          <w:sz w:val="24"/>
          <w:lang w:val="en-IE"/>
        </w:rPr>
        <w:t xml:space="preserve">ure is developing on demand.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 accordance with the statement of the EE NIR, the</w:t>
      </w:r>
      <w:r>
        <w:rPr>
          <w:rFonts w:ascii="Times New Roman" w:hAnsi="Times New Roman" w:cs="Times New Roman"/>
          <w:noProof/>
          <w:sz w:val="24"/>
          <w:szCs w:val="24"/>
          <w:lang w:val="en-IE"/>
        </w:rPr>
        <w:t xml:space="preserve"> </w:t>
      </w:r>
      <w:r>
        <w:rPr>
          <w:rFonts w:ascii="Times New Roman" w:hAnsi="Times New Roman" w:cs="Times New Roman"/>
          <w:noProof/>
          <w:sz w:val="24"/>
          <w:szCs w:val="24"/>
        </w:rPr>
        <w:t>current assessment considers the future number of CNG refuelling points to remain the same as in 2019</w:t>
      </w:r>
      <w:r>
        <w:rPr>
          <w:rFonts w:ascii="Times New Roman" w:hAnsi="Times New Roman" w:cs="Times New Roman"/>
          <w:noProof/>
          <w:sz w:val="24"/>
          <w:szCs w:val="24"/>
          <w:lang w:val="en-IE"/>
        </w:rPr>
        <w:t xml:space="preserve"> </w:t>
      </w:r>
      <w:r>
        <w:rPr>
          <w:rFonts w:ascii="Times New Roman" w:hAnsi="Times New Roman" w:cs="Times New Roman"/>
          <w:noProof/>
          <w:sz w:val="24"/>
          <w:lang w:val="en-IE"/>
        </w:rPr>
        <w:t>(</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_Ref52816743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5.6.3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This considered target for 2020 is 18.75% higher than the NPF target of 16 CNG refuelling points.</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publicly accessible CNG refuelling infrastructure targets is constant and equal to 52.63% for 2020, 2025 and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fast progress</w:t>
      </w:r>
      <w:r>
        <w:rPr>
          <w:rFonts w:ascii="Times New Roman" w:hAnsi="Times New Roman" w:cs="Times New Roman"/>
          <w:iCs/>
          <w:noProof/>
          <w:color w:val="000000" w:themeColor="text1"/>
          <w:sz w:val="24"/>
          <w:lang w:val="en-IE"/>
        </w:rPr>
        <w:t xml:space="preserve"> towards reachin</w:t>
      </w:r>
      <w:r>
        <w:rPr>
          <w:rFonts w:ascii="Times New Roman" w:hAnsi="Times New Roman" w:cs="Times New Roman"/>
          <w:iCs/>
          <w:noProof/>
          <w:color w:val="000000" w:themeColor="text1"/>
          <w:sz w:val="24"/>
          <w:lang w:val="en-IE"/>
        </w:rPr>
        <w:t xml:space="preserve">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CNG refuelling infrastructure evolution planned by Estonia is equal to 7%.</w:t>
      </w:r>
      <w:r>
        <w:rPr>
          <w:rFonts w:ascii="Times New Roman" w:hAnsi="Times New Roman" w:cs="Times New Roman"/>
          <w:noProof/>
          <w:color w:val="000000" w:themeColor="text1"/>
          <w:sz w:val="28"/>
          <w:szCs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following table shows the ratio between</w:t>
      </w:r>
      <w:r>
        <w:rPr>
          <w:rFonts w:ascii="Times New Roman" w:hAnsi="Times New Roman" w:cs="Times New Roman"/>
          <w:noProof/>
          <w:sz w:val="24"/>
          <w:lang w:val="en-IE"/>
        </w:rPr>
        <w:t xml:space="preserve"> vehicles and publicly accessible CNG refuelling points (i.e. sufficiency index) for the pair CNG/road. As is the case for electricity/road, the sufficiency index could only be computed for the 2016 - 2018 period by using data from the Estonian NPF and fro</w:t>
      </w:r>
      <w:r>
        <w:rPr>
          <w:rFonts w:ascii="Times New Roman" w:hAnsi="Times New Roman" w:cs="Times New Roman"/>
          <w:noProof/>
          <w:sz w:val="24"/>
          <w:lang w:val="en-IE"/>
        </w:rPr>
        <w:t>m EAFO, respectively. The 2016 - 2018 situation is considered adequate since the sufficiency index is inferior to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118100" cy="38735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18100" cy="387350"/>
                    </a:xfrm>
                    <a:prstGeom prst="rect">
                      <a:avLst/>
                    </a:prstGeom>
                    <a:noFill/>
                    <a:ln>
                      <a:noFill/>
                    </a:ln>
                  </pic:spPr>
                </pic:pic>
              </a:graphicData>
            </a:graphic>
          </wp:inline>
        </w:drawing>
      </w:r>
    </w:p>
    <w:p w:rsidR="003C43BF" w:rsidRDefault="006C3212">
      <w:pPr>
        <w:rPr>
          <w:rFonts w:ascii="Times New Roman" w:hAnsi="Times New Roman" w:cs="Times New Roman"/>
          <w:noProof/>
          <w:sz w:val="20"/>
          <w:szCs w:val="18"/>
          <w:lang w:val="en-IE"/>
        </w:rPr>
      </w:pPr>
      <w:r>
        <w:rPr>
          <w:rFonts w:ascii="Times New Roman" w:hAnsi="Times New Roman" w:cs="Times New Roman"/>
          <w:noProof/>
          <w:sz w:val="20"/>
          <w:szCs w:val="18"/>
          <w:lang w:val="en-IE"/>
        </w:rPr>
        <w:t>* data from EE NPF; ** data from EAFO</w:t>
      </w:r>
    </w:p>
    <w:p w:rsidR="003C43BF" w:rsidRDefault="003C43BF">
      <w:pPr>
        <w:tabs>
          <w:tab w:val="left" w:pos="360"/>
        </w:tabs>
        <w:spacing w:after="120" w:line="240" w:lineRule="auto"/>
        <w:jc w:val="both"/>
        <w:rPr>
          <w:rFonts w:ascii="Times New Roman" w:hAnsi="Times New Roman" w:cs="Times New Roman"/>
          <w:noProof/>
          <w:color w:val="000000" w:themeColor="text1"/>
          <w:sz w:val="28"/>
          <w:szCs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Estonian NPF, there is no information provided about LNG vehicles in the Estonian NIR.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There is no information provided about road LNG refuelling points in </w:t>
      </w:r>
      <w:r>
        <w:rPr>
          <w:rFonts w:ascii="Times New Roman" w:hAnsi="Times New Roman" w:cs="Times New Roman"/>
          <w:noProof/>
          <w:sz w:val="24"/>
          <w:lang w:val="en-IE"/>
        </w:rPr>
        <w:t>the Estonian NIR. According to EAFO, Estonia did not record any road LNG refuelling points in 2018.</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NPF target for 2020 was equal to one road LNG refuelling point.</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there are no road LNG refuelling points targets provided in the Estonian NIR</w:t>
      </w:r>
      <w:r>
        <w:rPr>
          <w:rFonts w:ascii="Times New Roman" w:hAnsi="Times New Roman" w:cs="Times New Roman"/>
          <w:noProof/>
          <w:sz w:val="24"/>
          <w:lang w:val="en-IE"/>
        </w:rPr>
        <w:t xml:space="preserve">, the </w:t>
      </w:r>
      <w:r>
        <w:rPr>
          <w:rFonts w:ascii="Times New Roman" w:hAnsi="Times New Roman" w:cs="Times New Roman"/>
          <w:noProof/>
          <w:sz w:val="24"/>
          <w:lang w:val="en-IE"/>
        </w:rPr>
        <w:t xml:space="preserve">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there is no current LNG infrastructure available and no targets were provided in the Estonian NIR, it is not possible to compute the sufficiency index.</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NIR ment</w:t>
      </w:r>
      <w:r>
        <w:rPr>
          <w:rFonts w:ascii="Times New Roman" w:hAnsi="Times New Roman" w:cs="Times New Roman"/>
          <w:noProof/>
          <w:sz w:val="24"/>
          <w:lang w:val="en-IE"/>
        </w:rPr>
        <w:t>ions that hydrogen vehicles are only slowly entering the Estonian market. On the basis of this observation, the Estonian NIR stipulates that no concrete actions have thus been taken.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Estonian NPF, there are no future hydrogen vehicle estimates provided in the Estonian NIR.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bCs/>
          <w:noProof/>
          <w:sz w:val="24"/>
          <w:lang w:val="en-IE"/>
        </w:rPr>
        <w:t xml:space="preserve">The Estonian NIR provides no quantitative information for </w:t>
      </w:r>
      <w:r>
        <w:rPr>
          <w:rFonts w:ascii="Times New Roman" w:hAnsi="Times New Roman" w:cs="Times New Roman"/>
          <w:bCs/>
          <w:noProof/>
          <w:sz w:val="24"/>
          <w:lang w:val="en-IE"/>
        </w:rPr>
        <w:t>hydrogen refuelling points.</w:t>
      </w:r>
      <w:r>
        <w:rPr>
          <w:rFonts w:ascii="Times New Roman" w:hAnsi="Times New Roman" w:cs="Times New Roman"/>
          <w:noProof/>
          <w:sz w:val="24"/>
          <w:lang w:val="en-IE"/>
        </w:rPr>
        <w:t xml:space="preserve"> According to the Estonian NIR, different ideas have been put forward on the hydrogen refuelling infrastructure, but no concrete targets or actions have yet been declared.</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According to EAFO, Estonia did not record any hydrogen re</w:t>
      </w:r>
      <w:r>
        <w:rPr>
          <w:rFonts w:ascii="Times New Roman" w:hAnsi="Times New Roman" w:cs="Times New Roman"/>
          <w:noProof/>
          <w:sz w:val="24"/>
          <w:lang w:val="en-IE"/>
        </w:rPr>
        <w:t>fuelling points in 2018.</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there are no hydrogen refuelling points targets provided in the EE NIR</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3C43BF">
      <w:pPr>
        <w:rPr>
          <w:rStyle w:val="Heading4Char"/>
          <w:rFonts w:ascii="Times New Roman" w:hAnsi="Times New Roman" w:cs="Times New Roman"/>
          <w:i/>
          <w:iCs/>
          <w:noProof/>
          <w:sz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there is no current hydrogen refuelling infrastructure available and no targets were</w:t>
      </w:r>
      <w:r>
        <w:rPr>
          <w:rFonts w:ascii="Times New Roman" w:hAnsi="Times New Roman" w:cs="Times New Roman"/>
          <w:noProof/>
          <w:sz w:val="24"/>
          <w:lang w:val="en-IE"/>
        </w:rPr>
        <w:t xml:space="preserve"> provided in the Estonian NIR, it is not possible to compute the sufficiency index.</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Estonian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Estonian NIR.</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does </w:t>
      </w:r>
      <w:r>
        <w:rPr>
          <w:rFonts w:ascii="Times New Roman" w:hAnsi="Times New Roman" w:cs="Times New Roman"/>
          <w:noProof/>
          <w:sz w:val="24"/>
          <w:lang w:val="en-IE"/>
        </w:rPr>
        <w:t>not provide information on the number of LPG vehicles. According to EAFO, Estonia recorded 6,160 LPG vehicles in use in 2018, all of them being passenger cars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_Ref52816743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5.6.3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NIR does not provide information on the number of LPG refuelling points. According to EAFO, Estonia recorded 55 LPG refuelling points in 2016, 60 in 2017, and 80 in 2018.</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following table shows t</w:t>
      </w:r>
      <w:r>
        <w:rPr>
          <w:rFonts w:ascii="Times New Roman" w:hAnsi="Times New Roman" w:cs="Times New Roman"/>
          <w:noProof/>
          <w:sz w:val="24"/>
          <w:lang w:val="en-IE"/>
        </w:rPr>
        <w:t xml:space="preserve">he ratio between vehicles and </w:t>
      </w:r>
      <w:r>
        <w:rPr>
          <w:rFonts w:ascii="Times New Roman" w:hAnsi="Times New Roman" w:cs="Times New Roman"/>
          <w:iCs/>
          <w:noProof/>
          <w:color w:val="000000" w:themeColor="text1"/>
          <w:sz w:val="24"/>
          <w:lang w:val="en-IE"/>
        </w:rPr>
        <w:t>publicly accessible LPG refuelling points</w:t>
      </w:r>
      <w:r>
        <w:rPr>
          <w:rFonts w:ascii="Times New Roman" w:hAnsi="Times New Roman" w:cs="Times New Roman"/>
          <w:noProof/>
          <w:sz w:val="24"/>
          <w:lang w:val="en-IE"/>
        </w:rPr>
        <w:t xml:space="preserve"> (i.e. sufficiency index) for the pair LPG/road. The sufficiency index could only be computed for the 2016 – 2018 period by using data from EAFO.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118100" cy="3873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18100" cy="387350"/>
                    </a:xfrm>
                    <a:prstGeom prst="rect">
                      <a:avLst/>
                    </a:prstGeom>
                    <a:noFill/>
                    <a:ln>
                      <a:noFill/>
                    </a:ln>
                  </pic:spPr>
                </pic:pic>
              </a:graphicData>
            </a:graphic>
          </wp:inline>
        </w:drawing>
      </w:r>
    </w:p>
    <w:p w:rsidR="003C43BF" w:rsidRDefault="006C3212">
      <w:pPr>
        <w:rPr>
          <w:rFonts w:ascii="Times New Roman" w:hAnsi="Times New Roman" w:cs="Times New Roman"/>
          <w:noProof/>
          <w:sz w:val="20"/>
          <w:szCs w:val="18"/>
          <w:lang w:val="en-IE"/>
        </w:rPr>
      </w:pPr>
      <w:r>
        <w:rPr>
          <w:rFonts w:ascii="Times New Roman" w:hAnsi="Times New Roman" w:cs="Times New Roman"/>
          <w:noProof/>
          <w:sz w:val="20"/>
          <w:szCs w:val="18"/>
          <w:lang w:val="en-IE"/>
        </w:rPr>
        <w:t>* data from EAFO</w:t>
      </w:r>
    </w:p>
    <w:p w:rsidR="003C43BF" w:rsidRDefault="003C43BF">
      <w:pPr>
        <w:tabs>
          <w:tab w:val="left" w:pos="360"/>
        </w:tabs>
        <w:spacing w:after="120" w:line="240" w:lineRule="auto"/>
        <w:jc w:val="both"/>
        <w:rPr>
          <w:rFonts w:ascii="Times New Roman" w:hAnsi="Times New Roman" w:cs="Times New Roman"/>
          <w:noProof/>
          <w:color w:val="000000" w:themeColor="text1"/>
          <w:sz w:val="28"/>
          <w:szCs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 xml:space="preserve">The Estonian Cabinet of Ministers has approved the acquisition of six electric trains by the public transport company ELRON (see also Section 5.6.4.2.2).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Cabinet of Ministers decided to fully electrify Esto</w:t>
      </w:r>
      <w:r>
        <w:rPr>
          <w:rFonts w:ascii="Times New Roman" w:hAnsi="Times New Roman" w:cs="Times New Roman"/>
          <w:noProof/>
          <w:sz w:val="24"/>
          <w:lang w:val="en-IE"/>
        </w:rPr>
        <w:t>nia’s railway system by 2028. Design work begins in 2020 and construction work will commence in 2022 (see also Section 5.6.4.2.2).</w:t>
      </w:r>
    </w:p>
    <w:p w:rsidR="003C43BF" w:rsidRDefault="003C43BF">
      <w:pPr>
        <w:tabs>
          <w:tab w:val="left" w:pos="360"/>
        </w:tabs>
        <w:jc w:val="both"/>
        <w:rPr>
          <w:rFonts w:ascii="Times New Roman" w:hAnsi="Times New Roman" w:cs="Times New Roman"/>
          <w:noProof/>
          <w:color w:val="000000" w:themeColor="text1"/>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Estonian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Accordi</w:t>
      </w:r>
      <w:r>
        <w:rPr>
          <w:rFonts w:ascii="Times New Roman" w:hAnsi="Times New Roman" w:cs="Times New Roman"/>
          <w:noProof/>
          <w:sz w:val="24"/>
          <w:lang w:val="en-IE"/>
        </w:rPr>
        <w:t xml:space="preserve">ng to the previously evaluated Estonian NPF, there was one maritime port equipped with shore-side electricity supply in 2016. The target set out in the NPF for 2020 and 2025 accumulated to 11 maritime ports with shore-side electricity supply available. It </w:t>
      </w:r>
      <w:r>
        <w:rPr>
          <w:rFonts w:ascii="Times New Roman" w:hAnsi="Times New Roman" w:cs="Times New Roman"/>
          <w:noProof/>
          <w:sz w:val="24"/>
          <w:lang w:val="en-IE"/>
        </w:rPr>
        <w:t>is not clear if this target is still meant to be achieved as the Estonian NIR does not provide any information on shore-side electricity supply.</w:t>
      </w:r>
    </w:p>
    <w:p w:rsidR="003C43BF" w:rsidRDefault="003C43BF">
      <w:pPr>
        <w:tabs>
          <w:tab w:val="left" w:pos="360"/>
        </w:tabs>
        <w:jc w:val="both"/>
        <w:rPr>
          <w:rFonts w:ascii="Times New Roman" w:hAnsi="Times New Roman" w:cs="Times New Roman"/>
          <w:iCs/>
          <w:noProof/>
          <w:color w:val="000000" w:themeColor="text1"/>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Estonian NIR. However, one LNG vessel was mentioned in the </w:t>
      </w:r>
      <w:r>
        <w:rPr>
          <w:rFonts w:ascii="Times New Roman" w:hAnsi="Times New Roman" w:cs="Times New Roman"/>
          <w:noProof/>
          <w:sz w:val="24"/>
          <w:lang w:val="en-IE"/>
        </w:rPr>
        <w:t>Estonian NPF that began sailing the Tallinn–Helsinki line in 2017.</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No information was provided regarding LNG refuelling infrastructure in maritime ports along the TEN-T Core Network in the Estonian NIR. The NPF target for 2020 was one LNG te</w:t>
      </w:r>
      <w:r>
        <w:rPr>
          <w:rFonts w:ascii="Times New Roman" w:hAnsi="Times New Roman" w:cs="Times New Roman"/>
          <w:noProof/>
          <w:sz w:val="24"/>
          <w:lang w:val="en-IE"/>
        </w:rPr>
        <w:t xml:space="preserve">rminal in the TEN-T Core maritime port of Tallinn. </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Not applicable since Estonia has no inland ports in the TEN-T Core Network.</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No specific information was found in the Estonian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NIR does not provide any information on electricity supply for stationary airplanes. According to the EE NPF, there was electricity supply available for stationary airplanes at the five Estonian airpor</w:t>
      </w:r>
      <w:r>
        <w:rPr>
          <w:rFonts w:ascii="Times New Roman" w:hAnsi="Times New Roman" w:cs="Times New Roman"/>
          <w:noProof/>
          <w:sz w:val="24"/>
          <w:lang w:val="en-IE"/>
        </w:rPr>
        <w:t>ts with international flights in 2016. However, the NPF did not contain information on future plans.</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NIR reports that the aviation sector has signalled openness to introduce machinery powered by alternative fuels. There are</w:t>
      </w:r>
      <w:r>
        <w:rPr>
          <w:rFonts w:ascii="Times New Roman" w:hAnsi="Times New Roman" w:cs="Times New Roman"/>
          <w:noProof/>
          <w:sz w:val="24"/>
          <w:lang w:val="en-IE"/>
        </w:rPr>
        <w:t xml:space="preserve">, however, no big investments expected due to low volumes. </w:t>
      </w:r>
    </w:p>
    <w:p w:rsidR="003C43BF" w:rsidRDefault="006C3212">
      <w:pPr>
        <w:pStyle w:val="Heading6"/>
        <w:numPr>
          <w:ilvl w:val="0"/>
          <w:numId w:val="0"/>
        </w:numPr>
        <w:rPr>
          <w:rFonts w:ascii="Times New Roman" w:hAnsi="Times New Roman" w:cs="Times New Roman"/>
          <w:noProof/>
          <w:sz w:val="24"/>
          <w:highlight w:val="yellow"/>
          <w:lang w:val="en-IE"/>
        </w:rPr>
      </w:pPr>
      <w:r>
        <w:rPr>
          <w:rFonts w:ascii="Times New Roman" w:hAnsi="Times New Roman" w:cs="Times New Roman"/>
          <w:noProof/>
          <w:sz w:val="24"/>
          <w:lang w:val="en-IE"/>
        </w:rPr>
        <w:t>Infrastructure</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does not provide information on the introduction of renewable jet fuel refuelling points. </w:t>
      </w:r>
    </w:p>
    <w:p w:rsidR="003C43BF" w:rsidRDefault="006C3212">
      <w:pPr>
        <w:pStyle w:val="Heading3"/>
        <w:ind w:left="720"/>
        <w:rPr>
          <w:rFonts w:ascii="Times New Roman" w:hAnsi="Times New Roman" w:cs="Times New Roman"/>
          <w:noProof/>
          <w:sz w:val="24"/>
          <w:lang w:val="en-IE"/>
        </w:rPr>
      </w:pPr>
      <w:bookmarkStart w:id="158" w:name="_Toc55301793"/>
      <w:bookmarkStart w:id="159" w:name="_Toc56944138"/>
      <w:r>
        <w:rPr>
          <w:rFonts w:ascii="Times New Roman" w:hAnsi="Times New Roman" w:cs="Times New Roman"/>
          <w:noProof/>
          <w:sz w:val="24"/>
          <w:lang w:val="en-IE"/>
        </w:rPr>
        <w:t>Measures assessment</w:t>
      </w:r>
      <w:bookmarkEnd w:id="158"/>
      <w:bookmarkEnd w:id="159"/>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mentions a series of measures that </w:t>
      </w:r>
      <w:r>
        <w:rPr>
          <w:rFonts w:ascii="Times New Roman" w:hAnsi="Times New Roman" w:cs="Times New Roman"/>
          <w:noProof/>
          <w:sz w:val="24"/>
          <w:lang w:val="en-IE"/>
        </w:rPr>
        <w:t>cumulate in three AF/transport mode clusters. Unfortunately, the Estonian NIR falls short of providing detailed information needed to perform the assessment. Many measures are vaguely defined or lack concrete information. The need to report this informatio</w:t>
      </w:r>
      <w:r>
        <w:rPr>
          <w:rFonts w:ascii="Times New Roman" w:hAnsi="Times New Roman" w:cs="Times New Roman"/>
          <w:noProof/>
          <w:sz w:val="24"/>
          <w:lang w:val="en-IE"/>
        </w:rPr>
        <w:t>n has already been emphasized in the previous assessment of the Estonian NPF.</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contains three legal measures to promote AFs. The previous NPF contained three measures as well, but different ones.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w:t>
      </w:r>
      <w:r>
        <w:rPr>
          <w:rFonts w:ascii="Times New Roman" w:hAnsi="Times New Roman" w:cs="Times New Roman"/>
          <w:noProof/>
          <w:sz w:val="24"/>
          <w:lang w:val="en-IE"/>
        </w:rPr>
        <w:t xml:space="preserve">he legislative &amp; regulatory category of the Estonian NIR contains two measures. The planned measures are the above-mentioned National Transport and Mobility Development Plan 2021+ setting national deployment and AFI targets as well as a new regulation for </w:t>
      </w:r>
      <w:r>
        <w:rPr>
          <w:rFonts w:ascii="Times New Roman" w:hAnsi="Times New Roman" w:cs="Times New Roman"/>
          <w:noProof/>
          <w:sz w:val="24"/>
          <w:lang w:val="en-IE"/>
        </w:rPr>
        <w:t>2021 requiring new building projects to install electric recharging points relative to the availability of parking spaces. Two different legislative and regulatory measures have been featured in the Estonian NPF. These concerned a memorandum of cooperation</w:t>
      </w:r>
      <w:r>
        <w:rPr>
          <w:rFonts w:ascii="Times New Roman" w:hAnsi="Times New Roman" w:cs="Times New Roman"/>
          <w:noProof/>
          <w:sz w:val="24"/>
          <w:lang w:val="en-IE"/>
        </w:rPr>
        <w:t xml:space="preserve"> for the implementation of shore-side electricity supply in Estonia’s Baltic maritime ports as well as the Estonia-Latvia cross-border cooperation programme for a joint network of small ports. The current Estonian NIR does not indicate whether these measur</w:t>
      </w:r>
      <w:r>
        <w:rPr>
          <w:rFonts w:ascii="Times New Roman" w:hAnsi="Times New Roman" w:cs="Times New Roman"/>
          <w:noProof/>
          <w:sz w:val="24"/>
          <w:lang w:val="en-IE"/>
        </w:rPr>
        <w:t>es have been successfully implemented or not.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reports solely one administrative measure. The member state mentions the EU Clean Vehicles Directive which stipulates that 31% and 43% of public buses procured by 2025 and 2030, </w:t>
      </w:r>
      <w:r>
        <w:rPr>
          <w:rFonts w:ascii="Times New Roman" w:hAnsi="Times New Roman" w:cs="Times New Roman"/>
          <w:noProof/>
          <w:sz w:val="24"/>
          <w:lang w:val="en-IE"/>
        </w:rPr>
        <w:t>respectively, must be clean vehicles with half of those operating with zero emissions. The past Estonian NPF also reported only one administrative measure, which concerned biofuels blending mandates for petrol and diesel fuel. This measure was mentioned as</w:t>
      </w:r>
      <w:r>
        <w:rPr>
          <w:rFonts w:ascii="Times New Roman" w:hAnsi="Times New Roman" w:cs="Times New Roman"/>
          <w:noProof/>
          <w:sz w:val="24"/>
          <w:lang w:val="en-IE"/>
        </w:rPr>
        <w:t xml:space="preserve"> adopted and has not been reported again in the Estonian NIR. </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Estonian NIR reports eight policy measures intended to foster alternative fuels in Estonia. Only one measure is featured in both NPF and NIR, seven have been newly introdu</w:t>
      </w:r>
      <w:r>
        <w:rPr>
          <w:rFonts w:ascii="Times New Roman" w:hAnsi="Times New Roman" w:cs="Times New Roman"/>
          <w:noProof/>
          <w:sz w:val="24"/>
          <w:lang w:val="en-IE"/>
        </w:rPr>
        <w:t xml:space="preserve">ced. This is an improvement compared to the NPF, which contained only three policy measures. Most policy measures in the Estonian NIR are financial incentives. The modes of transport covered are road or a combination of modes where fuels as such have been </w:t>
      </w:r>
      <w:r>
        <w:rPr>
          <w:rFonts w:ascii="Times New Roman" w:hAnsi="Times New Roman" w:cs="Times New Roman"/>
          <w:noProof/>
          <w:sz w:val="24"/>
          <w:lang w:val="en-IE"/>
        </w:rPr>
        <w:t>subject of the measures. The policy measures target exclusively electricity and CNG (including biomethane).</w:t>
      </w:r>
    </w:p>
    <w:p w:rsidR="003C43BF" w:rsidRDefault="003C43BF">
      <w:pPr>
        <w:jc w:val="both"/>
        <w:rPr>
          <w:rFonts w:ascii="Times New Roman" w:hAnsi="Times New Roman" w:cs="Times New Roman"/>
          <w:noProof/>
          <w:sz w:val="24"/>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Six of the eight policy measures in the Estonian NIR are measures to ensure natio</w:t>
      </w:r>
      <w:r>
        <w:rPr>
          <w:rFonts w:ascii="Times New Roman" w:hAnsi="Times New Roman" w:cs="Times New Roman"/>
          <w:noProof/>
          <w:sz w:val="24"/>
          <w:lang w:val="en-IE"/>
        </w:rPr>
        <w:t>nal targets and objectives. All six measures exclusively focus on electricity/road as well as CNG/combination of modes.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three measures concerning electricity/road are all new measures that did not appear in the NPF. The most substantial among them is a</w:t>
      </w:r>
      <w:r>
        <w:rPr>
          <w:rFonts w:ascii="Times New Roman" w:hAnsi="Times New Roman" w:cs="Times New Roman"/>
          <w:noProof/>
          <w:sz w:val="24"/>
          <w:lang w:val="en-IE"/>
        </w:rPr>
        <w:t xml:space="preserve"> purchase incentive with an allocated budget of 1.2 million € for the purchase of electric vehicles announced to begin at the end of 2019. The maximum grant per EV is €5,000. The other measures include discounts and free parking for electric vehicles in va</w:t>
      </w:r>
      <w:r>
        <w:rPr>
          <w:rFonts w:ascii="Times New Roman" w:hAnsi="Times New Roman" w:cs="Times New Roman"/>
          <w:noProof/>
          <w:sz w:val="24"/>
          <w:lang w:val="en-IE"/>
        </w:rPr>
        <w:t xml:space="preserve">rious cities as well as the possibility for EVs to use bus lanes.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a fuel-specific measure, biomethane is exempt from excise duty in Estonia. Additionally, no excise warehouse permit is required for production and sale of biomethane. Information </w:t>
      </w:r>
      <w:r>
        <w:rPr>
          <w:rFonts w:ascii="Times New Roman" w:hAnsi="Times New Roman" w:cs="Times New Roman"/>
          <w:noProof/>
          <w:sz w:val="24"/>
          <w:lang w:val="en-IE"/>
        </w:rPr>
        <w:t>campaigns have been conducted to educate the population on biomethane, with a budget of €120,000 for the last two years, which included, among others, creating the Biomethane Advisory Council, advertising, launching a biomethane website and seminars.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w:t>
      </w:r>
      <w:r>
        <w:rPr>
          <w:rFonts w:ascii="Times New Roman" w:hAnsi="Times New Roman" w:cs="Times New Roman"/>
          <w:noProof/>
          <w:sz w:val="24"/>
          <w:lang w:val="en-IE"/>
        </w:rPr>
        <w:t>res that can promote AFI in public 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Estonian NIR lists two new measures that can promote AFI in public transport services. They are both related to rail transport (see next paragraph). The previous NPF offered a measure concerning the</w:t>
      </w:r>
      <w:r>
        <w:rPr>
          <w:rFonts w:ascii="Times New Roman" w:hAnsi="Times New Roman" w:cs="Times New Roman"/>
          <w:noProof/>
          <w:sz w:val="24"/>
          <w:lang w:val="en-IE"/>
        </w:rPr>
        <w:t xml:space="preserve"> introduction of natural gas-powered public buses. The Estonian NIR does not refer to this past measure again.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Cabinet of Ministers decided to fully electrify Estonia’s railway system by 2028 for an estimated total cost of 300 m</w:t>
      </w:r>
      <w:r>
        <w:rPr>
          <w:rFonts w:ascii="Times New Roman" w:hAnsi="Times New Roman" w:cs="Times New Roman"/>
          <w:noProof/>
          <w:sz w:val="24"/>
          <w:lang w:val="en-IE"/>
        </w:rPr>
        <w:t xml:space="preserve">illion €. It is foreseen that design work begins in 2020 and construction work in 2022. The Cabinet of Ministers additionally aims to purchase six new electric trains for an estimated cost of 60 million €. </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w:t>
      </w:r>
      <w:r>
        <w:rPr>
          <w:rFonts w:ascii="Times New Roman" w:hAnsi="Times New Roman" w:cs="Times New Roman"/>
          <w:noProof/>
          <w:sz w:val="24"/>
          <w:lang w:val="en-IE"/>
        </w:rPr>
        <w:t>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does not list any measure that can promote the deployment of private electro-mobility infrastructure. </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lists two measures fostering </w:t>
      </w:r>
      <w:r>
        <w:rPr>
          <w:rFonts w:ascii="Times New Roman" w:hAnsi="Times New Roman" w:cs="Times New Roman"/>
          <w:noProof/>
          <w:sz w:val="24"/>
          <w:lang w:val="en-IE"/>
        </w:rPr>
        <w:t>the deployment and manufacturing support of alternative fuels. The first measure was due to expire at the end of 2019. It supported the maintenance of the electric recharging infrastructure for an amount of €50,000 per month. The Estonian NIR argues, howev</w:t>
      </w:r>
      <w:r>
        <w:rPr>
          <w:rFonts w:ascii="Times New Roman" w:hAnsi="Times New Roman" w:cs="Times New Roman"/>
          <w:noProof/>
          <w:sz w:val="24"/>
          <w:lang w:val="en-IE"/>
        </w:rPr>
        <w:t>er, that due to the privatisation of the recharging infrastructure no financial support is needed anymore. The second measure concerns the deployment of the nation-wide CNG refuelling infrastructure and has also been listed in the NPF but updated since. Th</w:t>
      </w:r>
      <w:r>
        <w:rPr>
          <w:rFonts w:ascii="Times New Roman" w:hAnsi="Times New Roman" w:cs="Times New Roman"/>
          <w:noProof/>
          <w:sz w:val="24"/>
          <w:lang w:val="en-IE"/>
        </w:rPr>
        <w:t xml:space="preserve">e Estonian NIR argues that no further action is needed as the complete CNG infrastructure has been established in 2019. Public and private investors contributed 2.78 million € each.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NIR does not consider any other transport modes or other alt</w:t>
      </w:r>
      <w:r>
        <w:rPr>
          <w:rFonts w:ascii="Times New Roman" w:hAnsi="Times New Roman" w:cs="Times New Roman"/>
          <w:noProof/>
          <w:sz w:val="24"/>
          <w:lang w:val="en-IE"/>
        </w:rPr>
        <w:t xml:space="preserve">ernative fuels other than CNG and electricity in this section.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tabs>
          <w:tab w:val="left" w:pos="360"/>
        </w:tabs>
        <w:jc w:val="both"/>
        <w:rPr>
          <w:rFonts w:ascii="Times New Roman" w:hAnsi="Times New Roman" w:cs="Times New Roman"/>
          <w:i/>
          <w:noProof/>
          <w:color w:val="7030A0"/>
          <w:sz w:val="24"/>
          <w:lang w:val="en-IE"/>
        </w:rPr>
      </w:pPr>
      <w:r>
        <w:rPr>
          <w:rFonts w:ascii="Times New Roman" w:hAnsi="Times New Roman" w:cs="Times New Roman"/>
          <w:noProof/>
          <w:sz w:val="24"/>
          <w:lang w:val="en-IE"/>
        </w:rPr>
        <w:t>No measures regarding the support of manufacturing plants for AF technologies are presented in the Estonian NIR.</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Consideration of any partic</w:t>
      </w:r>
      <w:r>
        <w:rPr>
          <w:rFonts w:ascii="Times New Roman" w:hAnsi="Times New Roman" w:cs="Times New Roman"/>
          <w:noProof/>
          <w:sz w:val="24"/>
          <w:lang w:val="en-IE"/>
        </w:rPr>
        <w:t>ular needs during the initial phase of the deployment of alternative fuels infrastructures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provides no information on this subject. </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_Ref52816833 \h  \* MERGEF</w:instrText>
      </w:r>
      <w:r>
        <w:rPr>
          <w:rFonts w:ascii="Times New Roman" w:hAnsi="Times New Roman" w:cs="Times New Roman"/>
          <w:noProof/>
          <w:sz w:val="24"/>
          <w:lang w:val="en-IE"/>
        </w:rPr>
        <w:instrText xml:space="preserve">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5.6.4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overview of the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No clusters of mea</w:t>
      </w:r>
      <w:r>
        <w:rPr>
          <w:rFonts w:ascii="Times New Roman" w:hAnsi="Times New Roman" w:cs="Times New Roman"/>
          <w:noProof/>
          <w:sz w:val="24"/>
          <w:lang w:val="en-IE"/>
        </w:rPr>
        <w:t xml:space="preserve">sures have emerged for hydrogen, LNG and LPG nor for waterborne and air transport modes.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Electricity/road is a new cluster appearing only in the NIR. While it results comprehensive since it concerns both vehicles and infrastructure (with financial and non</w:t>
      </w:r>
      <w:r>
        <w:rPr>
          <w:rFonts w:ascii="Times New Roman" w:hAnsi="Times New Roman" w:cs="Times New Roman"/>
          <w:noProof/>
          <w:sz w:val="24"/>
          <w:lang w:val="en-IE"/>
        </w:rPr>
        <w:t>-financial measures), it obtained a medium overall score influenced by the lack of specific details that made the assessment very difficult. Electricity/rail is also a cluster newly introduced in the NIR. It is comprehensive and has a medium overall score.</w:t>
      </w:r>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CNG/road cluster was already present in the NPF, where it was assessed with an overall medium score and as comprehensive. In the EE NIR, the result of the assessment is different (high overall score but not comprehensive).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 terms of expected impact of</w:t>
      </w:r>
      <w:r>
        <w:rPr>
          <w:rFonts w:ascii="Times New Roman" w:hAnsi="Times New Roman" w:cs="Times New Roman"/>
          <w:noProof/>
          <w:sz w:val="24"/>
          <w:lang w:val="en-IE"/>
        </w:rPr>
        <w:t xml:space="preserve"> these measures to support the realisation of the AFV/AFI objectives as presented in the NPF and revised in the NIR, the lack of objectives and information related to budget allocations, does not allow to put this assessment into the right perspective. How</w:t>
      </w:r>
      <w:r>
        <w:rPr>
          <w:rFonts w:ascii="Times New Roman" w:hAnsi="Times New Roman" w:cs="Times New Roman"/>
          <w:noProof/>
          <w:sz w:val="24"/>
          <w:lang w:val="en-IE"/>
        </w:rPr>
        <w:t>ever, on the basis of a comparison of the Estonian measures with those provided by other Member States, it can be said that the measures for the pairs electricity/road, electricity/rail and CNG/road could have a medium impact. The three identified clusters</w:t>
      </w:r>
      <w:r>
        <w:rPr>
          <w:rFonts w:ascii="Times New Roman" w:hAnsi="Times New Roman" w:cs="Times New Roman"/>
          <w:noProof/>
          <w:sz w:val="24"/>
          <w:lang w:val="en-IE"/>
        </w:rPr>
        <w:t xml:space="preserve"> of measures show a higher level of ambition compared to the NPF. </w:t>
      </w:r>
    </w:p>
    <w:p w:rsidR="003C43BF" w:rsidRDefault="006C3212">
      <w:pPr>
        <w:jc w:val="both"/>
        <w:rPr>
          <w:rFonts w:ascii="Times New Roman" w:eastAsia="Calibri" w:hAnsi="Times New Roman" w:cs="Times New Roman"/>
          <w:noProof/>
          <w:color w:val="7030A0"/>
          <w:sz w:val="24"/>
          <w:lang w:val="en-IE"/>
        </w:rPr>
      </w:pPr>
      <w:bookmarkStart w:id="160" w:name="_Ref52816833"/>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5.6.4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60"/>
      <w:r>
        <w:rPr>
          <w:rFonts w:ascii="Times New Roman" w:hAnsi="Times New Roman" w:cs="Times New Roman"/>
          <w:noProof/>
          <w:sz w:val="24"/>
          <w:lang w:val="en-IE"/>
        </w:rPr>
        <w:t xml:space="preserve"> </w:t>
      </w:r>
      <w:r>
        <w:rPr>
          <w:rFonts w:ascii="Times New Roman" w:hAnsi="Times New Roman" w:cs="Times New Roman"/>
          <w:i/>
          <w:noProof/>
          <w:sz w:val="20"/>
          <w:lang w:val="en-IE"/>
        </w:rPr>
        <w:t>Quantitative assessment of Policy and Deployment &amp; Manufacturing support measures</w:t>
      </w:r>
      <w:r>
        <w:rPr>
          <w:rFonts w:ascii="Times New Roman" w:hAnsi="Times New Roman" w:cs="Times New Roman"/>
          <w:noProof/>
          <w:sz w:val="20"/>
          <w:lang w:val="en-IE"/>
        </w:rPr>
        <w:t xml:space="preserve"> </w:t>
      </w:r>
    </w:p>
    <w:p w:rsidR="003C43BF" w:rsidRDefault="006C3212">
      <w:pPr>
        <w:pStyle w:val="Caption"/>
        <w:rPr>
          <w:rFonts w:ascii="Times New Roman" w:eastAsia="Calibri" w:hAnsi="Times New Roman" w:cs="Times New Roman"/>
          <w:noProof/>
          <w:sz w:val="24"/>
          <w:lang w:val="en-IE"/>
        </w:rPr>
      </w:pPr>
      <w:r>
        <w:rPr>
          <w:rFonts w:ascii="Times New Roman" w:eastAsia="Calibri" w:hAnsi="Times New Roman" w:cs="Times New Roman"/>
          <w:b w:val="0"/>
          <w:noProof/>
          <w:sz w:val="24"/>
          <w:lang w:val="en-IE"/>
        </w:rPr>
        <w:t xml:space="preserve"> </w:t>
      </w:r>
      <w:r>
        <w:rPr>
          <w:rFonts w:ascii="Times New Roman" w:hAnsi="Times New Roman" w:cs="Times New Roman"/>
          <w:noProof/>
          <w:sz w:val="24"/>
          <w:lang w:eastAsia="en-GB"/>
        </w:rPr>
        <w:drawing>
          <wp:inline distT="0" distB="0" distL="0" distR="0">
            <wp:extent cx="5575300" cy="1308100"/>
            <wp:effectExtent l="0" t="0" r="6350" b="6350"/>
            <wp:docPr id="7226"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5300" cy="1308100"/>
                    </a:xfrm>
                    <a:prstGeom prst="rect">
                      <a:avLst/>
                    </a:prstGeom>
                    <a:noFill/>
                    <a:ln>
                      <a:noFill/>
                    </a:ln>
                  </pic:spPr>
                </pic:pic>
              </a:graphicData>
            </a:graphic>
          </wp:inline>
        </w:drawing>
      </w:r>
    </w:p>
    <w:p w:rsidR="003C43BF" w:rsidRDefault="006C3212">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rsidR="003C43BF" w:rsidRDefault="003C43BF">
      <w:pPr>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Research, Technological Development &amp; </w:t>
      </w:r>
      <w:r>
        <w:rPr>
          <w:rFonts w:ascii="Times New Roman" w:hAnsi="Times New Roman" w:cs="Times New Roman"/>
          <w:noProof/>
          <w:sz w:val="24"/>
          <w:lang w:val="en-IE"/>
        </w:rPr>
        <w:t>Demonstration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Estonian NIR does not list any measures that can be assessed as supporting research, technological development and demonstration (RTD&amp;D). Two measures presented only in the NPF concerned a pilot project at the University of Tartu, which a</w:t>
      </w:r>
      <w:r>
        <w:rPr>
          <w:rFonts w:ascii="Times New Roman" w:hAnsi="Times New Roman" w:cs="Times New Roman"/>
          <w:noProof/>
          <w:sz w:val="24"/>
          <w:lang w:val="en-IE"/>
        </w:rPr>
        <w:t>t the time of 2017 planned to acquire the first hydrogen powered public buses and to build a hydrogen refuelling point. These measures were under consideration in the NPF and their current status is unclear as the Estonian NIR does not mention them anymore</w:t>
      </w:r>
      <w:r>
        <w:rPr>
          <w:rFonts w:ascii="Times New Roman" w:hAnsi="Times New Roman" w:cs="Times New Roman"/>
          <w:noProof/>
          <w:sz w:val="24"/>
          <w:lang w:val="en-IE"/>
        </w:rPr>
        <w:t xml:space="preserve">. </w:t>
      </w:r>
    </w:p>
    <w:p w:rsidR="003C43BF" w:rsidRDefault="003C43BF">
      <w:pPr>
        <w:tabs>
          <w:tab w:val="left" w:pos="360"/>
        </w:tabs>
        <w:jc w:val="both"/>
        <w:rPr>
          <w:rFonts w:ascii="Times New Roman" w:hAnsi="Times New Roman" w:cs="Times New Roman"/>
          <w:b/>
          <w:noProof/>
          <w:sz w:val="24"/>
          <w:lang w:val="en-IE"/>
        </w:rPr>
      </w:pPr>
    </w:p>
    <w:p w:rsidR="003C43BF" w:rsidRDefault="006C3212">
      <w:pPr>
        <w:pStyle w:val="Heading3"/>
        <w:ind w:left="720"/>
        <w:rPr>
          <w:rFonts w:ascii="Times New Roman" w:hAnsi="Times New Roman" w:cs="Times New Roman"/>
          <w:noProof/>
          <w:sz w:val="24"/>
          <w:lang w:val="en-IE"/>
        </w:rPr>
      </w:pPr>
      <w:bookmarkStart w:id="161" w:name="_Toc55301794"/>
      <w:bookmarkStart w:id="162" w:name="_Toc56944139"/>
      <w:r>
        <w:rPr>
          <w:rFonts w:ascii="Times New Roman" w:hAnsi="Times New Roman" w:cs="Times New Roman"/>
          <w:noProof/>
          <w:sz w:val="24"/>
          <w:lang w:val="en-IE"/>
        </w:rPr>
        <w:t>Additional information on alternative fuels infrastructure developments</w:t>
      </w:r>
      <w:bookmarkEnd w:id="161"/>
      <w:bookmarkEnd w:id="162"/>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Estonian NIR does not provide information on the changes in fuel use.</w:t>
      </w:r>
    </w:p>
    <w:p w:rsidR="003C43BF" w:rsidRDefault="006C3212">
      <w:pPr>
        <w:rPr>
          <w:rFonts w:ascii="Times New Roman" w:hAnsi="Times New Roman" w:cs="Times New Roman"/>
          <w:noProof/>
          <w:sz w:val="20"/>
          <w:lang w:val="en-IE"/>
        </w:rPr>
      </w:pPr>
      <w:r>
        <w:rPr>
          <w:rFonts w:ascii="Times New Roman" w:hAnsi="Times New Roman" w:cs="Times New Roman"/>
          <w:noProof/>
          <w:sz w:val="20"/>
          <w:lang w:val="en-IE"/>
        </w:rPr>
        <w:br w:type="page"/>
      </w:r>
    </w:p>
    <w:p w:rsidR="003C43BF" w:rsidRDefault="006C3212">
      <w:pPr>
        <w:pStyle w:val="Heading3"/>
        <w:ind w:left="720"/>
        <w:rPr>
          <w:rFonts w:ascii="Times New Roman" w:hAnsi="Times New Roman" w:cs="Times New Roman"/>
          <w:noProof/>
          <w:sz w:val="24"/>
          <w:lang w:val="en-IE"/>
        </w:rPr>
      </w:pPr>
      <w:bookmarkStart w:id="163" w:name="_Toc55301795"/>
      <w:bookmarkStart w:id="164" w:name="_Toc56944140"/>
      <w:r>
        <w:rPr>
          <w:rFonts w:ascii="Times New Roman" w:hAnsi="Times New Roman" w:cs="Times New Roman"/>
          <w:noProof/>
          <w:sz w:val="24"/>
          <w:lang w:val="en-IE"/>
        </w:rPr>
        <w:t>Summary of the assessment</w:t>
      </w:r>
      <w:bookmarkEnd w:id="163"/>
      <w:bookmarkEnd w:id="164"/>
      <w:r>
        <w:rPr>
          <w:rFonts w:ascii="Times New Roman" w:hAnsi="Times New Roman" w:cs="Times New Roman"/>
          <w:noProof/>
          <w:sz w:val="24"/>
          <w:lang w:val="en-IE"/>
        </w:rPr>
        <w:tab/>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rPr>
          <w:rFonts w:ascii="Times New Roman" w:hAnsi="Times New Roman" w:cs="Times New Roman"/>
          <w:b/>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5.6.6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i/>
          <w:noProof/>
          <w:sz w:val="20"/>
          <w:lang w:val="en-IE"/>
        </w:rPr>
        <w:t>Overview of the NIR assessment</w:t>
      </w:r>
    </w:p>
    <w:p w:rsidR="003C43BF" w:rsidRDefault="006C3212">
      <w:pPr>
        <w:rPr>
          <w:rFonts w:ascii="Times New Roman" w:hAnsi="Times New Roman" w:cs="Times New Roman"/>
          <w:noProof/>
          <w:sz w:val="24"/>
          <w:lang w:val="en-IE"/>
        </w:rPr>
      </w:pPr>
      <w:r>
        <w:rPr>
          <w:noProof/>
          <w:lang w:eastAsia="en-GB"/>
        </w:rPr>
        <w:drawing>
          <wp:inline distT="0" distB="0" distL="0" distR="0">
            <wp:extent cx="5760720" cy="414749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147497"/>
                    </a:xfrm>
                    <a:prstGeom prst="rect">
                      <a:avLst/>
                    </a:prstGeom>
                    <a:noFill/>
                    <a:ln>
                      <a:noFill/>
                    </a:ln>
                  </pic:spPr>
                </pic:pic>
              </a:graphicData>
            </a:graphic>
          </wp:inline>
        </w:drawing>
      </w:r>
      <w:r>
        <w:rPr>
          <w:rFonts w:ascii="Times New Roman" w:hAnsi="Times New Roman" w:cs="Times New Roman"/>
          <w:noProof/>
          <w:sz w:val="24"/>
          <w:lang w:val="en-IE"/>
        </w:rPr>
        <w:t xml:space="preserve"> </w:t>
      </w:r>
    </w:p>
    <w:p w:rsidR="003C43BF" w:rsidRDefault="006C3212">
      <w:pPr>
        <w:rPr>
          <w:rFonts w:ascii="Times New Roman" w:hAnsi="Times New Roman" w:cs="Times New Roman"/>
          <w:b/>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jc w:val="both"/>
        <w:rPr>
          <w:rFonts w:ascii="Times New Roman" w:hAnsi="Times New Roman" w:cs="Times New Roman"/>
          <w:b/>
          <w:noProof/>
          <w:sz w:val="24"/>
          <w:lang w:val="en-IE"/>
        </w:rPr>
      </w:pPr>
      <w:r>
        <w:rPr>
          <w:rFonts w:ascii="Times New Roman" w:hAnsi="Times New Roman" w:cs="Times New Roman"/>
          <w:noProof/>
          <w:color w:val="000000" w:themeColor="text1"/>
          <w:sz w:val="20"/>
          <w:szCs w:val="18"/>
          <w:lang w:val="en-IE"/>
        </w:rPr>
        <w:t>* Value taken or calculated from EE NPF. ** Value taken from EAFO (absent in the NIR). *** Values corresponding to 2019 from EAFO (the NIR mentions that the CNG infrastructure was established in 2019 and no further pla</w:t>
      </w:r>
      <w:r>
        <w:rPr>
          <w:rFonts w:ascii="Times New Roman" w:hAnsi="Times New Roman" w:cs="Times New Roman"/>
          <w:noProof/>
          <w:color w:val="000000" w:themeColor="text1"/>
          <w:sz w:val="20"/>
          <w:szCs w:val="18"/>
          <w:lang w:val="en-IE"/>
        </w:rPr>
        <w:t>ns are presented).</w:t>
      </w:r>
    </w:p>
    <w:p w:rsidR="003C43BF" w:rsidRDefault="006C3212">
      <w:pPr>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The requirements of Annex I from the Directive are only partly covered </w:t>
      </w:r>
      <w:r>
        <w:rPr>
          <w:rFonts w:ascii="Times New Roman" w:hAnsi="Times New Roman" w:cs="Times New Roman"/>
          <w:noProof/>
          <w:sz w:val="24"/>
          <w:lang w:val="en-IE"/>
        </w:rPr>
        <w:t>in the Estonian NIR</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The NIR does not contain a sufficient description of the policy direction towards the introduction of alternative fuels in Estonia. It does not e</w:t>
      </w:r>
      <w:r>
        <w:rPr>
          <w:rFonts w:ascii="Times New Roman" w:hAnsi="Times New Roman" w:cs="Times New Roman"/>
          <w:noProof/>
          <w:sz w:val="24"/>
          <w:lang w:val="en-IE"/>
        </w:rPr>
        <w:t>stablish AFI targets nor does it present AFV estimates differentiating between the different kinds of fuels. The EE NIR only provides an overall projection of AFV on Estonian roads. However, it mentions that a National Transport and Mobility Development Pl</w:t>
      </w:r>
      <w:r>
        <w:rPr>
          <w:rFonts w:ascii="Times New Roman" w:hAnsi="Times New Roman" w:cs="Times New Roman"/>
          <w:noProof/>
          <w:sz w:val="24"/>
          <w:lang w:val="en-IE"/>
        </w:rPr>
        <w:t>an 2021+ will be completed by the end of 2020. The plan will set new national targets for the deployment of alternative fuels and their infrastructure.</w:t>
      </w:r>
    </w:p>
    <w:p w:rsidR="003C43BF" w:rsidRDefault="006C3212">
      <w:pPr>
        <w:spacing w:after="24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Estonian NIR on vehicles/vessels estimates and infrastructure targets can be summarised as follows: </w:t>
      </w:r>
    </w:p>
    <w:p w:rsidR="003C43BF" w:rsidRDefault="003C43BF">
      <w:pPr>
        <w:spacing w:after="240" w:line="240" w:lineRule="auto"/>
        <w:jc w:val="both"/>
        <w:rPr>
          <w:rFonts w:ascii="Times New Roman" w:hAnsi="Times New Roman" w:cs="Times New Roman"/>
          <w:noProof/>
          <w:sz w:val="24"/>
          <w:lang w:val="en-IE"/>
        </w:rPr>
      </w:pPr>
    </w:p>
    <w:p w:rsidR="003C43BF" w:rsidRDefault="003C43BF">
      <w:pPr>
        <w:spacing w:after="240" w:line="240" w:lineRule="auto"/>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According to EAFO, Estonia recorded 1,434 electric vehicles in 2018 (1,</w:t>
      </w:r>
      <w:r>
        <w:rPr>
          <w:rFonts w:ascii="Times New Roman" w:hAnsi="Times New Roman" w:cs="Times New Roman"/>
          <w:noProof/>
          <w:sz w:val="24"/>
          <w:lang w:val="en-IE"/>
        </w:rPr>
        <w:t xml:space="preserve">377 passenger cars, 31 LCVs, 0 HCVs and 26 buses and coaches). There are no quantitative infrastructure targets or vehicle estimates outlined in the Estonian NIR. It is only mentioned that their vision is to achieve recharging infrastructure that would be </w:t>
      </w:r>
      <w:r>
        <w:rPr>
          <w:rFonts w:ascii="Times New Roman" w:hAnsi="Times New Roman" w:cs="Times New Roman"/>
          <w:noProof/>
          <w:sz w:val="24"/>
          <w:lang w:val="en-IE"/>
        </w:rPr>
        <w:t>convenient for all users. The recharging infrastructure was privatised and its further development is considered to depend on the business plan of the new owners.</w:t>
      </w:r>
      <w:r>
        <w:rPr>
          <w:rFonts w:ascii="Times New Roman" w:hAnsi="Times New Roman" w:cs="Times New Roman"/>
          <w:iCs/>
          <w:noProof/>
          <w:sz w:val="24"/>
          <w:lang w:val="en-IE"/>
        </w:rPr>
        <w:t xml:space="preserve"> Due to the lack of reported values, the sufficiency index, progress and target attainment cou</w:t>
      </w:r>
      <w:r>
        <w:rPr>
          <w:rFonts w:ascii="Times New Roman" w:hAnsi="Times New Roman" w:cs="Times New Roman"/>
          <w:iCs/>
          <w:noProof/>
          <w:sz w:val="24"/>
          <w:lang w:val="en-IE"/>
        </w:rPr>
        <w:t>ld not be calculated.</w:t>
      </w:r>
    </w:p>
    <w:p w:rsidR="003C43BF" w:rsidRDefault="006C3212">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According to EAFO, Estonia recorded 1,014 CNG vehicles in use in 2018 (651 passenger cars, 170 LCVs, 82 HCVs and 111 buses and coaches). </w:t>
      </w:r>
      <w:r>
        <w:rPr>
          <w:rFonts w:ascii="Times New Roman" w:hAnsi="Times New Roman" w:cs="Times New Roman"/>
          <w:iCs/>
          <w:noProof/>
          <w:sz w:val="24"/>
          <w:lang w:val="en-IE"/>
        </w:rPr>
        <w:t xml:space="preserve">As in the NPF, the Estonian NIR does not provide estimates for CNG vehicles. </w:t>
      </w:r>
      <w:r>
        <w:rPr>
          <w:rFonts w:ascii="Times New Roman" w:hAnsi="Times New Roman" w:cs="Times New Roman"/>
          <w:noProof/>
          <w:sz w:val="24"/>
          <w:lang w:val="en-IE"/>
        </w:rPr>
        <w:t>The NIR signal</w:t>
      </w:r>
      <w:r>
        <w:rPr>
          <w:rFonts w:ascii="Times New Roman" w:hAnsi="Times New Roman" w:cs="Times New Roman"/>
          <w:noProof/>
          <w:sz w:val="24"/>
          <w:lang w:val="en-IE"/>
        </w:rPr>
        <w:t>s that the CNG infrastructure was completely established in 2019 so that the value of 19 CNG refuelling points was considered as the target for the future years. With reference to the objectives of the EE NPF as updated by the NIR, in 2018 Estonia was prog</w:t>
      </w:r>
      <w:r>
        <w:rPr>
          <w:rFonts w:ascii="Times New Roman" w:hAnsi="Times New Roman" w:cs="Times New Roman"/>
          <w:noProof/>
          <w:sz w:val="24"/>
          <w:lang w:val="en-IE"/>
        </w:rPr>
        <w:t xml:space="preserve">ressing fast in terms of CNG infrastructure deployment. </w:t>
      </w:r>
    </w:p>
    <w:p w:rsidR="003C43BF" w:rsidRDefault="006C3212">
      <w:pPr>
        <w:pStyle w:val="ListParagraph"/>
        <w:numPr>
          <w:ilvl w:val="0"/>
          <w:numId w:val="35"/>
        </w:numPr>
        <w:tabs>
          <w:tab w:val="left" w:pos="966"/>
        </w:tabs>
        <w:spacing w:after="24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According to EAFO, Estonia did not record any road LNG refuelling points or vehicles in 2018. Similarly to the NPF, the EE NIR does not include quantitative estimates for road vehicles powered </w:t>
      </w:r>
      <w:r>
        <w:rPr>
          <w:rFonts w:ascii="Times New Roman" w:hAnsi="Times New Roman" w:cs="Times New Roman"/>
          <w:noProof/>
          <w:sz w:val="24"/>
          <w:lang w:val="en-IE"/>
        </w:rPr>
        <w:t>by LNG. Regarding LNG refuelling infrastructure, the EE NIR does not provide any future target while the NPF had presented a target of one LNG refuelling point for 2020.</w:t>
      </w:r>
    </w:p>
    <w:p w:rsidR="003C43BF" w:rsidRDefault="006C3212">
      <w:pPr>
        <w:pStyle w:val="ListParagraph"/>
        <w:numPr>
          <w:ilvl w:val="0"/>
          <w:numId w:val="34"/>
        </w:numPr>
        <w:tabs>
          <w:tab w:val="left" w:pos="966"/>
        </w:tabs>
        <w:spacing w:before="120" w:after="24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Estonian NIR mentions that, because hydrogen vehicles are only slowly entering the Estonian market, no concrete objectives or actions have yet been declared.</w:t>
      </w:r>
    </w:p>
    <w:p w:rsidR="003C43BF" w:rsidRDefault="006C3212">
      <w:pPr>
        <w:pStyle w:val="ListParagraph"/>
        <w:numPr>
          <w:ilvl w:val="0"/>
          <w:numId w:val="34"/>
        </w:numPr>
        <w:tabs>
          <w:tab w:val="left" w:pos="966"/>
        </w:tabs>
        <w:spacing w:before="120" w:after="24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Information is not available in the Estonian NIR.</w:t>
      </w:r>
    </w:p>
    <w:p w:rsidR="003C43BF" w:rsidRDefault="006C3212">
      <w:pPr>
        <w:pStyle w:val="ListParagraph"/>
        <w:numPr>
          <w:ilvl w:val="0"/>
          <w:numId w:val="34"/>
        </w:numPr>
        <w:tabs>
          <w:tab w:val="left" w:pos="966"/>
        </w:tabs>
        <w:spacing w:after="120" w:line="240" w:lineRule="auto"/>
        <w:ind w:left="357" w:hanging="357"/>
        <w:jc w:val="both"/>
        <w:rPr>
          <w:rFonts w:ascii="Times New Roman" w:hAnsi="Times New Roman" w:cs="Times New Roman"/>
          <w:noProof/>
          <w:sz w:val="28"/>
          <w:szCs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According to EAFO, Eston</w:t>
      </w:r>
      <w:r>
        <w:rPr>
          <w:rFonts w:ascii="Times New Roman" w:hAnsi="Times New Roman" w:cs="Times New Roman"/>
          <w:noProof/>
          <w:sz w:val="24"/>
          <w:lang w:val="en-IE"/>
        </w:rPr>
        <w:t xml:space="preserve">ia recorded 6,160 LPG vehicles on the road and 80 LPG refuelling points in 2018. Similarly to the NPF, </w:t>
      </w:r>
      <w:r>
        <w:rPr>
          <w:rFonts w:ascii="Times New Roman" w:hAnsi="Times New Roman" w:cs="Times New Roman"/>
          <w:iCs/>
          <w:noProof/>
          <w:sz w:val="24"/>
          <w:lang w:val="en-IE"/>
        </w:rPr>
        <w:t>the Estonian NIR does not provide estimates for LPG vehicles or targets for LPG refuelling infrastructure.</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34"/>
        </w:numPr>
        <w:tabs>
          <w:tab w:val="left" w:pos="966"/>
        </w:tabs>
        <w:spacing w:after="120" w:line="240" w:lineRule="auto"/>
        <w:ind w:left="357" w:hanging="357"/>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electrificati</w:t>
      </w:r>
      <w:r>
        <w:rPr>
          <w:rFonts w:ascii="Times New Roman" w:hAnsi="Times New Roman" w:cs="Times New Roman"/>
          <w:noProof/>
          <w:sz w:val="24"/>
          <w:lang w:val="en-IE"/>
        </w:rPr>
        <w:t>on process of Estonia’s railway system is set to be completed by 2028.</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34"/>
        </w:numPr>
        <w:tabs>
          <w:tab w:val="left" w:pos="966"/>
        </w:tabs>
        <w:spacing w:after="120" w:line="240" w:lineRule="auto"/>
        <w:ind w:left="357" w:hanging="357"/>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Estonian NIR does not provide any information on shore-side electricity supply. The NPF had mentioned one port was equipped with shore-</w:t>
      </w:r>
      <w:r>
        <w:rPr>
          <w:rFonts w:ascii="Times New Roman" w:hAnsi="Times New Roman" w:cs="Times New Roman"/>
          <w:noProof/>
          <w:sz w:val="24"/>
          <w:lang w:val="en-IE"/>
        </w:rPr>
        <w:t>side electricity supply in 2016 and included a target of 11 maritime ports with shore-side electricity supply available in 2020 and 2025.</w:t>
      </w:r>
    </w:p>
    <w:p w:rsidR="003C43BF" w:rsidRDefault="006C3212">
      <w:pPr>
        <w:pStyle w:val="ListParagraph"/>
        <w:numPr>
          <w:ilvl w:val="0"/>
          <w:numId w:val="35"/>
        </w:numPr>
        <w:tabs>
          <w:tab w:val="left" w:pos="966"/>
        </w:tabs>
        <w:spacing w:after="24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Regarding LNG refuelling infrastructure in maritime ports along the TEN-T Core Network, the EE NIR does not prov</w:t>
      </w:r>
      <w:r>
        <w:rPr>
          <w:rFonts w:ascii="Times New Roman" w:hAnsi="Times New Roman" w:cs="Times New Roman"/>
          <w:noProof/>
          <w:sz w:val="24"/>
          <w:lang w:val="en-IE"/>
        </w:rPr>
        <w:t>ide any future target while the NPF had presented a target of one LNG terminal in the port of Tallinn for 2020.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34"/>
        </w:numPr>
        <w:tabs>
          <w:tab w:val="left" w:pos="966"/>
        </w:tabs>
        <w:spacing w:before="120" w:after="24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According to the Estonian NIR, the aviation sector has signalled openness to introduce machinery powered by alternative</w:t>
      </w:r>
      <w:r>
        <w:rPr>
          <w:rFonts w:ascii="Times New Roman" w:hAnsi="Times New Roman" w:cs="Times New Roman"/>
          <w:noProof/>
          <w:sz w:val="24"/>
          <w:lang w:val="en-IE"/>
        </w:rPr>
        <w:t xml:space="preserve"> fuels but no big investments are expected due to low volumes. </w:t>
      </w:r>
    </w:p>
    <w:p w:rsidR="003C43BF" w:rsidRDefault="003C43BF">
      <w:pPr>
        <w:pStyle w:val="ListParagraph"/>
        <w:spacing w:after="120" w:line="240" w:lineRule="auto"/>
        <w:ind w:left="357"/>
        <w:jc w:val="both"/>
        <w:rPr>
          <w:rFonts w:ascii="Times New Roman" w:hAnsi="Times New Roman" w:cs="Times New Roman"/>
          <w:noProof/>
          <w:sz w:val="28"/>
          <w:szCs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Estonian NIR contains a modest list of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to support the substitution of conventional fuels with alternative fuels. Most of the presented measures lack concrete information needed f</w:t>
      </w:r>
      <w:r>
        <w:rPr>
          <w:rFonts w:ascii="Times New Roman" w:hAnsi="Times New Roman" w:cs="Times New Roman"/>
          <w:noProof/>
          <w:sz w:val="24"/>
          <w:lang w:val="en-IE"/>
        </w:rPr>
        <w:t>or a proper assessment. The number of legal measures remained the same in the NIR as in the NPF, but they are totally different. Concerning the Policy and Deployment &amp; Manufacturing support measures, compared with the NPF, the level of ambition has increas</w:t>
      </w:r>
      <w:r>
        <w:rPr>
          <w:rFonts w:ascii="Times New Roman" w:hAnsi="Times New Roman" w:cs="Times New Roman"/>
          <w:noProof/>
          <w:sz w:val="24"/>
          <w:lang w:val="en-IE"/>
        </w:rPr>
        <w:t xml:space="preserve">ed for all the three existing clusters in the NIR: electricity/road, electricity/rail and CNG/road. The first two clusters are totally new in the NIR, while the CNG/road cluster was already present in the NPF.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On the basis of the </w:t>
      </w:r>
      <w:r>
        <w:rPr>
          <w:rFonts w:ascii="Times New Roman" w:hAnsi="Times New Roman" w:cs="Times New Roman"/>
          <w:iCs/>
          <w:noProof/>
          <w:color w:val="000000" w:themeColor="text1"/>
          <w:sz w:val="24"/>
          <w:lang w:val="en-IE"/>
        </w:rPr>
        <w:t>assessment methodology de</w:t>
      </w:r>
      <w:r>
        <w:rPr>
          <w:rFonts w:ascii="Times New Roman" w:hAnsi="Times New Roman" w:cs="Times New Roman"/>
          <w:iCs/>
          <w:noProof/>
          <w:color w:val="000000" w:themeColor="text1"/>
          <w:sz w:val="24"/>
          <w:lang w:val="en-IE"/>
        </w:rPr>
        <w:t>scribed in Section 2.2,</w:t>
      </w:r>
      <w:r>
        <w:rPr>
          <w:rFonts w:ascii="Times New Roman" w:hAnsi="Times New Roman" w:cs="Times New Roman"/>
          <w:noProof/>
          <w:sz w:val="24"/>
          <w:lang w:val="en-IE"/>
        </w:rPr>
        <w:t xml:space="preserve"> the new electricity/road and electricity/rail clusters were assessed to have medium impact towards reaching the electro-mobility objectives of Estonia. The CNG/road cluster was assessed as well to have a medium impact towards reachi</w:t>
      </w:r>
      <w:r>
        <w:rPr>
          <w:rFonts w:ascii="Times New Roman" w:hAnsi="Times New Roman" w:cs="Times New Roman"/>
          <w:noProof/>
          <w:sz w:val="24"/>
          <w:lang w:val="en-IE"/>
        </w:rPr>
        <w:t>ng the CNG objectives of Estonia.</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Estonian NIR does not provide information about measures that can be assessed as supporting RTD&amp;D of AFI and AFV.</w:t>
      </w:r>
    </w:p>
    <w:p w:rsidR="003C43BF" w:rsidRDefault="003C43BF">
      <w:pPr>
        <w:spacing w:after="240"/>
        <w:jc w:val="both"/>
        <w:rPr>
          <w:rFonts w:ascii="Times New Roman" w:hAnsi="Times New Roman" w:cs="Times New Roman"/>
          <w:noProof/>
          <w:sz w:val="24"/>
          <w:szCs w:val="24"/>
          <w:lang w:val="en-IE"/>
        </w:rPr>
      </w:pPr>
    </w:p>
    <w:p w:rsidR="003C43BF" w:rsidRDefault="006C3212">
      <w:pPr>
        <w:pStyle w:val="Heading3"/>
        <w:rPr>
          <w:rFonts w:ascii="Times New Roman" w:hAnsi="Times New Roman" w:cs="Times New Roman"/>
          <w:noProof/>
          <w:sz w:val="24"/>
          <w:szCs w:val="24"/>
          <w:lang w:val="en-IE"/>
        </w:rPr>
      </w:pPr>
      <w:bookmarkStart w:id="165" w:name="_Toc55301796"/>
      <w:bookmarkStart w:id="166" w:name="_Toc55301797"/>
      <w:bookmarkStart w:id="167" w:name="_Toc55301798"/>
      <w:bookmarkStart w:id="168" w:name="_Toc55301799"/>
      <w:bookmarkStart w:id="169" w:name="_Toc55301800"/>
      <w:bookmarkStart w:id="170" w:name="_Toc55301801"/>
      <w:bookmarkStart w:id="171" w:name="_Toc55301802"/>
      <w:bookmarkStart w:id="172" w:name="_Toc55301803"/>
      <w:bookmarkStart w:id="173" w:name="_Toc55301804"/>
      <w:bookmarkStart w:id="174" w:name="_Toc55301805"/>
      <w:bookmarkStart w:id="175" w:name="_Toc55301806"/>
      <w:bookmarkStart w:id="176" w:name="_Toc55301807"/>
      <w:bookmarkStart w:id="177" w:name="_Toc55301808"/>
      <w:bookmarkStart w:id="178" w:name="_Toc55301809"/>
      <w:bookmarkStart w:id="179" w:name="_Toc5694414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ascii="Times New Roman" w:hAnsi="Times New Roman" w:cs="Times New Roman"/>
          <w:noProof/>
          <w:sz w:val="24"/>
          <w:szCs w:val="24"/>
          <w:lang w:val="en-IE"/>
        </w:rPr>
        <w:t>Final remarks</w:t>
      </w:r>
      <w:bookmarkEnd w:id="179"/>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Estonian NIR provides a rather limited report on the efforts to implement the </w:t>
      </w:r>
      <w:r>
        <w:rPr>
          <w:rFonts w:ascii="Times New Roman" w:hAnsi="Times New Roman" w:cs="Times New Roman"/>
          <w:noProof/>
          <w:sz w:val="24"/>
          <w:szCs w:val="24"/>
          <w:lang w:val="en-IE"/>
        </w:rPr>
        <w:t>Directive. It does not provide information on several requirements of Annex I to the Directive: it does not offer any quantitative targets for alternative fuels infrastructure deployment and provides generic alternative fuels vehicles estimates without dif</w:t>
      </w:r>
      <w:r>
        <w:rPr>
          <w:rFonts w:ascii="Times New Roman" w:hAnsi="Times New Roman" w:cs="Times New Roman"/>
          <w:noProof/>
          <w:sz w:val="24"/>
          <w:szCs w:val="24"/>
          <w:lang w:val="en-IE"/>
        </w:rPr>
        <w:t xml:space="preserve">ferentiation per fuel. It should be noted that the information on shore-side electricity supply at ports and airports, included in the NPF, is not included in the NIR. Nor is there any mention of LNG vessels, while, according to the NPF, these should have </w:t>
      </w:r>
      <w:r>
        <w:rPr>
          <w:rFonts w:ascii="Times New Roman" w:hAnsi="Times New Roman" w:cs="Times New Roman"/>
          <w:noProof/>
          <w:sz w:val="24"/>
          <w:szCs w:val="24"/>
          <w:lang w:val="en-IE"/>
        </w:rPr>
        <w:t xml:space="preserve">started sailing on the Tallinn-Helsinki line in 2017. The NIR focuses on measures promoting electricity for road and rail transport and CNG for vehicles. Future reporting should include information on measures to support ramp up of other alternative fuels </w:t>
      </w:r>
      <w:r>
        <w:rPr>
          <w:rFonts w:ascii="Times New Roman" w:hAnsi="Times New Roman" w:cs="Times New Roman"/>
          <w:noProof/>
          <w:sz w:val="24"/>
          <w:szCs w:val="24"/>
          <w:lang w:val="en-IE"/>
        </w:rPr>
        <w:t>in other modes of transport. This could contain particularly more information on promotion of zero-emission vehicles up to 2030. Following the requirements under the Directive, targets for the coverage of publicly accessible infrastructure need to be estab</w:t>
      </w:r>
      <w:r>
        <w:rPr>
          <w:rFonts w:ascii="Times New Roman" w:hAnsi="Times New Roman" w:cs="Times New Roman"/>
          <w:noProof/>
          <w:sz w:val="24"/>
          <w:szCs w:val="24"/>
          <w:lang w:val="en-IE"/>
        </w:rPr>
        <w:t>lished and the numbers of specific alternative fuel vehicles and infrastructure need to be adequately quantified and reported.</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With regard to electricity, the lack of specific data prevents an assessment of the ambition for 2030. Taking into account the cu</w:t>
      </w:r>
      <w:r>
        <w:rPr>
          <w:rFonts w:ascii="Times New Roman" w:hAnsi="Times New Roman" w:cs="Times New Roman"/>
          <w:noProof/>
          <w:sz w:val="24"/>
          <w:szCs w:val="24"/>
          <w:lang w:val="en-IE"/>
        </w:rPr>
        <w:t>rrent situation and expected trends, which have been derived either from the NPF or from EAFO, Estonia’s level of ambition appears quite low compared to the pace of deployment of electric vehicles considered necessary for a full transition to carbon neutra</w:t>
      </w:r>
      <w:r>
        <w:rPr>
          <w:rFonts w:ascii="Times New Roman" w:hAnsi="Times New Roman" w:cs="Times New Roman"/>
          <w:noProof/>
          <w:sz w:val="24"/>
          <w:szCs w:val="24"/>
          <w:lang w:val="en-IE"/>
        </w:rPr>
        <w:t xml:space="preserve">lity by 2050. In this context, increased deployment of the relevant recharging infrastructure is also crucial to meet the objective of realising a dense, wide-spread and easy to use network of recharging and refuelling infrastructure throughout the EU. No </w:t>
      </w:r>
      <w:r>
        <w:rPr>
          <w:rFonts w:ascii="Times New Roman" w:hAnsi="Times New Roman" w:cs="Times New Roman"/>
          <w:noProof/>
          <w:sz w:val="24"/>
          <w:szCs w:val="24"/>
          <w:lang w:val="en-IE"/>
        </w:rPr>
        <w:t xml:space="preserve">information on charging efficiency is provided. The supply of shore-side </w:t>
      </w:r>
      <w:r>
        <w:rPr>
          <w:rFonts w:ascii="Times New Roman" w:hAnsi="Times New Roman" w:cs="Times New Roman"/>
          <w:noProof/>
          <w:color w:val="222222"/>
          <w:sz w:val="24"/>
          <w:lang w:val="en-IE"/>
        </w:rPr>
        <w:t>electricity</w:t>
      </w:r>
      <w:r>
        <w:rPr>
          <w:rFonts w:ascii="Times New Roman" w:hAnsi="Times New Roman" w:cs="Times New Roman"/>
          <w:noProof/>
          <w:sz w:val="24"/>
          <w:szCs w:val="24"/>
          <w:lang w:val="en-IE"/>
        </w:rPr>
        <w:t xml:space="preserve"> supply in ports and of electricity supply to stationary aircraft in airports needs to be clarified due to discrepancies between the information given in the NPF and the la</w:t>
      </w:r>
      <w:r>
        <w:rPr>
          <w:rFonts w:ascii="Times New Roman" w:hAnsi="Times New Roman" w:cs="Times New Roman"/>
          <w:noProof/>
          <w:sz w:val="24"/>
          <w:szCs w:val="24"/>
          <w:lang w:val="en-IE"/>
        </w:rPr>
        <w:t xml:space="preserve">ck of information in the NIR. The railway network is expected to be fully electrified by 2028.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Regarding hydrogen, the NIR does not provide any plan for the development of an infrastructure for HCEV and does not provide information on fleet development. </w:t>
      </w:r>
      <w:r>
        <w:rPr>
          <w:rFonts w:ascii="Times New Roman" w:hAnsi="Times New Roman" w:cs="Times New Roman"/>
          <w:noProof/>
          <w:sz w:val="24"/>
          <w:szCs w:val="24"/>
          <w:lang w:val="en-IE"/>
        </w:rPr>
        <w:t>Although hydrogen is not binding under the Directive, it would be relevant that Estonia provides information on how to ensure EU-wide connectivity for HCEV.</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As to natural gas, according to the information provided in the NIR, 19 CNG refuelling points were </w:t>
      </w:r>
      <w:r>
        <w:rPr>
          <w:rFonts w:ascii="Times New Roman" w:hAnsi="Times New Roman" w:cs="Times New Roman"/>
          <w:noProof/>
          <w:sz w:val="24"/>
          <w:szCs w:val="24"/>
          <w:lang w:val="en-IE"/>
        </w:rPr>
        <w:t xml:space="preserve">in place in 2019. The NIR expects no additional deployment of CNG refuelling infrastructure until 2030. Furthermore, the NIR does not report estimates for LNG vehicles and vessels nor targets for the relevant infrastructure. Estonia should provide further </w:t>
      </w:r>
      <w:r>
        <w:rPr>
          <w:rFonts w:ascii="Times New Roman" w:hAnsi="Times New Roman" w:cs="Times New Roman"/>
          <w:noProof/>
          <w:sz w:val="24"/>
          <w:szCs w:val="24"/>
          <w:lang w:val="en-IE"/>
        </w:rPr>
        <w:t>information in future reporting..</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With regard to LPG infrastructure, the NIR does not provide information. However, EAFO shows that Estonia already had fleet of 6,160 LPG vehicles and around 80 refuelling stations in 2018, with decreasing registrations, bu</w:t>
      </w:r>
      <w:r>
        <w:rPr>
          <w:rFonts w:ascii="Times New Roman" w:hAnsi="Times New Roman" w:cs="Times New Roman"/>
          <w:noProof/>
          <w:sz w:val="24"/>
          <w:szCs w:val="24"/>
          <w:lang w:val="en-IE"/>
        </w:rPr>
        <w:t>t the Estonian NIR does not provide any estimates of vehicles and infrastructure by 2020, 2025 and 2030.</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Estonia should provide more information in future reporting on efforts to promote the use of renewable fuels in transport, and particularly in aviation</w:t>
      </w:r>
      <w:r>
        <w:rPr>
          <w:rFonts w:ascii="Times New Roman" w:hAnsi="Times New Roman" w:cs="Times New Roman"/>
          <w:noProof/>
          <w:sz w:val="24"/>
          <w:szCs w:val="24"/>
          <w:lang w:val="en-IE"/>
        </w:rPr>
        <w:t>.</w:t>
      </w:r>
    </w:p>
    <w:p w:rsidR="003C43BF" w:rsidRDefault="003C43BF">
      <w:pPr>
        <w:jc w:val="both"/>
        <w:rPr>
          <w:rFonts w:ascii="Times New Roman" w:hAnsi="Times New Roman" w:cs="Times New Roman"/>
          <w:noProof/>
          <w:sz w:val="24"/>
          <w:szCs w:val="24"/>
          <w:lang w:val="en-IE"/>
        </w:rPr>
      </w:pPr>
    </w:p>
    <w:p w:rsidR="003C43BF" w:rsidRDefault="003C43BF">
      <w:pPr>
        <w:jc w:val="both"/>
        <w:rPr>
          <w:rFonts w:ascii="Times New Roman" w:hAnsi="Times New Roman" w:cs="Times New Roman"/>
          <w:noProof/>
          <w:sz w:val="24"/>
          <w:szCs w:val="24"/>
          <w:lang w:val="en-IE"/>
        </w:rPr>
      </w:pPr>
    </w:p>
    <w:p w:rsidR="003C43BF" w:rsidRDefault="003C43BF">
      <w:pPr>
        <w:jc w:val="both"/>
        <w:rPr>
          <w:rFonts w:ascii="Times New Roman" w:hAnsi="Times New Roman" w:cs="Times New Roman"/>
          <w:noProof/>
          <w:sz w:val="24"/>
          <w:szCs w:val="24"/>
          <w:lang w:val="en-IE"/>
        </w:rPr>
      </w:pPr>
    </w:p>
    <w:p w:rsidR="003C43BF" w:rsidRDefault="006C3212">
      <w:pPr>
        <w:rPr>
          <w:rFonts w:ascii="Times New Roman" w:hAnsi="Times New Roman" w:cs="Times New Roman"/>
          <w:noProof/>
          <w:sz w:val="24"/>
          <w:szCs w:val="24"/>
          <w:lang w:val="en-IE"/>
        </w:rPr>
      </w:pPr>
      <w:r>
        <w:rPr>
          <w:rFonts w:ascii="Times New Roman" w:hAnsi="Times New Roman" w:cs="Times New Roman"/>
          <w:noProof/>
          <w:sz w:val="24"/>
          <w:szCs w:val="24"/>
          <w:lang w:val="en-IE"/>
        </w:rPr>
        <w:br w:type="page"/>
      </w:r>
    </w:p>
    <w:p w:rsidR="003C43BF" w:rsidRDefault="006C3212">
      <w:pPr>
        <w:pStyle w:val="Heading3"/>
        <w:ind w:left="720"/>
        <w:rPr>
          <w:rFonts w:ascii="Times New Roman" w:hAnsi="Times New Roman" w:cs="Times New Roman"/>
          <w:noProof/>
          <w:sz w:val="24"/>
          <w:lang w:val="en-IE"/>
        </w:rPr>
      </w:pPr>
      <w:bookmarkStart w:id="180" w:name="_Toc55301811"/>
      <w:bookmarkStart w:id="181" w:name="_Toc56944142"/>
      <w:r>
        <w:rPr>
          <w:rFonts w:ascii="Times New Roman" w:hAnsi="Times New Roman" w:cs="Times New Roman"/>
          <w:noProof/>
          <w:sz w:val="24"/>
          <w:lang w:val="en-IE"/>
        </w:rPr>
        <w:t>ANNEX - Description of the Member State</w:t>
      </w:r>
      <w:bookmarkEnd w:id="180"/>
      <w:bookmarkEnd w:id="181"/>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45,200 km², Estonia has a population of 1.319 million people in 2018, which makes up for a population density of 29 inhabitants/km².</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jc w:val="both"/>
        <w:rPr>
          <w:rFonts w:ascii="Times New Roman" w:hAnsi="Times New Roman" w:cs="Times New Roman"/>
          <w:noProof/>
          <w:sz w:val="24"/>
          <w:lang w:val="en-IE"/>
        </w:rPr>
      </w:pPr>
      <w:r>
        <w:rPr>
          <w:rFonts w:ascii="Times New Roman" w:hAnsi="Times New Roman" w:cs="Times New Roman"/>
          <w:noProof/>
          <w:sz w:val="24"/>
          <w:lang w:val="en-IE"/>
        </w:rPr>
        <w:t>3 urban agglomerat</w:t>
      </w:r>
      <w:r>
        <w:rPr>
          <w:rFonts w:ascii="Times New Roman" w:hAnsi="Times New Roman" w:cs="Times New Roman"/>
          <w:noProof/>
          <w:sz w:val="24"/>
          <w:lang w:val="en-IE"/>
        </w:rPr>
        <w:t xml:space="preserve">ions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Estonia achieves a per capita gross domestic product at market prices of €19,740, which represents a per capita gross domestic product in purchasing power standards of 82 </w:t>
      </w:r>
      <w:r>
        <w:rPr>
          <w:rFonts w:ascii="Times New Roman" w:hAnsi="Times New Roman" w:cs="Times New Roman"/>
          <w:noProof/>
          <w:sz w:val="24"/>
          <w:shd w:val="clear" w:color="auto" w:fill="FFFFFF"/>
          <w:lang w:val="en-IE"/>
        </w:rPr>
        <w:t>if expressed in relation to the EU-28 average set</w:t>
      </w:r>
      <w:r>
        <w:rPr>
          <w:rFonts w:ascii="Times New Roman" w:hAnsi="Times New Roman" w:cs="Times New Roman"/>
          <w:noProof/>
          <w:sz w:val="24"/>
          <w:shd w:val="clear" w:color="auto" w:fill="FFFFFF"/>
          <w:lang w:val="en-IE"/>
        </w:rPr>
        <w:t xml:space="preserve"> to equal 100</w:t>
      </w:r>
      <w:r>
        <w:rPr>
          <w:rFonts w:ascii="Times New Roman" w:hAnsi="Times New Roman" w:cs="Times New Roman"/>
          <w:noProof/>
          <w:sz w:val="24"/>
          <w:lang w:val="en-IE"/>
        </w:rPr>
        <w:t>.</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Estonia is 481 km. The total road network length is 16,604 km, of which 154 km are motorways.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Estonia:</w:t>
      </w:r>
      <w:r>
        <w:rPr>
          <w:rFonts w:ascii="Times New Roman" w:hAnsi="Times New Roman" w:cs="Times New Roman"/>
          <w:noProof/>
          <w:sz w:val="24"/>
          <w:lang w:val="en-IE"/>
        </w:rPr>
        <w:t xml:space="preserve"> 5% (192 km) of the North Sea - Baltic Corridor.</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Through the TEN-T Road Corridors, Estonia is connected with the following Member States:</w:t>
      </w:r>
      <w:r>
        <w:rPr>
          <w:rFonts w:ascii="Times New Roman" w:hAnsi="Times New Roman" w:cs="Times New Roman"/>
          <w:noProof/>
          <w:sz w:val="24"/>
          <w:lang w:val="en-IE"/>
        </w:rPr>
        <w:br/>
        <w:t>- Latvia (through the North Sea - Baltic Corridor)</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At the end of 2017, Estonia </w:t>
      </w:r>
      <w:r>
        <w:rPr>
          <w:rFonts w:ascii="Times New Roman" w:hAnsi="Times New Roman" w:cs="Times New Roman"/>
          <w:noProof/>
          <w:sz w:val="24"/>
          <w:lang w:val="en-IE"/>
        </w:rPr>
        <w:t>accounts for 924,802 registered road vehicles of which 746,464 are categorized as passenger cars, 83,313 as light goods vehicles, 38,229 as heavy goods vehicles and 5,026 as buses and coaches. The motorisation rate is 566 passenger cars per 1,000 inhabitan</w:t>
      </w:r>
      <w:r>
        <w:rPr>
          <w:rFonts w:ascii="Times New Roman" w:hAnsi="Times New Roman" w:cs="Times New Roman"/>
          <w:noProof/>
          <w:sz w:val="24"/>
          <w:lang w:val="en-IE"/>
        </w:rPr>
        <w:t>ts.</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1 maritime port in the TEN-T Core Network (Tallinn)</w:t>
      </w:r>
    </w:p>
    <w:p w:rsidR="003C43BF" w:rsidRDefault="006C3212">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7 maritime ports in the TEN-T Comprehensive Network</w:t>
      </w:r>
    </w:p>
    <w:p w:rsidR="003C43BF" w:rsidRDefault="006C3212">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No inland ports</w:t>
      </w:r>
    </w:p>
    <w:p w:rsidR="003C43BF" w:rsidRDefault="003C43BF">
      <w:pPr>
        <w:pStyle w:val="Text1"/>
        <w:spacing w:after="0"/>
        <w:ind w:left="714"/>
        <w:jc w:val="both"/>
        <w:rPr>
          <w:rFonts w:ascii="Times New Roman" w:hAnsi="Times New Roman" w:cs="Times New Roman"/>
          <w:noProof/>
          <w:sz w:val="24"/>
          <w:lang w:val="en-IE"/>
        </w:rPr>
      </w:pP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Core Network (Tallinn) </w:t>
      </w:r>
    </w:p>
    <w:p w:rsidR="003C43BF" w:rsidRDefault="006C3212">
      <w:pPr>
        <w:pStyle w:val="ListParagraph"/>
        <w:numPr>
          <w:ilvl w:val="0"/>
          <w:numId w:val="13"/>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4 airports in the TEN-T Comprehensive Network</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182" w:name="_Toc55301812"/>
      <w:bookmarkStart w:id="183" w:name="_Toc56944143"/>
      <w:r>
        <w:rPr>
          <w:rFonts w:ascii="Times New Roman" w:hAnsi="Times New Roman" w:cs="Times New Roman"/>
          <w:noProof/>
          <w:sz w:val="24"/>
          <w:lang w:val="en-IE"/>
        </w:rPr>
        <w:t>Ireland (IE)</w:t>
      </w:r>
      <w:bookmarkEnd w:id="182"/>
      <w:bookmarkEnd w:id="183"/>
    </w:p>
    <w:p w:rsidR="003C43BF" w:rsidRDefault="006C3212">
      <w:pPr>
        <w:pStyle w:val="Heading3"/>
        <w:ind w:left="720"/>
        <w:rPr>
          <w:rFonts w:ascii="Times New Roman" w:hAnsi="Times New Roman" w:cs="Times New Roman"/>
          <w:noProof/>
          <w:sz w:val="24"/>
          <w:lang w:val="en-IE"/>
        </w:rPr>
      </w:pPr>
      <w:bookmarkStart w:id="184" w:name="_Toc55301813"/>
      <w:bookmarkStart w:id="185" w:name="_Toc56944144"/>
      <w:r>
        <w:rPr>
          <w:rFonts w:ascii="Times New Roman" w:hAnsi="Times New Roman" w:cs="Times New Roman"/>
          <w:noProof/>
          <w:sz w:val="24"/>
          <w:lang w:val="en-IE"/>
        </w:rPr>
        <w:t xml:space="preserve">Main messages from the </w:t>
      </w:r>
      <w:bookmarkEnd w:id="184"/>
      <w:bookmarkEnd w:id="185"/>
      <w:r>
        <w:rPr>
          <w:rFonts w:ascii="Times New Roman" w:hAnsi="Times New Roman" w:cs="Times New Roman"/>
          <w:noProof/>
          <w:sz w:val="24"/>
          <w:lang w:val="en-IE"/>
        </w:rPr>
        <w:t>Commission assessment of the NPF</w:t>
      </w:r>
    </w:p>
    <w:p w:rsidR="003C43BF" w:rsidRDefault="006C3212">
      <w:pPr>
        <w:pStyle w:val="Text1"/>
        <w:spacing w:after="120" w:line="240" w:lineRule="auto"/>
        <w:ind w:left="0"/>
        <w:jc w:val="both"/>
        <w:rPr>
          <w:rFonts w:ascii="Times New Roman" w:hAnsi="Times New Roman" w:cs="Times New Roman"/>
          <w:noProof/>
          <w:color w:val="000000" w:themeColor="text1"/>
          <w:sz w:val="24"/>
          <w:highlight w:val="lightGray"/>
          <w:lang w:val="en-IE"/>
        </w:rPr>
      </w:pPr>
      <w:r>
        <w:rPr>
          <w:rFonts w:ascii="Times New Roman" w:hAnsi="Times New Roman" w:cs="Times New Roman"/>
          <w:noProof/>
          <w:color w:val="000000" w:themeColor="text1"/>
          <w:sz w:val="24"/>
          <w:lang w:val="en-IE"/>
        </w:rPr>
        <w:t>In its original assessment of the Irish NPF the Commission concluded:</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Irish NPF addresse</w:t>
      </w:r>
      <w:r>
        <w:rPr>
          <w:rFonts w:ascii="Times New Roman" w:hAnsi="Times New Roman" w:cs="Times New Roman"/>
          <w:i/>
          <w:noProof/>
          <w:sz w:val="24"/>
          <w:lang w:val="en-IE"/>
        </w:rPr>
        <w:t>s partly the requirements of Article 3. It contains a discussion of the current state and future scenarios for alternative fuels in the transport sector. For all the mandatory fuels and modes except for LNG it establishes targets as required by Article 3 o</w:t>
      </w:r>
      <w:r>
        <w:rPr>
          <w:rFonts w:ascii="Times New Roman" w:hAnsi="Times New Roman" w:cs="Times New Roman"/>
          <w:i/>
          <w:noProof/>
          <w:sz w:val="24"/>
          <w:lang w:val="en-IE"/>
        </w:rPr>
        <w:t xml:space="preserve">f the Directive.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spatial distribution of the available recharging points fulfils the requirement of having chargers available every 60 km on Ireland’s main intercity roads, including the TEN-T Core Network. The actual number of public recharging point</w:t>
      </w:r>
      <w:r>
        <w:rPr>
          <w:rFonts w:ascii="Times New Roman" w:hAnsi="Times New Roman" w:cs="Times New Roman"/>
          <w:i/>
          <w:noProof/>
          <w:sz w:val="24"/>
          <w:lang w:val="en-IE"/>
        </w:rPr>
        <w:t>s is also sufficient to cover the requirement of one recharging point every 10 electric vehicles. However, the numbers of electric recharging points foreseen for 2020, 2025 and 2030 seem to be insufficient for the foreseen number of electric vehicles in Ir</w:t>
      </w:r>
      <w:r>
        <w:rPr>
          <w:rFonts w:ascii="Times New Roman" w:hAnsi="Times New Roman" w:cs="Times New Roman"/>
          <w:i/>
          <w:noProof/>
          <w:sz w:val="24"/>
          <w:lang w:val="en-IE"/>
        </w:rPr>
        <w:t>eland if only the public recharging points are taken into account. Ireland supports the deployment of private electro-mobility infrastructure. To increase the number of electric vehicles in Ireland, vehicle purchase and registration tax incentives exist si</w:t>
      </w:r>
      <w:r>
        <w:rPr>
          <w:rFonts w:ascii="Times New Roman" w:hAnsi="Times New Roman" w:cs="Times New Roman"/>
          <w:i/>
          <w:noProof/>
          <w:sz w:val="24"/>
          <w:lang w:val="en-IE"/>
        </w:rPr>
        <w:t>nce 2011. Company tax incentives exist since 2008. The registration tax relief for battery electric vehicles will be extended until 2021 and for plug in hybrid vehicles until 2018.</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Dublin Airport in the TEN-T Core Network is currently using mobile grou</w:t>
      </w:r>
      <w:r>
        <w:rPr>
          <w:rFonts w:ascii="Times New Roman" w:hAnsi="Times New Roman" w:cs="Times New Roman"/>
          <w:i/>
          <w:noProof/>
          <w:sz w:val="24"/>
          <w:lang w:val="en-IE"/>
        </w:rPr>
        <w:t xml:space="preserve">nd power units for use by stationary airplanes. However, the Irish NPF does not include targets for electricity supply for stationary airplanes only a life-cycle cost analysis of rolling out Fixed Electrical Grown Power units at airports is considered for </w:t>
      </w:r>
      <w:r>
        <w:rPr>
          <w:rFonts w:ascii="Times New Roman" w:hAnsi="Times New Roman" w:cs="Times New Roman"/>
          <w:i/>
          <w:noProof/>
          <w:sz w:val="24"/>
          <w:lang w:val="en-IE"/>
        </w:rPr>
        <w:t>2018.</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Irish NPF does not include concrete plans for shore-side electricity supply for maritime ports. The development of a feasibility study of shore-side electricity supply for seagoing ships in TEN-T ports (Dublin, Cork and Shannon Foynes) is conside</w:t>
      </w:r>
      <w:r>
        <w:rPr>
          <w:rFonts w:ascii="Times New Roman" w:hAnsi="Times New Roman" w:cs="Times New Roman"/>
          <w:i/>
          <w:noProof/>
          <w:sz w:val="24"/>
          <w:lang w:val="en-IE"/>
        </w:rPr>
        <w:t xml:space="preserve">red for 2018. Based on the results of the study, targets for shore-side electricity supply should be established.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Regarding CNG, the current number of vehicles in Ireland is insignificant. The current number of refuelling points is also insufficient to co</w:t>
      </w:r>
      <w:r>
        <w:rPr>
          <w:rFonts w:ascii="Times New Roman" w:hAnsi="Times New Roman" w:cs="Times New Roman"/>
          <w:i/>
          <w:noProof/>
          <w:sz w:val="24"/>
          <w:lang w:val="en-IE"/>
        </w:rPr>
        <w:t xml:space="preserve">ver the Irish territory, not fulfilling the requirement of refuelling points every 150 km. In order to improve this situation, the Ireland has established direct incentives for the installation of 5 public CNG points in 2017. For 2020, the targeted number </w:t>
      </w:r>
      <w:r>
        <w:rPr>
          <w:rFonts w:ascii="Times New Roman" w:hAnsi="Times New Roman" w:cs="Times New Roman"/>
          <w:i/>
          <w:noProof/>
          <w:sz w:val="24"/>
          <w:lang w:val="en-IE"/>
        </w:rPr>
        <w:t xml:space="preserve">of public refuelling points would be sufficient to have one for every 600 vehicles. For 2025 and 2030, the number of public points seems to be insufficient to cover all the foreseen CNG vehicles in Ireland. The inclusion of biomethane as transport fuel in </w:t>
      </w:r>
      <w:r>
        <w:rPr>
          <w:rFonts w:ascii="Times New Roman" w:hAnsi="Times New Roman" w:cs="Times New Roman"/>
          <w:i/>
          <w:noProof/>
          <w:sz w:val="24"/>
          <w:lang w:val="en-IE"/>
        </w:rPr>
        <w:t>the biofuel obligation scheme since 2010 assists the promotion of the vehicles running with natural gas.</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Irish NPF does not consider any LNG refuelling points in Ireland (neither for road nor for maritime ports). Ireland has committed to setting target</w:t>
      </w:r>
      <w:r>
        <w:rPr>
          <w:rFonts w:ascii="Times New Roman" w:hAnsi="Times New Roman" w:cs="Times New Roman"/>
          <w:i/>
          <w:noProof/>
          <w:sz w:val="24"/>
          <w:lang w:val="en-IE"/>
        </w:rPr>
        <w:t>s for the LNG facilities at the three TEN-T Core Network maritime ports in 2019.</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Irish NPF does not include hydrogen. It has already identified measures to be considered by 2020 and plans to analyse opportunities to further the advancement of hydrogen </w:t>
      </w:r>
      <w:r>
        <w:rPr>
          <w:rFonts w:ascii="Times New Roman" w:hAnsi="Times New Roman" w:cs="Times New Roman"/>
          <w:i/>
          <w:noProof/>
          <w:sz w:val="24"/>
          <w:lang w:val="en-IE"/>
        </w:rPr>
        <w:t>infrastructure.</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In Ireland, since 2013 tax incentives like lower fuel excise duty for LPG vehicles exist. They are foreseen to be active at least until 2023. These measures together with the already existing infrastructure for LPG have led to substantial L</w:t>
      </w:r>
      <w:r>
        <w:rPr>
          <w:rFonts w:ascii="Times New Roman" w:hAnsi="Times New Roman" w:cs="Times New Roman"/>
          <w:i/>
          <w:noProof/>
          <w:sz w:val="24"/>
          <w:lang w:val="en-IE"/>
        </w:rPr>
        <w:t xml:space="preserve">PG vehicle shares in Ireland.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Irish NPF contains a comprehensive list of financial support measures already in place for the support of electricity, CNG (biofuels included) and LPG vehicles and infrastructure. They can be considered having a medium </w:t>
      </w:r>
      <w:r>
        <w:rPr>
          <w:rFonts w:ascii="Times New Roman" w:hAnsi="Times New Roman" w:cs="Times New Roman"/>
          <w:i/>
          <w:noProof/>
          <w:sz w:val="24"/>
          <w:lang w:val="en-IE"/>
        </w:rPr>
        <w:t xml:space="preserve">impact on market actor's decisions. Longer periods for their validity could provide certainty for market actors and hence increase the likelihood that the national targets and objectives of the NPF can be reached. For other modes and fuels the measures in </w:t>
      </w:r>
      <w:r>
        <w:rPr>
          <w:rFonts w:ascii="Times New Roman" w:hAnsi="Times New Roman" w:cs="Times New Roman"/>
          <w:i/>
          <w:noProof/>
          <w:sz w:val="24"/>
          <w:lang w:val="en-IE"/>
        </w:rPr>
        <w:t>the Irish NPF seem to have a rather low impact because they are only in planning phase. The Irish NPF has included a group of measures to be implemented in the coming years 2017 and 2018 (e.g. establishment of the green bus fund and scrappage scheme for ta</w:t>
      </w:r>
      <w:r>
        <w:rPr>
          <w:rFonts w:ascii="Times New Roman" w:hAnsi="Times New Roman" w:cs="Times New Roman"/>
          <w:i/>
          <w:noProof/>
          <w:sz w:val="24"/>
          <w:lang w:val="en-IE"/>
        </w:rPr>
        <w:t>xis) which have been considered to have a medium impact on the promotion of alternative fuels in public services. Finally, the tax incentives for the installation of free home recharging points have had an important impact on the deployment of private elec</w:t>
      </w:r>
      <w:r>
        <w:rPr>
          <w:rFonts w:ascii="Times New Roman" w:hAnsi="Times New Roman" w:cs="Times New Roman"/>
          <w:i/>
          <w:noProof/>
          <w:sz w:val="24"/>
          <w:lang w:val="en-IE"/>
        </w:rPr>
        <w:t>tro-mobility infrastructure in Ireland.</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NPF states that the development of alternative fuels use has benefitted from close cooperation between the Republic of Ireland and Northern Ireland.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color w:val="000000" w:themeColor="text1"/>
          <w:sz w:val="24"/>
          <w:lang w:val="en-IE"/>
        </w:rPr>
      </w:pPr>
      <w:bookmarkStart w:id="186" w:name="_Toc55301814"/>
      <w:bookmarkStart w:id="187" w:name="_Toc56944145"/>
      <w:r>
        <w:rPr>
          <w:rFonts w:ascii="Times New Roman" w:hAnsi="Times New Roman" w:cs="Times New Roman"/>
          <w:noProof/>
          <w:sz w:val="24"/>
          <w:lang w:val="en-IE"/>
        </w:rPr>
        <w:t xml:space="preserve">Overview of requirements’ fulfilment from Annex I of the </w:t>
      </w:r>
      <w:r>
        <w:rPr>
          <w:rFonts w:ascii="Times New Roman" w:hAnsi="Times New Roman" w:cs="Times New Roman"/>
          <w:noProof/>
          <w:sz w:val="24"/>
          <w:lang w:val="en-IE"/>
        </w:rPr>
        <w:t>Directive</w:t>
      </w:r>
      <w:bookmarkEnd w:id="186"/>
      <w:bookmarkEnd w:id="187"/>
      <w:r>
        <w:rPr>
          <w:rFonts w:ascii="Times New Roman" w:hAnsi="Times New Roman" w:cs="Times New Roman"/>
          <w:noProof/>
          <w:color w:val="000000" w:themeColor="text1"/>
          <w:sz w:val="24"/>
          <w:lang w:val="en-IE"/>
        </w:rPr>
        <w:tab/>
      </w:r>
    </w:p>
    <w:p w:rsidR="003C43BF" w:rsidRDefault="006C3212">
      <w:pPr>
        <w:rPr>
          <w:rFonts w:ascii="Times New Roman" w:hAnsi="Times New Roman" w:cs="Times New Roman"/>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5.7.2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lang w:val="en-IE"/>
        </w:rPr>
        <w:t xml:space="preserve"> Checklist Table</w:t>
      </w:r>
    </w:p>
    <w:p w:rsidR="003C43BF" w:rsidRDefault="006C3212">
      <w:pPr>
        <w:pStyle w:val="Text1"/>
        <w:tabs>
          <w:tab w:val="left" w:pos="720"/>
        </w:tabs>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358765" cy="7383145"/>
            <wp:effectExtent l="0" t="0" r="0" b="825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58765" cy="7383145"/>
                    </a:xfrm>
                    <a:prstGeom prst="rect">
                      <a:avLst/>
                    </a:prstGeom>
                    <a:noFill/>
                  </pic:spPr>
                </pic:pic>
              </a:graphicData>
            </a:graphic>
          </wp:inline>
        </w:drawing>
      </w:r>
      <w:r>
        <w:rPr>
          <w:rFonts w:ascii="Times New Roman" w:hAnsi="Times New Roman" w:cs="Times New Roman"/>
          <w:noProof/>
          <w:color w:val="000000" w:themeColor="text1"/>
          <w:sz w:val="24"/>
          <w:lang w:val="en-IE"/>
        </w:rPr>
        <w:t xml:space="preserve"> </w:t>
      </w:r>
    </w:p>
    <w:p w:rsidR="003C43BF" w:rsidRDefault="006C3212">
      <w:pPr>
        <w:pStyle w:val="Text1"/>
        <w:tabs>
          <w:tab w:val="left" w:pos="720"/>
        </w:tabs>
        <w:ind w:left="0"/>
        <w:rPr>
          <w:rFonts w:ascii="Times New Roman" w:hAnsi="Times New Roman" w:cs="Times New Roman"/>
          <w:noProof/>
          <w:sz w:val="24"/>
          <w:lang w:val="en-IE"/>
        </w:rPr>
      </w:pPr>
      <w:r>
        <w:rPr>
          <w:rFonts w:ascii="Times New Roman" w:hAnsi="Times New Roman" w:cs="Times New Roman"/>
          <w:noProof/>
          <w:sz w:val="24"/>
          <w:lang w:val="en-IE"/>
        </w:rPr>
        <w:t xml:space="preserve">The checklist shows that most of the requirements of Annex I from the Directive are covered.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w:t>
      </w:r>
      <w:r>
        <w:rPr>
          <w:rFonts w:ascii="Times New Roman" w:hAnsi="Times New Roman" w:cs="Times New Roman"/>
          <w:noProof/>
          <w:sz w:val="24"/>
          <w:lang w:val="en-IE"/>
        </w:rPr>
        <w:t>y and CNG are covered for road transport; LNG, hydrogen and biofuels are partially covered for road transport; electricity is partially covered for rail transport; shore-side electricity supply and LNG are partially covered for maritime water transport; el</w:t>
      </w:r>
      <w:r>
        <w:rPr>
          <w:rFonts w:ascii="Times New Roman" w:hAnsi="Times New Roman" w:cs="Times New Roman"/>
          <w:noProof/>
          <w:sz w:val="24"/>
          <w:lang w:val="en-IE"/>
        </w:rPr>
        <w:t>ectricity supply for stationary airplanes is partially covered for air transport; all the other combinations are either absent or not applicable.</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Irish NIR reports more than 50 measures. </w:t>
      </w:r>
      <w:r>
        <w:rPr>
          <w:rFonts w:ascii="Times New Roman" w:hAnsi="Times New Roman" w:cs="Times New Roman"/>
          <w:iCs/>
          <w:noProof/>
          <w:sz w:val="24"/>
          <w:lang w:val="en-IE"/>
        </w:rPr>
        <w:t xml:space="preserve">Under the Policy and Deployment &amp; Manufacturing sections it was </w:t>
      </w:r>
      <w:r>
        <w:rPr>
          <w:rFonts w:ascii="Times New Roman" w:hAnsi="Times New Roman" w:cs="Times New Roman"/>
          <w:iCs/>
          <w:noProof/>
          <w:sz w:val="24"/>
          <w:lang w:val="en-IE"/>
        </w:rPr>
        <w:t>possible to identify 11 AF/transport mode clusters of measures, all assessable</w:t>
      </w:r>
      <w:r>
        <w:rPr>
          <w:rFonts w:ascii="Times New Roman" w:hAnsi="Times New Roman" w:cs="Times New Roman"/>
          <w:noProof/>
          <w:color w:val="222222"/>
          <w:sz w:val="24"/>
          <w:shd w:val="clear" w:color="auto" w:fill="FFFFFF"/>
          <w:lang w:val="en-IE"/>
        </w:rPr>
        <w:t xml:space="preserve">. </w:t>
      </w:r>
    </w:p>
    <w:p w:rsidR="003C43BF" w:rsidRDefault="003C43BF">
      <w:pPr>
        <w:spacing w:after="120" w:line="240" w:lineRule="auto"/>
        <w:jc w:val="both"/>
        <w:rPr>
          <w:rFonts w:ascii="Times New Roman" w:hAnsi="Times New Roman" w:cs="Times New Roman"/>
          <w:noProof/>
          <w:color w:val="222222"/>
          <w:sz w:val="24"/>
          <w:shd w:val="clear" w:color="auto" w:fill="FFFFFF"/>
          <w:lang w:val="en-IE"/>
        </w:rPr>
      </w:pPr>
    </w:p>
    <w:p w:rsidR="003C43BF" w:rsidRDefault="006C3212">
      <w:pPr>
        <w:pStyle w:val="Heading3"/>
        <w:ind w:left="720"/>
        <w:rPr>
          <w:rFonts w:ascii="Times New Roman" w:hAnsi="Times New Roman" w:cs="Times New Roman"/>
          <w:noProof/>
          <w:sz w:val="24"/>
          <w:lang w:val="en-IE"/>
        </w:rPr>
      </w:pPr>
      <w:bookmarkStart w:id="188" w:name="_Toc55301815"/>
      <w:bookmarkStart w:id="189" w:name="_Toc56944146"/>
      <w:r>
        <w:rPr>
          <w:rFonts w:ascii="Times New Roman" w:hAnsi="Times New Roman" w:cs="Times New Roman"/>
          <w:noProof/>
          <w:sz w:val="24"/>
          <w:lang w:val="en-IE"/>
        </w:rPr>
        <w:t>Quantitative assessment: Vehicles and infrastructure</w:t>
      </w:r>
      <w:bookmarkEnd w:id="188"/>
      <w:bookmarkEnd w:id="189"/>
    </w:p>
    <w:p w:rsidR="003C43BF" w:rsidRDefault="006C3212">
      <w:pPr>
        <w:jc w:val="both"/>
        <w:rPr>
          <w:rFonts w:ascii="Times New Roman" w:hAnsi="Times New Roman" w:cs="Times New Roman"/>
          <w:i/>
          <w:noProof/>
          <w:sz w:val="20"/>
          <w:szCs w:val="18"/>
          <w:lang w:val="en-IE"/>
        </w:rPr>
      </w:pPr>
      <w:bookmarkStart w:id="190" w:name="_Ref52866491"/>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5.7.3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90"/>
      <w:r>
        <w:rPr>
          <w:rFonts w:ascii="Times New Roman" w:hAnsi="Times New Roman" w:cs="Times New Roman"/>
          <w:i/>
          <w:noProof/>
          <w:sz w:val="20"/>
          <w:szCs w:val="18"/>
          <w:lang w:val="en-IE"/>
        </w:rPr>
        <w:t xml:space="preserve"> National AFV estimates and AFI targets established in the NI</w:t>
      </w:r>
      <w:r>
        <w:rPr>
          <w:rFonts w:ascii="Times New Roman" w:hAnsi="Times New Roman" w:cs="Times New Roman"/>
          <w:i/>
          <w:noProof/>
          <w:sz w:val="20"/>
          <w:szCs w:val="18"/>
          <w:lang w:val="en-IE"/>
        </w:rPr>
        <w:t xml:space="preserve">R at the horizon 2020, 2025 and 2030 and their comparison with the NPF situation </w:t>
      </w:r>
    </w:p>
    <w:p w:rsidR="003C43BF" w:rsidRDefault="006C3212">
      <w:pPr>
        <w:tabs>
          <w:tab w:val="left" w:pos="360"/>
        </w:tabs>
        <w:spacing w:after="120" w:line="240" w:lineRule="auto"/>
        <w:rPr>
          <w:rFonts w:ascii="Times New Roman" w:hAnsi="Times New Roman" w:cs="Times New Roman"/>
          <w:noProof/>
          <w:sz w:val="20"/>
          <w:szCs w:val="18"/>
          <w:lang w:val="en-IE"/>
        </w:rPr>
      </w:pPr>
      <w:r>
        <w:rPr>
          <w:rFonts w:ascii="Times New Roman" w:hAnsi="Times New Roman" w:cs="Times New Roman"/>
          <w:noProof/>
          <w:sz w:val="20"/>
          <w:szCs w:val="18"/>
          <w:lang w:eastAsia="en-GB"/>
        </w:rPr>
        <w:drawing>
          <wp:inline distT="0" distB="0" distL="0" distR="0">
            <wp:extent cx="5944235" cy="556641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235" cy="5566410"/>
                    </a:xfrm>
                    <a:prstGeom prst="rect">
                      <a:avLst/>
                    </a:prstGeom>
                    <a:noFill/>
                  </pic:spPr>
                </pic:pic>
              </a:graphicData>
            </a:graphic>
          </wp:inline>
        </w:drawing>
      </w:r>
      <w:r>
        <w:rPr>
          <w:rFonts w:ascii="Times New Roman" w:hAnsi="Times New Roman" w:cs="Times New Roman"/>
          <w:noProof/>
          <w:sz w:val="24"/>
          <w:lang w:eastAsia="en-GB"/>
        </w:rPr>
        <w:drawing>
          <wp:inline distT="0" distB="0" distL="0" distR="0">
            <wp:extent cx="3630304" cy="437362"/>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tabs>
          <w:tab w:val="left" w:pos="360"/>
        </w:tabs>
        <w:spacing w:after="120" w:line="240" w:lineRule="auto"/>
        <w:rPr>
          <w:rFonts w:ascii="Times New Roman" w:hAnsi="Times New Roman" w:cs="Times New Roman"/>
          <w:noProof/>
          <w:color w:val="000000" w:themeColor="text1"/>
          <w:sz w:val="20"/>
          <w:szCs w:val="18"/>
          <w:lang w:val="en-IE"/>
        </w:rPr>
      </w:pPr>
      <w:r>
        <w:rPr>
          <w:rFonts w:ascii="Times New Roman" w:hAnsi="Times New Roman" w:cs="Times New Roman"/>
          <w:noProof/>
          <w:sz w:val="20"/>
          <w:szCs w:val="18"/>
          <w:lang w:val="en-IE"/>
        </w:rPr>
        <w:t xml:space="preserve">* Total number of AFI (public + private). ** </w:t>
      </w:r>
      <w:r>
        <w:rPr>
          <w:rFonts w:ascii="Times New Roman" w:hAnsi="Times New Roman" w:cs="Times New Roman"/>
          <w:noProof/>
          <w:color w:val="000000" w:themeColor="text1"/>
          <w:sz w:val="20"/>
          <w:szCs w:val="18"/>
          <w:lang w:val="en-IE"/>
        </w:rPr>
        <w:t>Data from EAFO (absent in the IE NIR)</w:t>
      </w:r>
    </w:p>
    <w:p w:rsidR="003C43BF" w:rsidRDefault="003C43BF">
      <w:pPr>
        <w:tabs>
          <w:tab w:val="left" w:pos="360"/>
        </w:tabs>
        <w:spacing w:after="120" w:line="240" w:lineRule="auto"/>
        <w:rPr>
          <w:rFonts w:ascii="Times New Roman" w:hAnsi="Times New Roman" w:cs="Times New Roman"/>
          <w:noProof/>
          <w:color w:val="000000" w:themeColor="text1"/>
          <w:sz w:val="20"/>
          <w:szCs w:val="18"/>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Ireland recorded 7,464 battery-electric and plug-in hybrid electric vehicles in use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_Ref52866491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5.7.3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7,287 were passenger cars and </w:t>
      </w:r>
      <w:r>
        <w:rPr>
          <w:rFonts w:ascii="Times New Roman" w:hAnsi="Times New Roman" w:cs="Times New Roman"/>
          <w:noProof/>
          <w:sz w:val="24"/>
          <w:lang w:val="en-IE"/>
        </w:rPr>
        <w:t>177 were LCVs. The Irish NIR EV estimates are 59,219 for 2020, 181,266 for 2025 and 936,363 for 2030, reflecting a revised curve compared to the NPF related to the estimated growth of electric vehicles for the next decade. Compared to the NPF values, the I</w:t>
      </w:r>
      <w:r>
        <w:rPr>
          <w:rFonts w:ascii="Times New Roman" w:hAnsi="Times New Roman" w:cs="Times New Roman"/>
          <w:noProof/>
          <w:sz w:val="24"/>
          <w:lang w:val="en-IE"/>
        </w:rPr>
        <w:t xml:space="preserve">E NIR forecasts an earlier and higher EV market uptake for 2020 (+136.83%) and an increased estimated number for 2030 (+13.71%), while for 2025 the NIR estimates a decrease (-30.97%) compared to the NPF. The Irish NIR expects that of the total 936,363 EVs </w:t>
      </w:r>
      <w:r>
        <w:rPr>
          <w:rFonts w:ascii="Times New Roman" w:hAnsi="Times New Roman" w:cs="Times New Roman"/>
          <w:noProof/>
          <w:sz w:val="24"/>
          <w:lang w:val="en-IE"/>
        </w:rPr>
        <w:t>foreseen in use in 2030, 89.72% will be passenger cars, 10.14% LCVs and 0.13% buses and coaches. The interest in electrifying the light commercial vehicles deserves to be highlighted since a progressive increase of their number compared with NPF is foresee</w:t>
      </w:r>
      <w:r>
        <w:rPr>
          <w:rFonts w:ascii="Times New Roman" w:hAnsi="Times New Roman" w:cs="Times New Roman"/>
          <w:noProof/>
          <w:sz w:val="24"/>
          <w:lang w:val="en-IE"/>
        </w:rPr>
        <w:t>n (7% in 2020, 140% in 2025 and 313% in 2030).</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12.60% for 2020 and 0.80%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w:t>
      </w:r>
      <w:r>
        <w:rPr>
          <w:rFonts w:ascii="Times New Roman" w:hAnsi="Times New Roman" w:cs="Times New Roman"/>
          <w:iCs/>
          <w:noProof/>
          <w:sz w:val="24"/>
          <w:lang w:val="en-IE"/>
        </w:rPr>
        <w:t xml:space="preserve">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Ireland is equal to </w:t>
      </w:r>
      <w:r>
        <w:rPr>
          <w:rFonts w:ascii="Times New Roman" w:hAnsi="Times New Roman" w:cs="Times New Roman"/>
          <w:iCs/>
          <w:noProof/>
          <w:sz w:val="24"/>
          <w:lang w:val="en-IE"/>
        </w:rPr>
        <w:t>50%.</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Ireland recorded 806 publicly accessible recharging points in 2</w:t>
      </w:r>
      <w:r>
        <w:rPr>
          <w:rFonts w:ascii="Times New Roman" w:hAnsi="Times New Roman" w:cs="Times New Roman"/>
          <w:iCs/>
          <w:noProof/>
          <w:sz w:val="24"/>
          <w:lang w:val="en-IE"/>
        </w:rPr>
        <w:t xml:space="preserve">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_Ref52866491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5.7.3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iCs/>
          <w:noProof/>
          <w:sz w:val="24"/>
          <w:lang w:val="en-IE"/>
        </w:rPr>
        <w:t xml:space="preserve">), of which 666 were normal power (≤22kW) and 140 high power (&gt;22kW) recharging points. Concerning the next decade, the IE NIR shows a confirmation of the NPF targets </w:t>
      </w:r>
      <w:r>
        <w:rPr>
          <w:rFonts w:ascii="Times New Roman" w:hAnsi="Times New Roman" w:cs="Times New Roman"/>
          <w:noProof/>
          <w:sz w:val="24"/>
          <w:lang w:val="en-IE"/>
        </w:rPr>
        <w:t>for 2020 and 2025 (950 and 1,100, respectively). For 2030, the revised target of 1,200 re</w:t>
      </w:r>
      <w:r>
        <w:rPr>
          <w:rFonts w:ascii="Times New Roman" w:hAnsi="Times New Roman" w:cs="Times New Roman"/>
          <w:noProof/>
          <w:sz w:val="24"/>
          <w:lang w:val="en-IE"/>
        </w:rPr>
        <w:t>presents a slight decrease compared with the NPF (-4%) that originates from a reduction of the targeted number of high power recharging points. In the NIR, the percentage of planned high power recharging points in the total</w:t>
      </w:r>
      <w:r>
        <w:rPr>
          <w:rFonts w:ascii="Times New Roman" w:hAnsi="Times New Roman" w:cs="Times New Roman"/>
          <w:iCs/>
          <w:noProof/>
          <w:sz w:val="24"/>
          <w:lang w:val="en-IE"/>
        </w:rPr>
        <w:t xml:space="preserve"> publicly accessible </w:t>
      </w:r>
      <w:r>
        <w:rPr>
          <w:rFonts w:ascii="Times New Roman" w:hAnsi="Times New Roman" w:cs="Times New Roman"/>
          <w:noProof/>
          <w:sz w:val="24"/>
          <w:lang w:val="en-IE"/>
        </w:rPr>
        <w:t>recharging i</w:t>
      </w:r>
      <w:r>
        <w:rPr>
          <w:rFonts w:ascii="Times New Roman" w:hAnsi="Times New Roman" w:cs="Times New Roman"/>
          <w:noProof/>
          <w:sz w:val="24"/>
          <w:lang w:val="en-IE"/>
        </w:rPr>
        <w:t>nfrastructure increases from 12% or 100 (2020) to 16% or 150 (2025) and 20% or 200 (2030) but it has to be highlighted that the 2020 target was already overpassed in 2018. The Irish NIR confirms the targets for private recharging points provided in the NPF</w:t>
      </w:r>
      <w:r>
        <w:rPr>
          <w:rFonts w:ascii="Times New Roman" w:hAnsi="Times New Roman" w:cs="Times New Roman"/>
          <w:noProof/>
          <w:sz w:val="24"/>
          <w:lang w:val="en-IE"/>
        </w:rPr>
        <w:t>: 18,020 in 2020, 200,100 in 2025 and 700,200 in 2030. This confirms a clear strategy of Ireland to support the uptake of electro-mobility primarily on private recharging infrastructure, while keeping publicly accessible infrastructure at a bare minimum. I</w:t>
      </w:r>
      <w:r>
        <w:rPr>
          <w:rFonts w:ascii="Times New Roman" w:hAnsi="Times New Roman" w:cs="Times New Roman"/>
          <w:noProof/>
          <w:sz w:val="24"/>
          <w:lang w:val="en-IE"/>
        </w:rPr>
        <w:t xml:space="preserve">t can be noticed in fact that the percentage of </w:t>
      </w:r>
      <w:r>
        <w:rPr>
          <w:rFonts w:ascii="Times New Roman" w:hAnsi="Times New Roman" w:cs="Times New Roman"/>
          <w:iCs/>
          <w:noProof/>
          <w:sz w:val="24"/>
          <w:lang w:val="en-IE"/>
        </w:rPr>
        <w:t xml:space="preserve">publicly accessible </w:t>
      </w:r>
      <w:r>
        <w:rPr>
          <w:rFonts w:ascii="Times New Roman" w:hAnsi="Times New Roman" w:cs="Times New Roman"/>
          <w:noProof/>
          <w:sz w:val="24"/>
          <w:lang w:val="en-IE"/>
        </w:rPr>
        <w:t>infrastructure from the total infrastructure is 17.43% in 2018 and foreseen to decrease to 5% (2020), 0.55% (2025) and 0.17% (2030).</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public recharging infrast</w:t>
      </w:r>
      <w:r>
        <w:rPr>
          <w:rFonts w:ascii="Times New Roman" w:hAnsi="Times New Roman" w:cs="Times New Roman"/>
          <w:iCs/>
          <w:noProof/>
          <w:sz w:val="24"/>
          <w:lang w:val="en-IE"/>
        </w:rPr>
        <w:t xml:space="preserve">ructure targets is </w:t>
      </w:r>
      <w:r>
        <w:rPr>
          <w:rFonts w:ascii="Times New Roman" w:hAnsi="Times New Roman" w:cs="Times New Roman"/>
          <w:iCs/>
          <w:noProof/>
          <w:color w:val="000000" w:themeColor="text1"/>
          <w:sz w:val="24"/>
          <w:lang w:val="en-IE"/>
        </w:rPr>
        <w:t>84.84% for 2020 to 67.17% for 2030</w:t>
      </w:r>
      <w:r>
        <w:rPr>
          <w:rFonts w:ascii="Times New Roman" w:hAnsi="Times New Roman" w:cs="Times New Roman"/>
          <w:iCs/>
          <w:noProof/>
          <w:sz w:val="24"/>
          <w:lang w:val="en-IE"/>
        </w:rPr>
        <w:t xml:space="preserve">. According 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w:t>
      </w:r>
      <w:r>
        <w:rPr>
          <w:rFonts w:ascii="Times New Roman" w:hAnsi="Times New Roman" w:cs="Times New Roman"/>
          <w:iCs/>
          <w:noProof/>
          <w:color w:val="000000" w:themeColor="text1"/>
          <w:sz w:val="24"/>
          <w:lang w:val="en-IE"/>
        </w:rPr>
        <w:t xml:space="preserve">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Ireland is equal to</w:t>
      </w:r>
      <w:r>
        <w:rPr>
          <w:rFonts w:ascii="Times New Roman" w:hAnsi="Times New Roman" w:cs="Times New Roman"/>
          <w:iCs/>
          <w:noProof/>
          <w:sz w:val="24"/>
          <w:lang w:val="en-IE"/>
        </w:rPr>
        <w:t xml:space="preserve"> 3%.</w:t>
      </w:r>
    </w:p>
    <w:p w:rsidR="003C43BF" w:rsidRDefault="003C43BF">
      <w:pPr>
        <w:tabs>
          <w:tab w:val="left" w:pos="360"/>
        </w:tabs>
        <w:jc w:val="both"/>
        <w:rPr>
          <w:rFonts w:ascii="Times New Roman" w:hAnsi="Times New Roman" w:cs="Times New Roman"/>
          <w:i/>
          <w:noProof/>
          <w:sz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b/>
          <w:iCs/>
          <w:noProof/>
          <w:sz w:val="24"/>
          <w:lang w:val="en-IE"/>
        </w:rPr>
      </w:pPr>
      <w:r>
        <w:rPr>
          <w:rFonts w:ascii="Times New Roman" w:hAnsi="Times New Roman" w:cs="Times New Roman"/>
          <w:noProof/>
          <w:sz w:val="24"/>
          <w:lang w:val="en-IE"/>
        </w:rPr>
        <w:t xml:space="preserve">Based on the IE NIR and NPF, the following table shows the ratio between vehicles and publicly accessible recharging </w:t>
      </w:r>
      <w:r>
        <w:rPr>
          <w:rFonts w:ascii="Times New Roman" w:hAnsi="Times New Roman" w:cs="Times New Roman"/>
          <w:noProof/>
          <w:sz w:val="24"/>
          <w:lang w:val="en-IE"/>
        </w:rPr>
        <w:t xml:space="preserve">points (i.e. sufficiency index) for the pair electricity/road. It can be seen that for the next decade the foreseen sufficiency index is expected to progressively increase to values that are considerably above 10 and thus inadequate. The fact that Ireland </w:t>
      </w:r>
      <w:r>
        <w:rPr>
          <w:rFonts w:ascii="Times New Roman" w:hAnsi="Times New Roman" w:cs="Times New Roman"/>
          <w:noProof/>
          <w:sz w:val="24"/>
          <w:lang w:val="en-IE"/>
        </w:rPr>
        <w:t>has a clear strategy regarding private recharging infrastructure does not seem to solve the problem fully.</w:t>
      </w:r>
    </w:p>
    <w:p w:rsidR="003C43BF" w:rsidRDefault="006C3212">
      <w:pPr>
        <w:jc w:val="both"/>
        <w:rPr>
          <w:rFonts w:ascii="Times New Roman" w:hAnsi="Times New Roman" w:cs="Times New Roman"/>
          <w:b/>
          <w:iCs/>
          <w:noProof/>
          <w:sz w:val="24"/>
          <w:lang w:val="en-IE"/>
        </w:rPr>
      </w:pPr>
      <w:r>
        <w:rPr>
          <w:noProof/>
          <w:lang w:eastAsia="en-GB"/>
        </w:rPr>
        <w:drawing>
          <wp:inline distT="0" distB="0" distL="0" distR="0">
            <wp:extent cx="489585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5850" cy="571500"/>
                    </a:xfrm>
                    <a:prstGeom prst="rect">
                      <a:avLst/>
                    </a:prstGeom>
                    <a:noFill/>
                    <a:ln>
                      <a:noFill/>
                    </a:ln>
                  </pic:spPr>
                </pic:pic>
              </a:graphicData>
            </a:graphic>
          </wp:inline>
        </w:drawing>
      </w:r>
    </w:p>
    <w:p w:rsidR="003C43BF" w:rsidRDefault="006C3212">
      <w:pPr>
        <w:jc w:val="both"/>
        <w:rPr>
          <w:rFonts w:ascii="Times New Roman" w:hAnsi="Times New Roman" w:cs="Times New Roman"/>
          <w:b/>
          <w:iCs/>
          <w:noProof/>
          <w:sz w:val="18"/>
          <w:szCs w:val="18"/>
          <w:lang w:val="en-IE"/>
        </w:rPr>
      </w:pPr>
      <w:r>
        <w:rPr>
          <w:rFonts w:ascii="Times New Roman" w:hAnsi="Times New Roman" w:cs="Times New Roman"/>
          <w:noProof/>
          <w:sz w:val="18"/>
          <w:szCs w:val="18"/>
          <w:lang w:val="en-IE"/>
        </w:rPr>
        <w:t>* Value calculated from IE NPF</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Irish NIR provides an example of usage for the high power (&gt;22kW) recharging </w:t>
      </w:r>
      <w:r>
        <w:rPr>
          <w:rFonts w:ascii="Times New Roman" w:hAnsi="Times New Roman" w:cs="Times New Roman"/>
          <w:noProof/>
          <w:sz w:val="24"/>
          <w:lang w:val="en-IE"/>
        </w:rPr>
        <w:t xml:space="preserve">infrastructure. It mentions that the average overall number of transactions per day in 2018 was 840 corresponding to all the existing 140 high power recharging points, while the average duration of a stay was of 47 minutes. It is worth noting that in 2018 </w:t>
      </w:r>
      <w:r>
        <w:rPr>
          <w:rFonts w:ascii="Times New Roman" w:hAnsi="Times New Roman" w:cs="Times New Roman"/>
          <w:noProof/>
          <w:sz w:val="24"/>
          <w:lang w:val="en-IE"/>
        </w:rPr>
        <w:t>there were no recharging and no overstay fees at this infrastructure.</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spacing w:after="120" w:line="240" w:lineRule="auto"/>
        <w:jc w:val="both"/>
        <w:rPr>
          <w:rFonts w:ascii="Times New Roman" w:hAnsi="Times New Roman" w:cs="Times New Roman"/>
          <w:i/>
          <w:noProof/>
          <w:color w:val="000000" w:themeColor="text1"/>
          <w:sz w:val="24"/>
          <w:lang w:val="en-IE"/>
        </w:rPr>
      </w:pPr>
      <w:r>
        <w:rPr>
          <w:rFonts w:ascii="Times New Roman" w:eastAsia="Times New Roman" w:hAnsi="Times New Roman" w:cs="Times New Roman"/>
          <w:noProof/>
          <w:color w:val="000000" w:themeColor="text1"/>
          <w:sz w:val="24"/>
          <w:lang w:val="en-IE" w:eastAsia="en-IE"/>
        </w:rPr>
        <w:t>Compared to the NPF, the Irish NIR does not include any more estimates for CNG light-duty vehicles, reflecting a modification in the policy direction where the support focus</w:t>
      </w:r>
      <w:r>
        <w:rPr>
          <w:rFonts w:ascii="Times New Roman" w:eastAsia="Times New Roman" w:hAnsi="Times New Roman" w:cs="Times New Roman"/>
          <w:noProof/>
          <w:color w:val="000000" w:themeColor="text1"/>
          <w:sz w:val="24"/>
          <w:lang w:val="en-IE" w:eastAsia="en-IE"/>
        </w:rPr>
        <w:t>es principally on electrification in the light vehicle sector. Since the IE NIR mentions that “</w:t>
      </w:r>
      <w:r>
        <w:rPr>
          <w:rFonts w:ascii="Times New Roman" w:eastAsia="Times New Roman" w:hAnsi="Times New Roman" w:cs="Times New Roman"/>
          <w:i/>
          <w:noProof/>
          <w:color w:val="000000" w:themeColor="text1"/>
          <w:sz w:val="24"/>
          <w:lang w:val="en-IE" w:eastAsia="en-IE"/>
        </w:rPr>
        <w:t>in the heavy-duty sector there is a recognition that electrification is not currently a viable alternative</w:t>
      </w:r>
      <w:r>
        <w:rPr>
          <w:rFonts w:ascii="Times New Roman" w:eastAsia="Times New Roman" w:hAnsi="Times New Roman" w:cs="Times New Roman"/>
          <w:noProof/>
          <w:color w:val="000000" w:themeColor="text1"/>
          <w:sz w:val="24"/>
          <w:lang w:val="en-IE" w:eastAsia="en-IE"/>
        </w:rPr>
        <w:t xml:space="preserve">” and other solutions must be considered, the report contains only future estimates for CNG HCV but their values are significantly reduced in comparison with the NPF ones (20 vs 150 for 2020, 100 vs 1,050 for 2025 and 150 vs 1,550 for 2030). </w:t>
      </w:r>
    </w:p>
    <w:p w:rsidR="003C43BF" w:rsidRDefault="006C3212">
      <w:pPr>
        <w:tabs>
          <w:tab w:val="left" w:pos="360"/>
        </w:tabs>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Because there</w:t>
      </w:r>
      <w:r>
        <w:rPr>
          <w:rFonts w:ascii="Times New Roman" w:hAnsi="Times New Roman" w:cs="Times New Roman"/>
          <w:noProof/>
          <w:color w:val="000000" w:themeColor="text1"/>
          <w:sz w:val="24"/>
          <w:lang w:val="en-IE"/>
        </w:rPr>
        <w:t xml:space="preserve"> are no total CNG vehicle estimates, the 2018 </w:t>
      </w:r>
      <w:r>
        <w:rPr>
          <w:rFonts w:ascii="Times New Roman" w:hAnsi="Times New Roman" w:cs="Times New Roman"/>
          <w:b/>
          <w:i/>
          <w:noProof/>
          <w:color w:val="000000" w:themeColor="text1"/>
          <w:sz w:val="24"/>
          <w:lang w:val="en-IE"/>
        </w:rPr>
        <w:t>attainment</w:t>
      </w:r>
      <w:r>
        <w:rPr>
          <w:rFonts w:ascii="Times New Roman" w:hAnsi="Times New Roman" w:cs="Times New Roman"/>
          <w:noProof/>
          <w:color w:val="000000" w:themeColor="text1"/>
          <w:sz w:val="24"/>
          <w:lang w:val="en-IE"/>
        </w:rPr>
        <w:t xml:space="preserve"> and </w:t>
      </w:r>
      <w:r>
        <w:rPr>
          <w:rFonts w:ascii="Times New Roman" w:hAnsi="Times New Roman" w:cs="Times New Roman"/>
          <w:b/>
          <w:i/>
          <w:iCs/>
          <w:noProof/>
          <w:color w:val="000000" w:themeColor="text1"/>
          <w:sz w:val="24"/>
          <w:lang w:val="en-IE"/>
        </w:rPr>
        <w:t>progress</w:t>
      </w:r>
      <w:r>
        <w:rPr>
          <w:rFonts w:ascii="Times New Roman" w:hAnsi="Times New Roman" w:cs="Times New Roman"/>
          <w:noProof/>
          <w:color w:val="000000" w:themeColor="text1"/>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In 2018, Ireland recorded one public CNG refuelling point and three private fleet operators’ ones.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_Ref52866491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5.7.3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r>
        <w:rPr>
          <w:rFonts w:ascii="Times New Roman" w:hAnsi="Times New Roman" w:cs="Times New Roman"/>
          <w:iCs/>
          <w:noProof/>
          <w:sz w:val="24"/>
          <w:lang w:val="en-IE"/>
        </w:rPr>
        <w:t>shows an overall reduction of the targets for public CNG refuelling points provided in the NIR compared to the NPF over the next decade (1 vs 13 for 2020, 23 vs 27 for 2025 and 42 vs 49 for 20</w:t>
      </w:r>
      <w:r>
        <w:rPr>
          <w:rFonts w:ascii="Times New Roman" w:hAnsi="Times New Roman" w:cs="Times New Roman"/>
          <w:iCs/>
          <w:noProof/>
          <w:sz w:val="24"/>
          <w:lang w:val="en-IE"/>
        </w:rPr>
        <w:t>30). T</w:t>
      </w:r>
      <w:r>
        <w:rPr>
          <w:rFonts w:ascii="Times New Roman" w:hAnsi="Times New Roman" w:cs="Times New Roman"/>
          <w:noProof/>
          <w:sz w:val="24"/>
          <w:lang w:val="en-IE"/>
        </w:rPr>
        <w:t>he Irish NIR also provides revised targets for private CNG refuelling points</w:t>
      </w:r>
      <w:r>
        <w:rPr>
          <w:rFonts w:ascii="Times New Roman" w:hAnsi="Times New Roman" w:cs="Times New Roman"/>
          <w:iCs/>
          <w:noProof/>
          <w:sz w:val="24"/>
          <w:lang w:val="en-IE"/>
        </w:rPr>
        <w:t xml:space="preserve"> in comparison to the NPF</w:t>
      </w:r>
      <w:r>
        <w:rPr>
          <w:rFonts w:ascii="Times New Roman" w:hAnsi="Times New Roman" w:cs="Times New Roman"/>
          <w:noProof/>
          <w:sz w:val="24"/>
          <w:lang w:val="en-IE"/>
        </w:rPr>
        <w:t xml:space="preserve"> (3 vs 5 for 2020, the same number of 43 for 2025 and 126 vs 53 for 2030), reflecting the forecast that during the next decade the share of private C</w:t>
      </w:r>
      <w:r>
        <w:rPr>
          <w:rFonts w:ascii="Times New Roman" w:hAnsi="Times New Roman" w:cs="Times New Roman"/>
          <w:noProof/>
          <w:sz w:val="24"/>
          <w:lang w:val="en-IE"/>
        </w:rPr>
        <w:t>NG refuelling infrastructure will progressively increase and become dominant.</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A map with the locations of the 14 public CNG refuelling stations to be rolled out as part of Causeway Project is provided (for more information on the project, see Section 5.7.4</w:t>
      </w:r>
      <w:r>
        <w:rPr>
          <w:rFonts w:ascii="Times New Roman" w:hAnsi="Times New Roman" w:cs="Times New Roman"/>
          <w:iCs/>
          <w:noProof/>
          <w:sz w:val="24"/>
          <w:lang w:val="en-IE"/>
        </w:rPr>
        <w:t>.3). The Irish NIR mentions the objective of the Gas Network Ireland that 20% of the gas in the network will be renewable by 2030.</w:t>
      </w:r>
    </w:p>
    <w:p w:rsidR="003C43BF" w:rsidRDefault="006C3212">
      <w:pPr>
        <w:tabs>
          <w:tab w:val="left" w:pos="360"/>
        </w:tabs>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CNG refuelling infrastructure targets is 100% for 2020 and 2.38% for 2030. According to </w:t>
      </w:r>
      <w:r>
        <w:rPr>
          <w:rFonts w:ascii="Times New Roman" w:hAnsi="Times New Roman" w:cs="Times New Roman"/>
          <w:iCs/>
          <w:noProof/>
          <w:sz w:val="24"/>
          <w:lang w:val="en-IE"/>
        </w:rPr>
        <w:t xml:space="preserve">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The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 CNG refuelling infrastruct</w:t>
      </w:r>
      <w:r>
        <w:rPr>
          <w:rFonts w:ascii="Times New Roman" w:hAnsi="Times New Roman" w:cs="Times New Roman"/>
          <w:iCs/>
          <w:noProof/>
          <w:color w:val="000000" w:themeColor="text1"/>
          <w:sz w:val="24"/>
          <w:lang w:val="en-IE"/>
        </w:rPr>
        <w:t>ure evolution planned by Ireland could not be calculated since in 2016 there were no public CNG refuelling points deployed.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Since there are no total CNG vehicle estimates provided in the Irish NIR, it is not possible to compute the sufficiency index.</w:t>
      </w:r>
    </w:p>
    <w:p w:rsidR="003C43BF" w:rsidRDefault="003C43BF">
      <w:pPr>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strike/>
          <w:noProof/>
          <w:sz w:val="24"/>
          <w:lang w:val="en-IE"/>
        </w:rPr>
      </w:pPr>
      <w:r>
        <w:rPr>
          <w:rFonts w:ascii="Times New Roman" w:hAnsi="Times New Roman" w:cs="Times New Roman"/>
          <w:noProof/>
          <w:sz w:val="24"/>
          <w:lang w:val="en-IE"/>
        </w:rPr>
        <w:t xml:space="preserve">At the end of 2018, there were no LNG vehicles in use. Similarly to the NPF, the Irish NIR provides no LNG vehicle estimates for the future and therefore the 2018 </w:t>
      </w:r>
      <w:r>
        <w:rPr>
          <w:rFonts w:ascii="Times New Roman" w:hAnsi="Times New Roman" w:cs="Times New Roman"/>
          <w:b/>
          <w:i/>
          <w:iCs/>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iCs/>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pStyle w:val="Text1"/>
        <w:spacing w:after="120" w:line="240"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w:t>
      </w:r>
      <w:r>
        <w:rPr>
          <w:rFonts w:ascii="Times New Roman" w:hAnsi="Times New Roman" w:cs="Times New Roman"/>
          <w:noProof/>
          <w:sz w:val="24"/>
          <w:lang w:val="en-IE"/>
        </w:rPr>
        <w:t xml:space="preserve">018, there were no LNG road refuelling points deployed. Similarly to the NPF, the Irish NIR does not commit to any targets for LNG road refuelling infrastructure and therefore the 2018 </w:t>
      </w:r>
      <w:r>
        <w:rPr>
          <w:rFonts w:ascii="Times New Roman" w:hAnsi="Times New Roman" w:cs="Times New Roman"/>
          <w:b/>
          <w:i/>
          <w:iCs/>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iCs/>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For the same </w:t>
      </w:r>
      <w:r>
        <w:rPr>
          <w:rFonts w:ascii="Times New Roman" w:hAnsi="Times New Roman" w:cs="Times New Roman"/>
          <w:noProof/>
          <w:sz w:val="24"/>
          <w:lang w:val="en-IE"/>
        </w:rPr>
        <w:t>reason, it is not possible to compute the sufficiency index.</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Estimates for hydrogen vehicles are absent in the Irish NIR as they were lacking also in the NPF. The NIR mentions there are currently no hydrogen vehicles in use in Ireland and</w:t>
      </w:r>
      <w:r>
        <w:rPr>
          <w:rFonts w:ascii="Times New Roman" w:hAnsi="Times New Roman" w:cs="Times New Roman"/>
          <w:noProof/>
          <w:sz w:val="24"/>
          <w:lang w:val="en-IE"/>
        </w:rPr>
        <w:t xml:space="preserve"> no real suppressed demand for hydrogen vehicles at current market prices. However, it states that a potential deployment of around 100 vehicles in 2022/23 is under consideration by a range of engaged stakeholders possibly with government support.</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noProof/>
          <w:sz w:val="24"/>
          <w:lang w:val="en-IE"/>
        </w:rPr>
        <w:t xml:space="preserve">no clear quantitative hydrogen vehicle estimates were provided,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In line with the strategy regarding the hydrogen vehicles, the Irish NIR as the NPF does not commit to targets for hydrogen refuelling infrastructure and justifies this by the lack of demand at this stage. However, it mentions that there is under considera</w:t>
      </w:r>
      <w:r>
        <w:rPr>
          <w:rFonts w:ascii="Times New Roman" w:hAnsi="Times New Roman" w:cs="Times New Roman"/>
          <w:noProof/>
          <w:sz w:val="24"/>
          <w:lang w:val="en-IE"/>
        </w:rPr>
        <w:t xml:space="preserve">tion by a range of engaged stakeholders, potentially with government support, a deployment of a sustainable hydrogen production and three clustered refuelling points in 2022/23.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no clear quantitative hydrogen </w:t>
      </w:r>
      <w:r>
        <w:rPr>
          <w:rFonts w:ascii="Times New Roman" w:hAnsi="Times New Roman" w:cs="Times New Roman"/>
          <w:iCs/>
          <w:noProof/>
          <w:sz w:val="24"/>
          <w:lang w:val="en-IE"/>
        </w:rPr>
        <w:t xml:space="preserve">refuelling infrastructure targets </w:t>
      </w:r>
      <w:r>
        <w:rPr>
          <w:rFonts w:ascii="Times New Roman" w:hAnsi="Times New Roman" w:cs="Times New Roman"/>
          <w:noProof/>
          <w:sz w:val="24"/>
          <w:lang w:val="en-IE"/>
        </w:rPr>
        <w:t>were</w:t>
      </w:r>
      <w:r>
        <w:rPr>
          <w:rFonts w:ascii="Times New Roman" w:hAnsi="Times New Roman" w:cs="Times New Roman"/>
          <w:noProof/>
          <w:sz w:val="24"/>
          <w:lang w:val="en-IE"/>
        </w:rPr>
        <w:t xml:space="preserve"> provided,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For the same reason, it is not possible to compute the sufficiency index.</w:t>
      </w:r>
    </w:p>
    <w:p w:rsidR="003C43BF" w:rsidRDefault="003C43BF">
      <w:pPr>
        <w:rPr>
          <w:rStyle w:val="Heading4Char"/>
          <w:rFonts w:ascii="Times New Roman" w:hAnsi="Times New Roman" w:cs="Times New Roman"/>
          <w:i/>
          <w:iCs/>
          <w:noProof/>
          <w:color w:val="FFFFFF" w:themeColor="background1"/>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No quantitative information regarding vehicles fuelled by biofuels is provided in the Iris</w:t>
      </w:r>
      <w:r>
        <w:rPr>
          <w:rFonts w:ascii="Times New Roman" w:hAnsi="Times New Roman" w:cs="Times New Roman"/>
          <w:noProof/>
          <w:sz w:val="24"/>
          <w:lang w:val="en-IE"/>
        </w:rPr>
        <w:t xml:space="preserve">h NIR. However, the IE NIR contains some details on the biofuels consumption in transport (see Section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_Ref51265091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Additional information on alternative fuels infrastructure developments</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and about the Biofuels Obligation Scheme (see Section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_Ref51264944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Legislative &amp; Regulatory</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Irish NIR.</w:t>
      </w:r>
    </w:p>
    <w:p w:rsidR="003C43BF" w:rsidRDefault="003C43BF">
      <w:pPr>
        <w:jc w:val="both"/>
        <w:rPr>
          <w:rFonts w:ascii="Times New Roman" w:hAnsi="Times New Roman" w:cs="Times New Roman"/>
          <w:noProof/>
          <w:sz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w:t>
      </w:r>
      <w:r>
        <w:rPr>
          <w:rFonts w:ascii="Times New Roman" w:hAnsi="Times New Roman" w:cs="Times New Roman"/>
          <w:noProof/>
          <w:sz w:val="24"/>
          <w:lang w:val="en-IE"/>
        </w:rPr>
        <w:t>not available in the Irish NIR.</w:t>
      </w:r>
    </w:p>
    <w:p w:rsidR="003C43BF" w:rsidRDefault="003C43BF">
      <w:pPr>
        <w:rPr>
          <w:rFonts w:ascii="Times New Roman" w:hAnsi="Times New Roman" w:cs="Times New Roman"/>
          <w:noProof/>
          <w:sz w:val="24"/>
          <w:highlight w:val="yellow"/>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Irish NIR does not provide information on the number of LPG vehicles. However, according to EAFO, Ireland recorded 3,700 LPG vehicles in use in 2018, all of which were passenger cars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_Ref52866491 \h  </w:instrText>
      </w:r>
      <w:r>
        <w:rPr>
          <w:rFonts w:ascii="Times New Roman" w:hAnsi="Times New Roman" w:cs="Times New Roman"/>
          <w:noProof/>
          <w:sz w:val="24"/>
          <w:lang w:val="en-IE"/>
        </w:rPr>
        <w:instrText xml:space="preserve">\*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5.7.3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Irish NIR does not provide information on the number of LPG refuelling points. According to EAFO, Ireland recorded 50 LPG refuelling points</w:t>
      </w:r>
      <w:r>
        <w:rPr>
          <w:rFonts w:ascii="Times New Roman" w:hAnsi="Times New Roman" w:cs="Times New Roman"/>
          <w:noProof/>
          <w:sz w:val="24"/>
          <w:lang w:val="en-IE"/>
        </w:rPr>
        <w:t xml:space="preserve"> in 2016, 47 in 2017, and 45 in 2018.</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EAFO data for Ireland, the following table shows the ratio between vehicles and </w:t>
      </w:r>
      <w:r>
        <w:rPr>
          <w:rFonts w:ascii="Times New Roman" w:hAnsi="Times New Roman" w:cs="Times New Roman"/>
          <w:iCs/>
          <w:noProof/>
          <w:color w:val="000000" w:themeColor="text1"/>
          <w:sz w:val="24"/>
          <w:lang w:val="en-IE"/>
        </w:rPr>
        <w:t>publicly accessible refuelling points</w:t>
      </w:r>
      <w:r>
        <w:rPr>
          <w:rFonts w:ascii="Times New Roman" w:hAnsi="Times New Roman" w:cs="Times New Roman"/>
          <w:noProof/>
          <w:sz w:val="24"/>
          <w:lang w:val="en-IE"/>
        </w:rPr>
        <w:t xml:space="preserve"> (i.e. sufficiency index) for the pair LPG/road. The sufficiency index could only be c</w:t>
      </w:r>
      <w:r>
        <w:rPr>
          <w:rFonts w:ascii="Times New Roman" w:hAnsi="Times New Roman" w:cs="Times New Roman"/>
          <w:noProof/>
          <w:sz w:val="24"/>
          <w:lang w:val="en-IE"/>
        </w:rPr>
        <w:t>omputed for the 2016 – 2018 period.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02200" cy="3873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2200" cy="387350"/>
                    </a:xfrm>
                    <a:prstGeom prst="rect">
                      <a:avLst/>
                    </a:prstGeom>
                    <a:noFill/>
                    <a:ln>
                      <a:noFill/>
                    </a:ln>
                  </pic:spPr>
                </pic:pic>
              </a:graphicData>
            </a:graphic>
          </wp:inline>
        </w:drawing>
      </w:r>
    </w:p>
    <w:p w:rsidR="003C43BF" w:rsidRDefault="006C3212">
      <w:pPr>
        <w:rPr>
          <w:rFonts w:ascii="Times New Roman" w:hAnsi="Times New Roman" w:cs="Times New Roman"/>
          <w:noProof/>
          <w:sz w:val="20"/>
          <w:szCs w:val="18"/>
          <w:lang w:val="en-IE"/>
        </w:rPr>
      </w:pPr>
      <w:r>
        <w:rPr>
          <w:rFonts w:ascii="Times New Roman" w:hAnsi="Times New Roman" w:cs="Times New Roman"/>
          <w:noProof/>
          <w:sz w:val="20"/>
          <w:szCs w:val="18"/>
          <w:lang w:val="en-IE"/>
        </w:rPr>
        <w:t>* data from EAFO</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IE NIR recorded 144 locomotives in 2018 and this number is expected to increase in the next decade (196 in 2025 and 600 in 2030). However, the IE NIR mentions </w:t>
      </w:r>
      <w:r>
        <w:rPr>
          <w:rFonts w:ascii="Times New Roman" w:hAnsi="Times New Roman" w:cs="Times New Roman"/>
          <w:noProof/>
          <w:sz w:val="24"/>
          <w:lang w:val="en-IE"/>
        </w:rPr>
        <w:t>that “</w:t>
      </w:r>
      <w:r>
        <w:rPr>
          <w:rFonts w:ascii="Times New Roman" w:hAnsi="Times New Roman" w:cs="Times New Roman"/>
          <w:i/>
          <w:noProof/>
          <w:sz w:val="24"/>
          <w:lang w:val="en-IE"/>
        </w:rPr>
        <w:t>these figures include hybrid trains which are expected to come into service in the coming years</w:t>
      </w:r>
      <w:r>
        <w:rPr>
          <w:rFonts w:ascii="Times New Roman" w:hAnsi="Times New Roman" w:cs="Times New Roman"/>
          <w:noProof/>
          <w:sz w:val="24"/>
          <w:lang w:val="en-IE"/>
        </w:rPr>
        <w:t>”.</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Irish NIR.</w:t>
      </w:r>
    </w:p>
    <w:p w:rsidR="003C43BF" w:rsidRDefault="003C43BF">
      <w:pPr>
        <w:rPr>
          <w:rFonts w:ascii="Times New Roman" w:hAnsi="Times New Roman" w:cs="Times New Roman"/>
          <w:noProof/>
          <w:sz w:val="24"/>
          <w:highlight w:val="yellow"/>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bookmarkStart w:id="191" w:name="_Ref51273596"/>
      <w:r>
        <w:rPr>
          <w:rFonts w:ascii="Times New Roman" w:hAnsi="Times New Roman" w:cs="Times New Roman"/>
          <w:noProof/>
          <w:sz w:val="24"/>
          <w:lang w:val="en-IE"/>
        </w:rPr>
        <w:t>Electricity</w:t>
      </w:r>
      <w:bookmarkEnd w:id="191"/>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I</w:t>
      </w:r>
      <w:r>
        <w:rPr>
          <w:rFonts w:ascii="Times New Roman" w:hAnsi="Times New Roman" w:cs="Times New Roman"/>
          <w:noProof/>
          <w:sz w:val="24"/>
          <w:lang w:val="en-IE"/>
        </w:rPr>
        <w:t>rish NIR.</w:t>
      </w:r>
    </w:p>
    <w:p w:rsidR="003C43BF" w:rsidRDefault="006C3212">
      <w:pPr>
        <w:pStyle w:val="Heading6"/>
        <w:numPr>
          <w:ilvl w:val="0"/>
          <w:numId w:val="0"/>
        </w:numPr>
        <w:rPr>
          <w:rFonts w:ascii="Times New Roman" w:hAnsi="Times New Roman" w:cs="Times New Roman"/>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feasibility study on the development of AFI in Irish ports foreseen in the NPF has been carried out and was included as an annex of the IE NIR</w:t>
      </w:r>
      <w:r>
        <w:rPr>
          <w:rStyle w:val="FootnoteReference"/>
          <w:rFonts w:ascii="Times New Roman" w:hAnsi="Times New Roman" w:cs="Times New Roman"/>
          <w:noProof/>
          <w:sz w:val="24"/>
          <w:lang w:val="en-IE"/>
        </w:rPr>
        <w:footnoteReference w:id="25"/>
      </w:r>
      <w:r>
        <w:rPr>
          <w:rFonts w:ascii="Times New Roman" w:hAnsi="Times New Roman" w:cs="Times New Roman"/>
          <w:noProof/>
          <w:sz w:val="24"/>
          <w:lang w:val="en-IE"/>
        </w:rPr>
        <w:t>. Favourable economic (e.g. price of electricity below European average) and geograp</w:t>
      </w:r>
      <w:r>
        <w:rPr>
          <w:rFonts w:ascii="Times New Roman" w:hAnsi="Times New Roman" w:cs="Times New Roman"/>
          <w:noProof/>
          <w:sz w:val="24"/>
          <w:lang w:val="en-IE"/>
        </w:rPr>
        <w:t>hic conditions, a stringent regulatory environment and scale of operations were identified to have a common influence in the successful deployment of AFI in general, and shore-side electricity (SSE) in particular. Taking these drivers into account, the stu</w:t>
      </w:r>
      <w:r>
        <w:rPr>
          <w:rFonts w:ascii="Times New Roman" w:hAnsi="Times New Roman" w:cs="Times New Roman"/>
          <w:noProof/>
          <w:sz w:val="24"/>
          <w:lang w:val="en-IE"/>
        </w:rPr>
        <w:t>dy considered the demand for, and feasibility of, AFI in Irish ports. The study found that many of the characteristics evident at current ports providing AFI are not present at Irish ports as “</w:t>
      </w:r>
      <w:r>
        <w:rPr>
          <w:rFonts w:ascii="Times New Roman" w:hAnsi="Times New Roman" w:cs="Times New Roman"/>
          <w:i/>
          <w:noProof/>
          <w:sz w:val="24"/>
          <w:lang w:val="en-IE"/>
        </w:rPr>
        <w:t>Ireland does not gain from geographic conditions</w:t>
      </w:r>
      <w:r>
        <w:rPr>
          <w:rFonts w:ascii="Times New Roman" w:hAnsi="Times New Roman" w:cs="Times New Roman"/>
          <w:noProof/>
          <w:sz w:val="24"/>
          <w:lang w:val="en-IE"/>
        </w:rPr>
        <w:t xml:space="preserve"> </w:t>
      </w:r>
      <w:r>
        <w:rPr>
          <w:rFonts w:ascii="Times New Roman" w:hAnsi="Times New Roman" w:cs="Times New Roman"/>
          <w:i/>
          <w:noProof/>
          <w:sz w:val="24"/>
          <w:lang w:val="en-IE"/>
        </w:rPr>
        <w:t xml:space="preserve">favourable to </w:t>
      </w:r>
      <w:r>
        <w:rPr>
          <w:rFonts w:ascii="Times New Roman" w:hAnsi="Times New Roman" w:cs="Times New Roman"/>
          <w:i/>
          <w:noProof/>
          <w:sz w:val="24"/>
          <w:lang w:val="en-IE"/>
        </w:rPr>
        <w:t>… renewable energy production</w:t>
      </w:r>
      <w:r>
        <w:rPr>
          <w:rFonts w:ascii="Times New Roman" w:hAnsi="Times New Roman" w:cs="Times New Roman"/>
          <w:noProof/>
          <w:sz w:val="24"/>
          <w:lang w:val="en-IE"/>
        </w:rPr>
        <w:t>” and the scale of operations in Irish ports and the number of ships calling to them does not generate sufficient demand to justify the capital investment that AFI requires. As a result, forecasted demand for SSE in Irish ports</w:t>
      </w:r>
      <w:r>
        <w:rPr>
          <w:rFonts w:ascii="Times New Roman" w:hAnsi="Times New Roman" w:cs="Times New Roman"/>
          <w:noProof/>
          <w:sz w:val="24"/>
          <w:lang w:val="en-IE"/>
        </w:rPr>
        <w:t xml:space="preserve"> was considered low. The same view resulted from stakeholder consultations highlighting concerns that forecasted demand does not justify large scale capital investment in AFI. Based on these findings from the market demand analysis, the Irish NIR is not se</w:t>
      </w:r>
      <w:r>
        <w:rPr>
          <w:rFonts w:ascii="Times New Roman" w:hAnsi="Times New Roman" w:cs="Times New Roman"/>
          <w:noProof/>
          <w:sz w:val="24"/>
          <w:lang w:val="en-IE"/>
        </w:rPr>
        <w:t>tting targets for SSE at maritime ports on the TEN-T network at this time but commits however to a continued monitoring of markets trends.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Irish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NPF, the Irish NIR does not commit to any targets for LNG refuelling infrastructure at maritime ports on the TEN-T network.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feasibility study on the development of AFI in Irish maritime ports (see Section 5.7.3.3.1) covered also LNG r</w:t>
      </w:r>
      <w:r>
        <w:rPr>
          <w:rFonts w:ascii="Times New Roman" w:hAnsi="Times New Roman" w:cs="Times New Roman"/>
          <w:noProof/>
          <w:sz w:val="24"/>
          <w:lang w:val="en-IE"/>
        </w:rPr>
        <w:t>efuelling infrastructure. As already mentioned in the section dedicated to SSE, the study found that many of the characteristics common to ports with successful AFI deployment are not present at Irish ports: Ireland does not gain from favourable economic (</w:t>
      </w:r>
      <w:r>
        <w:rPr>
          <w:rFonts w:ascii="Times New Roman" w:hAnsi="Times New Roman" w:cs="Times New Roman"/>
          <w:noProof/>
          <w:sz w:val="24"/>
          <w:lang w:val="en-IE"/>
        </w:rPr>
        <w:t>e.g. price of natural gas below European average) and geographic conditions (e.g. large natural gas resources), the scale of operations in Irish ports does not generate sufficient demand and Ireland falls outside the Emission Control Areas with stringent r</w:t>
      </w:r>
      <w:r>
        <w:rPr>
          <w:rFonts w:ascii="Times New Roman" w:hAnsi="Times New Roman" w:cs="Times New Roman"/>
          <w:noProof/>
          <w:sz w:val="24"/>
          <w:lang w:val="en-IE"/>
        </w:rPr>
        <w:t>egulatory standards. Therefore, the demand for LNG refuelling infrastructure in Irish ports was considered low. The innate conservatism and risk aversion of the shipping industry was also mentioned as a reason to consider investment in LNG unlikely because</w:t>
      </w:r>
      <w:r>
        <w:rPr>
          <w:rFonts w:ascii="Times New Roman" w:hAnsi="Times New Roman" w:cs="Times New Roman"/>
          <w:noProof/>
          <w:sz w:val="24"/>
          <w:lang w:val="en-IE"/>
        </w:rPr>
        <w:t xml:space="preserve"> of the potential obsolescence of LNG technologies through the development of alternative fuels such as hydrogen and ammonia. The Irish NIR mentions that, based on these arguments, it did not provide targets for LNG refuelling infrastructure at maritime po</w:t>
      </w:r>
      <w:r>
        <w:rPr>
          <w:rFonts w:ascii="Times New Roman" w:hAnsi="Times New Roman" w:cs="Times New Roman"/>
          <w:noProof/>
          <w:sz w:val="24"/>
          <w:lang w:val="en-IE"/>
        </w:rPr>
        <w:t>rts on the TEN-T network at this time. However, it commits to facilitate discussions between the maritime industry and other industries currently using LNG and to monitor annually the use of alternative fuels use.</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rsidR="003C43BF" w:rsidRDefault="006C3212">
      <w:pPr>
        <w:rPr>
          <w:rStyle w:val="Heading4Char"/>
          <w:rFonts w:ascii="Times New Roman" w:hAnsi="Times New Roman" w:cs="Times New Roman"/>
          <w:i/>
          <w:iCs/>
          <w:noProof/>
          <w:sz w:val="24"/>
          <w:lang w:val="en-IE"/>
        </w:rPr>
      </w:pPr>
      <w:r>
        <w:rPr>
          <w:rFonts w:ascii="Times New Roman" w:hAnsi="Times New Roman" w:cs="Times New Roman"/>
          <w:noProof/>
          <w:sz w:val="24"/>
          <w:lang w:val="en-IE"/>
        </w:rPr>
        <w:t>Not applica</w:t>
      </w:r>
      <w:r>
        <w:rPr>
          <w:rFonts w:ascii="Times New Roman" w:hAnsi="Times New Roman" w:cs="Times New Roman"/>
          <w:noProof/>
          <w:sz w:val="24"/>
          <w:lang w:val="en-IE"/>
        </w:rPr>
        <w:t>ble since Ireland has no inland ports in the TEN-T Core Network.</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NIR mentions that “</w:t>
      </w:r>
      <w:r>
        <w:rPr>
          <w:rFonts w:ascii="Times New Roman" w:hAnsi="Times New Roman" w:cs="Times New Roman"/>
          <w:i/>
          <w:noProof/>
          <w:sz w:val="24"/>
          <w:lang w:val="en-IE"/>
        </w:rPr>
        <w:t>Ireland’s policy to reduce the climate impact of aviation emissions is aligned with the strategies being pursued at EU level and globally</w:t>
      </w:r>
      <w:r>
        <w:rPr>
          <w:rFonts w:ascii="Times New Roman" w:hAnsi="Times New Roman" w:cs="Times New Roman"/>
          <w:noProof/>
          <w:sz w:val="24"/>
          <w:lang w:val="en-IE"/>
        </w:rPr>
        <w:t>” by the Interna</w:t>
      </w:r>
      <w:r>
        <w:rPr>
          <w:rFonts w:ascii="Times New Roman" w:hAnsi="Times New Roman" w:cs="Times New Roman"/>
          <w:noProof/>
          <w:sz w:val="24"/>
          <w:lang w:val="en-IE"/>
        </w:rPr>
        <w:t xml:space="preserve">tional Civil Aviation Organisation (ICAO). Regarding aircraft technology, the two major Irish airlines have invested recently in newer fuel efficient aircraft.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It is mentioned that the Irish state airports Dublin, Cork and Shannon are reducing their year-</w:t>
      </w:r>
      <w:r>
        <w:rPr>
          <w:rFonts w:ascii="Times New Roman" w:hAnsi="Times New Roman" w:cs="Times New Roman"/>
          <w:noProof/>
          <w:sz w:val="24"/>
          <w:lang w:val="en-IE"/>
        </w:rPr>
        <w:t>to-year carbon footprint being accredited by Airport Council International (ACI) at “Level 2 Reduction” status. Several examples of existing or foreseen sustainability activities are provided:</w:t>
      </w:r>
    </w:p>
    <w:p w:rsidR="003C43BF" w:rsidRDefault="006C3212">
      <w:pPr>
        <w:pStyle w:val="ListParagraph"/>
        <w:numPr>
          <w:ilvl w:val="0"/>
          <w:numId w:val="53"/>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w:t>
      </w:r>
      <w:r>
        <w:rPr>
          <w:rFonts w:ascii="Times New Roman" w:hAnsi="Times New Roman" w:cs="Times New Roman"/>
          <w:i/>
          <w:noProof/>
          <w:sz w:val="24"/>
          <w:lang w:val="en-IE"/>
        </w:rPr>
        <w:t>Dublin is committed, and Cork Airports also intends, to become</w:t>
      </w:r>
      <w:r>
        <w:rPr>
          <w:rFonts w:ascii="Times New Roman" w:hAnsi="Times New Roman" w:cs="Times New Roman"/>
          <w:i/>
          <w:noProof/>
          <w:sz w:val="24"/>
          <w:lang w:val="en-IE"/>
        </w:rPr>
        <w:t xml:space="preserve"> carbon neutral under the Airport Carbon Accreditation Scheme of the ACI by 2020</w:t>
      </w:r>
      <w:r>
        <w:rPr>
          <w:rFonts w:ascii="Times New Roman" w:hAnsi="Times New Roman" w:cs="Times New Roman"/>
          <w:noProof/>
          <w:sz w:val="24"/>
          <w:lang w:val="en-IE"/>
        </w:rPr>
        <w:t>” through initiatives such as the use and generation of green electricity and various other renewable energy projects.</w:t>
      </w:r>
    </w:p>
    <w:p w:rsidR="003C43BF" w:rsidRDefault="006C3212">
      <w:pPr>
        <w:pStyle w:val="ListParagraph"/>
        <w:numPr>
          <w:ilvl w:val="0"/>
          <w:numId w:val="53"/>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Dublin and Cork Airports, as part of ACI EUROPE, “</w:t>
      </w:r>
      <w:r>
        <w:rPr>
          <w:rFonts w:ascii="Times New Roman" w:hAnsi="Times New Roman" w:cs="Times New Roman"/>
          <w:i/>
          <w:noProof/>
          <w:sz w:val="24"/>
          <w:lang w:val="en-IE"/>
        </w:rPr>
        <w:t>have co</w:t>
      </w:r>
      <w:r>
        <w:rPr>
          <w:rFonts w:ascii="Times New Roman" w:hAnsi="Times New Roman" w:cs="Times New Roman"/>
          <w:i/>
          <w:noProof/>
          <w:sz w:val="24"/>
          <w:lang w:val="en-IE"/>
        </w:rPr>
        <w:t>mmitted to achieving net zero emissions by 2050 at the latest</w:t>
      </w:r>
      <w:r>
        <w:rPr>
          <w:rFonts w:ascii="Times New Roman" w:hAnsi="Times New Roman" w:cs="Times New Roman"/>
          <w:noProof/>
          <w:sz w:val="24"/>
          <w:lang w:val="en-IE"/>
        </w:rPr>
        <w:t xml:space="preserve">”, as part of a collective pledge of 194 airports in 24 countries.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Irish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Irish NIR, </w:t>
      </w:r>
      <w:r>
        <w:rPr>
          <w:rFonts w:ascii="Times New Roman" w:hAnsi="Times New Roman" w:cs="Times New Roman"/>
          <w:noProof/>
          <w:sz w:val="24"/>
          <w:lang w:val="en-IE"/>
        </w:rPr>
        <w:t>similarly to the NPF, does not include quantitative future targets for electricity supply at Irish airports for use by stationary airplanes. However, it mentions that Dublin Airport from the TEN-T Core Network is replacing diesel-powered ground power units</w:t>
      </w:r>
      <w:r>
        <w:rPr>
          <w:rFonts w:ascii="Times New Roman" w:hAnsi="Times New Roman" w:cs="Times New Roman"/>
          <w:noProof/>
          <w:sz w:val="24"/>
          <w:lang w:val="en-IE"/>
        </w:rPr>
        <w:t xml:space="preserve"> with fixed electrical ground power (FEGP) units. An amount of 46 FEGP units are currently available at most of the aircraft contact stands on three out of the four piers at this airport and the Dublin Airport Authority has committed to introduce FEGP on a</w:t>
      </w:r>
      <w:r>
        <w:rPr>
          <w:rFonts w:ascii="Times New Roman" w:hAnsi="Times New Roman" w:cs="Times New Roman"/>
          <w:noProof/>
          <w:sz w:val="24"/>
          <w:lang w:val="en-IE"/>
        </w:rPr>
        <w:t xml:space="preserve">ll future new contact stands.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Biofuels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pStyle w:val="Default"/>
        <w:spacing w:after="120"/>
        <w:jc w:val="both"/>
        <w:rPr>
          <w:noProof/>
          <w:color w:val="auto"/>
          <w:szCs w:val="22"/>
          <w:lang w:val="en-IE"/>
        </w:rPr>
      </w:pPr>
      <w:r>
        <w:rPr>
          <w:noProof/>
          <w:color w:val="auto"/>
          <w:szCs w:val="22"/>
          <w:lang w:val="en-IE"/>
        </w:rPr>
        <w:t xml:space="preserve">The Irish NIR mentions that there are no sustainable aviation fuel (SAF) stocks in any Irish airport, as no flights to/from Ireland have requested the use of such fuel. The report states that despite most </w:t>
      </w:r>
      <w:r>
        <w:rPr>
          <w:noProof/>
          <w:color w:val="auto"/>
          <w:szCs w:val="22"/>
          <w:lang w:val="en-IE"/>
        </w:rPr>
        <w:t>commercial aircraft in use in Ireland are capable of using a blend of conventional and SAF, all aircraft still use conventional fuel.</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 xml:space="preserve">Infrastructure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Irish NIR.</w:t>
      </w:r>
    </w:p>
    <w:p w:rsidR="003C43BF" w:rsidRDefault="003C43BF">
      <w:pPr>
        <w:tabs>
          <w:tab w:val="left" w:pos="360"/>
          <w:tab w:val="left" w:pos="720"/>
          <w:tab w:val="left" w:pos="1080"/>
        </w:tabs>
        <w:rPr>
          <w:rFonts w:ascii="Times New Roman" w:hAnsi="Times New Roman" w:cs="Times New Roman"/>
          <w:noProof/>
          <w:color w:val="000000" w:themeColor="text1"/>
          <w:sz w:val="24"/>
          <w:lang w:val="en-IE"/>
        </w:rPr>
      </w:pPr>
    </w:p>
    <w:p w:rsidR="003C43BF" w:rsidRDefault="006C3212">
      <w:pPr>
        <w:pStyle w:val="Heading3"/>
        <w:ind w:left="720"/>
        <w:rPr>
          <w:rFonts w:ascii="Times New Roman" w:hAnsi="Times New Roman" w:cs="Times New Roman"/>
          <w:noProof/>
          <w:sz w:val="24"/>
          <w:lang w:val="en-IE"/>
        </w:rPr>
      </w:pPr>
      <w:bookmarkStart w:id="192" w:name="_Toc55301816"/>
      <w:bookmarkStart w:id="193" w:name="_Toc56944147"/>
      <w:r>
        <w:rPr>
          <w:rFonts w:ascii="Times New Roman" w:hAnsi="Times New Roman" w:cs="Times New Roman"/>
          <w:noProof/>
          <w:sz w:val="24"/>
          <w:lang w:val="en-IE"/>
        </w:rPr>
        <w:t>Measures assessment</w:t>
      </w:r>
      <w:bookmarkEnd w:id="192"/>
      <w:bookmarkEnd w:id="193"/>
      <w:r>
        <w:rPr>
          <w:rFonts w:ascii="Times New Roman" w:hAnsi="Times New Roman" w:cs="Times New Roman"/>
          <w:noProof/>
          <w:sz w:val="24"/>
          <w:lang w:val="en-IE"/>
        </w:rPr>
        <w:t xml:space="preserve">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Irish NIR, as the NPF, contains </w:t>
      </w:r>
      <w:r>
        <w:rPr>
          <w:rFonts w:ascii="Times New Roman" w:hAnsi="Times New Roman" w:cs="Times New Roman"/>
          <w:noProof/>
          <w:sz w:val="24"/>
          <w:lang w:val="en-IE"/>
        </w:rPr>
        <w:t>an extensive and detailed description of measures. They cover a wide variety of types and several AFs and modes, however the vast majority focuses on electricity/road and, to a lesser extent, CNG/road. The policy direction in Ireland is to encourage the mo</w:t>
      </w:r>
      <w:r>
        <w:rPr>
          <w:rFonts w:ascii="Times New Roman" w:hAnsi="Times New Roman" w:cs="Times New Roman"/>
          <w:noProof/>
          <w:sz w:val="24"/>
          <w:lang w:val="en-IE"/>
        </w:rPr>
        <w:t>ve away from fossil fuelled vehicles to AFV and other sustainable transport modes in order to reduce national emissions. Electro-mobility and EVs are a prominent mitigation in the Irish Climate Action Plan, foreseen to rely mostly on private recharging inf</w:t>
      </w:r>
      <w:r>
        <w:rPr>
          <w:rFonts w:ascii="Times New Roman" w:hAnsi="Times New Roman" w:cs="Times New Roman"/>
          <w:noProof/>
          <w:sz w:val="24"/>
          <w:lang w:val="en-IE"/>
        </w:rPr>
        <w:t>rastructure.</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Irish NIR contains 18 legal measures (versus 10 in the NPF) to promote AF, with detailed descriptions (12 measures appear only in the NIR, 6 are common to the NIR and NPF while 4 were only present in the NPF). Most of the N</w:t>
      </w:r>
      <w:r>
        <w:rPr>
          <w:rFonts w:ascii="Times New Roman" w:hAnsi="Times New Roman" w:cs="Times New Roman"/>
          <w:noProof/>
          <w:sz w:val="24"/>
          <w:lang w:val="en-IE"/>
        </w:rPr>
        <w:t xml:space="preserve">IR measures are represented by national plans that address entirely or partly the topic of alternative fuels and by national legal acts transposing EU Directives.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 line with the overall focus on electrification of the NIR, the most numerous cluster conc</w:t>
      </w:r>
      <w:r>
        <w:rPr>
          <w:rFonts w:ascii="Times New Roman" w:hAnsi="Times New Roman" w:cs="Times New Roman"/>
          <w:noProof/>
          <w:sz w:val="24"/>
          <w:lang w:val="en-IE"/>
        </w:rPr>
        <w:t xml:space="preserve">erns electricity/road containing 15 measures, of which 6 are specifically dedicated to this pair of AF/transport mode, and was assessed to display an increased ambition level compared to the NPF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_Ref52866663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5.7.6</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for the ambition levels of other clusters).</w:t>
      </w:r>
    </w:p>
    <w:p w:rsidR="003C43BF" w:rsidRDefault="006C3212">
      <w:pPr>
        <w:pStyle w:val="Heading5"/>
        <w:rPr>
          <w:rFonts w:ascii="Times New Roman" w:hAnsi="Times New Roman" w:cs="Times New Roman"/>
          <w:noProof/>
          <w:sz w:val="24"/>
          <w:lang w:val="en-IE"/>
        </w:rPr>
      </w:pPr>
      <w:bookmarkStart w:id="194" w:name="_Ref51264944"/>
      <w:r>
        <w:rPr>
          <w:rFonts w:ascii="Times New Roman" w:hAnsi="Times New Roman" w:cs="Times New Roman"/>
          <w:noProof/>
          <w:sz w:val="24"/>
          <w:lang w:val="en-IE"/>
        </w:rPr>
        <w:t>Legislative &amp; Regulatory</w:t>
      </w:r>
      <w:bookmarkEnd w:id="194"/>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There are 12 measures identified in this category out of which 8 appear only in the NIR. </w:t>
      </w:r>
    </w:p>
    <w:p w:rsidR="003C43BF" w:rsidRDefault="006C3212">
      <w:pPr>
        <w:tabs>
          <w:tab w:val="left" w:pos="291"/>
          <w:tab w:val="right" w:leader="dot" w:pos="9040"/>
        </w:tabs>
        <w:spacing w:after="120" w:line="240" w:lineRule="auto"/>
        <w:jc w:val="both"/>
        <w:rPr>
          <w:rFonts w:ascii="Times New Roman" w:hAnsi="Times New Roman" w:cs="Times New Roman"/>
          <w:b/>
          <w:noProof/>
          <w:sz w:val="24"/>
          <w:lang w:val="en-IE"/>
        </w:rPr>
      </w:pPr>
      <w:r>
        <w:rPr>
          <w:rFonts w:ascii="Times New Roman" w:hAnsi="Times New Roman" w:cs="Times New Roman"/>
          <w:noProof/>
          <w:sz w:val="24"/>
          <w:lang w:val="en-IE"/>
        </w:rPr>
        <w:t xml:space="preserve">A ban to sale new fossil fuel cars </w:t>
      </w:r>
      <w:r>
        <w:rPr>
          <w:rFonts w:ascii="Times New Roman" w:hAnsi="Times New Roman" w:cs="Times New Roman"/>
          <w:noProof/>
          <w:sz w:val="24"/>
          <w:lang w:val="en-IE"/>
        </w:rPr>
        <w:t>from 2030 and to stop the granting of national car tests from 2045 is under consideration.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Several national plans that concern alternative fuels are mentioned:</w:t>
      </w:r>
    </w:p>
    <w:p w:rsidR="003C43BF" w:rsidRDefault="006C3212">
      <w:pPr>
        <w:pStyle w:val="ListParagraph"/>
        <w:numPr>
          <w:ilvl w:val="0"/>
          <w:numId w:val="51"/>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Climate Action Plan together with its planned Amendment Bill and its predecessor the National Mitigation Plan, </w:t>
      </w:r>
    </w:p>
    <w:p w:rsidR="003C43BF" w:rsidRDefault="006C3212">
      <w:pPr>
        <w:pStyle w:val="ListParagraph"/>
        <w:numPr>
          <w:ilvl w:val="0"/>
          <w:numId w:val="51"/>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National Planning Framework for land use, </w:t>
      </w:r>
    </w:p>
    <w:p w:rsidR="003C43BF" w:rsidRDefault="006C3212">
      <w:pPr>
        <w:pStyle w:val="ListParagraph"/>
        <w:numPr>
          <w:ilvl w:val="0"/>
          <w:numId w:val="51"/>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Development Plan Guidelines for planning authorities, </w:t>
      </w:r>
    </w:p>
    <w:p w:rsidR="003C43BF" w:rsidRDefault="006C3212">
      <w:pPr>
        <w:pStyle w:val="ListParagraph"/>
        <w:numPr>
          <w:ilvl w:val="0"/>
          <w:numId w:val="51"/>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the National Energy and Climate Pl</w:t>
      </w:r>
      <w:r>
        <w:rPr>
          <w:rFonts w:ascii="Times New Roman" w:hAnsi="Times New Roman" w:cs="Times New Roman"/>
          <w:noProof/>
          <w:sz w:val="24"/>
          <w:lang w:val="en-IE"/>
        </w:rPr>
        <w:t xml:space="preserve">an and </w:t>
      </w:r>
    </w:p>
    <w:p w:rsidR="003C43BF" w:rsidRDefault="006C3212">
      <w:pPr>
        <w:pStyle w:val="ListParagraph"/>
        <w:numPr>
          <w:ilvl w:val="0"/>
          <w:numId w:val="51"/>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National Aviation Policy. </w:t>
      </w:r>
    </w:p>
    <w:p w:rsidR="003C43BF" w:rsidRDefault="006C3212">
      <w:pPr>
        <w:tabs>
          <w:tab w:val="left" w:pos="360"/>
        </w:tabs>
        <w:ind w:left="50"/>
        <w:jc w:val="both"/>
        <w:rPr>
          <w:rFonts w:ascii="Times New Roman" w:hAnsi="Times New Roman" w:cs="Times New Roman"/>
          <w:noProof/>
          <w:sz w:val="24"/>
          <w:lang w:val="en-IE"/>
        </w:rPr>
      </w:pPr>
      <w:r>
        <w:rPr>
          <w:rFonts w:ascii="Times New Roman" w:hAnsi="Times New Roman" w:cs="Times New Roman"/>
          <w:noProof/>
          <w:sz w:val="24"/>
          <w:lang w:val="en-IE"/>
        </w:rPr>
        <w:t>Listed as well are the Biofuels Obligation Scheme with stricter future requirements</w:t>
      </w:r>
      <w:r>
        <w:rPr>
          <w:rStyle w:val="FootnoteReference"/>
          <w:rFonts w:ascii="Times New Roman" w:hAnsi="Times New Roman" w:cs="Times New Roman"/>
          <w:noProof/>
          <w:sz w:val="24"/>
          <w:lang w:val="en-IE"/>
        </w:rPr>
        <w:footnoteReference w:id="26"/>
      </w:r>
      <w:r>
        <w:rPr>
          <w:rFonts w:ascii="Times New Roman" w:hAnsi="Times New Roman" w:cs="Times New Roman"/>
          <w:noProof/>
          <w:sz w:val="24"/>
          <w:lang w:val="en-IE"/>
        </w:rPr>
        <w:t xml:space="preserve"> and the transposition of the EU Energy Performance of Buildings Directive in the national Building Regulations. As part of AFI Legis</w:t>
      </w:r>
      <w:r>
        <w:rPr>
          <w:rFonts w:ascii="Times New Roman" w:hAnsi="Times New Roman" w:cs="Times New Roman"/>
          <w:noProof/>
          <w:sz w:val="24"/>
          <w:lang w:val="en-IE"/>
        </w:rPr>
        <w:t>lations, the Irish NIR presents the Electrical Wiring Standards to which the recharging points’ installation must comply and the CNG Installation Legislation regarding the corresponding licences.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Irish NIR describes six administrative me</w:t>
      </w:r>
      <w:r>
        <w:rPr>
          <w:rFonts w:ascii="Times New Roman" w:hAnsi="Times New Roman" w:cs="Times New Roman"/>
          <w:noProof/>
          <w:sz w:val="24"/>
          <w:lang w:val="en-IE"/>
        </w:rPr>
        <w:t xml:space="preserve">asures, of which two were also present in the NPF. The Low-Emission Vehicle Taskforce foreseen in the NPF was established in December 2016 focusing exclusively on EVs in a first phase and covering other low-emission fuels, including CNG, LNG and hydrogen, </w:t>
      </w:r>
      <w:r>
        <w:rPr>
          <w:rFonts w:ascii="Times New Roman" w:hAnsi="Times New Roman" w:cs="Times New Roman"/>
          <w:noProof/>
          <w:sz w:val="24"/>
          <w:lang w:val="en-IE"/>
        </w:rPr>
        <w:t>in a second phase. The two Statutory Instruments from 2018 that served to transpose the AFI Directive provisions not addressed through the NPF are presented. There are also mentioned the Clean Vehicles Directive transposition and the National Adaptation Fr</w:t>
      </w:r>
      <w:r>
        <w:rPr>
          <w:rFonts w:ascii="Times New Roman" w:hAnsi="Times New Roman" w:cs="Times New Roman"/>
          <w:noProof/>
          <w:sz w:val="24"/>
          <w:lang w:val="en-IE"/>
        </w:rPr>
        <w:t xml:space="preserve">amework including mitigation and climate adaptation measures and sectoral sub-plans for transport infrastructure and for gas and electricity networks. Concerning electricity, an Electric Vehicle Deployment Roadmap is under development and guidance will be </w:t>
      </w:r>
      <w:r>
        <w:rPr>
          <w:rFonts w:ascii="Times New Roman" w:hAnsi="Times New Roman" w:cs="Times New Roman"/>
          <w:noProof/>
          <w:sz w:val="24"/>
          <w:lang w:val="en-IE"/>
        </w:rPr>
        <w:t>issued to planning authorities to ensure a consistent and future proofed approach to the rollout of recharging infrastructure.</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Irish NIR reports 21 policy measures intended to foster alternative fuels in Ireland, most of them represent</w:t>
      </w:r>
      <w:r>
        <w:rPr>
          <w:rFonts w:ascii="Times New Roman" w:hAnsi="Times New Roman" w:cs="Times New Roman"/>
          <w:noProof/>
          <w:sz w:val="24"/>
          <w:lang w:val="en-IE"/>
        </w:rPr>
        <w:t xml:space="preserve"> financial incentives. The modes of transport covered are road, rail or a combination of modes where fuels have been subject of the measures. </w:t>
      </w:r>
    </w:p>
    <w:p w:rsidR="003C43BF" w:rsidRDefault="003C43BF">
      <w:pPr>
        <w:jc w:val="both"/>
        <w:rPr>
          <w:rFonts w:ascii="Times New Roman" w:hAnsi="Times New Roman" w:cs="Times New Roman"/>
          <w:noProof/>
          <w:sz w:val="24"/>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 set of 15 policy measures meant to support the achievement of the Irish AF objectives have been identified in the Irish NIR (9 measures appear only in the NIR, 6 are common to the NIR and NPF). Nine measures present in the NPF are not part of the NIR any</w:t>
      </w:r>
      <w:r>
        <w:rPr>
          <w:rFonts w:ascii="Times New Roman" w:hAnsi="Times New Roman" w:cs="Times New Roman"/>
          <w:noProof/>
          <w:color w:val="000000" w:themeColor="text1"/>
          <w:sz w:val="24"/>
          <w:lang w:val="en-IE"/>
        </w:rPr>
        <w:t xml:space="preserve">more. They are all in place or planned for the future with one exception (the free public recharging of EVs which was discontinued in 2019/2020). The majority is represented by financial incentives (sometimes with different conditions depending on the AF) </w:t>
      </w:r>
      <w:r>
        <w:rPr>
          <w:rFonts w:ascii="Times New Roman" w:hAnsi="Times New Roman" w:cs="Times New Roman"/>
          <w:noProof/>
          <w:color w:val="000000" w:themeColor="text1"/>
          <w:sz w:val="24"/>
          <w:lang w:val="en-IE"/>
        </w:rPr>
        <w:t xml:space="preserve">for road as transport mode. </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Within the measures in place targeting specifically electricity, the Irish NIR lists: </w:t>
      </w:r>
    </w:p>
    <w:p w:rsidR="003C43BF" w:rsidRDefault="006C3212">
      <w:pPr>
        <w:pStyle w:val="ListParagraph"/>
        <w:numPr>
          <w:ilvl w:val="0"/>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purchase subsidies (grants of up to €5,000 for the private purchase of a new BEV or PHEV and of €3,800 for companies purchasing electric LCV</w:t>
      </w:r>
      <w:r>
        <w:rPr>
          <w:rFonts w:ascii="Times New Roman" w:hAnsi="Times New Roman" w:cs="Times New Roman"/>
          <w:noProof/>
          <w:color w:val="000000" w:themeColor="text1"/>
          <w:sz w:val="24"/>
          <w:lang w:val="en-IE"/>
        </w:rPr>
        <w:t xml:space="preserve">s), </w:t>
      </w:r>
    </w:p>
    <w:p w:rsidR="003C43BF" w:rsidRDefault="006C3212">
      <w:pPr>
        <w:pStyle w:val="ListParagraph"/>
        <w:numPr>
          <w:ilvl w:val="0"/>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tax reductions/exemptions </w:t>
      </w:r>
    </w:p>
    <w:p w:rsidR="003C43BF" w:rsidRDefault="006C3212">
      <w:pPr>
        <w:pStyle w:val="ListParagraph"/>
        <w:numPr>
          <w:ilvl w:val="1"/>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Vehicle Registration Tax relief of up to €5,000 for BEVs – until the end of 2021, up to €2,500 for PHEVs - until the end of 2020; </w:t>
      </w:r>
    </w:p>
    <w:p w:rsidR="003C43BF" w:rsidRDefault="006C3212">
      <w:pPr>
        <w:pStyle w:val="ListParagraph"/>
        <w:numPr>
          <w:ilvl w:val="1"/>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BEVs qualify for a 0% Benefit-in-Kind rate up to €50,000 without mileage conditions - until t</w:t>
      </w:r>
      <w:r>
        <w:rPr>
          <w:rFonts w:ascii="Times New Roman" w:hAnsi="Times New Roman" w:cs="Times New Roman"/>
          <w:noProof/>
          <w:color w:val="000000" w:themeColor="text1"/>
          <w:sz w:val="24"/>
          <w:lang w:val="en-IE"/>
        </w:rPr>
        <w:t>he end of 2022;</w:t>
      </w:r>
    </w:p>
    <w:p w:rsidR="003C43BF" w:rsidRDefault="006C3212">
      <w:pPr>
        <w:pStyle w:val="ListParagraph"/>
        <w:numPr>
          <w:ilvl w:val="1"/>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toll incentive scheme (BEVs qualify for 50% and PHEVs for 25% toll reductions up to a maximum of €500 per year). </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As general measures targeting several AFs, the IE NIR includes: </w:t>
      </w:r>
    </w:p>
    <w:p w:rsidR="003C43BF" w:rsidRDefault="006C3212">
      <w:pPr>
        <w:pStyle w:val="ListParagraph"/>
        <w:numPr>
          <w:ilvl w:val="0"/>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different tax related incentives </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annual motor tax based on C</w:t>
      </w:r>
      <w:r>
        <w:rPr>
          <w:rFonts w:ascii="Times New Roman" w:hAnsi="Times New Roman" w:cs="Times New Roman"/>
          <w:noProof/>
          <w:color w:val="000000" w:themeColor="text1"/>
          <w:sz w:val="24"/>
          <w:lang w:val="en-IE"/>
        </w:rPr>
        <w:t>O</w:t>
      </w:r>
      <w:r>
        <w:rPr>
          <w:rFonts w:ascii="Times New Roman" w:hAnsi="Times New Roman" w:cs="Times New Roman"/>
          <w:noProof/>
          <w:color w:val="000000" w:themeColor="text1"/>
          <w:sz w:val="24"/>
          <w:vertAlign w:val="subscript"/>
          <w:lang w:val="en-IE"/>
        </w:rPr>
        <w:t>2</w:t>
      </w:r>
      <w:r>
        <w:rPr>
          <w:rFonts w:ascii="Times New Roman" w:hAnsi="Times New Roman" w:cs="Times New Roman"/>
          <w:noProof/>
          <w:color w:val="000000" w:themeColor="text1"/>
          <w:sz w:val="24"/>
          <w:lang w:val="en-IE"/>
        </w:rPr>
        <w:t xml:space="preserve"> emission band;</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punitive measures related to fossil fuels</w:t>
      </w:r>
    </w:p>
    <w:p w:rsidR="003C43BF" w:rsidRDefault="006C3212">
      <w:pPr>
        <w:pStyle w:val="ListParagraph"/>
        <w:numPr>
          <w:ilvl w:val="2"/>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tax based on a vehicle’s nitrogen oxide emissions applied to new car purchases and used imports </w:t>
      </w:r>
    </w:p>
    <w:p w:rsidR="003C43BF" w:rsidRDefault="006C3212">
      <w:pPr>
        <w:pStyle w:val="ListParagraph"/>
        <w:numPr>
          <w:ilvl w:val="2"/>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increasing carbon tax (at least €80 per tonne by 2030 is foreseen) </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Accelerated Capital Allowance s</w:t>
      </w:r>
      <w:r>
        <w:rPr>
          <w:rFonts w:ascii="Times New Roman" w:hAnsi="Times New Roman" w:cs="Times New Roman"/>
          <w:noProof/>
          <w:color w:val="000000" w:themeColor="text1"/>
          <w:sz w:val="24"/>
          <w:lang w:val="en-IE"/>
        </w:rPr>
        <w:t xml:space="preserve">upport scheme regarding corporation tax for vehicles and infrastructure purchase – existing for electricity and CNG, under consideration for hydrogen; </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minimum excise duty rate – existing for natural gas and biogas as a propellant set at the current EU minimum rate of €2.60 per GJ, under consideration for hydrogen. </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Two measures targeting HCV fuelled on AFs (electricity, CNG, LNG, hydrogen) are in the pro</w:t>
      </w:r>
      <w:r>
        <w:rPr>
          <w:rFonts w:ascii="Times New Roman" w:hAnsi="Times New Roman" w:cs="Times New Roman"/>
          <w:noProof/>
          <w:color w:val="000000" w:themeColor="text1"/>
          <w:sz w:val="24"/>
          <w:lang w:val="en-IE"/>
        </w:rPr>
        <w:t>cess of adoption:</w:t>
      </w:r>
    </w:p>
    <w:p w:rsidR="003C43BF" w:rsidRDefault="006C3212">
      <w:pPr>
        <w:pStyle w:val="ListParagraph"/>
        <w:numPr>
          <w:ilvl w:val="0"/>
          <w:numId w:val="48"/>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purchase subsidies (grants of up to 30% of the cost differential between a traditional fossil fuelled HCV and an AF equivalent) </w:t>
      </w:r>
    </w:p>
    <w:p w:rsidR="003C43BF" w:rsidRDefault="006C3212">
      <w:pPr>
        <w:pStyle w:val="ListParagraph"/>
        <w:numPr>
          <w:ilvl w:val="0"/>
          <w:numId w:val="48"/>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toll incentive scheme.</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Of the measures that were presented in the NPF but not in the NIR, three concerned </w:t>
      </w:r>
      <w:r>
        <w:rPr>
          <w:rFonts w:ascii="Times New Roman" w:hAnsi="Times New Roman" w:cs="Times New Roman"/>
          <w:noProof/>
          <w:color w:val="000000" w:themeColor="text1"/>
          <w:sz w:val="24"/>
          <w:lang w:val="en-IE"/>
        </w:rPr>
        <w:t>LPG, two synthetic and paraffinic fuels and one 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Other transport modes</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No measure specifically dedicated to the other transport modes (water, air and rail) is listed in the Irish NIR. </w:t>
      </w:r>
    </w:p>
    <w:p w:rsidR="003C43BF" w:rsidRDefault="003C43BF">
      <w:pPr>
        <w:spacing w:after="120" w:line="240" w:lineRule="auto"/>
        <w:jc w:val="both"/>
        <w:rPr>
          <w:rFonts w:ascii="Times New Roman" w:hAnsi="Times New Roman" w:cs="Times New Roman"/>
          <w:noProof/>
          <w:color w:val="000000" w:themeColor="text1"/>
          <w:sz w:val="24"/>
          <w:lang w:val="en-IE"/>
        </w:rPr>
      </w:pPr>
    </w:p>
    <w:p w:rsidR="003C43BF" w:rsidRDefault="003C43BF">
      <w:pPr>
        <w:spacing w:after="120" w:line="240" w:lineRule="auto"/>
        <w:jc w:val="both"/>
        <w:rPr>
          <w:rFonts w:ascii="Times New Roman" w:hAnsi="Times New Roman" w:cs="Times New Roman"/>
          <w:noProof/>
          <w:color w:val="000000" w:themeColor="text1"/>
          <w:sz w:val="24"/>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w:t>
      </w:r>
      <w:r>
        <w:rPr>
          <w:rFonts w:ascii="Times New Roman" w:hAnsi="Times New Roman" w:cs="Times New Roman"/>
          <w:noProof/>
          <w:color w:val="000000" w:themeColor="text1"/>
          <w:sz w:val="24"/>
          <w:lang w:val="en-IE"/>
        </w:rPr>
        <w:t xml:space="preserve">n the Irish NIR, six policy measures related to the public transport are presented (one measure is only part of the NIR, five are common to the NIR and NPF, while three were only present in the NPF). </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Three measures correspond to rail as mode of transport </w:t>
      </w:r>
      <w:r>
        <w:rPr>
          <w:rFonts w:ascii="Times New Roman" w:hAnsi="Times New Roman" w:cs="Times New Roman"/>
          <w:noProof/>
          <w:color w:val="000000" w:themeColor="text1"/>
          <w:sz w:val="24"/>
          <w:lang w:val="en-IE"/>
        </w:rPr>
        <w:t>and concern the electrification of public transport in the Dublin area. The DART (Dublin Area Rapid Transit) Expansion Programme is expected to create a full metropolitan area DART network and to transition current diesel commuter lines to electricity from</w:t>
      </w:r>
      <w:r>
        <w:rPr>
          <w:rFonts w:ascii="Times New Roman" w:hAnsi="Times New Roman" w:cs="Times New Roman"/>
          <w:noProof/>
          <w:color w:val="000000" w:themeColor="text1"/>
          <w:sz w:val="24"/>
          <w:lang w:val="en-IE"/>
        </w:rPr>
        <w:t xml:space="preserve"> the city centre to Drogheda, Co. Louth, to Celbridge/Hazelhatch and Maynooth, Co. Kildare. In 2022 is expected the delivery of Ireland’s first diesel-electric trains enlarging the rail fleet by approximately 300 new rail carriages. A new metro system, Met</w:t>
      </w:r>
      <w:r>
        <w:rPr>
          <w:rFonts w:ascii="Times New Roman" w:hAnsi="Times New Roman" w:cs="Times New Roman"/>
          <w:noProof/>
          <w:color w:val="000000" w:themeColor="text1"/>
          <w:sz w:val="24"/>
          <w:lang w:val="en-IE"/>
        </w:rPr>
        <w:t>roLink, will be also funded and will stretch from Swords, north Co. Dublin, to Dublin’s south city centre serving critical destinations including Dublin Airport and Dublin City University. Light rail projects will also receive investments including the Gre</w:t>
      </w:r>
      <w:r>
        <w:rPr>
          <w:rFonts w:ascii="Times New Roman" w:hAnsi="Times New Roman" w:cs="Times New Roman"/>
          <w:noProof/>
          <w:color w:val="000000" w:themeColor="text1"/>
          <w:sz w:val="24"/>
          <w:lang w:val="en-IE"/>
        </w:rPr>
        <w:t>en Line Capacity Enhancement Project which will add capacity to the light rail network in Dublin through additional and longer trams.</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Two measures regard the public urban bus fleet. The National Development Plan committed Ireland to no longer purchase dies</w:t>
      </w:r>
      <w:r>
        <w:rPr>
          <w:rFonts w:ascii="Times New Roman" w:hAnsi="Times New Roman" w:cs="Times New Roman"/>
          <w:noProof/>
          <w:color w:val="000000" w:themeColor="text1"/>
          <w:sz w:val="24"/>
          <w:lang w:val="en-IE"/>
        </w:rPr>
        <w:t>el-only buses for the urban public bus fleet from July 2019 and a decision was made to purchase hybrid-electric buses in the short term (nine hybrid buses have entered into service in Dublin city centre). To inform the long term approach, a low-emission bu</w:t>
      </w:r>
      <w:r>
        <w:rPr>
          <w:rFonts w:ascii="Times New Roman" w:hAnsi="Times New Roman" w:cs="Times New Roman"/>
          <w:noProof/>
          <w:color w:val="000000" w:themeColor="text1"/>
          <w:sz w:val="24"/>
          <w:lang w:val="en-IE"/>
        </w:rPr>
        <w:t xml:space="preserve">s trial was launched in December 2018 to assess full electric, diesel-electric hybrids and CNG buses. A major project to be funded is BusConnects which commits to the uptake of low-emission technologies and which will be rolled out across all major cities </w:t>
      </w:r>
      <w:r>
        <w:rPr>
          <w:rFonts w:ascii="Times New Roman" w:hAnsi="Times New Roman" w:cs="Times New Roman"/>
          <w:noProof/>
          <w:color w:val="000000" w:themeColor="text1"/>
          <w:sz w:val="24"/>
          <w:lang w:val="en-IE"/>
        </w:rPr>
        <w:t>in Ireland. It is anticipated that by 2023, half of the bus fleet (approximately 500 buses) will be converted to low-emission vehicles, with plans for full conversion by 2030.</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Electric Small Public Service Vehicle (eSPSV) Grant Scheme currently offers </w:t>
      </w:r>
      <w:r>
        <w:rPr>
          <w:rFonts w:ascii="Times New Roman" w:hAnsi="Times New Roman" w:cs="Times New Roman"/>
          <w:noProof/>
          <w:color w:val="000000" w:themeColor="text1"/>
          <w:sz w:val="24"/>
          <w:lang w:val="en-IE"/>
        </w:rPr>
        <w:t>purchase subsidies for new BEVs (up to €7,000) or PHEVs (€3,500) for taxis, hackneys and limousines. Plans are mentioned to increase the level of the grants for BEVs to up to €10,000 from 1 January 2020. In order to encourage an increase in electric wheelc</w:t>
      </w:r>
      <w:r>
        <w:rPr>
          <w:rFonts w:ascii="Times New Roman" w:hAnsi="Times New Roman" w:cs="Times New Roman"/>
          <w:noProof/>
          <w:color w:val="000000" w:themeColor="text1"/>
          <w:sz w:val="24"/>
          <w:lang w:val="en-IE"/>
        </w:rPr>
        <w:t xml:space="preserve">hair accessible vehicles (WAV) in the taxi fleet, from 2020 further support will be given to through an extra €2,500 grant for the conversion of an eSPSV to a WAV. </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 group</w:t>
      </w:r>
      <w:r>
        <w:rPr>
          <w:rFonts w:ascii="Times New Roman" w:hAnsi="Times New Roman" w:cs="Times New Roman"/>
          <w:noProof/>
          <w:color w:val="000000" w:themeColor="text1"/>
          <w:sz w:val="24"/>
          <w:lang w:val="en-IE"/>
        </w:rPr>
        <w:t xml:space="preserve"> of two measures from the Irish NIR have been identified as helping the deployment of private electro-mobility infrastructure. These measures are included and assessed in the measures on AFI deployment and only mentioned here. They are the EV Home Charger </w:t>
      </w:r>
      <w:r>
        <w:rPr>
          <w:rFonts w:ascii="Times New Roman" w:hAnsi="Times New Roman" w:cs="Times New Roman"/>
          <w:noProof/>
          <w:color w:val="000000" w:themeColor="text1"/>
          <w:sz w:val="24"/>
          <w:lang w:val="en-IE"/>
        </w:rPr>
        <w:t xml:space="preserve">Grant and the Accelerated Capital Allowance tax incentive scheme (companies allowed to write off 100% of recharging points purchase value against profit of same year).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 set of 10 measures related to A</w:t>
      </w:r>
      <w:r>
        <w:rPr>
          <w:rFonts w:ascii="Times New Roman" w:hAnsi="Times New Roman" w:cs="Times New Roman"/>
          <w:noProof/>
          <w:color w:val="000000" w:themeColor="text1"/>
          <w:sz w:val="24"/>
          <w:lang w:val="en-IE"/>
        </w:rPr>
        <w:t>FI deployment has been included in the Irish NIR (five measures appear only in the NIR, five are common to the NIR and NPF, while three were only present in the NPF). All NIR measures correspond to road as transport mode, with five targeting electricity, f</w:t>
      </w:r>
      <w:r>
        <w:rPr>
          <w:rFonts w:ascii="Times New Roman" w:hAnsi="Times New Roman" w:cs="Times New Roman"/>
          <w:noProof/>
          <w:color w:val="000000" w:themeColor="text1"/>
          <w:sz w:val="24"/>
          <w:lang w:val="en-IE"/>
        </w:rPr>
        <w:t xml:space="preserve">our CNG and one hydrogen. </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Concerning electricity/road, the listed measures are promising and include: </w:t>
      </w:r>
    </w:p>
    <w:p w:rsidR="003C43BF" w:rsidRDefault="006C3212">
      <w:pPr>
        <w:pStyle w:val="ListParagraph"/>
        <w:numPr>
          <w:ilvl w:val="0"/>
          <w:numId w:val="49"/>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EV Home Charger Grant (subsidy in place of up to €600 for the purchase and installation of a home recharging point but no indication of future alloc</w:t>
      </w:r>
      <w:r>
        <w:rPr>
          <w:rFonts w:ascii="Times New Roman" w:hAnsi="Times New Roman" w:cs="Times New Roman"/>
          <w:noProof/>
          <w:color w:val="000000" w:themeColor="text1"/>
          <w:sz w:val="24"/>
          <w:lang w:val="en-IE"/>
        </w:rPr>
        <w:t xml:space="preserve">ated budget is given), </w:t>
      </w:r>
    </w:p>
    <w:p w:rsidR="003C43BF" w:rsidRDefault="006C3212">
      <w:pPr>
        <w:pStyle w:val="ListParagraph"/>
        <w:numPr>
          <w:ilvl w:val="0"/>
          <w:numId w:val="49"/>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EV High Power Charging Infrastructure Development Project (government supported project to install &gt;100 high power points (150kW) at key locations on the national road network, to replace 100 high power points (50kW) and also to</w:t>
      </w:r>
      <w:r>
        <w:rPr>
          <w:rFonts w:ascii="Times New Roman" w:hAnsi="Times New Roman" w:cs="Times New Roman"/>
          <w:noProof/>
          <w:color w:val="000000" w:themeColor="text1"/>
          <w:sz w:val="24"/>
          <w:lang w:val="en-IE"/>
        </w:rPr>
        <w:t xml:space="preserve"> refurbish up to 200 high power points (22kW) in 2020-2022), </w:t>
      </w:r>
    </w:p>
    <w:p w:rsidR="003C43BF" w:rsidRDefault="006C3212">
      <w:pPr>
        <w:pStyle w:val="ListParagraph"/>
        <w:numPr>
          <w:ilvl w:val="0"/>
          <w:numId w:val="49"/>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planned support for installing EV Fast Chargers for taxis at Transport Hubs, </w:t>
      </w:r>
    </w:p>
    <w:p w:rsidR="003C43BF" w:rsidRDefault="006C3212">
      <w:pPr>
        <w:pStyle w:val="ListParagraph"/>
        <w:numPr>
          <w:ilvl w:val="0"/>
          <w:numId w:val="49"/>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support for local authorities to rollout up to 2,000 on-street public recharging points over the next 5 year</w:t>
      </w:r>
      <w:r>
        <w:rPr>
          <w:rFonts w:ascii="Times New Roman" w:hAnsi="Times New Roman" w:cs="Times New Roman"/>
          <w:noProof/>
          <w:color w:val="000000" w:themeColor="text1"/>
          <w:sz w:val="24"/>
          <w:lang w:val="en-IE"/>
        </w:rPr>
        <w:t>s (which would mean the over achievement of the committed publicly accessible target for 2025 which is 1,100).</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For CNG/road, the measures presented regard: </w:t>
      </w:r>
    </w:p>
    <w:p w:rsidR="003C43BF" w:rsidRDefault="006C3212">
      <w:pPr>
        <w:pStyle w:val="ListParagraph"/>
        <w:numPr>
          <w:ilvl w:val="0"/>
          <w:numId w:val="50"/>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two installation projects receiving funding from the CEF </w:t>
      </w:r>
    </w:p>
    <w:p w:rsidR="003C43BF" w:rsidRDefault="006C3212">
      <w:pPr>
        <w:pStyle w:val="ListParagraph"/>
        <w:numPr>
          <w:ilvl w:val="1"/>
          <w:numId w:val="50"/>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Causeway project – 14 public refuelling points and 1 large scale renewable gas injection point by 2021 and </w:t>
      </w:r>
    </w:p>
    <w:p w:rsidR="003C43BF" w:rsidRDefault="006C3212">
      <w:pPr>
        <w:pStyle w:val="ListParagraph"/>
        <w:numPr>
          <w:ilvl w:val="1"/>
          <w:numId w:val="50"/>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its follow up Green Connect project – 21 public refuelling points and 4 renewable gas injection points </w:t>
      </w:r>
    </w:p>
    <w:p w:rsidR="003C43BF" w:rsidRDefault="006C3212">
      <w:pPr>
        <w:pStyle w:val="ListParagraph"/>
        <w:numPr>
          <w:ilvl w:val="0"/>
          <w:numId w:val="50"/>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 national funded project at validation stag</w:t>
      </w:r>
      <w:r>
        <w:rPr>
          <w:rFonts w:ascii="Times New Roman" w:hAnsi="Times New Roman" w:cs="Times New Roman"/>
          <w:noProof/>
          <w:color w:val="000000" w:themeColor="text1"/>
          <w:sz w:val="24"/>
          <w:lang w:val="en-IE"/>
        </w:rPr>
        <w:t>e named GRAZE (Mitchelstown Central Grid Injection Point) to create the first large scale central injection point on the gas network.</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Accelerated Capital Allowance incentive scheme mentioned within policy measures section also applies to infrastructure</w:t>
      </w:r>
      <w:r>
        <w:rPr>
          <w:rFonts w:ascii="Times New Roman" w:hAnsi="Times New Roman" w:cs="Times New Roman"/>
          <w:noProof/>
          <w:color w:val="000000" w:themeColor="text1"/>
          <w:sz w:val="24"/>
          <w:lang w:val="en-IE"/>
        </w:rPr>
        <w:t xml:space="preserve"> purchase and is in place for electricity and CNG and under consideration for hydrogen.</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NPF measures not present anymore in the NIR concerned the Accelerated Capital Allowance scheme related to LPG, renewable jet fuel refuelling points in airports and </w:t>
      </w:r>
      <w:r>
        <w:rPr>
          <w:rFonts w:ascii="Times New Roman" w:hAnsi="Times New Roman" w:cs="Times New Roman"/>
          <w:noProof/>
          <w:color w:val="000000" w:themeColor="text1"/>
          <w:sz w:val="24"/>
          <w:lang w:val="en-IE"/>
        </w:rPr>
        <w:t>the reduction of electricity tax for SSE.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No measure regarding the support of manufacturing plants for AF technologies is presented in the Irish NIR.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w:t>
      </w:r>
      <w:r>
        <w:rPr>
          <w:rFonts w:ascii="Times New Roman" w:hAnsi="Times New Roman" w:cs="Times New Roman"/>
          <w:noProof/>
          <w:sz w:val="24"/>
          <w:lang w:val="en-IE"/>
        </w:rPr>
        <w:t>ial phase of the deployment of alternative fuels infrastructures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No information is presented in the Irish NIR.</w:t>
      </w:r>
    </w:p>
    <w:p w:rsidR="003C43BF" w:rsidRDefault="003C43BF">
      <w:pPr>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_Ref52866687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5.7.4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Among the clusters of measures ide</w:t>
      </w:r>
      <w:r>
        <w:rPr>
          <w:rFonts w:ascii="Times New Roman" w:hAnsi="Times New Roman" w:cs="Times New Roman"/>
          <w:noProof/>
          <w:sz w:val="24"/>
          <w:lang w:val="en-IE"/>
        </w:rPr>
        <w:t>ntified in the Irish NIR, four clusters contain dedicated measures (electricity/road, electricity/rail, CNG/road and hydrogen/road) while the other six contain general measures addressing combinations of several alternative fuels</w:t>
      </w:r>
      <w:r>
        <w:rPr>
          <w:rStyle w:val="FootnoteReference"/>
          <w:rFonts w:ascii="Times New Roman" w:hAnsi="Times New Roman" w:cs="Times New Roman"/>
          <w:noProof/>
          <w:sz w:val="24"/>
          <w:lang w:val="en-IE"/>
        </w:rPr>
        <w:footnoteReference w:id="27"/>
      </w:r>
      <w:r>
        <w:rPr>
          <w:rFonts w:ascii="Times New Roman" w:hAnsi="Times New Roman" w:cs="Times New Roman"/>
          <w:noProof/>
          <w:sz w:val="24"/>
          <w:lang w:val="en-IE"/>
        </w:rPr>
        <w:t xml:space="preserve">. </w:t>
      </w:r>
      <w:r>
        <w:rPr>
          <w:rFonts w:ascii="Times New Roman" w:hAnsi="Times New Roman" w:cs="Times New Roman"/>
          <w:noProof/>
          <w:color w:val="000000" w:themeColor="text1"/>
          <w:sz w:val="24"/>
          <w:lang w:val="en-IE"/>
        </w:rPr>
        <w:t>For all other pairs of A</w:t>
      </w:r>
      <w:r>
        <w:rPr>
          <w:rFonts w:ascii="Times New Roman" w:hAnsi="Times New Roman" w:cs="Times New Roman"/>
          <w:noProof/>
          <w:color w:val="000000" w:themeColor="text1"/>
          <w:sz w:val="24"/>
          <w:lang w:val="en-IE"/>
        </w:rPr>
        <w:t xml:space="preserve">F and transport mode, there are either no measures or the pair is not applicable to Ireland. </w:t>
      </w:r>
    </w:p>
    <w:p w:rsidR="003C43BF" w:rsidRDefault="006C3212">
      <w:pPr>
        <w:jc w:val="both"/>
        <w:rPr>
          <w:rFonts w:ascii="Times New Roman" w:eastAsia="Calibri" w:hAnsi="Times New Roman" w:cs="Times New Roman"/>
          <w:noProof/>
          <w:color w:val="7030A0"/>
          <w:sz w:val="24"/>
          <w:lang w:val="en-IE"/>
        </w:rPr>
      </w:pPr>
      <w:bookmarkStart w:id="195" w:name="_Ref52866687"/>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5.7.4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95"/>
      <w:r>
        <w:rPr>
          <w:rFonts w:ascii="Times New Roman" w:hAnsi="Times New Roman" w:cs="Times New Roman"/>
          <w:noProof/>
          <w:sz w:val="24"/>
          <w:lang w:val="en-IE"/>
        </w:rPr>
        <w:t xml:space="preserve"> </w:t>
      </w:r>
      <w:r>
        <w:rPr>
          <w:rFonts w:ascii="Times New Roman" w:hAnsi="Times New Roman" w:cs="Times New Roman"/>
          <w:i/>
          <w:noProof/>
          <w:sz w:val="20"/>
          <w:lang w:val="en-IE"/>
        </w:rPr>
        <w:t>Quantitative assessment of Policy and Deployment &amp; Manufacturing support measures</w:t>
      </w:r>
      <w:r>
        <w:rPr>
          <w:rFonts w:ascii="Times New Roman" w:hAnsi="Times New Roman" w:cs="Times New Roman"/>
          <w:noProof/>
          <w:sz w:val="20"/>
          <w:lang w:val="en-IE"/>
        </w:rPr>
        <w:t xml:space="preserve">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3600" cy="2705717"/>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9082" cy="2708213"/>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In line with the overall focus on road electri</w:t>
      </w:r>
      <w:r>
        <w:rPr>
          <w:rFonts w:ascii="Times New Roman" w:hAnsi="Times New Roman" w:cs="Times New Roman"/>
          <w:noProof/>
          <w:color w:val="000000" w:themeColor="text1"/>
          <w:sz w:val="24"/>
          <w:lang w:val="en-IE"/>
        </w:rPr>
        <w:t>fication reported in the NIR, the most numerous cluster concerns electricity/road containing a comprehensive set of 19 NIR measures out of which 12 are new measures, displaying a high overall score and showing an increased level of ambition compared with t</w:t>
      </w:r>
      <w:r>
        <w:rPr>
          <w:rFonts w:ascii="Times New Roman" w:hAnsi="Times New Roman" w:cs="Times New Roman"/>
          <w:noProof/>
          <w:color w:val="000000" w:themeColor="text1"/>
          <w:sz w:val="24"/>
          <w:lang w:val="en-IE"/>
        </w:rPr>
        <w:t>he NPF.</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Even though the CNG related infrastructure targets and vehicle estimates have been reduced in the NIR, the corresponding CNG/road cluster containing 14 measures has been assessed to have a high score, to be comprehensive and to show an increased le</w:t>
      </w:r>
      <w:r>
        <w:rPr>
          <w:rFonts w:ascii="Times New Roman" w:hAnsi="Times New Roman" w:cs="Times New Roman"/>
          <w:noProof/>
          <w:color w:val="000000" w:themeColor="text1"/>
          <w:sz w:val="24"/>
          <w:lang w:val="en-IE"/>
        </w:rPr>
        <w:t xml:space="preserve">vel of ambition. </w:t>
      </w:r>
    </w:p>
    <w:p w:rsidR="003C43BF" w:rsidRDefault="006C3212">
      <w:pPr>
        <w:spacing w:after="120" w:line="240" w:lineRule="auto"/>
        <w:jc w:val="both"/>
        <w:rPr>
          <w:rFonts w:ascii="Times New Roman" w:eastAsia="Calibri" w:hAnsi="Times New Roman" w:cs="Times New Roman"/>
          <w:noProof/>
          <w:color w:val="7030A0"/>
          <w:sz w:val="24"/>
          <w:lang w:val="en-IE"/>
        </w:rPr>
      </w:pPr>
      <w:r>
        <w:rPr>
          <w:rFonts w:ascii="Times New Roman" w:hAnsi="Times New Roman" w:cs="Times New Roman"/>
          <w:noProof/>
          <w:color w:val="000000" w:themeColor="text1"/>
          <w:sz w:val="24"/>
          <w:lang w:val="en-IE"/>
        </w:rPr>
        <w:t>The Irish NIR did not commit to hydrogen AFI targets or AFV estimates but includes a set of support measures assessed to be comprehensive and having a low score but a similar level of ambition compared to the NPF.</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electricity/road and</w:t>
      </w:r>
      <w:r>
        <w:rPr>
          <w:rFonts w:ascii="Times New Roman" w:hAnsi="Times New Roman" w:cs="Times New Roman"/>
          <w:noProof/>
          <w:sz w:val="24"/>
          <w:lang w:val="en-IE"/>
        </w:rPr>
        <w:t xml:space="preserve"> CNG/road clusters have at least one measure that scores high, thus the overall score is H. In terms of expected impact of these measures to support the realisation of the AFV/AFI objectives as presented in the NPF and revised in the NIR, the measures for </w:t>
      </w:r>
      <w:r>
        <w:rPr>
          <w:rFonts w:ascii="Times New Roman" w:hAnsi="Times New Roman" w:cs="Times New Roman"/>
          <w:noProof/>
          <w:sz w:val="24"/>
          <w:lang w:val="en-IE"/>
        </w:rPr>
        <w:t>the pairs electricity/road and CNG/road result to have a high impact, the measures for the pair electricity/rail have a medium impact. For all the other assessable clusters of measures, the partial or total lack of future targets and estimates does not all</w:t>
      </w:r>
      <w:r>
        <w:rPr>
          <w:rFonts w:ascii="Times New Roman" w:hAnsi="Times New Roman" w:cs="Times New Roman"/>
          <w:noProof/>
          <w:sz w:val="24"/>
          <w:lang w:val="en-IE"/>
        </w:rPr>
        <w:t>ow putting this assessment into perspective. However, as all these other pairs have an overall low score, they have therefore a low impact. Compared to the NPF, the level of ambition of the Policy and Deployment &amp; Manufacturing support measures has increas</w:t>
      </w:r>
      <w:r>
        <w:rPr>
          <w:rFonts w:ascii="Times New Roman" w:hAnsi="Times New Roman" w:cs="Times New Roman"/>
          <w:noProof/>
          <w:sz w:val="24"/>
          <w:lang w:val="en-IE"/>
        </w:rPr>
        <w:t>ed for electricity/road, electricity/rail, CNG/road and LNG/road, has remained the same for hydrogen/road and LNG water-maritime and has decreased</w:t>
      </w:r>
      <w:r>
        <w:rPr>
          <w:rStyle w:val="FootnoteReference"/>
          <w:rFonts w:ascii="Times New Roman" w:hAnsi="Times New Roman" w:cs="Times New Roman"/>
          <w:noProof/>
          <w:sz w:val="24"/>
          <w:lang w:val="en-IE"/>
        </w:rPr>
        <w:footnoteReference w:id="28"/>
      </w:r>
      <w:r>
        <w:rPr>
          <w:rFonts w:ascii="Times New Roman" w:hAnsi="Times New Roman" w:cs="Times New Roman"/>
          <w:noProof/>
          <w:sz w:val="24"/>
          <w:lang w:val="en-IE"/>
        </w:rPr>
        <w:t xml:space="preserve"> for biofuels/road, LPG/road, synthetic&amp;paraffinic fuels/road, electricity/water-maritime and electricity/air</w:t>
      </w:r>
      <w:r>
        <w:rPr>
          <w:rFonts w:ascii="Times New Roman" w:hAnsi="Times New Roman" w:cs="Times New Roman"/>
          <w:noProof/>
          <w:sz w:val="24"/>
          <w:lang w:val="en-IE"/>
        </w:rPr>
        <w:t>.</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spacing w:after="180"/>
        <w:jc w:val="both"/>
        <w:rPr>
          <w:rFonts w:ascii="Times New Roman" w:hAnsi="Times New Roman" w:cs="Times New Roman"/>
          <w:noProof/>
          <w:sz w:val="24"/>
          <w:lang w:val="en-IE"/>
        </w:rPr>
      </w:pPr>
      <w:r>
        <w:rPr>
          <w:rFonts w:ascii="Times New Roman" w:hAnsi="Times New Roman" w:cs="Times New Roman"/>
          <w:noProof/>
          <w:sz w:val="24"/>
          <w:lang w:val="en-IE"/>
        </w:rPr>
        <w:t>The Irish NIR contains 10 RTD&amp;D activities, nine are only present the NIR, one is common to the NIR and NPF while other eight were only present in the NPF. For most activities, the financial details are</w:t>
      </w:r>
      <w:r>
        <w:rPr>
          <w:rFonts w:ascii="Times New Roman" w:hAnsi="Times New Roman" w:cs="Times New Roman"/>
          <w:noProof/>
          <w:sz w:val="24"/>
          <w:lang w:val="en-IE"/>
        </w:rPr>
        <w:t xml:space="preserve"> given, with the overall budget surpassing 1.5 million €. The RTD&amp;D activities from the NIR cover more uniformly the transport modes, the AFs and their related technologies. Compared with the NPF measures, they are more concrete, diversified and documented</w:t>
      </w:r>
      <w:r>
        <w:rPr>
          <w:rFonts w:ascii="Times New Roman" w:hAnsi="Times New Roman" w:cs="Times New Roman"/>
          <w:noProof/>
          <w:sz w:val="24"/>
          <w:lang w:val="en-IE"/>
        </w:rPr>
        <w:t xml:space="preserve"> and the clusters electricity/road and CNG/road have an increased level of ambition.</w:t>
      </w:r>
    </w:p>
    <w:p w:rsidR="003C43BF" w:rsidRDefault="006C3212">
      <w:pPr>
        <w:spacing w:after="180"/>
        <w:jc w:val="both"/>
        <w:rPr>
          <w:rFonts w:ascii="Times New Roman" w:hAnsi="Times New Roman" w:cs="Times New Roman"/>
          <w:noProof/>
          <w:sz w:val="24"/>
          <w:lang w:val="en-IE"/>
        </w:rPr>
      </w:pPr>
      <w:r>
        <w:rPr>
          <w:rFonts w:ascii="Times New Roman" w:hAnsi="Times New Roman" w:cs="Times New Roman"/>
          <w:noProof/>
          <w:sz w:val="24"/>
          <w:lang w:val="en-IE"/>
        </w:rPr>
        <w:t>Two research projects related to biofuels are mentioned (one on the production of oxygenated hydrocarbons from lignocellulosic waste by acid hydrolysis and the other on la</w:t>
      </w:r>
      <w:r>
        <w:rPr>
          <w:rFonts w:ascii="Times New Roman" w:hAnsi="Times New Roman" w:cs="Times New Roman"/>
          <w:noProof/>
          <w:sz w:val="24"/>
          <w:lang w:val="en-IE"/>
        </w:rPr>
        <w:t xml:space="preserve">rge scale algal biofuel production). Another project presented is a European project with Interreg funding aiming to accelerate the transition to renewable energy in agricultural transport in North-West Europe by making clean hydrogen technology for field </w:t>
      </w:r>
      <w:r>
        <w:rPr>
          <w:rFonts w:ascii="Times New Roman" w:hAnsi="Times New Roman" w:cs="Times New Roman"/>
          <w:noProof/>
          <w:sz w:val="24"/>
          <w:lang w:val="en-IE"/>
        </w:rPr>
        <w:t>operations ready for practice. Three projects listed in the NIR concern potential emission savings from the HCV segment.</w:t>
      </w:r>
    </w:p>
    <w:p w:rsidR="003C43BF" w:rsidRDefault="003C43BF">
      <w:pPr>
        <w:tabs>
          <w:tab w:val="left" w:pos="360"/>
        </w:tabs>
        <w:rPr>
          <w:rFonts w:ascii="Times New Roman" w:hAnsi="Times New Roman" w:cs="Times New Roman"/>
          <w:b/>
          <w:noProof/>
          <w:sz w:val="24"/>
          <w:lang w:val="en-IE"/>
        </w:rPr>
      </w:pPr>
    </w:p>
    <w:p w:rsidR="003C43BF" w:rsidRDefault="006C3212">
      <w:pPr>
        <w:pStyle w:val="Heading3"/>
        <w:ind w:left="720"/>
        <w:rPr>
          <w:rFonts w:ascii="Times New Roman" w:hAnsi="Times New Roman" w:cs="Times New Roman"/>
          <w:noProof/>
          <w:sz w:val="24"/>
          <w:lang w:val="en-IE"/>
        </w:rPr>
      </w:pPr>
      <w:bookmarkStart w:id="196" w:name="_Ref51265091"/>
      <w:bookmarkStart w:id="197" w:name="_Toc55301817"/>
      <w:bookmarkStart w:id="198" w:name="_Toc56944148"/>
      <w:r>
        <w:rPr>
          <w:rFonts w:ascii="Times New Roman" w:hAnsi="Times New Roman" w:cs="Times New Roman"/>
          <w:noProof/>
          <w:sz w:val="24"/>
          <w:lang w:val="en-IE"/>
        </w:rPr>
        <w:t>Additional information on alternative fuels infrastructure developments</w:t>
      </w:r>
      <w:bookmarkEnd w:id="196"/>
      <w:bookmarkEnd w:id="197"/>
      <w:bookmarkEnd w:id="198"/>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Irish NIR contains information on the changes in fuels use in the transport sector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_Ref52866719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5.7.5</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As it can be noticed, biofuels use is forese</w:t>
      </w:r>
      <w:r>
        <w:rPr>
          <w:rFonts w:ascii="Times New Roman" w:hAnsi="Times New Roman" w:cs="Times New Roman"/>
          <w:noProof/>
          <w:sz w:val="24"/>
          <w:lang w:val="en-IE"/>
        </w:rPr>
        <w:t>en to increase progressively, remaining the most significant alternative fuel</w:t>
      </w:r>
      <w:r>
        <w:rPr>
          <w:rStyle w:val="FootnoteReference"/>
          <w:rFonts w:ascii="Times New Roman" w:hAnsi="Times New Roman" w:cs="Times New Roman"/>
          <w:noProof/>
          <w:sz w:val="24"/>
          <w:lang w:val="en-IE"/>
        </w:rPr>
        <w:footnoteReference w:id="29"/>
      </w:r>
      <w:r>
        <w:rPr>
          <w:rFonts w:ascii="Times New Roman" w:hAnsi="Times New Roman" w:cs="Times New Roman"/>
          <w:noProof/>
          <w:sz w:val="24"/>
          <w:lang w:val="en-IE"/>
        </w:rPr>
        <w:t xml:space="preserve"> in road transport until 2025 but in 2030 electricity is expected to take the lead. A decrease of diesel use is expected in the next years and the tax based on a vehicle’s nitrog</w:t>
      </w:r>
      <w:r>
        <w:rPr>
          <w:rFonts w:ascii="Times New Roman" w:hAnsi="Times New Roman" w:cs="Times New Roman"/>
          <w:noProof/>
          <w:sz w:val="24"/>
          <w:lang w:val="en-IE"/>
        </w:rPr>
        <w:t>en oxide emissions applied to new car purchases and used imports could have an influence in this direction. No increase in LNG use in maritime transport is expected as marine diesel oil will continue to be the only fuel used in water transport.</w:t>
      </w:r>
    </w:p>
    <w:p w:rsidR="003C43BF" w:rsidRDefault="006C3212">
      <w:pPr>
        <w:spacing w:after="0"/>
        <w:rPr>
          <w:rFonts w:ascii="Times New Roman" w:hAnsi="Times New Roman" w:cs="Times New Roman"/>
          <w:i/>
          <w:iCs/>
          <w:noProof/>
          <w:color w:val="44546A" w:themeColor="text2"/>
          <w:sz w:val="20"/>
          <w:szCs w:val="18"/>
          <w:lang w:val="en-IE"/>
        </w:rPr>
      </w:pPr>
      <w:bookmarkStart w:id="199" w:name="_Ref52866719"/>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w:instrText>
      </w:r>
      <w:r>
        <w:rPr>
          <w:rFonts w:ascii="Times New Roman" w:hAnsi="Times New Roman" w:cs="Times New Roman"/>
          <w:i/>
          <w:iCs/>
          <w:noProof/>
          <w:color w:val="000000" w:themeColor="text1"/>
          <w:sz w:val="20"/>
          <w:szCs w:val="18"/>
          <w:lang w:val="en-IE"/>
        </w:rPr>
        <w:instrText xml:space="preserve">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5.7.5</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99"/>
      <w:r>
        <w:rPr>
          <w:rFonts w:ascii="Times New Roman" w:hAnsi="Times New Roman" w:cs="Times New Roman"/>
          <w:i/>
          <w:noProof/>
          <w:sz w:val="20"/>
          <w:szCs w:val="18"/>
          <w:lang w:val="en-IE"/>
        </w:rPr>
        <w:t xml:space="preserve"> </w:t>
      </w:r>
      <w:r>
        <w:rPr>
          <w:rFonts w:ascii="Times New Roman" w:hAnsi="Times New Roman" w:cs="Times New Roman"/>
          <w:i/>
          <w:iCs/>
          <w:noProof/>
          <w:sz w:val="20"/>
          <w:szCs w:val="18"/>
          <w:lang w:val="en-IE"/>
        </w:rPr>
        <w:t>Changes in fuels use in transport sector (2016-2030)</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397500" cy="20447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7500" cy="2044700"/>
                    </a:xfrm>
                    <a:prstGeom prst="rect">
                      <a:avLst/>
                    </a:prstGeom>
                    <a:noFill/>
                    <a:ln>
                      <a:noFill/>
                    </a:ln>
                  </pic:spPr>
                </pic:pic>
              </a:graphicData>
            </a:graphic>
          </wp:inline>
        </w:drawing>
      </w:r>
    </w:p>
    <w:p w:rsidR="003C43BF" w:rsidRDefault="006C3212">
      <w:pPr>
        <w:pStyle w:val="Heading3"/>
        <w:ind w:left="720"/>
        <w:rPr>
          <w:rFonts w:ascii="Times New Roman" w:hAnsi="Times New Roman" w:cs="Times New Roman"/>
          <w:noProof/>
          <w:sz w:val="24"/>
          <w:lang w:val="en-IE"/>
        </w:rPr>
      </w:pPr>
      <w:bookmarkStart w:id="200" w:name="_Toc55301818"/>
      <w:bookmarkStart w:id="201" w:name="_Toc56944149"/>
      <w:r>
        <w:rPr>
          <w:rFonts w:ascii="Times New Roman" w:hAnsi="Times New Roman" w:cs="Times New Roman"/>
          <w:noProof/>
          <w:sz w:val="24"/>
          <w:lang w:val="en-IE"/>
        </w:rPr>
        <w:t>Summary of the assessment</w:t>
      </w:r>
      <w:bookmarkEnd w:id="200"/>
      <w:bookmarkEnd w:id="201"/>
      <w:r>
        <w:rPr>
          <w:rFonts w:ascii="Times New Roman" w:hAnsi="Times New Roman" w:cs="Times New Roman"/>
          <w:noProof/>
          <w:sz w:val="24"/>
          <w:lang w:val="en-IE"/>
        </w:rPr>
        <w:tab/>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Tabular overview</w:t>
      </w:r>
    </w:p>
    <w:p w:rsidR="003C43BF" w:rsidRDefault="006C3212">
      <w:pPr>
        <w:rPr>
          <w:rFonts w:ascii="Times New Roman" w:hAnsi="Times New Roman" w:cs="Times New Roman"/>
          <w:b/>
          <w:i/>
          <w:noProof/>
          <w:sz w:val="20"/>
          <w:szCs w:val="18"/>
          <w:lang w:val="en-IE"/>
        </w:rPr>
      </w:pPr>
      <w:bookmarkStart w:id="202" w:name="_Ref52866663"/>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5.7.6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02"/>
      <w:r>
        <w:rPr>
          <w:rFonts w:ascii="Times New Roman" w:hAnsi="Times New Roman" w:cs="Times New Roman"/>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 </w:t>
      </w:r>
      <w:r>
        <w:rPr>
          <w:noProof/>
          <w:lang w:eastAsia="en-GB"/>
        </w:rPr>
        <w:drawing>
          <wp:inline distT="0" distB="0" distL="0" distR="0">
            <wp:extent cx="5760624" cy="3968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4440" cy="3970744"/>
                    </a:xfrm>
                    <a:prstGeom prst="rect">
                      <a:avLst/>
                    </a:prstGeom>
                    <a:noFill/>
                    <a:ln>
                      <a:noFill/>
                    </a:ln>
                  </pic:spPr>
                </pic:pic>
              </a:graphicData>
            </a:graphic>
          </wp:inline>
        </w:drawing>
      </w:r>
    </w:p>
    <w:p w:rsidR="003C43BF" w:rsidRDefault="006C3212">
      <w:pPr>
        <w:rPr>
          <w:rFonts w:ascii="Times New Roman" w:hAnsi="Times New Roman" w:cs="Times New Roman"/>
          <w:b/>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Text1"/>
        <w:tabs>
          <w:tab w:val="left" w:pos="720"/>
        </w:tabs>
        <w:ind w:left="0"/>
        <w:jc w:val="both"/>
        <w:rPr>
          <w:rFonts w:ascii="Times New Roman" w:hAnsi="Times New Roman" w:cs="Times New Roman"/>
          <w:noProof/>
          <w:sz w:val="20"/>
          <w:lang w:val="en-IE"/>
        </w:rPr>
      </w:pPr>
      <w:r>
        <w:rPr>
          <w:rFonts w:ascii="Times New Roman" w:hAnsi="Times New Roman" w:cs="Times New Roman"/>
          <w:noProof/>
          <w:sz w:val="20"/>
          <w:lang w:val="en-IE"/>
        </w:rPr>
        <w:t xml:space="preserve">* Value taken or calculated from IE NPF; ** HCV; </w:t>
      </w:r>
      <w:r>
        <w:rPr>
          <w:rFonts w:ascii="Times New Roman" w:hAnsi="Times New Roman" w:cs="Times New Roman"/>
          <w:noProof/>
          <w:sz w:val="20"/>
          <w:szCs w:val="18"/>
          <w:lang w:val="en-IE"/>
        </w:rPr>
        <w:t>*** Value taken from EAFO (absent in both NPF and NIR).</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Irish NIR addresses most of the requirements of Annex I from the Directive, although not with the same level of detail for all the alternative fuel</w:t>
      </w:r>
      <w:r>
        <w:rPr>
          <w:rFonts w:ascii="Times New Roman" w:hAnsi="Times New Roman" w:cs="Times New Roman"/>
          <w:noProof/>
          <w:sz w:val="24"/>
          <w:lang w:val="en-IE"/>
        </w:rPr>
        <w:t xml:space="preserve">s and transport modes.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and CNG are covered for road transport; LNG, hydrogen and biofuels are partially covered for road transport; electricity is partially covered for rail transpor</w:t>
      </w:r>
      <w:r>
        <w:rPr>
          <w:rFonts w:ascii="Times New Roman" w:hAnsi="Times New Roman" w:cs="Times New Roman"/>
          <w:noProof/>
          <w:sz w:val="24"/>
          <w:lang w:val="en-IE"/>
        </w:rPr>
        <w:t>t; shore-side electricity supply and LNG are partially covered for maritime water transport; electricity supply for stationary airplanes is partially covered for air transport; all the other combinations are either absent or not applicable.</w:t>
      </w:r>
    </w:p>
    <w:p w:rsidR="003C43BF" w:rsidRDefault="006C3212">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The main outcom</w:t>
      </w:r>
      <w:r>
        <w:rPr>
          <w:rFonts w:ascii="Times New Roman" w:hAnsi="Times New Roman" w:cs="Times New Roman"/>
          <w:noProof/>
          <w:sz w:val="24"/>
          <w:lang w:val="en-IE"/>
        </w:rPr>
        <w:t xml:space="preserve">es of the technical assessment of the Irish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Text1"/>
        <w:numPr>
          <w:ilvl w:val="0"/>
          <w:numId w:val="29"/>
        </w:numPr>
        <w:tabs>
          <w:tab w:val="left" w:pos="720"/>
        </w:tabs>
        <w:spacing w:after="0" w:line="259"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Ireland recorded a total of 7,464 electric vehicles and 806 publicly accessible recharging </w:t>
      </w:r>
      <w:r>
        <w:rPr>
          <w:rFonts w:ascii="Times New Roman" w:hAnsi="Times New Roman" w:cs="Times New Roman"/>
          <w:noProof/>
          <w:sz w:val="24"/>
          <w:lang w:val="en-IE"/>
        </w:rPr>
        <w:t>points in 2018.</w:t>
      </w:r>
      <w:r>
        <w:rPr>
          <w:rFonts w:ascii="Times New Roman" w:hAnsi="Times New Roman" w:cs="Times New Roman"/>
          <w:noProof/>
          <w:color w:val="000000" w:themeColor="text1"/>
          <w:sz w:val="24"/>
          <w:lang w:val="en-IE"/>
        </w:rPr>
        <w:t xml:space="preserve"> Compared to the NPF the IE NIR presents a new scenario concerning EV estimates for the next decade, i.e.</w:t>
      </w:r>
      <w:r>
        <w:rPr>
          <w:rFonts w:ascii="Times New Roman" w:hAnsi="Times New Roman" w:cs="Times New Roman"/>
          <w:noProof/>
          <w:sz w:val="24"/>
          <w:lang w:val="en-IE"/>
        </w:rPr>
        <w:t xml:space="preserve"> an earlier and higher EV market uptake for 2020 (+136.83%), a decrease in 2025 (-30.97%) and an increased number for 2030 (936,363 vs. </w:t>
      </w:r>
      <w:r>
        <w:rPr>
          <w:rFonts w:ascii="Times New Roman" w:hAnsi="Times New Roman" w:cs="Times New Roman"/>
          <w:noProof/>
          <w:sz w:val="24"/>
          <w:lang w:val="en-IE"/>
        </w:rPr>
        <w:t xml:space="preserve">823,455 EVs, of which 89.72% passenger cars, 10.14% LCVs and 0.13% buses and coaches). </w:t>
      </w:r>
      <w:r>
        <w:rPr>
          <w:rFonts w:ascii="Times New Roman" w:hAnsi="Times New Roman" w:cs="Times New Roman"/>
          <w:noProof/>
          <w:color w:val="000000" w:themeColor="text1"/>
          <w:sz w:val="24"/>
          <w:lang w:val="en-IE"/>
        </w:rPr>
        <w:t>Instead, NPF targets of public recharging infrastructure are kept in the NIR, with minor differences. The progress in 2018, calculated according to the assessment techno</w:t>
      </w:r>
      <w:r>
        <w:rPr>
          <w:rFonts w:ascii="Times New Roman" w:hAnsi="Times New Roman" w:cs="Times New Roman"/>
          <w:noProof/>
          <w:color w:val="000000" w:themeColor="text1"/>
          <w:sz w:val="24"/>
          <w:lang w:val="en-IE"/>
        </w:rPr>
        <w:t xml:space="preserve">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lang w:val="en-IE"/>
        </w:rPr>
        <w:t xml:space="preserve">, is adequate for EVs and is slow for the infrastructure. Indeed Ireland seems to largely rely on private recharging infrastructure for which an accelerated increase is foreseen. For this same reason, </w:t>
      </w:r>
      <w:r>
        <w:rPr>
          <w:rFonts w:ascii="Times New Roman" w:hAnsi="Times New Roman" w:cs="Times New Roman"/>
          <w:noProof/>
          <w:sz w:val="24"/>
          <w:lang w:val="en-IE"/>
        </w:rPr>
        <w:t>the ratio AFV to AFI consi</w:t>
      </w:r>
      <w:r>
        <w:rPr>
          <w:rFonts w:ascii="Times New Roman" w:hAnsi="Times New Roman" w:cs="Times New Roman"/>
          <w:noProof/>
          <w:sz w:val="24"/>
          <w:lang w:val="en-IE"/>
        </w:rPr>
        <w:t xml:space="preserve">dering only the public recharging infrastructure situation is progressively degrading as its value is expected to increase considerably over time. </w:t>
      </w:r>
    </w:p>
    <w:p w:rsidR="003C43BF" w:rsidRDefault="006C3212">
      <w:pPr>
        <w:pStyle w:val="ListParagraph"/>
        <w:numPr>
          <w:ilvl w:val="0"/>
          <w:numId w:val="29"/>
        </w:numPr>
        <w:spacing w:after="0" w:line="259"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w:t>
      </w:r>
      <w:r>
        <w:rPr>
          <w:rFonts w:ascii="Times New Roman" w:hAnsi="Times New Roman" w:cs="Times New Roman"/>
          <w:noProof/>
          <w:color w:val="000000" w:themeColor="text1"/>
          <w:sz w:val="24"/>
          <w:lang w:val="en-IE"/>
        </w:rPr>
        <w:t xml:space="preserve"> </w:t>
      </w:r>
      <w:r>
        <w:rPr>
          <w:rFonts w:ascii="Times New Roman" w:eastAsia="Times New Roman" w:hAnsi="Times New Roman" w:cs="Times New Roman"/>
          <w:noProof/>
          <w:color w:val="000000" w:themeColor="text1"/>
          <w:sz w:val="24"/>
          <w:lang w:val="en-IE" w:eastAsia="en-IE"/>
        </w:rPr>
        <w:t>Compared to the NPF, the Irish NIR does not include any more estimates for CNG light-duty vehicles, re</w:t>
      </w:r>
      <w:r>
        <w:rPr>
          <w:rFonts w:ascii="Times New Roman" w:eastAsia="Times New Roman" w:hAnsi="Times New Roman" w:cs="Times New Roman"/>
          <w:noProof/>
          <w:color w:val="000000" w:themeColor="text1"/>
          <w:sz w:val="24"/>
          <w:lang w:val="en-IE" w:eastAsia="en-IE"/>
        </w:rPr>
        <w:t xml:space="preserve">flecting a modification in the policy direction where the support focuses principally on electrification in the light vehicle sector. The IE NIR only records two HCVs in 2018 and provides estimates in 2020, 2025 and 2030 again only for HCVs. </w:t>
      </w:r>
      <w:r>
        <w:rPr>
          <w:rFonts w:ascii="Times New Roman" w:hAnsi="Times New Roman" w:cs="Times New Roman"/>
          <w:noProof/>
          <w:color w:val="000000" w:themeColor="text1"/>
          <w:sz w:val="24"/>
          <w:lang w:val="en-IE"/>
        </w:rPr>
        <w:t xml:space="preserve">This fact </w:t>
      </w:r>
      <w:r>
        <w:rPr>
          <w:rFonts w:ascii="Times New Roman" w:hAnsi="Times New Roman" w:cs="Times New Roman"/>
          <w:noProof/>
          <w:color w:val="000000" w:themeColor="text1"/>
          <w:sz w:val="24"/>
          <w:lang w:val="en-IE"/>
        </w:rPr>
        <w:t>makes impossible to calculate of the 2018 progress and attainment or of the infrastructure sufficiency index. Against this situation, the strategy for refuelling infrastructure is reported as evolving toward an increasing share of private CNG refuelling po</w:t>
      </w:r>
      <w:r>
        <w:rPr>
          <w:rFonts w:ascii="Times New Roman" w:hAnsi="Times New Roman" w:cs="Times New Roman"/>
          <w:noProof/>
          <w:color w:val="000000" w:themeColor="text1"/>
          <w:sz w:val="24"/>
          <w:lang w:val="en-IE"/>
        </w:rPr>
        <w:t>ints. In 2030, the total number of CNG refuelling points planned is 168, of which only 42 are publicly accessible refuelling points. With respect to the latter, the progress in 2018 is adequate.</w:t>
      </w:r>
    </w:p>
    <w:p w:rsidR="003C43BF" w:rsidRDefault="006C3212">
      <w:pPr>
        <w:pStyle w:val="ListParagraph"/>
        <w:numPr>
          <w:ilvl w:val="0"/>
          <w:numId w:val="29"/>
        </w:numPr>
        <w:spacing w:after="0" w:line="259" w:lineRule="auto"/>
        <w:ind w:left="357" w:hanging="357"/>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w:t>
      </w:r>
      <w:r>
        <w:rPr>
          <w:rFonts w:ascii="Times New Roman" w:hAnsi="Times New Roman" w:cs="Times New Roman"/>
          <w:noProof/>
          <w:color w:val="000000" w:themeColor="text1"/>
          <w:sz w:val="24"/>
          <w:lang w:val="en-IE"/>
        </w:rPr>
        <w:t xml:space="preserve">The Irish NIR, as the NPF, does not propose vehicle </w:t>
      </w:r>
      <w:r>
        <w:rPr>
          <w:rFonts w:ascii="Times New Roman" w:hAnsi="Times New Roman" w:cs="Times New Roman"/>
          <w:noProof/>
          <w:color w:val="000000" w:themeColor="text1"/>
          <w:sz w:val="24"/>
          <w:lang w:val="en-IE"/>
        </w:rPr>
        <w:t>estimates nor targets for LNG refuelling infrastructure.</w:t>
      </w:r>
    </w:p>
    <w:p w:rsidR="003C43BF" w:rsidRDefault="006C3212">
      <w:pPr>
        <w:pStyle w:val="Text1"/>
        <w:numPr>
          <w:ilvl w:val="0"/>
          <w:numId w:val="29"/>
        </w:numPr>
        <w:tabs>
          <w:tab w:val="left" w:pos="720"/>
        </w:tabs>
        <w:spacing w:after="0" w:line="259" w:lineRule="auto"/>
        <w:ind w:left="357" w:hanging="357"/>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w:t>
      </w:r>
      <w:r>
        <w:rPr>
          <w:rFonts w:ascii="Times New Roman" w:hAnsi="Times New Roman" w:cs="Times New Roman"/>
          <w:noProof/>
          <w:color w:val="000000" w:themeColor="text1"/>
          <w:sz w:val="24"/>
          <w:lang w:val="en-IE"/>
        </w:rPr>
        <w:t xml:space="preserve"> Similarly to the NPF, the Irish NIR does not commit to targets for hydrogen refuelling infrastructure or to estimates for hydrogen vehicles. However, the possibility for a deployment is un</w:t>
      </w:r>
      <w:r>
        <w:rPr>
          <w:rFonts w:ascii="Times New Roman" w:hAnsi="Times New Roman" w:cs="Times New Roman"/>
          <w:noProof/>
          <w:color w:val="000000" w:themeColor="text1"/>
          <w:sz w:val="24"/>
          <w:lang w:val="en-IE"/>
        </w:rPr>
        <w:t>der consideration.</w:t>
      </w:r>
    </w:p>
    <w:p w:rsidR="003C43BF" w:rsidRDefault="006C3212">
      <w:pPr>
        <w:pStyle w:val="ListParagraph"/>
        <w:numPr>
          <w:ilvl w:val="0"/>
          <w:numId w:val="52"/>
        </w:numPr>
        <w:spacing w:after="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No specific information is provided in the Irish NIR.</w:t>
      </w:r>
    </w:p>
    <w:p w:rsidR="003C43BF" w:rsidRDefault="006C3212">
      <w:pPr>
        <w:pStyle w:val="ListParagraph"/>
        <w:numPr>
          <w:ilvl w:val="0"/>
          <w:numId w:val="29"/>
        </w:numPr>
        <w:spacing w:after="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The Irish NIR does not provide information on the number of LPG vehicles nor on the existing or future infrastructure.</w:t>
      </w:r>
    </w:p>
    <w:p w:rsidR="003C43BF" w:rsidRDefault="003C43BF">
      <w:pPr>
        <w:tabs>
          <w:tab w:val="left" w:pos="966"/>
        </w:tabs>
        <w:spacing w:after="0"/>
        <w:jc w:val="both"/>
        <w:rPr>
          <w:rFonts w:ascii="Times New Roman" w:hAnsi="Times New Roman" w:cs="Times New Roman"/>
          <w:noProof/>
          <w:color w:val="0070C0"/>
          <w:sz w:val="24"/>
          <w:lang w:val="en-IE"/>
        </w:rPr>
      </w:pPr>
    </w:p>
    <w:p w:rsidR="003C43BF" w:rsidRDefault="006C3212">
      <w:pPr>
        <w:pStyle w:val="Heading6"/>
        <w:numPr>
          <w:ilvl w:val="0"/>
          <w:numId w:val="0"/>
        </w:numPr>
        <w:spacing w:before="0"/>
        <w:rPr>
          <w:rFonts w:ascii="Times New Roman" w:hAnsi="Times New Roman" w:cs="Times New Roman"/>
          <w:b/>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29"/>
        </w:numPr>
        <w:tabs>
          <w:tab w:val="left" w:pos="360"/>
        </w:tabs>
        <w:spacing w:after="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IE NIR record</w:t>
      </w:r>
      <w:r>
        <w:rPr>
          <w:rFonts w:ascii="Times New Roman" w:hAnsi="Times New Roman" w:cs="Times New Roman"/>
          <w:noProof/>
          <w:sz w:val="24"/>
          <w:lang w:val="en-IE"/>
        </w:rPr>
        <w:t>ed 144 locomotives in 2018 and this number is expected to increase in the next decade (196 in 2025 and 600 in 2030). However, the IE NIR mentions that “</w:t>
      </w:r>
      <w:r>
        <w:rPr>
          <w:rFonts w:ascii="Times New Roman" w:hAnsi="Times New Roman" w:cs="Times New Roman"/>
          <w:i/>
          <w:noProof/>
          <w:sz w:val="24"/>
          <w:lang w:val="en-IE"/>
        </w:rPr>
        <w:t>these figures include hybrid trains which are expected to come into service in the coming years</w:t>
      </w:r>
      <w:r>
        <w:rPr>
          <w:rFonts w:ascii="Times New Roman" w:hAnsi="Times New Roman" w:cs="Times New Roman"/>
          <w:noProof/>
          <w:sz w:val="24"/>
          <w:lang w:val="en-IE"/>
        </w:rPr>
        <w:t>”.</w:t>
      </w:r>
    </w:p>
    <w:p w:rsidR="003C43BF" w:rsidRDefault="003C43BF">
      <w:pPr>
        <w:pStyle w:val="ListParagraph"/>
        <w:tabs>
          <w:tab w:val="left" w:pos="360"/>
          <w:tab w:val="left" w:pos="966"/>
        </w:tabs>
        <w:spacing w:after="0"/>
        <w:ind w:left="360"/>
        <w:jc w:val="both"/>
        <w:rPr>
          <w:rFonts w:ascii="Times New Roman" w:hAnsi="Times New Roman" w:cs="Times New Roman"/>
          <w:noProof/>
          <w:color w:val="0070C0"/>
          <w:sz w:val="24"/>
          <w:lang w:val="en-IE"/>
        </w:rPr>
      </w:pPr>
    </w:p>
    <w:p w:rsidR="003C43BF" w:rsidRDefault="006C3212">
      <w:pPr>
        <w:pStyle w:val="Heading6"/>
        <w:numPr>
          <w:ilvl w:val="0"/>
          <w:numId w:val="0"/>
        </w:numPr>
        <w:spacing w:before="0"/>
        <w:rPr>
          <w:rFonts w:ascii="Times New Roman" w:hAnsi="Times New Roman" w:cs="Times New Roman"/>
          <w:b/>
          <w:noProof/>
          <w:sz w:val="24"/>
          <w:lang w:val="en-IE"/>
        </w:rPr>
      </w:pPr>
      <w:r>
        <w:rPr>
          <w:rFonts w:ascii="Times New Roman" w:hAnsi="Times New Roman" w:cs="Times New Roman"/>
          <w:noProof/>
          <w:sz w:val="24"/>
          <w:lang w:val="en-IE"/>
        </w:rPr>
        <w:t>Water</w:t>
      </w:r>
      <w:r>
        <w:rPr>
          <w:rFonts w:ascii="Times New Roman" w:hAnsi="Times New Roman" w:cs="Times New Roman"/>
          <w:noProof/>
          <w:sz w:val="24"/>
          <w:lang w:val="en-IE"/>
        </w:rPr>
        <w:t>borne transport (maritime)</w:t>
      </w:r>
    </w:p>
    <w:p w:rsidR="003C43BF" w:rsidRDefault="006C3212">
      <w:pPr>
        <w:pStyle w:val="ListParagraph"/>
        <w:numPr>
          <w:ilvl w:val="0"/>
          <w:numId w:val="30"/>
        </w:numPr>
        <w:spacing w:after="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feasibility study on the development of AFI in Irish ports foreseen in the NPF has been carried out and was included as an annex of the IE NIR. The study found that many of the characteristics evident at current</w:t>
      </w:r>
      <w:r>
        <w:rPr>
          <w:rFonts w:ascii="Times New Roman" w:hAnsi="Times New Roman" w:cs="Times New Roman"/>
          <w:noProof/>
          <w:sz w:val="24"/>
          <w:lang w:val="en-IE"/>
        </w:rPr>
        <w:t xml:space="preserve"> ports providing AFI are not present at Irish ports as “</w:t>
      </w:r>
      <w:r>
        <w:rPr>
          <w:rFonts w:ascii="Times New Roman" w:hAnsi="Times New Roman" w:cs="Times New Roman"/>
          <w:i/>
          <w:noProof/>
          <w:sz w:val="24"/>
          <w:lang w:val="en-IE"/>
        </w:rPr>
        <w:t>Ireland does not gain from geographic conditions</w:t>
      </w:r>
      <w:r>
        <w:rPr>
          <w:rFonts w:ascii="Times New Roman" w:hAnsi="Times New Roman" w:cs="Times New Roman"/>
          <w:noProof/>
          <w:sz w:val="24"/>
          <w:lang w:val="en-IE"/>
        </w:rPr>
        <w:t xml:space="preserve"> </w:t>
      </w:r>
      <w:r>
        <w:rPr>
          <w:rFonts w:ascii="Times New Roman" w:hAnsi="Times New Roman" w:cs="Times New Roman"/>
          <w:i/>
          <w:noProof/>
          <w:sz w:val="24"/>
          <w:lang w:val="en-IE"/>
        </w:rPr>
        <w:t>favourable to … renewable energy production</w:t>
      </w:r>
      <w:r>
        <w:rPr>
          <w:rFonts w:ascii="Times New Roman" w:hAnsi="Times New Roman" w:cs="Times New Roman"/>
          <w:noProof/>
          <w:sz w:val="24"/>
          <w:lang w:val="en-IE"/>
        </w:rPr>
        <w:t>” and the scale of operations in Irish ports and the number of ships calling to them does not generate suffi</w:t>
      </w:r>
      <w:r>
        <w:rPr>
          <w:rFonts w:ascii="Times New Roman" w:hAnsi="Times New Roman" w:cs="Times New Roman"/>
          <w:noProof/>
          <w:sz w:val="24"/>
          <w:lang w:val="en-IE"/>
        </w:rPr>
        <w:t>cient demand to justify the capital investment that AFI requires. Based on these findings, the Irish NIR did not set targets for shore-side electricity supply at maritime ports on the TEN-T network at this time but commits to a continued monitoring of mark</w:t>
      </w:r>
      <w:r>
        <w:rPr>
          <w:rFonts w:ascii="Times New Roman" w:hAnsi="Times New Roman" w:cs="Times New Roman"/>
          <w:noProof/>
          <w:sz w:val="24"/>
          <w:lang w:val="en-IE"/>
        </w:rPr>
        <w:t>ets trends.</w:t>
      </w:r>
    </w:p>
    <w:p w:rsidR="003C43BF" w:rsidRDefault="006C3212">
      <w:pPr>
        <w:pStyle w:val="ListParagraph"/>
        <w:numPr>
          <w:ilvl w:val="0"/>
          <w:numId w:val="30"/>
        </w:numPr>
        <w:spacing w:after="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The feasibility study mentioned above reported for LNG infrastructure at ports the same conclusions as for shore-side electricity. For this reason, the IE NIR did not provide targets for LNG refuelling infrastructure at maritime ports on the TEN-T netwo</w:t>
      </w:r>
      <w:r>
        <w:rPr>
          <w:rFonts w:ascii="Times New Roman" w:hAnsi="Times New Roman" w:cs="Times New Roman"/>
          <w:noProof/>
          <w:sz w:val="24"/>
          <w:lang w:val="en-IE"/>
        </w:rPr>
        <w:t>rk at this time. However, it commits to facilitate discussions between the maritime industry and other industries currently using LNG and to monitor annually the use of alternative fuels use.</w:t>
      </w:r>
    </w:p>
    <w:p w:rsidR="003C43BF" w:rsidRDefault="003C43BF">
      <w:pPr>
        <w:spacing w:after="0"/>
        <w:jc w:val="both"/>
        <w:rPr>
          <w:rFonts w:ascii="Times New Roman" w:hAnsi="Times New Roman" w:cs="Times New Roman"/>
          <w:noProof/>
          <w:sz w:val="24"/>
          <w:lang w:val="en-IE"/>
        </w:rPr>
      </w:pPr>
    </w:p>
    <w:p w:rsidR="003C43BF" w:rsidRDefault="006C3212">
      <w:pPr>
        <w:pStyle w:val="Heading6"/>
        <w:numPr>
          <w:ilvl w:val="0"/>
          <w:numId w:val="0"/>
        </w:numPr>
        <w:spacing w:before="0"/>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30"/>
        </w:numPr>
        <w:spacing w:after="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Irish NIR, similarly to the NPF, does not include quantitative future targets for electricity supply at Irish airports for use by stationary airplanes. However, it mentions that the Dublin Airport from the TEN-T Core Network is replacing diesel-powe</w:t>
      </w:r>
      <w:r>
        <w:rPr>
          <w:rFonts w:ascii="Times New Roman" w:hAnsi="Times New Roman" w:cs="Times New Roman"/>
          <w:noProof/>
          <w:sz w:val="24"/>
          <w:lang w:val="en-IE"/>
        </w:rPr>
        <w:t>red ground power units with fixed electrical ground power (FEGP) units. FEGP units are currently available at most of the aircraft contact stands on three of the four piers at this airport, and the Dublin Airport Authority has committed to introduce FEGP o</w:t>
      </w:r>
      <w:r>
        <w:rPr>
          <w:rFonts w:ascii="Times New Roman" w:hAnsi="Times New Roman" w:cs="Times New Roman"/>
          <w:noProof/>
          <w:sz w:val="24"/>
          <w:lang w:val="en-IE"/>
        </w:rPr>
        <w:t>n all future new contact stands.</w:t>
      </w:r>
    </w:p>
    <w:p w:rsidR="003C43BF" w:rsidRDefault="003C43BF">
      <w:pPr>
        <w:tabs>
          <w:tab w:val="left" w:pos="966"/>
        </w:tabs>
        <w:jc w:val="both"/>
        <w:rPr>
          <w:rFonts w:ascii="Times New Roman" w:hAnsi="Times New Roman" w:cs="Times New Roman"/>
          <w:noProof/>
          <w:sz w:val="24"/>
          <w:lang w:val="en-IE"/>
        </w:rPr>
      </w:pPr>
    </w:p>
    <w:p w:rsidR="003C43BF" w:rsidRDefault="006C3212">
      <w:pPr>
        <w:tabs>
          <w:tab w:val="right" w:leader="dot" w:pos="9040"/>
        </w:tabs>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Irish NIR contains a rather comprehensive list of </w:t>
      </w:r>
      <w:r>
        <w:rPr>
          <w:rFonts w:ascii="Times New Roman" w:hAnsi="Times New Roman" w:cs="Times New Roman"/>
          <w:b/>
          <w:noProof/>
          <w:color w:val="000000" w:themeColor="text1"/>
          <w:sz w:val="24"/>
          <w:lang w:val="en-IE"/>
        </w:rPr>
        <w:t>measures</w:t>
      </w:r>
      <w:r>
        <w:rPr>
          <w:rFonts w:ascii="Times New Roman" w:hAnsi="Times New Roman" w:cs="Times New Roman"/>
          <w:noProof/>
          <w:color w:val="000000" w:themeColor="text1"/>
          <w:sz w:val="24"/>
          <w:lang w:val="en-IE"/>
        </w:rPr>
        <w:t xml:space="preserve"> to support the envisaged AFI targets and AFV estimates. The legal measures to promote AFs are represented mainly by national plans that address entirely or par</w:t>
      </w:r>
      <w:r>
        <w:rPr>
          <w:rFonts w:ascii="Times New Roman" w:hAnsi="Times New Roman" w:cs="Times New Roman"/>
          <w:noProof/>
          <w:color w:val="000000" w:themeColor="text1"/>
          <w:sz w:val="24"/>
          <w:lang w:val="en-IE"/>
        </w:rPr>
        <w:t xml:space="preserve">tly the topic of alternative fuels and by national legal acts transposing EU Directives. </w:t>
      </w:r>
    </w:p>
    <w:p w:rsidR="003C43BF" w:rsidRDefault="006C3212">
      <w:pPr>
        <w:pStyle w:val="ListParagraph"/>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Concerning Policy and Deployment &amp; Manufacturing support measures, the majority of support measures including the most prominent ones relate to electricity/road and C</w:t>
      </w:r>
      <w:r>
        <w:rPr>
          <w:rFonts w:ascii="Times New Roman" w:hAnsi="Times New Roman" w:cs="Times New Roman"/>
          <w:noProof/>
          <w:color w:val="000000" w:themeColor="text1"/>
          <w:sz w:val="24"/>
          <w:lang w:val="en-IE"/>
        </w:rPr>
        <w:t>NG/road</w:t>
      </w:r>
      <w:r>
        <w:rPr>
          <w:rFonts w:ascii="Times New Roman" w:hAnsi="Times New Roman" w:cs="Times New Roman"/>
          <w:noProof/>
          <w:color w:val="000000" w:themeColor="text1"/>
          <w:sz w:val="24"/>
        </w:rPr>
        <w:t>, noting that Ireland does not intend to foster publicly accessible recharging infrastructure</w:t>
      </w:r>
      <w:r>
        <w:rPr>
          <w:rFonts w:ascii="Times New Roman" w:hAnsi="Times New Roman" w:cs="Times New Roman"/>
          <w:noProof/>
          <w:color w:val="000000" w:themeColor="text1"/>
          <w:sz w:val="24"/>
          <w:lang w:val="en-IE"/>
        </w:rPr>
        <w:t>. The two clusters have been quantitatively assessed with similar results: high overall score and comprehensiveness, and thus high impact. They however corr</w:t>
      </w:r>
      <w:r>
        <w:rPr>
          <w:rFonts w:ascii="Times New Roman" w:hAnsi="Times New Roman" w:cs="Times New Roman"/>
          <w:noProof/>
          <w:color w:val="000000" w:themeColor="text1"/>
          <w:sz w:val="24"/>
          <w:lang w:val="en-IE"/>
        </w:rPr>
        <w:t xml:space="preserve">espond to different envisaged AFI targets and AFV estimates, increased in the case of electro-mobility and decreased for the CNG in comparison with the NPF situation. </w:t>
      </w:r>
      <w:r>
        <w:rPr>
          <w:rFonts w:ascii="Times New Roman" w:hAnsi="Times New Roman" w:cs="Times New Roman"/>
          <w:noProof/>
          <w:sz w:val="24"/>
          <w:lang w:val="en-IE"/>
        </w:rPr>
        <w:t>For all the other assessable clusters of measures, the partial or total lack of future ta</w:t>
      </w:r>
      <w:r>
        <w:rPr>
          <w:rFonts w:ascii="Times New Roman" w:hAnsi="Times New Roman" w:cs="Times New Roman"/>
          <w:noProof/>
          <w:sz w:val="24"/>
          <w:lang w:val="en-IE"/>
        </w:rPr>
        <w:t>rgets and estimates does not allow putting this assessment into perspective. However, with the only exception of the pair electricity/rail, which has a medium impact, all the other pairs have an overall low score, and therefore have a low impact.</w:t>
      </w:r>
    </w:p>
    <w:p w:rsidR="003C43BF" w:rsidRDefault="006C3212">
      <w:pPr>
        <w:tabs>
          <w:tab w:val="right" w:leader="dot" w:pos="9040"/>
        </w:tabs>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incre</w:t>
      </w:r>
      <w:r>
        <w:rPr>
          <w:rFonts w:ascii="Times New Roman" w:hAnsi="Times New Roman" w:cs="Times New Roman"/>
          <w:noProof/>
          <w:color w:val="000000" w:themeColor="text1"/>
          <w:sz w:val="24"/>
          <w:lang w:val="en-IE"/>
        </w:rPr>
        <w:t>ased emphasis of the policy direction on electro-mobility has also influenced changes in the Irish NIR compared to the NPF with regards to the disappearing of some measures dedicated to LPG and synthetic &amp; paraffinic fuels.</w:t>
      </w:r>
    </w:p>
    <w:p w:rsidR="003C43BF" w:rsidRDefault="006C3212">
      <w:pPr>
        <w:pStyle w:val="ListParagraph"/>
        <w:ind w:left="0"/>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Compared to the NPF, the level o</w:t>
      </w:r>
      <w:r>
        <w:rPr>
          <w:rFonts w:ascii="Times New Roman" w:hAnsi="Times New Roman" w:cs="Times New Roman"/>
          <w:noProof/>
          <w:sz w:val="24"/>
          <w:lang w:val="en-IE"/>
        </w:rPr>
        <w:t>f ambition of the Policy and Deployment &amp; Manufacturing support measures has increased for electricity/road, electricity/rail, CNG/road and LNG/road, has remained the same for hydrogen/road and LNG water-maritime and has decreased</w:t>
      </w:r>
      <w:r>
        <w:rPr>
          <w:rStyle w:val="FootnoteReference"/>
          <w:rFonts w:ascii="Times New Roman" w:hAnsi="Times New Roman" w:cs="Times New Roman"/>
          <w:noProof/>
          <w:sz w:val="24"/>
          <w:lang w:val="en-IE"/>
        </w:rPr>
        <w:footnoteReference w:id="30"/>
      </w:r>
      <w:r>
        <w:rPr>
          <w:rFonts w:ascii="Times New Roman" w:hAnsi="Times New Roman" w:cs="Times New Roman"/>
          <w:noProof/>
          <w:sz w:val="24"/>
          <w:lang w:val="en-IE"/>
        </w:rPr>
        <w:t xml:space="preserve"> for biofuels/road, LPG/r</w:t>
      </w:r>
      <w:r>
        <w:rPr>
          <w:rFonts w:ascii="Times New Roman" w:hAnsi="Times New Roman" w:cs="Times New Roman"/>
          <w:noProof/>
          <w:sz w:val="24"/>
          <w:lang w:val="en-IE"/>
        </w:rPr>
        <w:t xml:space="preserve">oad, synthetic &amp; paraffinic fuels/road, electricity/water-maritime and electricity/air. </w:t>
      </w:r>
      <w:r>
        <w:rPr>
          <w:rFonts w:ascii="Times New Roman" w:hAnsi="Times New Roman" w:cs="Times New Roman"/>
          <w:noProof/>
          <w:color w:val="000000" w:themeColor="text1"/>
          <w:sz w:val="24"/>
          <w:lang w:val="en-IE"/>
        </w:rPr>
        <w:t>The RTD&amp;D activities included in the NIR have changed compared to those in the NPF. They currently cover more uniformly the transport modes, the AFs and their related t</w:t>
      </w:r>
      <w:r>
        <w:rPr>
          <w:rFonts w:ascii="Times New Roman" w:hAnsi="Times New Roman" w:cs="Times New Roman"/>
          <w:noProof/>
          <w:color w:val="000000" w:themeColor="text1"/>
          <w:sz w:val="24"/>
          <w:lang w:val="en-IE"/>
        </w:rPr>
        <w:t>echnologies. Compared with the NPF, they are more concrete, diversified and documented.</w:t>
      </w:r>
    </w:p>
    <w:p w:rsidR="003C43BF" w:rsidRDefault="006C3212">
      <w:pPr>
        <w:pStyle w:val="Heading3"/>
        <w:rPr>
          <w:rFonts w:ascii="Times New Roman" w:hAnsi="Times New Roman" w:cs="Times New Roman"/>
          <w:noProof/>
          <w:sz w:val="24"/>
          <w:szCs w:val="24"/>
          <w:lang w:val="en-IE"/>
        </w:rPr>
      </w:pPr>
      <w:bookmarkStart w:id="203" w:name="_Toc55301819"/>
      <w:bookmarkStart w:id="204" w:name="_Toc56944150"/>
      <w:bookmarkEnd w:id="203"/>
      <w:r>
        <w:rPr>
          <w:rFonts w:ascii="Times New Roman" w:hAnsi="Times New Roman" w:cs="Times New Roman"/>
          <w:noProof/>
          <w:sz w:val="24"/>
          <w:szCs w:val="24"/>
          <w:lang w:val="en-IE"/>
        </w:rPr>
        <w:t>Final remarks</w:t>
      </w:r>
      <w:bookmarkEnd w:id="204"/>
      <w:r>
        <w:rPr>
          <w:rFonts w:ascii="Times New Roman" w:hAnsi="Times New Roman" w:cs="Times New Roman"/>
          <w:noProof/>
          <w:sz w:val="24"/>
          <w:szCs w:val="24"/>
          <w:lang w:val="en-IE"/>
        </w:rPr>
        <w:t xml:space="preserve">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Irish NIR provides a rather comprehensive report on the efforts to implement the Directive. The NIR is largely in line with the provisions of Annex I</w:t>
      </w:r>
      <w:r>
        <w:rPr>
          <w:rFonts w:ascii="Times New Roman" w:hAnsi="Times New Roman" w:cs="Times New Roman"/>
          <w:noProof/>
          <w:sz w:val="24"/>
          <w:szCs w:val="24"/>
          <w:lang w:val="en-IE"/>
        </w:rPr>
        <w:t xml:space="preserve"> to the Directive, with the exception of missing estimates for LNG vehicles, vessels and related infrastructure targets for the years 2020, 2025 and 2030. The Irish NIR includes a significant number of measures to promote the uptake of electric vehicles an</w:t>
      </w:r>
      <w:r>
        <w:rPr>
          <w:rFonts w:ascii="Times New Roman" w:hAnsi="Times New Roman" w:cs="Times New Roman"/>
          <w:noProof/>
          <w:sz w:val="24"/>
          <w:szCs w:val="24"/>
          <w:lang w:val="en-IE"/>
        </w:rPr>
        <w:t>d some measures on the use of electricity in the rail sector as well as for the possible promotion of CNG (heavy-duty vehicles). Future reporting should include information on further measures to promote other alternative fuels and modes of transport.</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w:t>
      </w:r>
      <w:r>
        <w:rPr>
          <w:rFonts w:ascii="Times New Roman" w:hAnsi="Times New Roman" w:cs="Times New Roman"/>
          <w:noProof/>
          <w:sz w:val="24"/>
          <w:szCs w:val="24"/>
          <w:lang w:val="en-IE"/>
        </w:rPr>
        <w:t>Irish NIR estimates that approximately 940,000 electric vehicles could be on the roads by 2030, representing about 30% of the fleet by that time. Taking into account the current situation, fleet and existing trends, this level of ambition appears to be con</w:t>
      </w:r>
      <w:r>
        <w:rPr>
          <w:rFonts w:ascii="Times New Roman" w:hAnsi="Times New Roman" w:cs="Times New Roman"/>
          <w:noProof/>
          <w:sz w:val="24"/>
          <w:szCs w:val="24"/>
          <w:lang w:val="en-IE"/>
        </w:rPr>
        <w:t>sistent with the pace of deployment of electric vehicles considered be necessary for a full transition to carbon neutrality by 2050. Nevertheless, the number of public recharging points for 2025 and 2030 seems far too low against the estimated fleet of ele</w:t>
      </w:r>
      <w:r>
        <w:rPr>
          <w:rFonts w:ascii="Times New Roman" w:hAnsi="Times New Roman" w:cs="Times New Roman"/>
          <w:noProof/>
          <w:sz w:val="24"/>
          <w:szCs w:val="24"/>
          <w:lang w:val="en-IE"/>
        </w:rPr>
        <w:t>ctric vehicles. Ireland would be encouraged to explain in greater detail how it intends to ensure sufficient public infrastructure for a vehicle fleet that is expected to grow rapidly. Information on charging efficiency is provided. The NIR does not includ</w:t>
      </w:r>
      <w:r>
        <w:rPr>
          <w:rFonts w:ascii="Times New Roman" w:hAnsi="Times New Roman" w:cs="Times New Roman"/>
          <w:noProof/>
          <w:sz w:val="24"/>
          <w:szCs w:val="24"/>
          <w:lang w:val="en-IE"/>
        </w:rPr>
        <w:t xml:space="preserve">e information on plans for shore-side </w:t>
      </w:r>
      <w:r>
        <w:rPr>
          <w:rFonts w:ascii="Times New Roman" w:hAnsi="Times New Roman" w:cs="Times New Roman"/>
          <w:noProof/>
          <w:color w:val="222222"/>
          <w:sz w:val="24"/>
          <w:lang w:val="en-IE"/>
        </w:rPr>
        <w:t>electricity</w:t>
      </w:r>
      <w:r>
        <w:rPr>
          <w:rFonts w:ascii="Times New Roman" w:hAnsi="Times New Roman" w:cs="Times New Roman"/>
          <w:noProof/>
          <w:sz w:val="24"/>
          <w:szCs w:val="24"/>
          <w:lang w:val="en-IE"/>
        </w:rPr>
        <w:t xml:space="preserve"> supply in ports in the short term. Ireland should update planning and reporting on this matter. Furthermore, the Irish NIR does not include quantitative future targets for electricity supply to stationary aircraft at Irish airports. However, it mentions t</w:t>
      </w:r>
      <w:r>
        <w:rPr>
          <w:rFonts w:ascii="Times New Roman" w:hAnsi="Times New Roman" w:cs="Times New Roman"/>
          <w:noProof/>
          <w:sz w:val="24"/>
          <w:szCs w:val="24"/>
          <w:lang w:val="en-IE"/>
        </w:rPr>
        <w:t>hat Dublin Airport, which forms part of the TEN-T Core Network, is replacing diesel-powered ground power units with fixed electrical ground power units. It would be beneficial to provide further detail on the possible extension of these facilities to other</w:t>
      </w:r>
      <w:r>
        <w:rPr>
          <w:rFonts w:ascii="Times New Roman" w:hAnsi="Times New Roman" w:cs="Times New Roman"/>
          <w:noProof/>
          <w:sz w:val="24"/>
          <w:szCs w:val="24"/>
          <w:lang w:val="en-IE"/>
        </w:rPr>
        <w:t xml:space="preserve"> airports. Further information should be provided on the share of the electrified rail network.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Hydrogen for road transport is not considered in the NIR.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NIR reports that by 2030, Ireland expects no more than 150 CNG heavy-duty vehicles, a significan</w:t>
      </w:r>
      <w:r>
        <w:rPr>
          <w:rFonts w:ascii="Times New Roman" w:hAnsi="Times New Roman" w:cs="Times New Roman"/>
          <w:noProof/>
          <w:sz w:val="24"/>
          <w:szCs w:val="24"/>
          <w:lang w:val="en-IE"/>
        </w:rPr>
        <w:t>t drop compared to the estimates number in the NPF (1,550), which demonstrates Ireland’s reduction of ambition towards CNG. Information is not available on CNG fuelled passenger cars. The NIR does not provide estimates for LNG vehicles, vessels and the rel</w:t>
      </w:r>
      <w:r>
        <w:rPr>
          <w:rFonts w:ascii="Times New Roman" w:hAnsi="Times New Roman" w:cs="Times New Roman"/>
          <w:noProof/>
          <w:sz w:val="24"/>
          <w:szCs w:val="24"/>
          <w:lang w:val="en-IE"/>
        </w:rPr>
        <w:t xml:space="preserve">evant infrastructure by 2020, 2025 and 2030.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NIR does not include information on the number of LPG vehicles, nor does it provide information on the LPG infrastructure.</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share of biofuel blends with conventional fuels in road vehicles is estimated a</w:t>
      </w:r>
      <w:r>
        <w:rPr>
          <w:rFonts w:ascii="Times New Roman" w:hAnsi="Times New Roman" w:cs="Times New Roman"/>
          <w:noProof/>
          <w:sz w:val="24"/>
          <w:szCs w:val="24"/>
          <w:lang w:val="en-IE"/>
        </w:rPr>
        <w:t>t 6% in 2020 and is expected to be 9% by 2030, thus contributing to the objectives of the recast Renewable Energy Directive. Ireland should provide more information in future reporting on efforts to promote the use of renewable fuels in transport, and part</w:t>
      </w:r>
      <w:r>
        <w:rPr>
          <w:rFonts w:ascii="Times New Roman" w:hAnsi="Times New Roman" w:cs="Times New Roman"/>
          <w:noProof/>
          <w:sz w:val="24"/>
          <w:szCs w:val="24"/>
          <w:lang w:val="en-IE"/>
        </w:rPr>
        <w:t>icularly in aviation.</w:t>
      </w:r>
    </w:p>
    <w:p w:rsidR="003C43BF" w:rsidRDefault="003C43BF">
      <w:pPr>
        <w:rPr>
          <w:rFonts w:ascii="Times New Roman" w:hAnsi="Times New Roman" w:cs="Times New Roman"/>
          <w:noProof/>
          <w:sz w:val="24"/>
          <w:szCs w:val="24"/>
          <w:lang w:val="en-IE"/>
        </w:rPr>
      </w:pPr>
    </w:p>
    <w:p w:rsidR="003C43BF" w:rsidRDefault="006C3212">
      <w:pPr>
        <w:rPr>
          <w:rFonts w:ascii="Times New Roman" w:hAnsi="Times New Roman" w:cs="Times New Roman"/>
          <w:noProof/>
          <w:color w:val="0070C0"/>
          <w:sz w:val="24"/>
          <w:szCs w:val="24"/>
          <w:lang w:val="en-IE"/>
        </w:rPr>
      </w:pPr>
      <w:r>
        <w:rPr>
          <w:rFonts w:ascii="Times New Roman" w:hAnsi="Times New Roman" w:cs="Times New Roman"/>
          <w:noProof/>
          <w:color w:val="0070C0"/>
          <w:sz w:val="24"/>
          <w:szCs w:val="24"/>
          <w:lang w:val="en-IE"/>
        </w:rPr>
        <w:br w:type="page"/>
      </w:r>
    </w:p>
    <w:p w:rsidR="003C43BF" w:rsidRDefault="006C3212">
      <w:pPr>
        <w:pStyle w:val="Heading3"/>
        <w:ind w:left="720"/>
        <w:rPr>
          <w:rFonts w:ascii="Times New Roman" w:hAnsi="Times New Roman" w:cs="Times New Roman"/>
          <w:noProof/>
          <w:sz w:val="24"/>
          <w:lang w:val="en-IE"/>
        </w:rPr>
      </w:pPr>
      <w:bookmarkStart w:id="205" w:name="_Toc55301821"/>
      <w:bookmarkStart w:id="206" w:name="_Toc56944151"/>
      <w:r>
        <w:rPr>
          <w:rFonts w:ascii="Times New Roman" w:hAnsi="Times New Roman" w:cs="Times New Roman"/>
          <w:noProof/>
          <w:sz w:val="24"/>
          <w:lang w:val="en-IE"/>
        </w:rPr>
        <w:t>ANNEX - Description of the Member State</w:t>
      </w:r>
      <w:bookmarkEnd w:id="205"/>
      <w:bookmarkEnd w:id="206"/>
    </w:p>
    <w:p w:rsidR="003C43BF" w:rsidRDefault="006C3212">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70,300 km², Ireland has a population of 4.830 million people in 2018, which makes up for a population density of 69 inhabitants/km².</w:t>
      </w:r>
    </w:p>
    <w:p w:rsidR="003C43BF" w:rsidRDefault="006C3212">
      <w:pPr>
        <w:pStyle w:val="Text1"/>
        <w:tabs>
          <w:tab w:val="left" w:pos="720"/>
        </w:tabs>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4 urban agglomerations &gt; 50,000 inhabitants </w:t>
      </w:r>
    </w:p>
    <w:p w:rsidR="003C43BF" w:rsidRDefault="006C3212">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Ireland achieves a per capita gross domestic product at market prices of €66,670, which represents a per capita gross domestic product in purchasing power standards of 191 </w:t>
      </w:r>
      <w:r>
        <w:rPr>
          <w:rFonts w:ascii="Times New Roman" w:hAnsi="Times New Roman" w:cs="Times New Roman"/>
          <w:noProof/>
          <w:sz w:val="24"/>
          <w:shd w:val="clear" w:color="auto" w:fill="FFFFFF"/>
          <w:lang w:val="en-IE"/>
        </w:rPr>
        <w:t>if expressed in relation to th</w:t>
      </w:r>
      <w:r>
        <w:rPr>
          <w:rFonts w:ascii="Times New Roman" w:hAnsi="Times New Roman" w:cs="Times New Roman"/>
          <w:noProof/>
          <w:sz w:val="24"/>
          <w:shd w:val="clear" w:color="auto" w:fill="FFFFFF"/>
          <w:lang w:val="en-IE"/>
        </w:rPr>
        <w:t>e EU-28 average set to equal 100</w:t>
      </w:r>
      <w:r>
        <w:rPr>
          <w:rFonts w:ascii="Times New Roman" w:hAnsi="Times New Roman" w:cs="Times New Roman"/>
          <w:noProof/>
          <w:sz w:val="24"/>
          <w:lang w:val="en-IE"/>
        </w:rPr>
        <w:t>.</w:t>
      </w:r>
    </w:p>
    <w:p w:rsidR="003C43BF" w:rsidRDefault="006C3212">
      <w:pPr>
        <w:pStyle w:val="Text1"/>
        <w:tabs>
          <w:tab w:val="left" w:pos="720"/>
        </w:tabs>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Ireland is 478 km. The total road network length is 18,426 km, of which 916 km are motorways.</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following lengths of the TEN-T Road Corridors are </w:t>
      </w:r>
      <w:r>
        <w:rPr>
          <w:rFonts w:ascii="Times New Roman" w:hAnsi="Times New Roman" w:cs="Times New Roman"/>
          <w:noProof/>
          <w:sz w:val="24"/>
          <w:lang w:val="en-IE"/>
        </w:rPr>
        <w:t>present in Ireland: 8% (353 km) of the North Sea – Mediterranean Corridor.</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Through the TEN-T Road Corridors, Ireland is connected with the following Member States:</w:t>
      </w:r>
      <w:r>
        <w:rPr>
          <w:rFonts w:ascii="Times New Roman" w:hAnsi="Times New Roman" w:cs="Times New Roman"/>
          <w:noProof/>
          <w:sz w:val="24"/>
          <w:lang w:val="en-IE"/>
        </w:rPr>
        <w:br/>
        <w:t>- the United Kingdom (through the North Sea - Mediterranean Corridor)</w:t>
      </w:r>
    </w:p>
    <w:p w:rsidR="003C43BF" w:rsidRDefault="006C3212">
      <w:pPr>
        <w:pStyle w:val="Text1"/>
        <w:tabs>
          <w:tab w:val="left" w:pos="720"/>
        </w:tabs>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Number of registered r</w:t>
      </w:r>
      <w:r>
        <w:rPr>
          <w:rFonts w:ascii="Times New Roman" w:hAnsi="Times New Roman" w:cs="Times New Roman"/>
          <w:i/>
          <w:noProof/>
          <w:sz w:val="24"/>
          <w:lang w:val="en-IE"/>
        </w:rPr>
        <w:t xml:space="preserve">oad vehicles </w:t>
      </w:r>
    </w:p>
    <w:p w:rsidR="003C43BF" w:rsidRDefault="006C3212">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Ireland accounts for 2,590,989 registered road vehicles of which 2,182,920 are categorized as passenger cars, 317,798 as light goods vehicles, 37,871 as heavy goods vehicles and 12,500 as buses and coaches. The motorisatio</w:t>
      </w:r>
      <w:r>
        <w:rPr>
          <w:rFonts w:ascii="Times New Roman" w:hAnsi="Times New Roman" w:cs="Times New Roman"/>
          <w:noProof/>
          <w:sz w:val="24"/>
          <w:lang w:val="en-IE"/>
        </w:rPr>
        <w:t>n rate is 452 passenger cars per 1,000 inhabitants.</w:t>
      </w:r>
    </w:p>
    <w:p w:rsidR="003C43BF" w:rsidRDefault="006C3212">
      <w:pPr>
        <w:pStyle w:val="Text1"/>
        <w:tabs>
          <w:tab w:val="left" w:pos="720"/>
        </w:tabs>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120" w:line="240"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3 maritime ports in the TEN-T Core Network (Cork, Dublin, Limerick)</w:t>
      </w:r>
    </w:p>
    <w:p w:rsidR="003C43BF" w:rsidRDefault="006C3212">
      <w:pPr>
        <w:pStyle w:val="Text1"/>
        <w:numPr>
          <w:ilvl w:val="0"/>
          <w:numId w:val="12"/>
        </w:numPr>
        <w:spacing w:after="120" w:line="240"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2 maritime ports in the TEN-T Comprehensive Network</w:t>
      </w:r>
    </w:p>
    <w:p w:rsidR="003C43BF" w:rsidRDefault="006C3212">
      <w:pPr>
        <w:pStyle w:val="Text1"/>
        <w:numPr>
          <w:ilvl w:val="0"/>
          <w:numId w:val="12"/>
        </w:numPr>
        <w:spacing w:after="120" w:line="240"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No inland ports</w:t>
      </w:r>
    </w:p>
    <w:p w:rsidR="003C43BF" w:rsidRDefault="006C3212">
      <w:pPr>
        <w:pStyle w:val="Text1"/>
        <w:tabs>
          <w:tab w:val="left" w:pos="720"/>
        </w:tabs>
        <w:spacing w:after="120" w:line="240" w:lineRule="auto"/>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Number of airports in the</w:t>
      </w:r>
      <w:r>
        <w:rPr>
          <w:rFonts w:ascii="Times New Roman" w:hAnsi="Times New Roman" w:cs="Times New Roman"/>
          <w:i/>
          <w:noProof/>
          <w:color w:val="000000" w:themeColor="text1"/>
          <w:sz w:val="24"/>
          <w:lang w:val="en-IE"/>
        </w:rPr>
        <w:t xml:space="preserve"> TEN-T Core Network </w:t>
      </w:r>
    </w:p>
    <w:p w:rsidR="003C43BF" w:rsidRDefault="006C3212">
      <w:pPr>
        <w:pStyle w:val="Text1"/>
        <w:numPr>
          <w:ilvl w:val="0"/>
          <w:numId w:val="13"/>
        </w:numPr>
        <w:spacing w:after="120" w:line="240"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 xml:space="preserve">2 airports in the TEN-T Core Network (Cork, Dublin) </w:t>
      </w:r>
    </w:p>
    <w:p w:rsidR="003C43BF" w:rsidRDefault="006C3212">
      <w:pPr>
        <w:pStyle w:val="Text1"/>
        <w:numPr>
          <w:ilvl w:val="0"/>
          <w:numId w:val="13"/>
        </w:num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6 airports in the TEN-T Comprehensive Network </w:t>
      </w:r>
    </w:p>
    <w:p w:rsidR="003C43BF" w:rsidRDefault="006C3212">
      <w:pPr>
        <w:pStyle w:val="Heading2"/>
        <w:rPr>
          <w:rFonts w:ascii="Times New Roman" w:hAnsi="Times New Roman" w:cs="Times New Roman"/>
          <w:noProof/>
          <w:sz w:val="24"/>
          <w:lang w:val="en-IE"/>
        </w:rPr>
      </w:pPr>
      <w:r>
        <w:rPr>
          <w:rFonts w:ascii="Times New Roman" w:hAnsi="Times New Roman" w:cs="Times New Roman"/>
          <w:noProof/>
          <w:sz w:val="24"/>
          <w:lang w:val="en-IE"/>
        </w:rPr>
        <w:br w:type="page"/>
      </w:r>
      <w:bookmarkStart w:id="207" w:name="_Toc55301822"/>
      <w:bookmarkStart w:id="208" w:name="_Toc56944152"/>
      <w:r>
        <w:rPr>
          <w:rFonts w:ascii="Times New Roman" w:hAnsi="Times New Roman" w:cs="Times New Roman"/>
          <w:noProof/>
          <w:sz w:val="24"/>
          <w:lang w:val="en-IE"/>
        </w:rPr>
        <w:t>Greece (EL)</w:t>
      </w:r>
      <w:bookmarkEnd w:id="207"/>
      <w:bookmarkEnd w:id="208"/>
    </w:p>
    <w:p w:rsidR="003C43BF" w:rsidRDefault="006C3212">
      <w:pPr>
        <w:pStyle w:val="Heading3"/>
        <w:ind w:left="720"/>
        <w:rPr>
          <w:rFonts w:ascii="Times New Roman" w:hAnsi="Times New Roman" w:cs="Times New Roman"/>
          <w:noProof/>
          <w:sz w:val="24"/>
          <w:lang w:val="en-IE"/>
        </w:rPr>
      </w:pPr>
      <w:bookmarkStart w:id="209" w:name="_Toc55301823"/>
      <w:bookmarkStart w:id="210" w:name="_Toc56944153"/>
      <w:r>
        <w:rPr>
          <w:rFonts w:ascii="Times New Roman" w:hAnsi="Times New Roman" w:cs="Times New Roman"/>
          <w:noProof/>
          <w:sz w:val="24"/>
          <w:lang w:val="en-IE"/>
        </w:rPr>
        <w:t xml:space="preserve">Main messages from the </w:t>
      </w:r>
      <w:bookmarkEnd w:id="209"/>
      <w:bookmarkEnd w:id="210"/>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its original assessment of the Greece NPF the Commission concluded: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Greek NPF addresses many of the requirements of Article 3. It contains a detailed description of the current state and some future estimates for alternative fuels vehicles in the </w:t>
      </w:r>
      <w:r>
        <w:rPr>
          <w:rFonts w:ascii="Times New Roman" w:hAnsi="Times New Roman" w:cs="Times New Roman"/>
          <w:i/>
          <w:noProof/>
          <w:sz w:val="24"/>
          <w:lang w:val="en-IE"/>
        </w:rPr>
        <w:t>transport sector and establishes targets required by Article 3 of the Directive. However, the NPF does not contain any designation of urban/suburban agglomerations to be equipped with recharging points and the number and location of recharging points and L</w:t>
      </w:r>
      <w:r>
        <w:rPr>
          <w:rFonts w:ascii="Times New Roman" w:hAnsi="Times New Roman" w:cs="Times New Roman"/>
          <w:i/>
          <w:noProof/>
          <w:sz w:val="24"/>
          <w:lang w:val="en-IE"/>
        </w:rPr>
        <w:t>NG refuelling points to be put in place along the TEN-T Core Network is not defined.</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Greek NPF estimates a very modest share of below 0.1% electric vehicles on the road in 2020. The proposed set of measures based mainly on tax reliefs could support rea</w:t>
      </w:r>
      <w:r>
        <w:rPr>
          <w:rFonts w:ascii="Times New Roman" w:hAnsi="Times New Roman" w:cs="Times New Roman"/>
          <w:i/>
          <w:noProof/>
          <w:sz w:val="24"/>
          <w:lang w:val="en-IE"/>
        </w:rPr>
        <w:t xml:space="preserve">ching the declared objectives since it was evaluated as being comprehensive and having a medium assessment score. The ratio of one public recharging point per 5 electric vehicles estimated for 2020 indicates that Greece has defined appropriate targets for </w:t>
      </w:r>
      <w:r>
        <w:rPr>
          <w:rFonts w:ascii="Times New Roman" w:hAnsi="Times New Roman" w:cs="Times New Roman"/>
          <w:i/>
          <w:noProof/>
          <w:sz w:val="24"/>
          <w:lang w:val="en-IE"/>
        </w:rPr>
        <w:t>recharging infrastructure in line with the requirements of the Directive. The spatial distribution of the future recharging points is not provided in the NPF.</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Athens central airport in the TEN-T Core Network has currently fixed electricity supply point</w:t>
      </w:r>
      <w:r>
        <w:rPr>
          <w:rFonts w:ascii="Times New Roman" w:hAnsi="Times New Roman" w:cs="Times New Roman"/>
          <w:i/>
          <w:noProof/>
          <w:sz w:val="24"/>
          <w:lang w:val="en-IE"/>
        </w:rPr>
        <w:t>s and mobile ground power units for use by stationary airplanes. Other airports are using mobile ground power units. However, the Greek NPF does not include targets for electricity supply for stationary airplanes and it only mentions the possibility of pil</w:t>
      </w:r>
      <w:r>
        <w:rPr>
          <w:rFonts w:ascii="Times New Roman" w:hAnsi="Times New Roman" w:cs="Times New Roman"/>
          <w:i/>
          <w:noProof/>
          <w:sz w:val="24"/>
          <w:lang w:val="en-IE"/>
        </w:rPr>
        <w:t>ot deployment for evaluating the feasibility and viability of such electricity supply points at specific airports.</w:t>
      </w:r>
    </w:p>
    <w:p w:rsidR="003C43BF" w:rsidRDefault="006C3212">
      <w:pPr>
        <w:jc w:val="both"/>
        <w:rPr>
          <w:rFonts w:ascii="Times New Roman" w:hAnsi="Times New Roman" w:cs="Times New Roman"/>
          <w:b/>
          <w:i/>
          <w:noProof/>
          <w:sz w:val="24"/>
          <w:lang w:val="en-IE"/>
        </w:rPr>
      </w:pPr>
      <w:r>
        <w:rPr>
          <w:rFonts w:ascii="Times New Roman" w:hAnsi="Times New Roman" w:cs="Times New Roman"/>
          <w:i/>
          <w:noProof/>
          <w:sz w:val="24"/>
          <w:lang w:val="en-IE"/>
        </w:rPr>
        <w:t>In Greece, existing shore-side infrastructure for supplying electricity to ships primarily relates to tourist ports whereas at major maritime</w:t>
      </w:r>
      <w:r>
        <w:rPr>
          <w:rFonts w:ascii="Times New Roman" w:hAnsi="Times New Roman" w:cs="Times New Roman"/>
          <w:i/>
          <w:noProof/>
          <w:sz w:val="24"/>
          <w:lang w:val="en-IE"/>
        </w:rPr>
        <w:t xml:space="preserve"> ports infrastructure is limited and mainly relates to pilot applications (such as the ELEMED project). The Greek NPF contains targets for further increasing shore-side electricity in its ports, concrete values being provided for different categories of po</w:t>
      </w:r>
      <w:r>
        <w:rPr>
          <w:rFonts w:ascii="Times New Roman" w:hAnsi="Times New Roman" w:cs="Times New Roman"/>
          <w:i/>
          <w:noProof/>
          <w:sz w:val="24"/>
          <w:lang w:val="en-IE"/>
        </w:rPr>
        <w:t>rts (tourist ports, maritime ports of the TEN-T Core Network and outside of it). The NPF mentions that adopting a maritime electricity tariff category will be examined coupled with tax breaks for ships that use shore-side electricity supply.</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For CNG vehicl</w:t>
      </w:r>
      <w:r>
        <w:rPr>
          <w:rFonts w:ascii="Times New Roman" w:hAnsi="Times New Roman" w:cs="Times New Roman"/>
          <w:i/>
          <w:noProof/>
          <w:sz w:val="24"/>
          <w:lang w:val="en-IE"/>
        </w:rPr>
        <w:t>es, the estimated shares are slightly higher than for EVs (0.23% in 2020 and 0.5% in 2025). Due to high estimates for CNG vehicles and non-proportional expansion of refuelling points, the number of publicly accessible CNG refuelling points in the future wi</w:t>
      </w:r>
      <w:r>
        <w:rPr>
          <w:rFonts w:ascii="Times New Roman" w:hAnsi="Times New Roman" w:cs="Times New Roman"/>
          <w:i/>
          <w:noProof/>
          <w:sz w:val="24"/>
          <w:lang w:val="en-IE"/>
        </w:rPr>
        <w:t xml:space="preserve">ll likely be insufficient. The NPF shows the ambition of increasing the number of CNG refuelling points with 13 new ones by 2020 on selected urban agglomerations along the TEN-T Core Network in the framework of a project partially funded by the Connecting </w:t>
      </w:r>
      <w:r>
        <w:rPr>
          <w:rFonts w:ascii="Times New Roman" w:hAnsi="Times New Roman" w:cs="Times New Roman"/>
          <w:i/>
          <w:noProof/>
          <w:sz w:val="24"/>
          <w:lang w:val="en-IE"/>
        </w:rPr>
        <w:t>Europe Facility. The NPF also presents different projects to significantly extend the existing natural gas distribution network.</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NPF has established a target of 2 LNG refuelling points for heavy-duty vehicles in 2025, which is insufficient to ensure ap</w:t>
      </w:r>
      <w:r>
        <w:rPr>
          <w:rFonts w:ascii="Times New Roman" w:hAnsi="Times New Roman" w:cs="Times New Roman"/>
          <w:i/>
          <w:noProof/>
          <w:sz w:val="24"/>
          <w:lang w:val="en-IE"/>
        </w:rPr>
        <w:t>propriate coverage of the TEN-T Core Network on Greek territory. The NPF mentions also a project entailing the design and development of LNG tanker truck transhipment facilities at the Revythousa LNG terminal.</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Currently, only the Port of Piraeus has the po</w:t>
      </w:r>
      <w:r>
        <w:rPr>
          <w:rFonts w:ascii="Times New Roman" w:hAnsi="Times New Roman" w:cs="Times New Roman"/>
          <w:i/>
          <w:noProof/>
          <w:sz w:val="24"/>
          <w:lang w:val="en-IE"/>
        </w:rPr>
        <w:t xml:space="preserve">tential to provide ships berthed with LNG by transporting it from Revythousa facilities, using specially fitted ships. The Public Gas Corporation of Greece is currently examining the potential for developing LNG facilities at the other 4 maritime ports of </w:t>
      </w:r>
      <w:r>
        <w:rPr>
          <w:rFonts w:ascii="Times New Roman" w:hAnsi="Times New Roman" w:cs="Times New Roman"/>
          <w:i/>
          <w:noProof/>
          <w:sz w:val="24"/>
          <w:lang w:val="en-IE"/>
        </w:rPr>
        <w:t>the TEN-T Core Network.</w:t>
      </w:r>
    </w:p>
    <w:p w:rsidR="003C43BF" w:rsidRDefault="006C3212">
      <w:pPr>
        <w:jc w:val="both"/>
        <w:rPr>
          <w:rFonts w:ascii="Times New Roman" w:hAnsi="Times New Roman" w:cs="Times New Roman"/>
          <w:b/>
          <w:i/>
          <w:noProof/>
          <w:sz w:val="24"/>
          <w:lang w:val="en-IE"/>
        </w:rPr>
      </w:pPr>
      <w:r>
        <w:rPr>
          <w:rFonts w:ascii="Times New Roman" w:hAnsi="Times New Roman" w:cs="Times New Roman"/>
          <w:i/>
          <w:noProof/>
          <w:sz w:val="24"/>
          <w:lang w:val="en-IE"/>
        </w:rPr>
        <w:t xml:space="preserve">The Greek NPF presents the situation of LPG for which the current number of vehicles, corresponding to a share of 3.04% from all the vehicles in circulation, is expected to grow to shares higher than 4.5% in 2020, than 5.5% in 2025 </w:t>
      </w:r>
      <w:r>
        <w:rPr>
          <w:rFonts w:ascii="Times New Roman" w:hAnsi="Times New Roman" w:cs="Times New Roman"/>
          <w:i/>
          <w:noProof/>
          <w:sz w:val="24"/>
          <w:lang w:val="en-IE"/>
        </w:rPr>
        <w:t>and than 7.5% in 2030. It also establishes appropriate refuelling infrastructure targets consistent with the vehicle projections.</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Greek NPF does not examine the potential for using hydrogen in the transport sector.</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Greek NPF, intending to accelerat</w:t>
      </w:r>
      <w:r>
        <w:rPr>
          <w:rFonts w:ascii="Times New Roman" w:hAnsi="Times New Roman" w:cs="Times New Roman"/>
          <w:i/>
          <w:noProof/>
          <w:sz w:val="24"/>
          <w:lang w:val="en-IE"/>
        </w:rPr>
        <w:t>e the AF deployment in transport, contains a relatively wide portfolio of measures. More than half of the presented measures are of administrative, legislative and regulatory type targeting transposition provisions of the Directive and laying down terms an</w:t>
      </w:r>
      <w:r>
        <w:rPr>
          <w:rFonts w:ascii="Times New Roman" w:hAnsi="Times New Roman" w:cs="Times New Roman"/>
          <w:i/>
          <w:noProof/>
          <w:sz w:val="24"/>
          <w:lang w:val="en-IE"/>
        </w:rPr>
        <w:t xml:space="preserve">d conditions for the installation and operation of the AFI. A high amount of the measures is under consideration whilst only a reduced amount is already in place. Some of the mentioned measures seem to have the potential to contribute towards reaching the </w:t>
      </w:r>
      <w:r>
        <w:rPr>
          <w:rFonts w:ascii="Times New Roman" w:hAnsi="Times New Roman" w:cs="Times New Roman"/>
          <w:i/>
          <w:noProof/>
          <w:sz w:val="24"/>
          <w:lang w:val="en-IE"/>
        </w:rPr>
        <w:t xml:space="preserve">national targets and objectives. In many cases, the lack of concrete information (for example budget ceiling or quantification of future incentives) for the measures makes it difficult to evaluate the scope according to our methodology. </w:t>
      </w:r>
      <w:r>
        <w:rPr>
          <w:rFonts w:ascii="Times New Roman" w:hAnsi="Times New Roman" w:cs="Times New Roman"/>
          <w:i/>
          <w:noProof/>
          <w:color w:val="000000" w:themeColor="text1"/>
          <w:sz w:val="24"/>
          <w:lang w:val="en-IE"/>
        </w:rPr>
        <w:t>Electro-mobility is</w:t>
      </w:r>
      <w:r>
        <w:rPr>
          <w:rFonts w:ascii="Times New Roman" w:hAnsi="Times New Roman" w:cs="Times New Roman"/>
          <w:i/>
          <w:noProof/>
          <w:color w:val="000000" w:themeColor="text1"/>
          <w:sz w:val="24"/>
          <w:lang w:val="en-IE"/>
        </w:rPr>
        <w:t xml:space="preserve"> promoted mostly with financial measures in the form of taxation exemptions while </w:t>
      </w:r>
      <w:r>
        <w:rPr>
          <w:rFonts w:ascii="Times New Roman" w:hAnsi="Times New Roman" w:cs="Times New Roman"/>
          <w:i/>
          <w:noProof/>
          <w:sz w:val="24"/>
          <w:lang w:val="en-IE"/>
        </w:rPr>
        <w:t>direct incentives for purchase of vehicles are lacking. For natural gas, the Greek NPF focuses in a first stage to extend and improve the existing natural gas distribution ne</w:t>
      </w:r>
      <w:r>
        <w:rPr>
          <w:rFonts w:ascii="Times New Roman" w:hAnsi="Times New Roman" w:cs="Times New Roman"/>
          <w:i/>
          <w:noProof/>
          <w:sz w:val="24"/>
          <w:lang w:val="en-IE"/>
        </w:rPr>
        <w:t>twork. The NPF also contains several support measures to promote the deployment of alternative fuels infrastructure in public transport services and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i/>
          <w:noProof/>
          <w:color w:val="000000" w:themeColor="text1"/>
          <w:sz w:val="24"/>
          <w:lang w:val="en-IE"/>
        </w:rPr>
        <w:t>Greece is interested to cooperate with the neighbouring countri</w:t>
      </w:r>
      <w:r>
        <w:rPr>
          <w:rFonts w:ascii="Times New Roman" w:hAnsi="Times New Roman" w:cs="Times New Roman"/>
          <w:i/>
          <w:noProof/>
          <w:color w:val="000000" w:themeColor="text1"/>
          <w:sz w:val="24"/>
          <w:lang w:val="en-IE"/>
        </w:rPr>
        <w:t xml:space="preserve">es </w:t>
      </w:r>
      <w:r>
        <w:rPr>
          <w:rFonts w:ascii="Times New Roman" w:hAnsi="Times New Roman" w:cs="Times New Roman"/>
          <w:i/>
          <w:noProof/>
          <w:sz w:val="24"/>
          <w:lang w:val="en-IE"/>
        </w:rPr>
        <w:t>in the context of the deployment of alternative fuels infrastructure on the TEN-T Core Network</w:t>
      </w:r>
      <w:r>
        <w:rPr>
          <w:rFonts w:ascii="Times New Roman" w:hAnsi="Times New Roman" w:cs="Times New Roman"/>
          <w:i/>
          <w:noProof/>
          <w:color w:val="000000" w:themeColor="text1"/>
          <w:sz w:val="24"/>
          <w:lang w:val="en-IE"/>
        </w:rPr>
        <w:t xml:space="preserve"> to ensure EU-wide circulation. T</w:t>
      </w:r>
      <w:r>
        <w:rPr>
          <w:rFonts w:ascii="Times New Roman" w:hAnsi="Times New Roman" w:cs="Times New Roman"/>
          <w:i/>
          <w:noProof/>
          <w:sz w:val="24"/>
          <w:lang w:val="en-IE"/>
        </w:rPr>
        <w:t xml:space="preserve">he NPF states that Greece cooperates with Cyprus and Italy in the frame of the EU funded POSEIDON-MED ΙΙ project that aims to </w:t>
      </w:r>
      <w:r>
        <w:rPr>
          <w:rFonts w:ascii="Times New Roman" w:hAnsi="Times New Roman" w:cs="Times New Roman"/>
          <w:i/>
          <w:noProof/>
          <w:sz w:val="24"/>
          <w:lang w:val="en-IE"/>
        </w:rPr>
        <w:t xml:space="preserve">have LNG adopted as a marine fuel in the Eastern Mediterranean. Greece also cooperates with Cyprus and Slovenia in the frame of the ELEMED project regarding the introduction of shore-side electricity supply to the East Mediterranean Corridor (Adriatic and </w:t>
      </w:r>
      <w:r>
        <w:rPr>
          <w:rFonts w:ascii="Times New Roman" w:hAnsi="Times New Roman" w:cs="Times New Roman"/>
          <w:i/>
          <w:noProof/>
          <w:sz w:val="24"/>
          <w:lang w:val="en-IE"/>
        </w:rPr>
        <w:t>Ionian seas)</w:t>
      </w:r>
      <w:r>
        <w:rPr>
          <w:rFonts w:ascii="Times New Roman" w:hAnsi="Times New Roman" w:cs="Times New Roman"/>
          <w:noProof/>
          <w:sz w:val="24"/>
          <w:lang w:val="en-IE"/>
        </w:rPr>
        <w:t xml:space="preserve">. </w:t>
      </w: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color w:val="000000" w:themeColor="text1"/>
          <w:sz w:val="24"/>
          <w:lang w:val="en-IE"/>
        </w:rPr>
      </w:pPr>
      <w:bookmarkStart w:id="211" w:name="_Toc55301824"/>
      <w:bookmarkStart w:id="212" w:name="_Toc56944154"/>
      <w:r>
        <w:rPr>
          <w:rFonts w:ascii="Times New Roman" w:hAnsi="Times New Roman" w:cs="Times New Roman"/>
          <w:noProof/>
          <w:sz w:val="24"/>
          <w:lang w:val="en-IE"/>
        </w:rPr>
        <w:t>Overview of requirements’ fulfilment from Annex I of the Directive</w:t>
      </w:r>
      <w:bookmarkEnd w:id="211"/>
      <w:bookmarkEnd w:id="212"/>
      <w:r>
        <w:rPr>
          <w:rFonts w:ascii="Times New Roman" w:hAnsi="Times New Roman" w:cs="Times New Roman"/>
          <w:noProof/>
          <w:color w:val="000000" w:themeColor="text1"/>
          <w:sz w:val="24"/>
          <w:lang w:val="en-IE"/>
        </w:rPr>
        <w:tab/>
      </w:r>
    </w:p>
    <w:p w:rsidR="003C43BF" w:rsidRDefault="006C3212">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5.8.2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rsidR="003C43BF" w:rsidRDefault="006C3212">
      <w:pPr>
        <w:pStyle w:val="Text1"/>
        <w:tabs>
          <w:tab w:val="left" w:pos="720"/>
        </w:tabs>
        <w:spacing w:after="0"/>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353050" cy="7802880"/>
            <wp:effectExtent l="0" t="0" r="0"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53050" cy="7802880"/>
                    </a:xfrm>
                    <a:prstGeom prst="rect">
                      <a:avLst/>
                    </a:prstGeom>
                    <a:noFill/>
                  </pic:spPr>
                </pic:pic>
              </a:graphicData>
            </a:graphic>
          </wp:inline>
        </w:drawing>
      </w:r>
    </w:p>
    <w:p w:rsidR="003C43BF" w:rsidRDefault="003C43BF">
      <w:pPr>
        <w:pStyle w:val="Text1"/>
        <w:tabs>
          <w:tab w:val="left" w:pos="720"/>
        </w:tabs>
        <w:ind w:left="0"/>
        <w:jc w:val="both"/>
        <w:rPr>
          <w:rFonts w:ascii="Times New Roman" w:hAnsi="Times New Roman" w:cs="Times New Roman"/>
          <w:noProof/>
          <w:sz w:val="24"/>
          <w:lang w:val="en-IE"/>
        </w:rPr>
      </w:pP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checklist shows the requirements of Annex I from the Directive that are covered in the EL NIR.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covered for all modes; CNG, LNG, and LPG for road transport; LNG also for waterb</w:t>
      </w:r>
      <w:r>
        <w:rPr>
          <w:rFonts w:ascii="Times New Roman" w:hAnsi="Times New Roman" w:cs="Times New Roman"/>
          <w:noProof/>
          <w:sz w:val="24"/>
          <w:lang w:val="en-IE"/>
        </w:rPr>
        <w:t xml:space="preserve">orne maritime transport; all the other combinations are either absent or not applicable. </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Greek NIR reports 83 measures in total (of which 70 are Legal measures). </w:t>
      </w:r>
      <w:r>
        <w:rPr>
          <w:rFonts w:ascii="Times New Roman" w:hAnsi="Times New Roman" w:cs="Times New Roman"/>
          <w:iCs/>
          <w:noProof/>
          <w:sz w:val="24"/>
          <w:lang w:val="en-IE"/>
        </w:rPr>
        <w:t>Under the Policy and Deployment &amp; Manufacturing sections it was possible to identify thre</w:t>
      </w:r>
      <w:r>
        <w:rPr>
          <w:rFonts w:ascii="Times New Roman" w:hAnsi="Times New Roman" w:cs="Times New Roman"/>
          <w:iCs/>
          <w:noProof/>
          <w:sz w:val="24"/>
          <w:lang w:val="en-IE"/>
        </w:rPr>
        <w:t>e AF/transport mode clusters of measures, all assessable.</w:t>
      </w:r>
    </w:p>
    <w:p w:rsidR="003C43BF" w:rsidRDefault="006C3212">
      <w:pPr>
        <w:pStyle w:val="Heading3"/>
        <w:ind w:left="720"/>
        <w:rPr>
          <w:rFonts w:ascii="Times New Roman" w:hAnsi="Times New Roman" w:cs="Times New Roman"/>
          <w:noProof/>
          <w:sz w:val="24"/>
          <w:lang w:val="fr-BE"/>
        </w:rPr>
      </w:pPr>
      <w:bookmarkStart w:id="213" w:name="_Toc55301825"/>
      <w:bookmarkStart w:id="214" w:name="_Toc55301826"/>
      <w:bookmarkStart w:id="215" w:name="_Toc56944155"/>
      <w:bookmarkEnd w:id="213"/>
      <w:r>
        <w:rPr>
          <w:rFonts w:ascii="Times New Roman" w:hAnsi="Times New Roman" w:cs="Times New Roman"/>
          <w:noProof/>
          <w:sz w:val="24"/>
          <w:lang w:val="fr-BE"/>
        </w:rPr>
        <w:t>Quantitative assessment: Vehicles and infrastructure</w:t>
      </w:r>
      <w:bookmarkEnd w:id="214"/>
      <w:bookmarkEnd w:id="215"/>
      <w:r>
        <w:rPr>
          <w:rFonts w:ascii="Times New Roman" w:hAnsi="Times New Roman" w:cs="Times New Roman"/>
          <w:noProof/>
          <w:sz w:val="24"/>
          <w:lang w:val="fr-BE"/>
        </w:rPr>
        <w:t xml:space="preserve"> </w:t>
      </w:r>
    </w:p>
    <w:p w:rsidR="003C43BF" w:rsidRDefault="006C3212">
      <w:pPr>
        <w:pStyle w:val="Caption"/>
        <w:keepNext/>
        <w:jc w:val="both"/>
        <w:rPr>
          <w:rFonts w:ascii="Times New Roman" w:hAnsi="Times New Roman" w:cs="Times New Roman"/>
          <w:b w:val="0"/>
          <w:i/>
          <w:noProof/>
          <w:sz w:val="20"/>
          <w:szCs w:val="18"/>
          <w:lang w:val="en-IE"/>
        </w:rPr>
      </w:pPr>
      <w:bookmarkStart w:id="216" w:name="_Ref53503132"/>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5.8.3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216"/>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 xml:space="preserve">National AFV estimates and AFI targets established in the NIR at the horizon 2020, 2025 and 2030 and their comparison with the NPF situation </w:t>
      </w:r>
    </w:p>
    <w:p w:rsidR="003C43BF" w:rsidRDefault="006C3212">
      <w:pPr>
        <w:pStyle w:val="Text1"/>
        <w:tabs>
          <w:tab w:val="left" w:pos="720"/>
        </w:tabs>
        <w:spacing w:after="0"/>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699760" cy="6617348"/>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1225" cy="6619049"/>
                    </a:xfrm>
                    <a:prstGeom prst="rect">
                      <a:avLst/>
                    </a:prstGeom>
                    <a:noFill/>
                  </pic:spPr>
                </pic:pic>
              </a:graphicData>
            </a:graphic>
          </wp:inline>
        </w:drawing>
      </w:r>
    </w:p>
    <w:p w:rsidR="003C43BF" w:rsidRDefault="006C3212">
      <w:pPr>
        <w:pStyle w:val="Text1"/>
        <w:tabs>
          <w:tab w:val="left" w:pos="720"/>
        </w:tabs>
        <w:spacing w:after="0"/>
        <w:ind w:left="0"/>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3630304" cy="437362"/>
            <wp:effectExtent l="0" t="0" r="0" b="127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tabs>
          <w:tab w:val="left" w:pos="360"/>
        </w:tabs>
        <w:jc w:val="both"/>
        <w:rPr>
          <w:rFonts w:ascii="Times New Roman" w:hAnsi="Times New Roman" w:cs="Times New Roman"/>
          <w:noProof/>
          <w:sz w:val="20"/>
          <w:lang w:val="en-IE"/>
        </w:rPr>
      </w:pPr>
      <w:r>
        <w:rPr>
          <w:rFonts w:ascii="Times New Roman" w:hAnsi="Times New Roman" w:cs="Times New Roman"/>
          <w:noProof/>
          <w:sz w:val="20"/>
          <w:lang w:val="en-IE"/>
        </w:rPr>
        <w:t xml:space="preserve">* Values taken from the Greek NPF since the NIR only provided total recharging infrastructure targets and no breakdown for publicly accessible and private infrastructure. </w:t>
      </w:r>
    </w:p>
    <w:p w:rsidR="003C43BF" w:rsidRDefault="003C43BF">
      <w:pPr>
        <w:tabs>
          <w:tab w:val="left" w:pos="360"/>
        </w:tabs>
        <w:jc w:val="both"/>
        <w:rPr>
          <w:rFonts w:ascii="Times New Roman" w:hAnsi="Times New Roman" w:cs="Times New Roman"/>
          <w:noProof/>
          <w:sz w:val="20"/>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Greece recorded 345 electric vehicles in use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_Ref53503132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322 were passenger cars (308 BEV and 14 PHEV), 21 LCVs (all BEV) and </w:t>
      </w:r>
      <w:r>
        <w:rPr>
          <w:rFonts w:ascii="Times New Roman" w:hAnsi="Times New Roman" w:cs="Times New Roman"/>
          <w:noProof/>
          <w:sz w:val="24"/>
          <w:lang w:val="en-IE"/>
        </w:rPr>
        <w:t>2 BEV buses and coaches. The Greek NIR also reports 387 PTWs in 2018. For the next decade, the EL NIR provides estimates that seem to also include PWTs. These are 3,500 for 2020, 8,000 for 2025 and 15,000 for 2030 and are identical to the NPF. As for the h</w:t>
      </w:r>
      <w:r>
        <w:rPr>
          <w:rFonts w:ascii="Times New Roman" w:hAnsi="Times New Roman" w:cs="Times New Roman"/>
          <w:noProof/>
          <w:sz w:val="24"/>
          <w:lang w:val="en-IE"/>
        </w:rPr>
        <w:t>eavy-duty sector, the EL NIR only estimates 40 BEV buses and coaches for 2025 and 90 for 2030.</w:t>
      </w:r>
    </w:p>
    <w:p w:rsidR="003C43BF" w:rsidRDefault="006C3212">
      <w:pPr>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EV future estimates is 10% for 2020 and 2.3%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the 2018 situatio</w:t>
      </w:r>
      <w:r>
        <w:rPr>
          <w:rFonts w:ascii="Times New Roman" w:hAnsi="Times New Roman" w:cs="Times New Roman"/>
          <w:iCs/>
          <w:noProof/>
          <w:color w:val="000000" w:themeColor="text1"/>
          <w:sz w:val="24"/>
          <w:lang w:val="en-IE"/>
        </w:rPr>
        <w:t xml:space="preserve">n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 envisaged EV estimates.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EV fleet evolution planned by Greece is equal to 35%.</w:t>
      </w:r>
    </w:p>
    <w:p w:rsidR="003C43BF" w:rsidRDefault="006C3212">
      <w:pPr>
        <w:pStyle w:val="Heading6"/>
        <w:numPr>
          <w:ilvl w:val="0"/>
          <w:numId w:val="0"/>
        </w:numPr>
        <w:rPr>
          <w:rFonts w:ascii="Times New Roman" w:hAnsi="Times New Roman" w:cs="Times New Roman"/>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Greece recorded 46 </w:t>
      </w:r>
      <w:r>
        <w:rPr>
          <w:rFonts w:ascii="Times New Roman" w:hAnsi="Times New Roman" w:cs="Times New Roman"/>
          <w:noProof/>
          <w:sz w:val="24"/>
          <w:lang w:val="en-IE"/>
        </w:rPr>
        <w:t>publicly accessible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_Ref53503132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40 normal power (≤22kW) and 6 high power (&gt;22kW) recharging points. For the next </w:t>
      </w:r>
      <w:r>
        <w:rPr>
          <w:rFonts w:ascii="Times New Roman" w:hAnsi="Times New Roman" w:cs="Times New Roman"/>
          <w:noProof/>
          <w:sz w:val="24"/>
          <w:lang w:val="en-IE"/>
        </w:rPr>
        <w:t>decade the EL NIR presents combined targets for the number of recharging points (public + private) for 2020 and 2030 (and they are identical to those in the NPF). Only for the year 2025, the EL NIR provides the breakdown between public and private rechargi</w:t>
      </w:r>
      <w:r>
        <w:rPr>
          <w:rFonts w:ascii="Times New Roman" w:hAnsi="Times New Roman" w:cs="Times New Roman"/>
          <w:noProof/>
          <w:sz w:val="24"/>
          <w:lang w:val="en-IE"/>
        </w:rPr>
        <w:t>ng points (again identical to the NPF). The NPF however had provided targets for publicly accessible recharging points also for 2020 and 2030. On this basis, the NPF targets have been assumed still valid also for the NIR. Thus 700 publicly accessible recha</w:t>
      </w:r>
      <w:r>
        <w:rPr>
          <w:rFonts w:ascii="Times New Roman" w:hAnsi="Times New Roman" w:cs="Times New Roman"/>
          <w:noProof/>
          <w:sz w:val="24"/>
          <w:lang w:val="en-IE"/>
        </w:rPr>
        <w:t xml:space="preserve">rging points for 2020, 4,000 for 2025 and 10,000 for 2030, are indicated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_Ref53503132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No information is available on the future share of high power</w:t>
      </w:r>
      <w:r>
        <w:rPr>
          <w:rFonts w:ascii="Times New Roman" w:hAnsi="Times New Roman" w:cs="Times New Roman"/>
          <w:noProof/>
          <w:sz w:val="24"/>
          <w:lang w:val="en-IE"/>
        </w:rPr>
        <w:t xml:space="preserve"> recharging points in the total number or public recharging points.</w:t>
      </w:r>
    </w:p>
    <w:p w:rsidR="003C43BF" w:rsidRDefault="006C3212">
      <w:pPr>
        <w:tabs>
          <w:tab w:val="left" w:pos="360"/>
        </w:tabs>
        <w:spacing w:after="120" w:line="240" w:lineRule="auto"/>
        <w:jc w:val="both"/>
        <w:rPr>
          <w:rFonts w:ascii="Times New Roman" w:hAnsi="Times New Roman" w:cs="Times New Roman"/>
          <w:i/>
          <w:noProof/>
          <w:sz w:val="24"/>
          <w:highlight w:val="yellow"/>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publicly accessible recharging infrastructure target is 6.57% for 2020 and 0.46%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t</w:t>
      </w:r>
      <w:r>
        <w:rPr>
          <w:rFonts w:ascii="Times New Roman" w:hAnsi="Times New Roman" w:cs="Times New Roman"/>
          <w:iCs/>
          <w:noProof/>
          <w:color w:val="000000" w:themeColor="text1"/>
          <w:sz w:val="24"/>
          <w:lang w:val="en-IE"/>
        </w:rPr>
        <w:t xml:space="preserve">he 2018 situation corresponds to a </w:t>
      </w:r>
      <w:r>
        <w:rPr>
          <w:rFonts w:ascii="Times New Roman" w:hAnsi="Times New Roman" w:cs="Times New Roman"/>
          <w:b/>
          <w:i/>
          <w:iCs/>
          <w:noProof/>
          <w:color w:val="000000" w:themeColor="text1"/>
          <w:sz w:val="24"/>
          <w:lang w:val="en-IE"/>
        </w:rPr>
        <w:t>slow progress</w:t>
      </w:r>
      <w:r>
        <w:rPr>
          <w:rFonts w:ascii="Times New Roman" w:hAnsi="Times New Roman" w:cs="Times New Roman"/>
          <w:iCs/>
          <w:noProof/>
          <w:color w:val="000000" w:themeColor="text1"/>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recharging infrastructure evolution planned by Greece is equa</w:t>
      </w:r>
      <w:r>
        <w:rPr>
          <w:rFonts w:ascii="Times New Roman" w:hAnsi="Times New Roman" w:cs="Times New Roman"/>
          <w:iCs/>
          <w:noProof/>
          <w:color w:val="000000" w:themeColor="text1"/>
          <w:sz w:val="24"/>
          <w:lang w:val="en-IE"/>
        </w:rPr>
        <w:t xml:space="preserve">l to 49%.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EL NIR, the following table shows the ratio between vehicles and publicly accessible recharging points (i.e. sufficiency index) for the pair electricity/road. Because the Greek NIR has not clearly indicated the 2020 and 2030 t</w:t>
      </w:r>
      <w:r>
        <w:rPr>
          <w:rFonts w:ascii="Times New Roman" w:hAnsi="Times New Roman" w:cs="Times New Roman"/>
          <w:noProof/>
          <w:sz w:val="24"/>
          <w:lang w:val="en-IE"/>
        </w:rPr>
        <w:t>argets for public recharging points, the sufficiency index is not reported in the table. When using the numbers from the NPF, the sufficiency index would be 5 for 2020 and 1.5 for 2030. This represents an adequate sufficiency index for the whole period.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06060" cy="552527"/>
            <wp:effectExtent l="0" t="0" r="8890"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06060" cy="552527"/>
                    </a:xfrm>
                    <a:prstGeom prst="rect">
                      <a:avLst/>
                    </a:prstGeom>
                  </pic:spPr>
                </pic:pic>
              </a:graphicData>
            </a:graphic>
          </wp:inline>
        </w:drawing>
      </w:r>
    </w:p>
    <w:p w:rsidR="003C43BF" w:rsidRDefault="003C43BF">
      <w:pPr>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EL NIR.</w:t>
      </w:r>
    </w:p>
    <w:p w:rsidR="003C43BF" w:rsidRDefault="003C43BF">
      <w:pPr>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Greece recorded 1,406 CNG vehicles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_Ref53503132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_Ref37758073 \h  \* MERGEFORMAT </w:instrText>
      </w:r>
      <w:r>
        <w:rPr>
          <w:rFonts w:ascii="Times New Roman" w:hAnsi="Times New Roman" w:cs="Times New Roman"/>
          <w:noProof/>
          <w:sz w:val="24"/>
          <w:lang w:val="en-IE"/>
        </w:rPr>
        <w:fldChar w:fldCharType="separate"/>
      </w:r>
      <w:r>
        <w:rPr>
          <w:rFonts w:ascii="Times New Roman" w:hAnsi="Times New Roman" w:cs="Times New Roman"/>
          <w:b/>
          <w:bCs/>
          <w:noProof/>
          <w:sz w:val="24"/>
          <w:lang w:val="en-US"/>
        </w:rPr>
        <w:t>Error! Reference source not found.</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920 were passenger cars, 130 LCVs, 109 HCVs and 247 buses and coaches. In addition, the EL NIR presents an estimate of 2,570 vehicles for</w:t>
      </w:r>
      <w:r>
        <w:rPr>
          <w:rFonts w:ascii="Times New Roman" w:hAnsi="Times New Roman" w:cs="Times New Roman"/>
          <w:noProof/>
          <w:sz w:val="24"/>
          <w:lang w:val="en-IE"/>
        </w:rPr>
        <w:t xml:space="preserve"> 2020, of 5,050 vehicles for 2025, and of 11,550 vehicles for 2030 (made by 10,000 passenger cars, 250 HDVs and 1,200 buses and coaches). The estimated numbers in the NPF were however considerably higher (13,500, 35,000, and 70,000 in 2020, 2025, and 2030,</w:t>
      </w:r>
      <w:r>
        <w:rPr>
          <w:rFonts w:ascii="Times New Roman" w:hAnsi="Times New Roman" w:cs="Times New Roman"/>
          <w:noProof/>
          <w:sz w:val="24"/>
          <w:lang w:val="en-IE"/>
        </w:rPr>
        <w:t xml:space="preserve"> respectively), indicating that the ambition has decreased from the NPF to NIR.</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CNG vehicles estimates is around 55% for 2020 and around 12%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 envisaged CNG vehicles estimates.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Greece is equal t</w:t>
      </w:r>
      <w:r>
        <w:rPr>
          <w:rFonts w:ascii="Times New Roman" w:hAnsi="Times New Roman" w:cs="Times New Roman"/>
          <w:iCs/>
          <w:noProof/>
          <w:color w:val="000000" w:themeColor="text1"/>
          <w:sz w:val="24"/>
          <w:lang w:val="en-IE"/>
        </w:rPr>
        <w:t>o 19%.</w:t>
      </w:r>
      <w:r>
        <w:rPr>
          <w:rFonts w:ascii="Times New Roman" w:hAnsi="Times New Roman" w:cs="Times New Roman"/>
          <w:noProof/>
          <w:sz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Greek NIR reports 11 CNG refuelling points in 2016 and 2017, 13 in 2018, and targets 22 refuelling points in 2020, 35 in 2025, and 55 in 2030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_Ref53503132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These numbers are identical to the NPF.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b/>
          <w:noProof/>
          <w:sz w:val="24"/>
          <w:lang w:val="en-IE"/>
        </w:rPr>
        <w:t xml:space="preserve"> </w:t>
      </w:r>
      <w:r>
        <w:rPr>
          <w:rFonts w:ascii="Times New Roman" w:hAnsi="Times New Roman" w:cs="Times New Roman"/>
          <w:noProof/>
          <w:sz w:val="24"/>
          <w:lang w:val="en-IE"/>
        </w:rPr>
        <w:t>of future publicly accessible CNG refuelling infrastructure targets is close to 59% for 2020 and close to 24% for 2030. According</w:t>
      </w:r>
      <w:r>
        <w:rPr>
          <w:rFonts w:ascii="Times New Roman" w:hAnsi="Times New Roman" w:cs="Times New Roman"/>
          <w:noProof/>
          <w:sz w:val="24"/>
          <w:lang w:val="en-IE"/>
        </w:rPr>
        <w:t xml:space="preserve">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2018 situation corresponds to a </w:t>
      </w:r>
      <w:r>
        <w:rPr>
          <w:rFonts w:ascii="Times New Roman" w:hAnsi="Times New Roman" w:cs="Times New Roman"/>
          <w:b/>
          <w:i/>
          <w:noProof/>
          <w:sz w:val="24"/>
          <w:lang w:val="en-IE"/>
        </w:rPr>
        <w:t>slow progress</w:t>
      </w:r>
      <w:r>
        <w:rPr>
          <w:rFonts w:ascii="Times New Roman" w:hAnsi="Times New Roman" w:cs="Times New Roman"/>
          <w:noProof/>
          <w:sz w:val="24"/>
          <w:lang w:val="en-IE"/>
        </w:rPr>
        <w:t xml:space="preserve"> towards reaching these envisaged targets</w:t>
      </w:r>
      <w:r>
        <w:rPr>
          <w:rFonts w:ascii="Times New Roman" w:hAnsi="Times New Roman" w:cs="Times New Roman"/>
          <w:iCs/>
          <w:noProof/>
          <w:color w:val="000000" w:themeColor="text1"/>
          <w:sz w:val="24"/>
          <w:lang w:val="en-IE"/>
        </w:rPr>
        <w:t xml:space="preserve">.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2016-2025 for publicly accessible CNG</w:t>
      </w:r>
      <w:r>
        <w:rPr>
          <w:rFonts w:ascii="Times New Roman" w:hAnsi="Times New Roman" w:cs="Times New Roman"/>
          <w:iCs/>
          <w:noProof/>
          <w:color w:val="000000" w:themeColor="text1"/>
          <w:sz w:val="24"/>
          <w:lang w:val="en-IE"/>
        </w:rPr>
        <w:t xml:space="preserve"> refuelling infrastructure evolution planned by Greece is equal to</w:t>
      </w:r>
      <w:r>
        <w:rPr>
          <w:rFonts w:ascii="Times New Roman" w:hAnsi="Times New Roman" w:cs="Times New Roman"/>
          <w:noProof/>
          <w:sz w:val="24"/>
          <w:lang w:val="en-IE"/>
        </w:rPr>
        <w:t xml:space="preserve"> 12%.</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EL NIR, the following table shows the ratio between vehicles and publicly accessible refuelling points (i.e. sufficiency index) for the pair CNG/road. It can be seen</w:t>
      </w:r>
      <w:r>
        <w:rPr>
          <w:rFonts w:ascii="Times New Roman" w:hAnsi="Times New Roman" w:cs="Times New Roman"/>
          <w:noProof/>
          <w:sz w:val="24"/>
          <w:lang w:val="en-IE"/>
        </w:rPr>
        <w:t xml:space="preserve"> that the sufficiency index is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xml:space="preserve">) for the whole period 2016-2030.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896533" cy="457264"/>
            <wp:effectExtent l="0" t="0" r="0"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96533" cy="457264"/>
                    </a:xfrm>
                    <a:prstGeom prst="rect">
                      <a:avLst/>
                    </a:prstGeom>
                  </pic:spPr>
                </pic:pic>
              </a:graphicData>
            </a:graphic>
          </wp:inline>
        </w:drawing>
      </w:r>
    </w:p>
    <w:p w:rsidR="003C43BF" w:rsidRDefault="003C43BF">
      <w:pPr>
        <w:jc w:val="both"/>
        <w:rPr>
          <w:rFonts w:ascii="Times New Roman" w:hAnsi="Times New Roman" w:cs="Times New Roman"/>
          <w:noProof/>
          <w:sz w:val="24"/>
          <w:lang w:val="en-IE"/>
        </w:rPr>
      </w:pP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Greece recorded no LNG vehicles in 2018. For next years, the EL NIR confirms the NPF estimate of zero, 250 and 900 LNG vehicles (all of them heavy commercial vehicles) for the years 2020, 2025 and 2030, respectively.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 xml:space="preserve">at the end of 2018 there are no </w:t>
      </w:r>
      <w:r>
        <w:rPr>
          <w:rFonts w:ascii="Times New Roman" w:hAnsi="Times New Roman" w:cs="Times New Roman"/>
          <w:iCs/>
          <w:noProof/>
          <w:color w:val="000000" w:themeColor="text1"/>
          <w:sz w:val="24"/>
          <w:lang w:val="en-IE"/>
        </w:rPr>
        <w:t>LNG vehicles 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Greece reported no LNG refuelling points in use for road vehicles in 2018, and has set a target of one public LNG refuelling point in 2020, two in 2025, and four</w:t>
      </w:r>
      <w:r>
        <w:rPr>
          <w:rFonts w:ascii="Times New Roman" w:hAnsi="Times New Roman" w:cs="Times New Roman"/>
          <w:noProof/>
          <w:sz w:val="24"/>
          <w:lang w:val="en-IE"/>
        </w:rPr>
        <w:t xml:space="preserve"> in 2030, as it can be seen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_Ref53503132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(in line with the values reported in the NPF).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 xml:space="preserve">at the end of 2018 there are no LNG refuelling points </w:t>
      </w:r>
      <w:r>
        <w:rPr>
          <w:rFonts w:ascii="Times New Roman" w:hAnsi="Times New Roman" w:cs="Times New Roman"/>
          <w:iCs/>
          <w:noProof/>
          <w:color w:val="000000" w:themeColor="text1"/>
          <w:sz w:val="24"/>
          <w:lang w:val="en-IE"/>
        </w:rPr>
        <w:t>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Based on the EL NIR, the following table shows the ratio between vehicles and publicly accessible refuelling points (i.e. sufficiency index) for the pair LNG/road.</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06060" cy="457264"/>
            <wp:effectExtent l="0" t="0" r="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06060" cy="457264"/>
                    </a:xfrm>
                    <a:prstGeom prst="rect">
                      <a:avLst/>
                    </a:prstGeom>
                  </pic:spPr>
                </pic:pic>
              </a:graphicData>
            </a:graphic>
          </wp:inline>
        </w:drawing>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NPF, the Greek NIR reports no hydrogen in 2018 and does not foresee any development in the future.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bCs/>
          <w:noProof/>
          <w:sz w:val="24"/>
          <w:lang w:val="en-IE"/>
        </w:rPr>
        <w:t xml:space="preserve">The Greek NIR </w:t>
      </w:r>
      <w:r>
        <w:rPr>
          <w:rFonts w:ascii="Times New Roman" w:hAnsi="Times New Roman" w:cs="Times New Roman"/>
          <w:noProof/>
          <w:sz w:val="24"/>
          <w:lang w:val="en-IE"/>
        </w:rPr>
        <w:t>reports no hydrogen refuelling point in 2018 and</w:t>
      </w:r>
      <w:r>
        <w:rPr>
          <w:rFonts w:ascii="Times New Roman" w:hAnsi="Times New Roman" w:cs="Times New Roman"/>
          <w:bCs/>
          <w:noProof/>
          <w:sz w:val="24"/>
          <w:lang w:val="en-IE"/>
        </w:rPr>
        <w:t xml:space="preserve">, similarly to the NPF, </w:t>
      </w:r>
      <w:r>
        <w:rPr>
          <w:rFonts w:ascii="Times New Roman" w:hAnsi="Times New Roman" w:cs="Times New Roman"/>
          <w:noProof/>
          <w:sz w:val="24"/>
          <w:lang w:val="en-IE"/>
        </w:rPr>
        <w:t>does not foresee any development in t</w:t>
      </w:r>
      <w:r>
        <w:rPr>
          <w:rFonts w:ascii="Times New Roman" w:hAnsi="Times New Roman" w:cs="Times New Roman"/>
          <w:noProof/>
          <w:sz w:val="24"/>
          <w:lang w:val="en-IE"/>
        </w:rPr>
        <w:t>he future</w:t>
      </w:r>
      <w:r>
        <w:rPr>
          <w:rFonts w:ascii="Times New Roman" w:hAnsi="Times New Roman" w:cs="Times New Roman"/>
          <w:bCs/>
          <w:noProof/>
          <w:sz w:val="24"/>
          <w:lang w:val="en-IE"/>
        </w:rPr>
        <w:t>.</w:t>
      </w:r>
      <w:r>
        <w:rPr>
          <w:rFonts w:ascii="Times New Roman" w:hAnsi="Times New Roman" w:cs="Times New Roman"/>
          <w:noProof/>
          <w:sz w:val="24"/>
          <w:lang w:val="en-IE"/>
        </w:rPr>
        <w:t xml:space="preserve"> </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Greek NIR reports a long list of norms and regulations setting the specifications of biofuels (ethanol and biodiesel) and allowing the possibility to sell biofuels either mixed with conventional fuels, or neat. However the</w:t>
      </w:r>
      <w:r>
        <w:rPr>
          <w:rFonts w:ascii="Times New Roman" w:hAnsi="Times New Roman" w:cs="Times New Roman"/>
          <w:noProof/>
          <w:sz w:val="24"/>
          <w:lang w:val="en-IE"/>
        </w:rPr>
        <w:t>re is no information on number of vehicles or on consumption of biofuels in Greece.</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w w:val="105"/>
          <w:sz w:val="24"/>
          <w:lang w:val="en-IE"/>
        </w:rPr>
      </w:pPr>
      <w:r>
        <w:rPr>
          <w:rFonts w:ascii="Times New Roman" w:hAnsi="Times New Roman" w:cs="Times New Roman"/>
          <w:noProof/>
          <w:w w:val="105"/>
          <w:sz w:val="24"/>
          <w:lang w:val="en-IE"/>
        </w:rPr>
        <w:t>The Greek NPF had stated that there is no infrastructure to provide biofuels or synthetic and paraffinic fuels. Biofuels are available in liquid or gaseous form and are sold on the Greek market mixed with diesel (biodiesel) or gasoline (ethanol) directly f</w:t>
      </w:r>
      <w:r>
        <w:rPr>
          <w:rFonts w:ascii="Times New Roman" w:hAnsi="Times New Roman" w:cs="Times New Roman"/>
          <w:noProof/>
          <w:w w:val="105"/>
          <w:sz w:val="24"/>
          <w:lang w:val="en-IE"/>
        </w:rPr>
        <w:t xml:space="preserve">rom existing refineries. </w:t>
      </w:r>
      <w:r>
        <w:rPr>
          <w:rFonts w:ascii="Times New Roman" w:hAnsi="Times New Roman" w:cs="Times New Roman"/>
          <w:noProof/>
          <w:sz w:val="24"/>
          <w:lang w:val="en-IE"/>
        </w:rPr>
        <w:t xml:space="preserve">No future targets are given in the Greek NIR. </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Greece recorded 343 pure LPG vehicles in use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_Ref53503132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248 were passenger cars, 80 LCVs, 11 HCVs and 4 buses and coaches). In the NPF, the reported situation was very different, with 264,053 LPG vehicles (for the year 2016) because the </w:t>
      </w:r>
      <w:r>
        <w:rPr>
          <w:rFonts w:ascii="Times New Roman" w:hAnsi="Times New Roman" w:cs="Times New Roman"/>
          <w:noProof/>
          <w:sz w:val="24"/>
          <w:lang w:val="en-IE"/>
        </w:rPr>
        <w:t>bi-fuel (petrol-LPG) vehicles were included. Now the EL NIR presents the future estimates of pure LPG vehicles, which are 450, 600, and 750, for 2020, 2025, and 2030, respectively. Because the NPF had provided future estimates regarding bi-fuel vehicles, i</w:t>
      </w:r>
      <w:r>
        <w:rPr>
          <w:rFonts w:ascii="Times New Roman" w:hAnsi="Times New Roman" w:cs="Times New Roman"/>
          <w:noProof/>
          <w:sz w:val="24"/>
          <w:lang w:val="en-IE"/>
        </w:rPr>
        <w:t xml:space="preserve">t is not possible to assess the change between the NIR and NPF. </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LPG vehicles estimates is 76.22% for 2020 and 45.73%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Greece </w:t>
      </w:r>
      <w:r>
        <w:rPr>
          <w:rFonts w:ascii="Times New Roman" w:hAnsi="Times New Roman" w:cs="Times New Roman"/>
          <w:iCs/>
          <w:noProof/>
          <w:color w:val="000000" w:themeColor="text1"/>
          <w:sz w:val="24"/>
          <w:lang w:val="en-IE"/>
        </w:rPr>
        <w:t xml:space="preserve">from 2016 until 2018 for LPG vehicles deployment is -14.33% of the overall planned deployment during the period 2016-2030, because a decrease has been reported between 2016 and 2018.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Greek NIR provides information on the number of publi</w:t>
      </w:r>
      <w:r>
        <w:rPr>
          <w:rFonts w:ascii="Times New Roman" w:hAnsi="Times New Roman" w:cs="Times New Roman"/>
          <w:noProof/>
          <w:sz w:val="24"/>
          <w:lang w:val="en-IE"/>
        </w:rPr>
        <w:t xml:space="preserve">cly accessible LPG refuelling points for the period 2016-2018 (634 points in 2016, 811 in 2017, and 1,050 in 2018) and the future targets (1,100 in 2020, and 1,500 in 2025). The target for 2030 is missing in the NIR. </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of future publicly</w:t>
      </w:r>
      <w:r>
        <w:rPr>
          <w:rFonts w:ascii="Times New Roman" w:hAnsi="Times New Roman" w:cs="Times New Roman"/>
          <w:iCs/>
          <w:noProof/>
          <w:color w:val="000000" w:themeColor="text1"/>
          <w:sz w:val="24"/>
          <w:lang w:val="en-IE"/>
        </w:rPr>
        <w:t xml:space="preserve"> accessible LPG refuelling infrastructure targets is 95.45% for 2020 and 70% for 2025.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could not be computed </w:t>
      </w:r>
      <w:r>
        <w:rPr>
          <w:rFonts w:ascii="Times New Roman" w:hAnsi="Times New Roman" w:cs="Times New Roman"/>
          <w:noProof/>
          <w:color w:val="000000" w:themeColor="text1"/>
          <w:sz w:val="24"/>
          <w:shd w:val="clear" w:color="auto" w:fill="FFFFFF"/>
          <w:lang w:val="en-IE"/>
        </w:rPr>
        <w:t>due the lack of the 2030 target</w:t>
      </w:r>
      <w:r>
        <w:rPr>
          <w:rFonts w:ascii="Times New Roman" w:hAnsi="Times New Roman" w:cs="Times New Roman"/>
          <w:iCs/>
          <w:noProof/>
          <w:color w:val="000000" w:themeColor="text1"/>
          <w:sz w:val="24"/>
          <w:lang w:val="en-IE"/>
        </w:rPr>
        <w:t>.</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EL NIR, it is not possible to calculate the ratio between vehicles and publicly ac</w:t>
      </w:r>
      <w:r>
        <w:rPr>
          <w:rFonts w:ascii="Times New Roman" w:hAnsi="Times New Roman" w:cs="Times New Roman"/>
          <w:noProof/>
          <w:sz w:val="24"/>
          <w:lang w:val="en-IE"/>
        </w:rPr>
        <w:t>cessible refuelling points (i.e. sufficiency index) for the pair LPG/road, because the LPG infrastructure is clearly dimensioned and used by the bi-fuel vehicles too.</w:t>
      </w:r>
    </w:p>
    <w:p w:rsidR="003C43BF" w:rsidRDefault="003C43BF">
      <w:pPr>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Greece recorded 30 (presumably new) electric locomotives in 2018, but no future estimates.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Greek NIR. </w:t>
      </w:r>
    </w:p>
    <w:p w:rsidR="003C43BF" w:rsidRDefault="003C43BF">
      <w:pPr>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Greece has no electric vessels and does not give</w:t>
      </w:r>
      <w:r>
        <w:rPr>
          <w:rFonts w:ascii="Times New Roman" w:hAnsi="Times New Roman" w:cs="Times New Roman"/>
          <w:noProof/>
          <w:sz w:val="24"/>
          <w:lang w:val="en-IE"/>
        </w:rPr>
        <w:t xml:space="preserve"> future estimates.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w w:val="105"/>
          <w:sz w:val="24"/>
          <w:lang w:val="en-IE"/>
        </w:rPr>
      </w:pPr>
      <w:r>
        <w:rPr>
          <w:rFonts w:ascii="Times New Roman" w:hAnsi="Times New Roman" w:cs="Times New Roman"/>
          <w:noProof/>
          <w:w w:val="105"/>
          <w:sz w:val="24"/>
          <w:lang w:val="en-IE"/>
        </w:rPr>
        <w:t>The EL NIR does not provide any information regarding shore-side electricity supply for seagoing ships in 2018. The NPF had reported that the port of Piraeus accepted a large number of cruise liners and other passenger an</w:t>
      </w:r>
      <w:r>
        <w:rPr>
          <w:rFonts w:ascii="Times New Roman" w:hAnsi="Times New Roman" w:cs="Times New Roman"/>
          <w:noProof/>
          <w:w w:val="105"/>
          <w:sz w:val="24"/>
          <w:lang w:val="en-IE"/>
        </w:rPr>
        <w:t>d vehicle ferries, which remained berthed for several hours in some cases, burning conventional fuels, and emitting large quantities of polluting gases. A proposal on electricity supply at the port of Piraeus has been submitted as part of the 2014-2020 Com</w:t>
      </w:r>
      <w:r>
        <w:rPr>
          <w:rFonts w:ascii="Times New Roman" w:hAnsi="Times New Roman" w:cs="Times New Roman"/>
          <w:noProof/>
          <w:w w:val="105"/>
          <w:sz w:val="24"/>
          <w:lang w:val="en-IE"/>
        </w:rPr>
        <w:t xml:space="preserve">petitiveness, Entrepreneurship and Innovation Operational Programme, in order to conduct a feasibility study into the investment.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Greek NIR confirms the NPF plan to have 7, 27, and 42 shore-side electricity supply points for seagoing ships in 2020, 20</w:t>
      </w:r>
      <w:r>
        <w:rPr>
          <w:rFonts w:ascii="Times New Roman" w:hAnsi="Times New Roman" w:cs="Times New Roman"/>
          <w:noProof/>
          <w:sz w:val="24"/>
          <w:lang w:val="en-IE"/>
        </w:rPr>
        <w:t xml:space="preserve">25, and 2030, respectively. </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 xml:space="preserve">LNG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Greek NIR does not provide information on the past nor on the estimated number of LNG vessels.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Greek NIR does not report any LNG infrastructure in 2018, but presents a revised and slightly more ambitious plan for the next decade compared to the NPF, consisting of two LNG refuelling points in maritime ports for 2020, and five in 2025 and 2030 (in</w:t>
      </w:r>
      <w:r>
        <w:rPr>
          <w:rFonts w:ascii="Times New Roman" w:hAnsi="Times New Roman" w:cs="Times New Roman"/>
          <w:noProof/>
          <w:sz w:val="24"/>
          <w:lang w:val="en-IE"/>
        </w:rPr>
        <w:t xml:space="preserve"> the NPF they were one, two and four, respectively for 2020, 2025 and 2030).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at the end of 2018 there were no LNG refuelling points 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Not applicable </w:t>
      </w:r>
      <w:r>
        <w:rPr>
          <w:rFonts w:ascii="Times New Roman" w:hAnsi="Times New Roman" w:cs="Times New Roman"/>
          <w:noProof/>
          <w:sz w:val="24"/>
          <w:lang w:val="en-IE"/>
        </w:rPr>
        <w:t>since Greece has no inland ports in the TEN-T Core Network.</w:t>
      </w:r>
    </w:p>
    <w:p w:rsidR="003C43BF" w:rsidRDefault="003C43BF">
      <w:pPr>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No information provided.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Greek NIR lists 55 recharging points at airports over the period 2016-2018. No target </w:t>
      </w:r>
      <w:r>
        <w:rPr>
          <w:rFonts w:ascii="Times New Roman" w:hAnsi="Times New Roman" w:cs="Times New Roman"/>
          <w:noProof/>
          <w:sz w:val="24"/>
          <w:lang w:val="en-IE"/>
        </w:rPr>
        <w:t>is reported for 2020, while from 2025 to 2030 there is a target of 97 recharging points for stationary airplanes. The NPF had stated that only the Athens central airport (Eleftherios Venizelos Airport) had fixed electricity-recharging supply points to meet</w:t>
      </w:r>
      <w:r>
        <w:rPr>
          <w:rFonts w:ascii="Times New Roman" w:hAnsi="Times New Roman" w:cs="Times New Roman"/>
          <w:noProof/>
          <w:sz w:val="24"/>
          <w:lang w:val="en-IE"/>
        </w:rPr>
        <w:t xml:space="preserve"> the recharging needs of stationary airplanes. Stationary airplanes could recharge from 76 fixed recharging points and there were in addition 33 portable power generators owned by private ground handlers. The other central and regional airports in Greece h</w:t>
      </w:r>
      <w:r>
        <w:rPr>
          <w:rFonts w:ascii="Times New Roman" w:hAnsi="Times New Roman" w:cs="Times New Roman"/>
          <w:noProof/>
          <w:sz w:val="24"/>
          <w:lang w:val="en-IE"/>
        </w:rPr>
        <w:t xml:space="preserve">ad no fixed recharging points, just portable generators. </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No information on flights / airplanes powered by biofuels is provided in the EL NIR.</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Greek NIR.</w:t>
      </w: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217" w:name="_Toc55301827"/>
      <w:bookmarkStart w:id="218" w:name="_Toc56944156"/>
      <w:r>
        <w:rPr>
          <w:rFonts w:ascii="Times New Roman" w:hAnsi="Times New Roman" w:cs="Times New Roman"/>
          <w:noProof/>
          <w:sz w:val="24"/>
          <w:lang w:val="en-IE"/>
        </w:rPr>
        <w:t>Measures assessment</w:t>
      </w:r>
      <w:bookmarkEnd w:id="217"/>
      <w:bookmarkEnd w:id="218"/>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Greek NIR presents a very long list of measures (70 Legal, 9 Policy, 2 Deployment &amp; Manufacturing support and 2 RTD&amp;D). The Legal measures cover all transport modes and generally contain the minimum level of information necessary for their comprehensio</w:t>
      </w:r>
      <w:r>
        <w:rPr>
          <w:rFonts w:ascii="Times New Roman" w:hAnsi="Times New Roman" w:cs="Times New Roman"/>
          <w:noProof/>
          <w:sz w:val="24"/>
          <w:lang w:val="en-IE"/>
        </w:rPr>
        <w:t xml:space="preserve">n and for the qualitative assessment of their ambition compared to the NPF. One of the Policy measures is in reality a Legal measure too, while the Deployment &amp; Manufacturing measures lack any information/data needed to perform a quantitative assessment.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b/>
          <w:iCs/>
          <w:noProof/>
          <w:sz w:val="24"/>
          <w:lang w:val="en-IE"/>
        </w:rPr>
      </w:pPr>
      <w:r>
        <w:rPr>
          <w:rFonts w:ascii="Times New Roman" w:hAnsi="Times New Roman" w:cs="Times New Roman"/>
          <w:noProof/>
          <w:sz w:val="24"/>
          <w:lang w:val="en-IE"/>
        </w:rPr>
        <w:t>The Greek NIR contains 70 legal measures, divided in 39 Legislative &amp; Regulatory and 31 Administrative measures. Eleven out of the 39 Legislative &amp; Regulatory measures are envisaged, which means that they are in process of adoption or under</w:t>
      </w:r>
      <w:r>
        <w:rPr>
          <w:rFonts w:ascii="Times New Roman" w:hAnsi="Times New Roman" w:cs="Times New Roman"/>
          <w:noProof/>
          <w:sz w:val="24"/>
          <w:lang w:val="en-IE"/>
        </w:rPr>
        <w:t xml:space="preserve"> consideration. </w:t>
      </w:r>
      <w:r>
        <w:rPr>
          <w:rFonts w:ascii="Times New Roman" w:hAnsi="Times New Roman" w:cs="Times New Roman"/>
          <w:iCs/>
          <w:noProof/>
          <w:sz w:val="24"/>
          <w:lang w:val="en-IE"/>
        </w:rPr>
        <w:t>Considering all the legal measures together, they appear to be designed as the necessary tools to allow the realisation of the AFV/AFI plans as presented in the NPF and revised in the NIR. On the basis of the available information, it can b</w:t>
      </w:r>
      <w:r>
        <w:rPr>
          <w:rFonts w:ascii="Times New Roman" w:hAnsi="Times New Roman" w:cs="Times New Roman"/>
          <w:iCs/>
          <w:noProof/>
          <w:sz w:val="24"/>
          <w:lang w:val="en-IE"/>
        </w:rPr>
        <w:t xml:space="preserve">e considered that the level of ambition of the legal measures has increased in the NIR, compared to the NPF, because there are many new measures listed in the NIR. Several new </w:t>
      </w:r>
      <w:r>
        <w:rPr>
          <w:rFonts w:ascii="Times New Roman" w:hAnsi="Times New Roman" w:cs="Times New Roman"/>
          <w:noProof/>
          <w:sz w:val="24"/>
          <w:lang w:val="en-IE"/>
        </w:rPr>
        <w:t xml:space="preserve">Ministerial Decisions, Laws, or Presidential Decrees have been adopted in 2019.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Greek NIR contains 39 Legislative and Regulatory measures (11 are “envisaged”). The following new ones are highlighted:</w:t>
      </w:r>
    </w:p>
    <w:p w:rsidR="003C43BF" w:rsidRDefault="006C3212">
      <w:pPr>
        <w:pStyle w:val="ListParagraph"/>
        <w:numPr>
          <w:ilvl w:val="0"/>
          <w:numId w:val="8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Joint Ministerial Decision No 42863/438/2019: Laying down the terms, conditions and technical specificatio</w:t>
      </w:r>
      <w:r>
        <w:rPr>
          <w:rFonts w:ascii="Times New Roman" w:hAnsi="Times New Roman" w:cs="Times New Roman"/>
          <w:noProof/>
          <w:sz w:val="24"/>
          <w:lang w:val="en-IE"/>
        </w:rPr>
        <w:t>ns for installing charging devices for electric vehicle batteries (recharging points) at vehicle service facilities, at publicly accessible recharging points throughout the urban, intra-urban and national road network, and at parking facilities in public a</w:t>
      </w:r>
      <w:r>
        <w:rPr>
          <w:rFonts w:ascii="Times New Roman" w:hAnsi="Times New Roman" w:cs="Times New Roman"/>
          <w:noProof/>
          <w:sz w:val="24"/>
          <w:lang w:val="en-IE"/>
        </w:rPr>
        <w:t xml:space="preserve">nd private buildings. </w:t>
      </w:r>
    </w:p>
    <w:p w:rsidR="003C43BF" w:rsidRDefault="006C3212">
      <w:pPr>
        <w:pStyle w:val="ListParagraph"/>
        <w:numPr>
          <w:ilvl w:val="0"/>
          <w:numId w:val="84"/>
        </w:numPr>
        <w:spacing w:after="160" w:line="259" w:lineRule="auto"/>
        <w:jc w:val="both"/>
        <w:rPr>
          <w:rFonts w:ascii="Times New Roman" w:hAnsi="Times New Roman" w:cs="Times New Roman"/>
          <w:noProof/>
          <w:sz w:val="24"/>
          <w:lang w:val="en-IE"/>
        </w:rPr>
      </w:pPr>
      <w:r>
        <w:rPr>
          <w:rFonts w:ascii="Times New Roman" w:hAnsi="Times New Roman" w:cs="Times New Roman"/>
          <w:noProof/>
          <w:color w:val="000000"/>
          <w:sz w:val="24"/>
          <w:lang w:val="en-IE"/>
        </w:rPr>
        <w:t xml:space="preserve">Joint Ministerial Decision No 33180/351/2019: </w:t>
      </w:r>
      <w:r>
        <w:rPr>
          <w:rFonts w:ascii="Times New Roman" w:hAnsi="Times New Roman" w:cs="Times New Roman"/>
          <w:noProof/>
          <w:sz w:val="24"/>
          <w:lang w:val="en-IE"/>
        </w:rPr>
        <w:t>Laying down the terms and conditions for establishing and operating liquid fuel, liquid petroleum gas (LPG) and natural gas filling stations (refuelling points) within port zones and tour</w:t>
      </w:r>
      <w:r>
        <w:rPr>
          <w:rFonts w:ascii="Times New Roman" w:hAnsi="Times New Roman" w:cs="Times New Roman"/>
          <w:noProof/>
          <w:sz w:val="24"/>
          <w:lang w:val="en-IE"/>
        </w:rPr>
        <w:t>ist ports (marinas) for fuel to be sold exclusively to ships.</w:t>
      </w:r>
    </w:p>
    <w:p w:rsidR="003C43BF" w:rsidRDefault="006C3212">
      <w:pPr>
        <w:pStyle w:val="ListParagraph"/>
        <w:numPr>
          <w:ilvl w:val="0"/>
          <w:numId w:val="8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Presidential Decree 64/2019: Implementation of a Regulation on safe bunkering of liquefied natural gas fuelled vessels.</w:t>
      </w:r>
    </w:p>
    <w:p w:rsidR="003C43BF" w:rsidRDefault="006C3212">
      <w:pPr>
        <w:pStyle w:val="ListParagraph"/>
        <w:numPr>
          <w:ilvl w:val="0"/>
          <w:numId w:val="8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Ministerial Decision No 7135/81/2019 and Ministerial Decision No 44464/452</w:t>
      </w:r>
      <w:r>
        <w:rPr>
          <w:rFonts w:ascii="Times New Roman" w:hAnsi="Times New Roman" w:cs="Times New Roman"/>
          <w:noProof/>
          <w:sz w:val="24"/>
          <w:lang w:val="en-IE"/>
        </w:rPr>
        <w:t>/2019: Laying down the terms and conditions for the creation, development, operation and maintenance of a digital register of operating ‘</w:t>
      </w:r>
      <w:r>
        <w:rPr>
          <w:rFonts w:ascii="Times New Roman" w:hAnsi="Times New Roman" w:cs="Times New Roman"/>
          <w:i/>
          <w:noProof/>
          <w:sz w:val="24"/>
          <w:lang w:val="en-IE"/>
        </w:rPr>
        <w:t>fuel and energy supply stations, liquid and gaseous fuel filling stations, indoor car parks with fuel pumps and all kin</w:t>
      </w:r>
      <w:r>
        <w:rPr>
          <w:rFonts w:ascii="Times New Roman" w:hAnsi="Times New Roman" w:cs="Times New Roman"/>
          <w:i/>
          <w:noProof/>
          <w:sz w:val="24"/>
          <w:lang w:val="en-IE"/>
        </w:rPr>
        <w:t>ds of stations supplying fuels for public and private use</w:t>
      </w:r>
      <w:r>
        <w:rPr>
          <w:rFonts w:ascii="Times New Roman" w:hAnsi="Times New Roman" w:cs="Times New Roman"/>
          <w:noProof/>
          <w:sz w:val="24"/>
          <w:lang w:val="en-IE"/>
        </w:rPr>
        <w:t>’, and all other necessary details.</w:t>
      </w:r>
    </w:p>
    <w:p w:rsidR="003C43BF" w:rsidRDefault="006C3212">
      <w:pPr>
        <w:pStyle w:val="ListParagraph"/>
        <w:numPr>
          <w:ilvl w:val="0"/>
          <w:numId w:val="8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Ministerial Decision No 29122/314/2019: Laying down the procedure, other conditions and all other technical details for sealing filling stations that supply LPG on</w:t>
      </w:r>
      <w:r>
        <w:rPr>
          <w:rFonts w:ascii="Times New Roman" w:hAnsi="Times New Roman" w:cs="Times New Roman"/>
          <w:noProof/>
          <w:sz w:val="24"/>
          <w:lang w:val="en-IE"/>
        </w:rPr>
        <w:t>ly, CNG only, and mixed stations that supply any combination of liquid fuels, LPG and CNG.</w:t>
      </w:r>
    </w:p>
    <w:p w:rsidR="003C43BF" w:rsidRDefault="006C3212">
      <w:pPr>
        <w:pStyle w:val="ListParagraph"/>
        <w:numPr>
          <w:ilvl w:val="0"/>
          <w:numId w:val="8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Joint Ministerial Decision No 93067/1083/2018: Laying down the technical specifications, competent bodies and terms and conditions for establishing and operating fil</w:t>
      </w:r>
      <w:r>
        <w:rPr>
          <w:rFonts w:ascii="Times New Roman" w:hAnsi="Times New Roman" w:cs="Times New Roman"/>
          <w:noProof/>
          <w:sz w:val="24"/>
          <w:lang w:val="en-IE"/>
        </w:rPr>
        <w:t>ling stations with devices (refuelling points) for the supply of CNG to wheeled vehicles, such as (1) filling stations that supply CNG only; or (2) mixed filling stations that supply (a) liquid fuels, LPG and CNG; or (b) LPG and CNG; or (c) liquid fuels an</w:t>
      </w:r>
      <w:r>
        <w:rPr>
          <w:rFonts w:ascii="Times New Roman" w:hAnsi="Times New Roman" w:cs="Times New Roman"/>
          <w:noProof/>
          <w:sz w:val="24"/>
          <w:lang w:val="en-IE"/>
        </w:rPr>
        <w:t>d CNG.</w:t>
      </w:r>
    </w:p>
    <w:p w:rsidR="003C43BF" w:rsidRDefault="006C3212">
      <w:pPr>
        <w:pStyle w:val="ListParagraph"/>
        <w:numPr>
          <w:ilvl w:val="0"/>
          <w:numId w:val="8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Law 4067/2012 (start year 2018): New building regulation - Establishment licence for electric vehicle charging stations in public areas.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Greek NIR lists 31 Administrative Legal measures. Most of them are international EN ISO stand</w:t>
      </w:r>
      <w:r>
        <w:rPr>
          <w:rFonts w:ascii="Times New Roman" w:hAnsi="Times New Roman" w:cs="Times New Roman"/>
          <w:noProof/>
          <w:sz w:val="24"/>
          <w:lang w:val="en-IE"/>
        </w:rPr>
        <w:t xml:space="preserve">ards. The following new ones can be highlighted: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ΕLΟΤ ΕΝ 62196-1 (2019): Plugs, socket-outlets, vehicle connectors and vehicle inlets — Conductive charging of electric vehicles — Part 1: General requirements.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ΕLΟΤ ΕΝ 62196-3 (2019): Plugs, socket-outlets,</w:t>
      </w:r>
      <w:r>
        <w:rPr>
          <w:rFonts w:ascii="Times New Roman" w:hAnsi="Times New Roman" w:cs="Times New Roman"/>
          <w:noProof/>
          <w:sz w:val="24"/>
          <w:lang w:val="en-IE"/>
        </w:rPr>
        <w:t xml:space="preserve"> vehicle connectors and vehicle inlets - Conductive charging of electric vehicles - Part 3: Dimensional compatibility and interchangeability requirements for AC/DC pin and contact-tube vehicle couplers.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w w:val="105"/>
          <w:sz w:val="24"/>
          <w:lang w:val="en-IE"/>
        </w:rPr>
      </w:pPr>
      <w:r>
        <w:rPr>
          <w:rFonts w:ascii="Times New Roman" w:hAnsi="Times New Roman" w:cs="Times New Roman"/>
          <w:noProof/>
          <w:sz w:val="24"/>
          <w:lang w:val="en-IE"/>
        </w:rPr>
        <w:t>The Greek NIR lists nine Policy Meas</w:t>
      </w:r>
      <w:r>
        <w:rPr>
          <w:rFonts w:ascii="Times New Roman" w:hAnsi="Times New Roman" w:cs="Times New Roman"/>
          <w:noProof/>
          <w:sz w:val="24"/>
          <w:lang w:val="en-IE"/>
        </w:rPr>
        <w:t>ures (</w:t>
      </w:r>
      <w:r>
        <w:rPr>
          <w:rFonts w:ascii="Times New Roman" w:hAnsi="Times New Roman" w:cs="Times New Roman"/>
          <w:noProof/>
          <w:color w:val="000000"/>
          <w:sz w:val="24"/>
          <w:lang w:val="en-IE"/>
        </w:rPr>
        <w:t>of which one is a Legal measure and is not included in the quantitative assessment)</w:t>
      </w:r>
      <w:r>
        <w:rPr>
          <w:rFonts w:ascii="Times New Roman" w:hAnsi="Times New Roman" w:cs="Times New Roman"/>
          <w:noProof/>
          <w:sz w:val="24"/>
          <w:lang w:val="en-IE"/>
        </w:rPr>
        <w:t>, which refer mainly to road transport and are all existing or adopted. In the NPF, there were 21 policy measures, but only 5 of them were existing, while all the othe</w:t>
      </w:r>
      <w:r>
        <w:rPr>
          <w:rFonts w:ascii="Times New Roman" w:hAnsi="Times New Roman" w:cs="Times New Roman"/>
          <w:noProof/>
          <w:sz w:val="24"/>
          <w:lang w:val="en-IE"/>
        </w:rPr>
        <w:t>rs were under discussion.</w:t>
      </w:r>
      <w:r>
        <w:rPr>
          <w:rFonts w:ascii="Times New Roman" w:hAnsi="Times New Roman" w:cs="Times New Roman"/>
          <w:noProof/>
          <w:w w:val="105"/>
          <w:sz w:val="24"/>
          <w:lang w:val="en-IE"/>
        </w:rPr>
        <w:t xml:space="preserve">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policy measures described in the Greek NIR are all presented as measure that should ensure national targets and objectives are reached. Some of the measures are quite general</w:t>
      </w:r>
      <w:r>
        <w:rPr>
          <w:rFonts w:ascii="Times New Roman" w:hAnsi="Times New Roman" w:cs="Times New Roman"/>
          <w:noProof/>
          <w:sz w:val="24"/>
          <w:lang w:val="en-IE"/>
        </w:rPr>
        <w:t xml:space="preserve"> and others are of financial nature.</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Road </w:t>
      </w:r>
    </w:p>
    <w:p w:rsidR="003C43BF" w:rsidRDefault="006C3212">
      <w:pPr>
        <w:pStyle w:val="ListParagraph"/>
        <w:numPr>
          <w:ilvl w:val="0"/>
          <w:numId w:val="85"/>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Establishment and composition of an Interministerial Committee for implementation of the project ‘</w:t>
      </w:r>
      <w:r>
        <w:rPr>
          <w:rFonts w:ascii="Times New Roman" w:hAnsi="Times New Roman" w:cs="Times New Roman"/>
          <w:i/>
          <w:noProof/>
          <w:sz w:val="24"/>
          <w:lang w:val="en-IE"/>
        </w:rPr>
        <w:t>Promoting electro-mobility in Greece</w:t>
      </w:r>
      <w:r>
        <w:rPr>
          <w:rFonts w:ascii="Times New Roman" w:hAnsi="Times New Roman" w:cs="Times New Roman"/>
          <w:noProof/>
          <w:sz w:val="24"/>
          <w:lang w:val="en-IE"/>
        </w:rPr>
        <w:t>’.</w:t>
      </w:r>
    </w:p>
    <w:p w:rsidR="003C43BF" w:rsidRDefault="006C3212">
      <w:pPr>
        <w:pStyle w:val="ListParagraph"/>
        <w:numPr>
          <w:ilvl w:val="0"/>
          <w:numId w:val="85"/>
        </w:numPr>
        <w:spacing w:after="160" w:line="259" w:lineRule="auto"/>
        <w:rPr>
          <w:rFonts w:ascii="Times New Roman" w:hAnsi="Times New Roman" w:cs="Times New Roman"/>
          <w:noProof/>
          <w:sz w:val="24"/>
          <w:lang w:val="en-IE"/>
        </w:rPr>
      </w:pPr>
      <w:r>
        <w:rPr>
          <w:rFonts w:ascii="Times New Roman" w:hAnsi="Times New Roman" w:cs="Times New Roman"/>
          <w:noProof/>
          <w:sz w:val="24"/>
          <w:lang w:val="en-IE"/>
        </w:rPr>
        <w:t>Exemption of electric cars from the luxury tax.</w:t>
      </w:r>
    </w:p>
    <w:p w:rsidR="003C43BF" w:rsidRDefault="006C3212">
      <w:pPr>
        <w:pStyle w:val="ListParagraph"/>
        <w:numPr>
          <w:ilvl w:val="0"/>
          <w:numId w:val="85"/>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Electric, hybrid, and </w:t>
      </w:r>
      <w:r>
        <w:rPr>
          <w:rFonts w:ascii="Times New Roman" w:hAnsi="Times New Roman" w:cs="Times New Roman"/>
          <w:noProof/>
          <w:sz w:val="24"/>
          <w:lang w:val="en-IE"/>
        </w:rPr>
        <w:t>hydrogen-fuelled passenger motor vehicles for private or public use, registered in Greece for the first time up to 31 October 2010, are exempt from the circulation tax.</w:t>
      </w:r>
    </w:p>
    <w:p w:rsidR="003C43BF" w:rsidRDefault="006C3212">
      <w:pPr>
        <w:pStyle w:val="ListParagraph"/>
        <w:numPr>
          <w:ilvl w:val="0"/>
          <w:numId w:val="85"/>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Hybrid cars are exempt from 50% of the registration tax, and electric vehicles are not </w:t>
      </w:r>
      <w:r>
        <w:rPr>
          <w:rFonts w:ascii="Times New Roman" w:hAnsi="Times New Roman" w:cs="Times New Roman"/>
          <w:noProof/>
          <w:sz w:val="24"/>
          <w:lang w:val="en-IE"/>
        </w:rPr>
        <w:t>subject to the registration tax.</w:t>
      </w:r>
    </w:p>
    <w:p w:rsidR="003C43BF" w:rsidRDefault="006C3212">
      <w:pPr>
        <w:pStyle w:val="ListParagraph"/>
        <w:numPr>
          <w:ilvl w:val="0"/>
          <w:numId w:val="85"/>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Measures to limit vehicle traffic in the centre of Athens: All hybrid cars are exempt from the restrictions on circulation.</w:t>
      </w:r>
    </w:p>
    <w:p w:rsidR="003C43BF" w:rsidRDefault="006C3212">
      <w:pPr>
        <w:pStyle w:val="ListParagraph"/>
        <w:numPr>
          <w:ilvl w:val="0"/>
          <w:numId w:val="85"/>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Measures to combat smog, and town planning arrangements: Electric or hybrid cars … are not subject </w:t>
      </w:r>
      <w:r>
        <w:rPr>
          <w:rFonts w:ascii="Times New Roman" w:hAnsi="Times New Roman" w:cs="Times New Roman"/>
          <w:noProof/>
          <w:sz w:val="24"/>
          <w:lang w:val="en-IE"/>
        </w:rPr>
        <w:t>to an excise duty, a supplementary single-payment tax and a registration tax.</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Other transport modes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No specific measures listed in the EL NIR.</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Greek NIR, however</w:t>
      </w:r>
      <w:r>
        <w:rPr>
          <w:rFonts w:ascii="Times New Roman" w:hAnsi="Times New Roman" w:cs="Times New Roman"/>
          <w:noProof/>
          <w:sz w:val="24"/>
          <w:lang w:val="en-IE"/>
        </w:rPr>
        <w:t xml:space="preserve"> one of the measures listed under the previous heading is related to the purchase of 90 electric and natural gas buses and coaches, which can be considered as an indirect measure to promote AFI in public transport services.</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w:t>
      </w:r>
      <w:r>
        <w:rPr>
          <w:rFonts w:ascii="Times New Roman" w:hAnsi="Times New Roman" w:cs="Times New Roman"/>
          <w:noProof/>
          <w:sz w:val="24"/>
          <w:lang w:val="en-IE"/>
        </w:rPr>
        <w:t>ployment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Greek NIR.</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Greek NIR mentions one generic deployment measure but does not provide any information for a possi</w:t>
      </w:r>
      <w:r>
        <w:rPr>
          <w:rFonts w:ascii="Times New Roman" w:hAnsi="Times New Roman" w:cs="Times New Roman"/>
          <w:noProof/>
          <w:sz w:val="24"/>
          <w:lang w:val="en-IE"/>
        </w:rPr>
        <w:t>ble assessment.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Greek NIR mentions one generic manufacturing support measure but does not provide any information for a possible assessment.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w:t>
      </w:r>
      <w:r>
        <w:rPr>
          <w:rFonts w:ascii="Times New Roman" w:hAnsi="Times New Roman" w:cs="Times New Roman"/>
          <w:noProof/>
          <w:sz w:val="24"/>
          <w:lang w:val="en-IE"/>
        </w:rPr>
        <w:t>hase of the deployment of alternative fuels infrastructures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EL NIR.</w:t>
      </w:r>
    </w:p>
    <w:p w:rsidR="003C43BF" w:rsidRDefault="006C3212">
      <w:pPr>
        <w:pStyle w:val="Heading4"/>
        <w:spacing w:before="240"/>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_Ref53503237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5.8.4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only three clusters of measures could b</w:t>
      </w:r>
      <w:r>
        <w:rPr>
          <w:rFonts w:ascii="Times New Roman" w:hAnsi="Times New Roman" w:cs="Times New Roman"/>
          <w:noProof/>
          <w:sz w:val="24"/>
          <w:lang w:val="en-IE"/>
        </w:rPr>
        <w:t>e identified in the Greek NIR, on electricity, CNG and hydrogen, all for road transport. No measure was found regarding LNG (contrary to the NPF), nor for waterborne, rail, or air transport. All the clusters obtained a medium or a low score and only the on</w:t>
      </w:r>
      <w:r>
        <w:rPr>
          <w:rFonts w:ascii="Times New Roman" w:hAnsi="Times New Roman" w:cs="Times New Roman"/>
          <w:noProof/>
          <w:sz w:val="24"/>
          <w:lang w:val="en-IE"/>
        </w:rPr>
        <w:t xml:space="preserve">e for the pair electricity/road resulted to be comprehensive. In terms of expected impact of these measures to support the realisation of the AFV/AFI objectives as presented in the NPF and revised in the NIR, the measures for the pair electricity/road has </w:t>
      </w:r>
      <w:r>
        <w:rPr>
          <w:rFonts w:ascii="Times New Roman" w:hAnsi="Times New Roman" w:cs="Times New Roman"/>
          <w:noProof/>
          <w:sz w:val="24"/>
          <w:lang w:val="en-IE"/>
        </w:rPr>
        <w:t xml:space="preserve">a medium impact, while those for the other two pairs have a low impact.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Compared to the NPF, the level of ambition of the Policy and Deployment &amp; Manufacturing support measures has increased only for electricity/road, while it has decreased for CNG and LN</w:t>
      </w:r>
      <w:r>
        <w:rPr>
          <w:rFonts w:ascii="Times New Roman" w:hAnsi="Times New Roman" w:cs="Times New Roman"/>
          <w:noProof/>
          <w:sz w:val="24"/>
          <w:lang w:val="en-IE"/>
        </w:rPr>
        <w:t>G.</w:t>
      </w:r>
    </w:p>
    <w:p w:rsidR="003C43BF" w:rsidRDefault="006C3212">
      <w:pPr>
        <w:jc w:val="both"/>
        <w:rPr>
          <w:rFonts w:ascii="Times New Roman" w:eastAsia="Calibri" w:hAnsi="Times New Roman" w:cs="Times New Roman"/>
          <w:noProof/>
          <w:color w:val="7030A0"/>
          <w:sz w:val="24"/>
          <w:lang w:val="en-IE"/>
        </w:rPr>
      </w:pPr>
      <w:bookmarkStart w:id="219" w:name="_Ref53503237"/>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5.8.4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19"/>
      <w:r>
        <w:rPr>
          <w:rFonts w:ascii="Times New Roman" w:hAnsi="Times New Roman" w:cs="Times New Roman"/>
          <w:noProof/>
          <w:sz w:val="24"/>
          <w:lang w:val="en-IE"/>
        </w:rPr>
        <w:t xml:space="preserve"> </w:t>
      </w:r>
      <w:r>
        <w:rPr>
          <w:rFonts w:ascii="Times New Roman" w:hAnsi="Times New Roman" w:cs="Times New Roman"/>
          <w:i/>
          <w:noProof/>
          <w:sz w:val="20"/>
          <w:lang w:val="en-IE"/>
        </w:rPr>
        <w:t>Quantitative assessment of Policy and Deployment &amp; Manufacturing support measures</w:t>
      </w:r>
      <w:r>
        <w:rPr>
          <w:rFonts w:ascii="Times New Roman" w:hAnsi="Times New Roman" w:cs="Times New Roman"/>
          <w:noProof/>
          <w:sz w:val="20"/>
          <w:lang w:val="en-IE"/>
        </w:rPr>
        <w:t xml:space="preserve"> </w:t>
      </w:r>
    </w:p>
    <w:p w:rsidR="003C43BF" w:rsidRDefault="006C3212">
      <w:pPr>
        <w:jc w:val="both"/>
        <w:rPr>
          <w:rFonts w:ascii="Times New Roman" w:eastAsia="Calibri" w:hAnsi="Times New Roman" w:cs="Times New Roman"/>
          <w:noProof/>
          <w:sz w:val="24"/>
          <w:lang w:val="en-IE"/>
        </w:rPr>
      </w:pPr>
      <w:r>
        <w:rPr>
          <w:rFonts w:ascii="Times New Roman" w:hAnsi="Times New Roman" w:cs="Times New Roman"/>
          <w:noProof/>
          <w:sz w:val="24"/>
          <w:lang w:eastAsia="en-GB"/>
        </w:rPr>
        <w:drawing>
          <wp:inline distT="0" distB="0" distL="0" distR="0">
            <wp:extent cx="5943600" cy="1279373"/>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279373"/>
                    </a:xfrm>
                    <a:prstGeom prst="rect">
                      <a:avLst/>
                    </a:prstGeom>
                    <a:noFill/>
                    <a:ln>
                      <a:noFill/>
                    </a:ln>
                  </pic:spPr>
                </pic:pic>
              </a:graphicData>
            </a:graphic>
          </wp:inline>
        </w:drawing>
      </w:r>
    </w:p>
    <w:p w:rsidR="003C43BF" w:rsidRDefault="006C3212">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H = high; M = medium; L = low; X = not assessable. Comprehensiveness: C = comprehensive; N = Not comprehensive. Ambition level: ‘+’ means ‘higher’; ‘=’ means ‘comparable’; ‘-‘ means ‘lower’.</w:t>
      </w:r>
    </w:p>
    <w:p w:rsidR="003C43BF" w:rsidRDefault="003C43BF">
      <w:pPr>
        <w:jc w:val="both"/>
        <w:rPr>
          <w:rFonts w:ascii="Times New Roman" w:eastAsia="Calibri"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noProof/>
          <w:sz w:val="24"/>
          <w:lang w:val="en-IE"/>
        </w:rPr>
        <w:t xml:space="preserve">Greek NIR lists only two RTD&amp;D projects. Both projects, “POSEIDON MED II” and “ELEMED”, were already included in the NPF.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POSEIDON MED II project is an EU co-funded project with a total budget of 33.4 million € for the period 2015-2020. It aims at the</w:t>
      </w:r>
      <w:r>
        <w:rPr>
          <w:rFonts w:ascii="Times New Roman" w:hAnsi="Times New Roman" w:cs="Times New Roman"/>
          <w:noProof/>
          <w:sz w:val="24"/>
          <w:lang w:val="en-IE"/>
        </w:rPr>
        <w:t xml:space="preserve"> preparation of all final studies for the creation of a full chain of supply of LNG as fuel for shipping in the Southeast Mediterranean. The project is expected to make Greece an international hub for the bunkering and distribution of LNG in Southeast Euro</w:t>
      </w:r>
      <w:r>
        <w:rPr>
          <w:rFonts w:ascii="Times New Roman" w:hAnsi="Times New Roman" w:cs="Times New Roman"/>
          <w:noProof/>
          <w:sz w:val="24"/>
          <w:lang w:val="en-IE"/>
        </w:rPr>
        <w:t>pe.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ELEMED was an EU funded project with a budget of </w:t>
      </w:r>
      <w:r>
        <w:rPr>
          <w:rFonts w:ascii="Times New Roman" w:hAnsi="Times New Roman" w:cs="Times New Roman"/>
          <w:noProof/>
          <w:color w:val="333333"/>
          <w:sz w:val="24"/>
          <w:lang w:val="en-IE"/>
        </w:rPr>
        <w:t>€</w:t>
      </w:r>
      <w:r>
        <w:rPr>
          <w:rFonts w:ascii="Times New Roman" w:hAnsi="Times New Roman" w:cs="Times New Roman"/>
          <w:noProof/>
          <w:sz w:val="24"/>
          <w:lang w:val="en-IE"/>
        </w:rPr>
        <w:t>860,000</w:t>
      </w:r>
      <w:r>
        <w:rPr>
          <w:rFonts w:ascii="Times New Roman" w:hAnsi="Times New Roman" w:cs="Times New Roman"/>
          <w:noProof/>
          <w:color w:val="333333"/>
          <w:sz w:val="24"/>
          <w:lang w:val="en-IE"/>
        </w:rPr>
        <w:t xml:space="preserve">, </w:t>
      </w:r>
      <w:r>
        <w:rPr>
          <w:rFonts w:ascii="Times New Roman" w:hAnsi="Times New Roman" w:cs="Times New Roman"/>
          <w:noProof/>
          <w:sz w:val="24"/>
          <w:lang w:val="en-IE"/>
        </w:rPr>
        <w:t>for the period 2015-2018. It aims at the preparation of technical studies and plans regarding electricity supply and electrification of ships, analysis of the regulatory framework, a model-based financial analysis and the construction of facilities on a pi</w:t>
      </w:r>
      <w:r>
        <w:rPr>
          <w:rFonts w:ascii="Times New Roman" w:hAnsi="Times New Roman" w:cs="Times New Roman"/>
          <w:noProof/>
          <w:sz w:val="24"/>
          <w:lang w:val="en-IE"/>
        </w:rPr>
        <w:t xml:space="preserve">lot basis to supply electricity to ships at the port of Kyllini, to implement environmentally-friendly maritime transport in the Adriatic and the Ionian Sea. </w:t>
      </w:r>
    </w:p>
    <w:p w:rsidR="003C43BF" w:rsidRDefault="006C3212">
      <w:pPr>
        <w:pStyle w:val="Heading3"/>
        <w:ind w:left="720"/>
        <w:rPr>
          <w:rFonts w:ascii="Times New Roman" w:hAnsi="Times New Roman" w:cs="Times New Roman"/>
          <w:noProof/>
          <w:sz w:val="24"/>
          <w:lang w:val="en-IE"/>
        </w:rPr>
      </w:pPr>
      <w:bookmarkStart w:id="220" w:name="_Toc55301828"/>
      <w:bookmarkStart w:id="221" w:name="_Toc56944157"/>
      <w:r>
        <w:rPr>
          <w:rFonts w:ascii="Times New Roman" w:hAnsi="Times New Roman" w:cs="Times New Roman"/>
          <w:noProof/>
          <w:sz w:val="24"/>
          <w:lang w:val="en-IE"/>
        </w:rPr>
        <w:t>Additional information on alternative fuels infrastructure developments</w:t>
      </w:r>
      <w:bookmarkEnd w:id="220"/>
      <w:bookmarkEnd w:id="221"/>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Greek NIR does not pr</w:t>
      </w:r>
      <w:r>
        <w:rPr>
          <w:rFonts w:ascii="Times New Roman" w:hAnsi="Times New Roman" w:cs="Times New Roman"/>
          <w:noProof/>
          <w:sz w:val="24"/>
          <w:lang w:val="en-IE"/>
        </w:rPr>
        <w:t>ovide information on the changes in fuel use.</w:t>
      </w:r>
    </w:p>
    <w:p w:rsidR="003C43BF" w:rsidRDefault="003C43BF">
      <w:pPr>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222" w:name="_Toc55301829"/>
      <w:bookmarkStart w:id="223" w:name="_Toc56944158"/>
      <w:r>
        <w:rPr>
          <w:rFonts w:ascii="Times New Roman" w:hAnsi="Times New Roman" w:cs="Times New Roman"/>
          <w:noProof/>
          <w:sz w:val="24"/>
          <w:lang w:val="en-IE"/>
        </w:rPr>
        <w:t>Summary of the assessment</w:t>
      </w:r>
      <w:bookmarkEnd w:id="222"/>
      <w:bookmarkEnd w:id="223"/>
      <w:r>
        <w:rPr>
          <w:rFonts w:ascii="Times New Roman" w:hAnsi="Times New Roman" w:cs="Times New Roman"/>
          <w:noProof/>
          <w:sz w:val="24"/>
          <w:lang w:val="en-IE"/>
        </w:rPr>
        <w:tab/>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5.8.6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421259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4235" cy="4212590"/>
                    </a:xfrm>
                    <a:prstGeom prst="rect">
                      <a:avLst/>
                    </a:prstGeom>
                    <a:noFill/>
                  </pic:spPr>
                </pic:pic>
              </a:graphicData>
            </a:graphic>
          </wp:inline>
        </w:drawing>
      </w:r>
    </w:p>
    <w:p w:rsidR="003C43BF" w:rsidRDefault="006C3212">
      <w:pPr>
        <w:rPr>
          <w:rFonts w:ascii="Times New Roman" w:hAnsi="Times New Roman" w:cs="Times New Roman"/>
          <w:noProof/>
          <w:sz w:val="20"/>
          <w:lang w:val="en-IE"/>
        </w:rPr>
      </w:pPr>
      <w:r>
        <w:rPr>
          <w:rFonts w:ascii="Times New Roman" w:hAnsi="Times New Roman" w:cs="Times New Roman"/>
          <w:noProof/>
          <w:sz w:val="24"/>
          <w:lang w:eastAsia="en-GB"/>
        </w:rPr>
        <w:drawing>
          <wp:inline distT="0" distB="0" distL="0" distR="0">
            <wp:extent cx="3630304" cy="437362"/>
            <wp:effectExtent l="0" t="0" r="0" b="127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r>
        <w:rPr>
          <w:rFonts w:ascii="Times New Roman" w:hAnsi="Times New Roman" w:cs="Times New Roman"/>
          <w:noProof/>
          <w:sz w:val="20"/>
          <w:lang w:val="en-IE"/>
        </w:rPr>
        <w:tab/>
      </w:r>
      <w:r>
        <w:rPr>
          <w:rFonts w:ascii="Times New Roman" w:hAnsi="Times New Roman" w:cs="Times New Roman"/>
          <w:noProof/>
          <w:sz w:val="20"/>
          <w:lang w:val="en-IE"/>
        </w:rPr>
        <w:tab/>
      </w:r>
    </w:p>
    <w:p w:rsidR="003C43BF" w:rsidRDefault="006C3212">
      <w:pPr>
        <w:spacing w:after="0"/>
        <w:rPr>
          <w:rFonts w:ascii="Times New Roman" w:hAnsi="Times New Roman" w:cs="Times New Roman"/>
          <w:noProof/>
          <w:sz w:val="20"/>
          <w:lang w:val="en-IE"/>
        </w:rPr>
      </w:pPr>
      <w:r>
        <w:rPr>
          <w:rFonts w:ascii="Times New Roman" w:hAnsi="Times New Roman" w:cs="Times New Roman"/>
          <w:noProof/>
          <w:sz w:val="20"/>
          <w:lang w:val="en-IE"/>
        </w:rPr>
        <w:t xml:space="preserve">* Values based on the Greek NPF since the NIR only provided total </w:t>
      </w:r>
      <w:r>
        <w:rPr>
          <w:rFonts w:ascii="Times New Roman" w:hAnsi="Times New Roman" w:cs="Times New Roman"/>
          <w:noProof/>
          <w:sz w:val="20"/>
          <w:lang w:val="en-IE"/>
        </w:rPr>
        <w:t>recharging infrastructure targets and no breakdown for publicly accessible and private infrastructure.</w:t>
      </w:r>
    </w:p>
    <w:p w:rsidR="003C43BF" w:rsidRDefault="003C43BF">
      <w:pPr>
        <w:spacing w:after="0"/>
        <w:rPr>
          <w:rFonts w:ascii="Times New Roman" w:hAnsi="Times New Roman" w:cs="Times New Roman"/>
          <w:noProof/>
          <w:sz w:val="24"/>
          <w:lang w:val="en-IE"/>
        </w:rPr>
      </w:pPr>
    </w:p>
    <w:p w:rsidR="003C43BF" w:rsidRDefault="006C3212">
      <w:pPr>
        <w:pStyle w:val="Text1"/>
        <w:tabs>
          <w:tab w:val="left" w:pos="720"/>
        </w:tabs>
        <w:spacing w:after="0"/>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Greek NIR provides an incomplete coverage of the requirements of Annex I from the Directive. Regarding the combination of AF/AFV/AFI with transport </w:t>
      </w:r>
      <w:r>
        <w:rPr>
          <w:rFonts w:ascii="Times New Roman" w:hAnsi="Times New Roman" w:cs="Times New Roman"/>
          <w:noProof/>
          <w:sz w:val="24"/>
          <w:lang w:val="en-IE"/>
        </w:rPr>
        <w:t>mode, electricity is covered for all modes; CNG, LNG, and LPG for road transport; LNG also for waterborne maritime transport; all the other combinations are either absent or not applicable. The Greek NIR has not provided considerations on the need of renew</w:t>
      </w:r>
      <w:r>
        <w:rPr>
          <w:rFonts w:ascii="Times New Roman" w:hAnsi="Times New Roman" w:cs="Times New Roman"/>
          <w:noProof/>
          <w:sz w:val="24"/>
          <w:lang w:val="en-IE"/>
        </w:rPr>
        <w:t>able jet fuel refuelling points in airports and has not reported any particular needs during the initial phase of the deployment of AF infrastructure.</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EL NIR contains a long lists of Legal measures addressing all transport modes and alternative fuels, </w:t>
      </w:r>
      <w:r>
        <w:rPr>
          <w:rFonts w:ascii="Times New Roman" w:hAnsi="Times New Roman" w:cs="Times New Roman"/>
          <w:noProof/>
          <w:sz w:val="24"/>
          <w:lang w:val="en-IE"/>
        </w:rPr>
        <w:t xml:space="preserve">but when it comes to policy measures, these are only related to road transport and to electro-mobility in particular. </w:t>
      </w:r>
    </w:p>
    <w:p w:rsidR="003C43BF" w:rsidRDefault="006C3212">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The main outcomes of the technical assessment of the Greek NIR on vehicles/vessels estimates and infrastructure targets can be summarised</w:t>
      </w:r>
      <w:r>
        <w:rPr>
          <w:rFonts w:ascii="Times New Roman" w:hAnsi="Times New Roman" w:cs="Times New Roman"/>
          <w:noProof/>
          <w:sz w:val="24"/>
          <w:lang w:val="en-IE"/>
        </w:rPr>
        <w:t xml:space="preserve">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ListParagraph"/>
        <w:numPr>
          <w:ilvl w:val="0"/>
          <w:numId w:val="34"/>
        </w:numPr>
        <w:tabs>
          <w:tab w:val="left" w:pos="966"/>
        </w:tabs>
        <w:spacing w:after="16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t>
      </w:r>
      <w:r>
        <w:rPr>
          <w:rFonts w:ascii="Times New Roman" w:hAnsi="Times New Roman" w:cs="Times New Roman"/>
          <w:noProof/>
          <w:sz w:val="24"/>
          <w:lang w:val="en-IE" w:eastAsia="en-GB"/>
        </w:rPr>
        <w:t xml:space="preserve">Greece recorded 345 electric and </w:t>
      </w:r>
      <w:r>
        <w:rPr>
          <w:rFonts w:ascii="Times New Roman" w:hAnsi="Times New Roman" w:cs="Times New Roman"/>
          <w:noProof/>
          <w:sz w:val="24"/>
          <w:lang w:val="en-IE"/>
        </w:rPr>
        <w:t>plug-in hybrid electric</w:t>
      </w:r>
      <w:r>
        <w:rPr>
          <w:rFonts w:ascii="Times New Roman" w:hAnsi="Times New Roman" w:cs="Times New Roman"/>
          <w:noProof/>
          <w:sz w:val="24"/>
          <w:lang w:val="en-IE" w:eastAsia="en-GB"/>
        </w:rPr>
        <w:t xml:space="preserve"> vehicles in use in 2018 (of which 322 were passenger cars, 21 LCVs and 2 buses/coaches). The EL NIR confirms the estimates made in the NPF, but does not distinguish EVs from PTWs and provide total numbers. For 2030 a total number of 15,000 EVs+PTWs is for</w:t>
      </w:r>
      <w:r>
        <w:rPr>
          <w:rFonts w:ascii="Times New Roman" w:hAnsi="Times New Roman" w:cs="Times New Roman"/>
          <w:noProof/>
          <w:sz w:val="24"/>
          <w:lang w:val="en-IE" w:eastAsia="en-GB"/>
        </w:rPr>
        <w:t xml:space="preserve">eseen, with zero HCVs and 90 buses and coaches. The 2018 progress is adequate. As for </w:t>
      </w:r>
      <w:r>
        <w:rPr>
          <w:rFonts w:ascii="Times New Roman" w:hAnsi="Times New Roman" w:cs="Times New Roman"/>
          <w:iCs/>
          <w:noProof/>
          <w:color w:val="000000" w:themeColor="text1"/>
          <w:sz w:val="24"/>
          <w:lang w:val="en-IE"/>
        </w:rPr>
        <w:t>recharging infrastructure,</w:t>
      </w:r>
      <w:r>
        <w:rPr>
          <w:rFonts w:ascii="Times New Roman" w:hAnsi="Times New Roman" w:cs="Times New Roman"/>
          <w:noProof/>
          <w:sz w:val="24"/>
          <w:lang w:val="en-IE" w:eastAsia="en-GB"/>
        </w:rPr>
        <w:t xml:space="preserve"> </w:t>
      </w:r>
      <w:r>
        <w:rPr>
          <w:rFonts w:ascii="Times New Roman" w:hAnsi="Times New Roman" w:cs="Times New Roman"/>
          <w:noProof/>
          <w:sz w:val="24"/>
          <w:lang w:val="en-IE"/>
        </w:rPr>
        <w:t>Greece recorded 46 publicly accessible recharging points in 2018. The number of public recharging points for 2020 and 2030 is missing in the NI</w:t>
      </w:r>
      <w:r>
        <w:rPr>
          <w:rFonts w:ascii="Times New Roman" w:hAnsi="Times New Roman" w:cs="Times New Roman"/>
          <w:noProof/>
          <w:sz w:val="24"/>
          <w:lang w:val="en-IE"/>
        </w:rPr>
        <w:t xml:space="preserve">R, but was given in the NPF (700 and 10,000, respectively). For the year 2025 instead, the EL NIR specifies that 4,000 public and 8,000 private recharging points (in total 12,000) are envisaged. In this case, the 2018 progress is slow, but the current and </w:t>
      </w:r>
      <w:r>
        <w:rPr>
          <w:rFonts w:ascii="Times New Roman" w:hAnsi="Times New Roman" w:cs="Times New Roman"/>
          <w:noProof/>
          <w:sz w:val="24"/>
          <w:lang w:val="en-IE"/>
        </w:rPr>
        <w:t>foreseen sufficiency index is adequate.</w:t>
      </w:r>
    </w:p>
    <w:p w:rsidR="003C43BF" w:rsidRDefault="006C3212">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Greece recorded 1,406 CNG vehicles in use in 2018, of which 920 were passenger cars, 130 LCVs, 109 HCVs and 247 buses and coaches. The NIR estimates for the years 2020, 2025, and 2030 are 2,570, 5,050, and 11,5</w:t>
      </w:r>
      <w:r>
        <w:rPr>
          <w:rFonts w:ascii="Times New Roman" w:hAnsi="Times New Roman" w:cs="Times New Roman"/>
          <w:noProof/>
          <w:sz w:val="24"/>
          <w:lang w:val="en-IE"/>
        </w:rPr>
        <w:t>50 CNG vehicles (10,000 passenger cars, 250 HDVs and 1,200 buses and coaches), respectively. This represents a decrease of ambition of around 80% compared to the NPF. The 2018 progress for vehicles uptake is adequate. On the other hand, the EL NIR register</w:t>
      </w:r>
      <w:r>
        <w:rPr>
          <w:rFonts w:ascii="Times New Roman" w:hAnsi="Times New Roman" w:cs="Times New Roman"/>
          <w:noProof/>
          <w:sz w:val="24"/>
          <w:lang w:val="en-IE"/>
        </w:rPr>
        <w:t>s 13 public CNG refuelling points in 2018 and confirms the NPF plan for the next decade, i.e. 22 CNG public refuelling points for 2020, 35 in 2025, and 55 in 2030, respectively. The 2018 progress for infrastructure is slow, while the sufficiency index is a</w:t>
      </w:r>
      <w:r>
        <w:rPr>
          <w:rFonts w:ascii="Times New Roman" w:hAnsi="Times New Roman" w:cs="Times New Roman"/>
          <w:noProof/>
          <w:sz w:val="24"/>
          <w:lang w:val="en-IE"/>
        </w:rPr>
        <w:t>dequate for the whole period.</w:t>
      </w:r>
    </w:p>
    <w:p w:rsidR="003C43BF" w:rsidRDefault="006C3212">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Greece did not record any road LNG vehicles or refuelling points in 2018. A development is foreseen, but only after 2020, since the NIR confirms the NPF estimate of 250 and 900 LNG vehicles (all of them HCVs) for the yea</w:t>
      </w:r>
      <w:r>
        <w:rPr>
          <w:rFonts w:ascii="Times New Roman" w:hAnsi="Times New Roman" w:cs="Times New Roman"/>
          <w:noProof/>
          <w:sz w:val="24"/>
          <w:lang w:val="en-IE"/>
        </w:rPr>
        <w:t xml:space="preserve">rs 2025 and 2030, respectively. The LNG refuelling points targets for the years 2020, 2025, and 2030 are 1, 2, and 4, respectively. </w:t>
      </w:r>
    </w:p>
    <w:p w:rsidR="003C43BF" w:rsidRDefault="006C3212">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Greek NPF had declared that the use of hydrogen in the transport sector was not expected in the near future.</w:t>
      </w:r>
      <w:r>
        <w:rPr>
          <w:rFonts w:ascii="Times New Roman" w:hAnsi="Times New Roman" w:cs="Times New Roman"/>
          <w:noProof/>
          <w:sz w:val="24"/>
          <w:lang w:val="en-IE"/>
        </w:rPr>
        <w:t xml:space="preserve"> The EL NIR follows on this line and does not report any vehicle estimate or infrastructure target until 2030. It is however worth mentioning that some measures of financial nature reported in the Greek NIR also cover hydrogen.</w:t>
      </w:r>
    </w:p>
    <w:p w:rsidR="003C43BF" w:rsidRDefault="006C3212">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Greek NIR pro</w:t>
      </w:r>
      <w:r>
        <w:rPr>
          <w:rFonts w:ascii="Times New Roman" w:hAnsi="Times New Roman" w:cs="Times New Roman"/>
          <w:noProof/>
          <w:sz w:val="24"/>
          <w:lang w:val="en-IE"/>
        </w:rPr>
        <w:t>vides no relevant information on biofuels for transport.</w:t>
      </w:r>
    </w:p>
    <w:p w:rsidR="003C43BF" w:rsidRDefault="006C3212">
      <w:pPr>
        <w:pStyle w:val="ListParagraph"/>
        <w:numPr>
          <w:ilvl w:val="0"/>
          <w:numId w:val="34"/>
        </w:numPr>
        <w:tabs>
          <w:tab w:val="left" w:pos="966"/>
        </w:tabs>
        <w:spacing w:after="16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xml:space="preserve">– Greece recorded 343 pure LPG vehicles in use in 2018 (of which 248 were passenger cars, 80 LCVs, 11 HCVs and 4 buses and coaches). The future estimates of LPG vehicles for 2020, 2025, and 2030 </w:t>
      </w:r>
      <w:r>
        <w:rPr>
          <w:rFonts w:ascii="Times New Roman" w:hAnsi="Times New Roman" w:cs="Times New Roman"/>
          <w:noProof/>
          <w:sz w:val="24"/>
          <w:lang w:val="en-IE"/>
        </w:rPr>
        <w:t>are 450, 600, and 750, respectively. The NPF has provided much higher numbers that included bi-fuel LPG-gasoline vehicles. The number of publicly accessible LPG refuelling points in 2018 was 1,050, and the future targets are 1,100 in 2020, and 1,500 in 202</w:t>
      </w:r>
      <w:r>
        <w:rPr>
          <w:rFonts w:ascii="Times New Roman" w:hAnsi="Times New Roman" w:cs="Times New Roman"/>
          <w:noProof/>
          <w:sz w:val="24"/>
          <w:lang w:val="en-IE"/>
        </w:rPr>
        <w:t xml:space="preserve">5.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Greece recorded 30 electric locomotives in 2018, but the Greek NIR provides no future estimates.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56"/>
        </w:numPr>
        <w:tabs>
          <w:tab w:val="left" w:pos="966"/>
        </w:tabs>
        <w:spacing w:after="160"/>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t>
      </w:r>
      <w:r>
        <w:rPr>
          <w:rFonts w:ascii="Times New Roman" w:hAnsi="Times New Roman" w:cs="Times New Roman"/>
          <w:noProof/>
          <w:w w:val="105"/>
          <w:sz w:val="24"/>
          <w:lang w:val="en-IE"/>
        </w:rPr>
        <w:t xml:space="preserve">The EL NIR does not provide any information regarding shore-side electricity supply for seagoing ships in 2018. For the next decade, </w:t>
      </w:r>
      <w:r>
        <w:rPr>
          <w:rFonts w:ascii="Times New Roman" w:hAnsi="Times New Roman" w:cs="Times New Roman"/>
          <w:noProof/>
          <w:sz w:val="24"/>
          <w:lang w:val="en-IE"/>
        </w:rPr>
        <w:t>the Greek NIR confirms the NPF targets of 7, 27, and 42 shore-side electricity supply points for seagoing ships by 2020, 20</w:t>
      </w:r>
      <w:r>
        <w:rPr>
          <w:rFonts w:ascii="Times New Roman" w:hAnsi="Times New Roman" w:cs="Times New Roman"/>
          <w:noProof/>
          <w:sz w:val="24"/>
          <w:lang w:val="en-IE"/>
        </w:rPr>
        <w:t>25, and 2030, respectively. No battery-powered vessels are reported, nor any specific future development in this sector.</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In none of Greece’s maritime ports was LNG supply available in 2018. The NIR estimates two LNG refuelling points in maritime port</w:t>
      </w:r>
      <w:r>
        <w:rPr>
          <w:rFonts w:ascii="Times New Roman" w:hAnsi="Times New Roman" w:cs="Times New Roman"/>
          <w:noProof/>
          <w:sz w:val="24"/>
          <w:lang w:val="en-IE"/>
        </w:rPr>
        <w:t>s for 2020, and five in 2025 and 2030, which is slightly more ambitious than the NPF. No information on LNG vessels could be found in the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Greek NIR lists 55 recharging points for stationary airplanes over the period 201</w:t>
      </w:r>
      <w:r>
        <w:rPr>
          <w:rFonts w:ascii="Times New Roman" w:hAnsi="Times New Roman" w:cs="Times New Roman"/>
          <w:noProof/>
          <w:sz w:val="24"/>
          <w:lang w:val="en-IE"/>
        </w:rPr>
        <w:t>6-2018. No target is reported for 2020, while from 2025 to 2030 there is a target of 97 recharging points for stationary airplanes.</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xml:space="preserve">– Information is not available in the Greek NIR on renewable jet fuel refuelling points in airports. </w:t>
      </w:r>
    </w:p>
    <w:p w:rsidR="003C43BF" w:rsidRDefault="003C43BF">
      <w:pPr>
        <w:tabs>
          <w:tab w:val="left" w:pos="966"/>
        </w:tabs>
        <w:spacing w:before="120"/>
        <w:jc w:val="both"/>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Greek NIR contains a long list of mainly Legislative &amp; Regulatory and Administrative </w:t>
      </w:r>
      <w:r>
        <w:rPr>
          <w:rFonts w:ascii="Times New Roman" w:hAnsi="Times New Roman" w:cs="Times New Roman"/>
          <w:b/>
          <w:noProof/>
          <w:sz w:val="24"/>
          <w:lang w:val="en-IE"/>
        </w:rPr>
        <w:t>measures</w:t>
      </w:r>
      <w:r>
        <w:rPr>
          <w:rFonts w:ascii="Times New Roman" w:hAnsi="Times New Roman" w:cs="Times New Roman"/>
          <w:noProof/>
          <w:sz w:val="24"/>
          <w:lang w:val="en-IE"/>
        </w:rPr>
        <w:t>. They address all transport modes and alternative fuels and provide a solid legal background to progress with the uptake of alternative fuels vehicles and inf</w:t>
      </w:r>
      <w:r>
        <w:rPr>
          <w:rFonts w:ascii="Times New Roman" w:hAnsi="Times New Roman" w:cs="Times New Roman"/>
          <w:noProof/>
          <w:sz w:val="24"/>
          <w:lang w:val="en-IE"/>
        </w:rPr>
        <w:t xml:space="preserve">rastructure.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However, the level of implementation of these measures, which can be derived by the number and information provided in the list of Policy and Deployment &amp; Manufacturing support measures, is still quite at an early stage. In fact, only three c</w:t>
      </w:r>
      <w:r>
        <w:rPr>
          <w:rFonts w:ascii="Times New Roman" w:hAnsi="Times New Roman" w:cs="Times New Roman"/>
          <w:noProof/>
          <w:sz w:val="24"/>
          <w:lang w:val="en-IE"/>
        </w:rPr>
        <w:t>lusters of Policy measures could be identified in the Greek NIR, on electricity, CNG and hydrogen, all for road transport. No measure was found regarding LNG, nor for waterborne, rail or air transport. In terms of expected impact of these measures to suppo</w:t>
      </w:r>
      <w:r>
        <w:rPr>
          <w:rFonts w:ascii="Times New Roman" w:hAnsi="Times New Roman" w:cs="Times New Roman"/>
          <w:noProof/>
          <w:sz w:val="24"/>
          <w:lang w:val="en-IE"/>
        </w:rPr>
        <w:t>rt the realisation of the AFV/AFI objectives as presented in the NPF and revised in the NIR, the measures for the pair electricity/road has a medium impact, while those for the other two pairs have a low impact. Compared to the NPF, the level of ambition o</w:t>
      </w:r>
      <w:r>
        <w:rPr>
          <w:rFonts w:ascii="Times New Roman" w:hAnsi="Times New Roman" w:cs="Times New Roman"/>
          <w:noProof/>
          <w:sz w:val="24"/>
          <w:lang w:val="en-IE"/>
        </w:rPr>
        <w:t>f the Policy and Deployment &amp; Manufacturing support measures has increased only for electricity/road.</w:t>
      </w:r>
    </w:p>
    <w:p w:rsidR="003C43BF" w:rsidRDefault="006C3212">
      <w:pPr>
        <w:pStyle w:val="Text1"/>
        <w:tabs>
          <w:tab w:val="left" w:pos="720"/>
        </w:tabs>
        <w:spacing w:after="0"/>
        <w:ind w:left="0"/>
        <w:jc w:val="both"/>
        <w:rPr>
          <w:rFonts w:ascii="Times New Roman" w:hAnsi="Times New Roman" w:cs="Times New Roman"/>
          <w:noProof/>
          <w:sz w:val="24"/>
          <w:lang w:val="en-IE"/>
        </w:rPr>
      </w:pPr>
      <w:r>
        <w:rPr>
          <w:rFonts w:ascii="Times New Roman" w:hAnsi="Times New Roman" w:cs="Times New Roman"/>
          <w:noProof/>
          <w:sz w:val="24"/>
          <w:lang w:val="en-IE"/>
        </w:rPr>
        <w:t>The Greek NIR lists only two RTD&amp;D projects, one on the preparation of the necessary studies for the creation of a full chain of supply of LNG as fuel for</w:t>
      </w:r>
      <w:r>
        <w:rPr>
          <w:rFonts w:ascii="Times New Roman" w:hAnsi="Times New Roman" w:cs="Times New Roman"/>
          <w:noProof/>
          <w:sz w:val="24"/>
          <w:lang w:val="en-IE"/>
        </w:rPr>
        <w:t xml:space="preserve"> shipping in the Southeast Mediterranean, the other to support electrification of waterborne maritime transport in the Adriatic and Ionian seas.</w:t>
      </w:r>
    </w:p>
    <w:p w:rsidR="003C43BF" w:rsidRDefault="003C43BF">
      <w:pPr>
        <w:tabs>
          <w:tab w:val="left" w:pos="966"/>
        </w:tabs>
        <w:jc w:val="both"/>
        <w:rPr>
          <w:rFonts w:ascii="Times New Roman" w:hAnsi="Times New Roman" w:cs="Times New Roman"/>
          <w:noProof/>
          <w:sz w:val="24"/>
          <w:lang w:val="en-IE"/>
        </w:rPr>
      </w:pPr>
    </w:p>
    <w:p w:rsidR="003C43BF" w:rsidRDefault="006C3212">
      <w:pPr>
        <w:pStyle w:val="Heading3"/>
        <w:rPr>
          <w:rFonts w:ascii="Times New Roman" w:hAnsi="Times New Roman" w:cs="Times New Roman"/>
          <w:noProof/>
          <w:sz w:val="24"/>
          <w:lang w:val="en-IE"/>
        </w:rPr>
      </w:pPr>
      <w:bookmarkStart w:id="224" w:name="_Toc55301830"/>
      <w:bookmarkStart w:id="225" w:name="_Toc55301831"/>
      <w:bookmarkStart w:id="226" w:name="_Toc55301832"/>
      <w:bookmarkStart w:id="227" w:name="_Toc55301833"/>
      <w:bookmarkStart w:id="228" w:name="_Toc55301834"/>
      <w:bookmarkStart w:id="229" w:name="_Toc55301835"/>
      <w:bookmarkStart w:id="230" w:name="_Toc55301836"/>
      <w:bookmarkStart w:id="231" w:name="_Toc55301837"/>
      <w:bookmarkStart w:id="232" w:name="_Toc56944159"/>
      <w:bookmarkEnd w:id="224"/>
      <w:bookmarkEnd w:id="225"/>
      <w:bookmarkEnd w:id="226"/>
      <w:bookmarkEnd w:id="227"/>
      <w:bookmarkEnd w:id="228"/>
      <w:bookmarkEnd w:id="229"/>
      <w:bookmarkEnd w:id="230"/>
      <w:bookmarkEnd w:id="231"/>
      <w:r>
        <w:rPr>
          <w:rFonts w:ascii="Times New Roman" w:hAnsi="Times New Roman" w:cs="Times New Roman"/>
          <w:noProof/>
          <w:sz w:val="24"/>
          <w:lang w:val="en-IE"/>
        </w:rPr>
        <w:t>Final remarks</w:t>
      </w:r>
      <w:bookmarkEnd w:id="232"/>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Greek NIR provides a sufficiently comprehensive report on the efforts to implement the Direc</w:t>
      </w:r>
      <w:r>
        <w:rPr>
          <w:rFonts w:ascii="Times New Roman" w:hAnsi="Times New Roman" w:cs="Times New Roman"/>
          <w:noProof/>
          <w:sz w:val="24"/>
          <w:lang w:val="en-IE"/>
        </w:rPr>
        <w:t>tive, although it does not report on some important provisions of Annex I to the Directive. Overall, the level of ambition for the development of alternative fuel vehicles and vessels and the relevant infrastructures seems to be rather limited. The Greek N</w:t>
      </w:r>
      <w:r>
        <w:rPr>
          <w:rFonts w:ascii="Times New Roman" w:hAnsi="Times New Roman" w:cs="Times New Roman"/>
          <w:noProof/>
          <w:sz w:val="24"/>
          <w:lang w:val="en-IE"/>
        </w:rPr>
        <w:t>IR presents a very long list of legal measures, but only a limited number seems to address concretely the uptake of alternative fuel vehicles and infrastructure, with a focus on road transport, while it does not mention measures for waterborne, rail, or ai</w:t>
      </w:r>
      <w:r>
        <w:rPr>
          <w:rFonts w:ascii="Times New Roman" w:hAnsi="Times New Roman" w:cs="Times New Roman"/>
          <w:noProof/>
          <w:sz w:val="24"/>
          <w:lang w:val="en-IE"/>
        </w:rPr>
        <w:t>r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regard to electricity, the NIR expects some 15,000 electric vehicles on the roads by 2030, representing less than 0.3% of the vehicle fleet by that time. Furthermore, deployment of only 10,000 recharging points is foreseen by 2030. Taking</w:t>
      </w:r>
      <w:r>
        <w:rPr>
          <w:rFonts w:ascii="Times New Roman" w:hAnsi="Times New Roman" w:cs="Times New Roman"/>
          <w:noProof/>
          <w:sz w:val="24"/>
          <w:lang w:val="en-IE"/>
        </w:rPr>
        <w:t xml:space="preserve"> into account the current situation and expected trends, this level of ambition appears quite low compared to the pace of deployment of electric vehicles considered necessary for a full transition to carbon neutrality by 2050. No information on charging ef</w:t>
      </w:r>
      <w:r>
        <w:rPr>
          <w:rFonts w:ascii="Times New Roman" w:hAnsi="Times New Roman" w:cs="Times New Roman"/>
          <w:noProof/>
          <w:sz w:val="24"/>
          <w:lang w:val="en-IE"/>
        </w:rPr>
        <w:t xml:space="preserve">ficiency is provided. The NIR estimates that there will be 27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facilities in 2025 and 42 in 2030, aiming to cover the needs of the five ports in the TEN-T Core Network. There were 55 electricity supply points for stationary air</w:t>
      </w:r>
      <w:r>
        <w:rPr>
          <w:rFonts w:ascii="Times New Roman" w:hAnsi="Times New Roman" w:cs="Times New Roman"/>
          <w:noProof/>
          <w:sz w:val="24"/>
          <w:lang w:val="en-IE"/>
        </w:rPr>
        <w:t>craft in 2018. The NIR expects an increase to 97 points by 2025, which will remain constant in number for 2030. The electricity supply points for stationary aircraft are and will mainly be located at the Eleftherios Venizelos Airport. Portable power genera</w:t>
      </w:r>
      <w:r>
        <w:rPr>
          <w:rFonts w:ascii="Times New Roman" w:hAnsi="Times New Roman" w:cs="Times New Roman"/>
          <w:noProof/>
          <w:sz w:val="24"/>
          <w:lang w:val="en-IE"/>
        </w:rPr>
        <w:t xml:space="preserve">tors will be installed in other airports. There was a small number of electric locomotives in 2018. Further information on the electrification of the rail network should be provided in future reporting.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does not include any information on future d</w:t>
      </w:r>
      <w:r>
        <w:rPr>
          <w:rFonts w:ascii="Times New Roman" w:hAnsi="Times New Roman" w:cs="Times New Roman"/>
          <w:noProof/>
          <w:sz w:val="24"/>
          <w:lang w:val="en-IE"/>
        </w:rPr>
        <w:t>evelopment of hydrogen as a transport fuel in Greece. Although hydrogen is not binding under the Alternative Fuels Infrastructure Directive, it would be relevant that Greece provides information on how to ensure EU-wide connectivity for HCEV.</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NIR also </w:t>
      </w:r>
      <w:r>
        <w:rPr>
          <w:rFonts w:ascii="Times New Roman" w:hAnsi="Times New Roman" w:cs="Times New Roman"/>
          <w:noProof/>
          <w:sz w:val="24"/>
          <w:lang w:val="en-IE"/>
        </w:rPr>
        <w:t>shows a limited level of ambition with the use of natural gas in road transport. There were 13 CNG refuelling points in 2018 for a small fleet of 1,406 CNG vehicles. It is estimated that in 2030 the number of CNG refuelling points will be 55 and the number</w:t>
      </w:r>
      <w:r>
        <w:rPr>
          <w:rFonts w:ascii="Times New Roman" w:hAnsi="Times New Roman" w:cs="Times New Roman"/>
          <w:noProof/>
          <w:sz w:val="24"/>
          <w:lang w:val="en-IE"/>
        </w:rPr>
        <w:t xml:space="preserve"> of vehicles will be 11,550, representing 0.18% of the future vehicle fleet. Two LNG refuelling points are planned in Greece for 2025 and four for 2030. This seems insufficient taking into account the extensiveness of the TEN-T Road Core Network. A limited</w:t>
      </w:r>
      <w:r>
        <w:rPr>
          <w:rFonts w:ascii="Times New Roman" w:hAnsi="Times New Roman" w:cs="Times New Roman"/>
          <w:noProof/>
          <w:sz w:val="24"/>
          <w:lang w:val="en-IE"/>
        </w:rPr>
        <w:t xml:space="preserve"> number of LNG heavy-duty vehicles is also foreseen (250 and 900 LNG heavy-duty vehicles by 2025 and 2030 respectively). All five ports of the Greek TEN-T Core Network are expected to have LNG refuelling points by 2025, as required by the Directive.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w:t>
      </w:r>
      <w:r>
        <w:rPr>
          <w:rFonts w:ascii="Times New Roman" w:hAnsi="Times New Roman" w:cs="Times New Roman"/>
          <w:noProof/>
          <w:sz w:val="24"/>
          <w:lang w:val="en-IE"/>
        </w:rPr>
        <w:t>ding LPG, the NPF had reported a figure of 264,053 LPG vehicles by 2016. This figure included bi-fuel (petrol-LPG) vehicles. The NIR, on the other hand, only reports pure LPG vehicles e.g. 343 in 2018, 600 by 2025 and 750 by 2030) which does not allow a co</w:t>
      </w:r>
      <w:r>
        <w:rPr>
          <w:rFonts w:ascii="Times New Roman" w:hAnsi="Times New Roman" w:cs="Times New Roman"/>
          <w:noProof/>
          <w:sz w:val="24"/>
          <w:lang w:val="en-IE"/>
        </w:rPr>
        <w:t>mparison between the NIR and the NPF. The number of LPG filling stations will increase from 1,050 in 2018 to 1,500 in 2025. Bi-fuel LPG vehicles are the main alternative fuel vehicle fleet in Greece.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Greece should provide more information in future reporti</w:t>
      </w:r>
      <w:r>
        <w:rPr>
          <w:rFonts w:ascii="Times New Roman" w:hAnsi="Times New Roman" w:cs="Times New Roman"/>
          <w:noProof/>
          <w:sz w:val="24"/>
          <w:lang w:val="en-IE"/>
        </w:rPr>
        <w:t>ng on efforts to promote the use of renewable fuels in transport, and particularly in aviation.</w:t>
      </w:r>
    </w:p>
    <w:p w:rsidR="003C43BF" w:rsidRDefault="003C43BF">
      <w:pPr>
        <w:rPr>
          <w:rFonts w:ascii="Times New Roman" w:hAnsi="Times New Roman" w:cs="Times New Roman"/>
          <w:noProof/>
          <w:lang w:val="en-IE"/>
        </w:rPr>
      </w:pPr>
    </w:p>
    <w:p w:rsidR="003C43BF" w:rsidRDefault="006C3212">
      <w:pPr>
        <w:rPr>
          <w:rFonts w:ascii="Times New Roman" w:hAnsi="Times New Roman" w:cs="Times New Roman"/>
          <w:noProof/>
          <w:lang w:val="en-IE"/>
        </w:rPr>
      </w:pPr>
      <w:r>
        <w:rPr>
          <w:rFonts w:ascii="Times New Roman" w:hAnsi="Times New Roman" w:cs="Times New Roman"/>
          <w:noProof/>
          <w:lang w:val="en-IE"/>
        </w:rPr>
        <w:br w:type="page"/>
      </w:r>
    </w:p>
    <w:p w:rsidR="003C43BF" w:rsidRDefault="006C3212">
      <w:pPr>
        <w:pStyle w:val="Heading3"/>
        <w:ind w:left="720"/>
        <w:rPr>
          <w:rFonts w:ascii="Times New Roman" w:hAnsi="Times New Roman" w:cs="Times New Roman"/>
          <w:noProof/>
          <w:sz w:val="24"/>
          <w:lang w:val="en-IE"/>
        </w:rPr>
      </w:pPr>
      <w:bookmarkStart w:id="233" w:name="_Toc55301839"/>
      <w:bookmarkStart w:id="234" w:name="_Toc56944160"/>
      <w:r>
        <w:rPr>
          <w:rFonts w:ascii="Times New Roman" w:hAnsi="Times New Roman" w:cs="Times New Roman"/>
          <w:noProof/>
          <w:sz w:val="24"/>
          <w:lang w:val="en-IE"/>
        </w:rPr>
        <w:t>ANNEX - Description of the Member State</w:t>
      </w:r>
      <w:bookmarkEnd w:id="233"/>
      <w:bookmarkEnd w:id="234"/>
    </w:p>
    <w:p w:rsidR="003C43BF" w:rsidRDefault="006C3212">
      <w:pPr>
        <w:pStyle w:val="Text1"/>
        <w:tabs>
          <w:tab w:val="left" w:pos="720"/>
        </w:tabs>
        <w:spacing w:line="259" w:lineRule="auto"/>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132,000 km², Greece has a population of 10.741 million people in 2018, which makes up for a popu</w:t>
      </w:r>
      <w:r>
        <w:rPr>
          <w:rFonts w:ascii="Times New Roman" w:hAnsi="Times New Roman" w:cs="Times New Roman"/>
          <w:noProof/>
          <w:color w:val="000000" w:themeColor="text1"/>
          <w:sz w:val="24"/>
          <w:lang w:val="en-IE"/>
        </w:rPr>
        <w:t>lation density of 81 inhabitants/km².</w:t>
      </w:r>
    </w:p>
    <w:p w:rsidR="003C43BF" w:rsidRDefault="006C3212">
      <w:pPr>
        <w:pStyle w:val="Text1"/>
        <w:tabs>
          <w:tab w:val="left" w:pos="720"/>
        </w:tabs>
        <w:spacing w:line="259"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spacing w:line="259" w:lineRule="auto"/>
        <w:rPr>
          <w:rFonts w:ascii="Times New Roman" w:hAnsi="Times New Roman" w:cs="Times New Roman"/>
          <w:noProof/>
          <w:sz w:val="24"/>
          <w:lang w:val="en-IE"/>
        </w:rPr>
      </w:pPr>
      <w:r>
        <w:rPr>
          <w:rFonts w:ascii="Times New Roman" w:hAnsi="Times New Roman" w:cs="Times New Roman"/>
          <w:noProof/>
          <w:sz w:val="24"/>
          <w:lang w:val="en-IE"/>
        </w:rPr>
        <w:t xml:space="preserve">9 urban agglomerations &gt; 50,000 inhabitants </w:t>
      </w:r>
    </w:p>
    <w:p w:rsidR="003C43BF" w:rsidRDefault="006C3212">
      <w:pPr>
        <w:pStyle w:val="Text1"/>
        <w:tabs>
          <w:tab w:val="left" w:pos="720"/>
        </w:tabs>
        <w:spacing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Greece achieves a per capita gross domestic product at market prices of €17,210, which represents a per capita gross domestic product in purchasing power standards of 68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spacing w:line="259" w:lineRule="auto"/>
        <w:ind w:left="0"/>
        <w:rPr>
          <w:rFonts w:ascii="Times New Roman" w:hAnsi="Times New Roman" w:cs="Times New Roman"/>
          <w:i/>
          <w:noProof/>
          <w:sz w:val="24"/>
          <w:lang w:val="en-IE"/>
        </w:rPr>
      </w:pPr>
      <w:r>
        <w:rPr>
          <w:rFonts w:ascii="Times New Roman" w:hAnsi="Times New Roman" w:cs="Times New Roman"/>
          <w:i/>
          <w:noProof/>
          <w:sz w:val="24"/>
          <w:lang w:val="en-IE"/>
        </w:rPr>
        <w:t>Length of the</w:t>
      </w:r>
      <w:r>
        <w:rPr>
          <w:rFonts w:ascii="Times New Roman" w:hAnsi="Times New Roman" w:cs="Times New Roman"/>
          <w:i/>
          <w:noProof/>
          <w:sz w:val="24"/>
          <w:lang w:val="en-IE"/>
        </w:rPr>
        <w:t xml:space="preserve"> road networks </w:t>
      </w:r>
    </w:p>
    <w:p w:rsidR="003C43BF" w:rsidRDefault="006C3212">
      <w:pPr>
        <w:pStyle w:val="Text1"/>
        <w:tabs>
          <w:tab w:val="left" w:pos="720"/>
        </w:tabs>
        <w:spacing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Greece is 1,815 km. The total road network length is 40,163 km, of which 1,843 km are motorways.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following lengths of the TEN-T Road Corridors are present in Greece: 25% (1,346 km) of the </w:t>
      </w:r>
      <w:r>
        <w:rPr>
          <w:rFonts w:ascii="Times New Roman" w:hAnsi="Times New Roman" w:cs="Times New Roman"/>
          <w:noProof/>
          <w:sz w:val="24"/>
          <w:lang w:val="en-IE"/>
        </w:rPr>
        <w:t>Orient – East Mediterranean Corridor.</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Through the TEN-T Road Corridors, Greece is connected with the following Member States:</w:t>
      </w:r>
      <w:r>
        <w:rPr>
          <w:rFonts w:ascii="Times New Roman" w:hAnsi="Times New Roman" w:cs="Times New Roman"/>
          <w:noProof/>
          <w:sz w:val="24"/>
          <w:lang w:val="en-IE"/>
        </w:rPr>
        <w:br/>
        <w:t>- Bulgaria (through the Orient – East Mediterranean Corridor)</w:t>
      </w:r>
    </w:p>
    <w:p w:rsidR="003C43BF" w:rsidRDefault="006C3212">
      <w:pPr>
        <w:pStyle w:val="Text1"/>
        <w:tabs>
          <w:tab w:val="left" w:pos="720"/>
        </w:tabs>
        <w:spacing w:line="259"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spacing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2017</w:t>
      </w:r>
      <w:r>
        <w:rPr>
          <w:rStyle w:val="FootnoteReference"/>
          <w:rFonts w:ascii="Times New Roman" w:hAnsi="Times New Roman" w:cs="Times New Roman"/>
          <w:noProof/>
          <w:sz w:val="24"/>
          <w:lang w:val="en-IE"/>
        </w:rPr>
        <w:footnoteReference w:id="31"/>
      </w:r>
      <w:r>
        <w:rPr>
          <w:rFonts w:ascii="Times New Roman" w:hAnsi="Times New Roman" w:cs="Times New Roman"/>
          <w:noProof/>
          <w:sz w:val="24"/>
          <w:lang w:val="en-IE"/>
        </w:rPr>
        <w:t>, Greece acco</w:t>
      </w:r>
      <w:r>
        <w:rPr>
          <w:rFonts w:ascii="Times New Roman" w:hAnsi="Times New Roman" w:cs="Times New Roman"/>
          <w:noProof/>
          <w:sz w:val="24"/>
          <w:lang w:val="en-IE"/>
        </w:rPr>
        <w:t>unts for 8,236,900 registered road vehicles of which 5,236,000 are categorized as passenger cars, 1,344,100 as goods vehicles</w:t>
      </w:r>
      <w:r>
        <w:rPr>
          <w:rStyle w:val="FootnoteReference"/>
          <w:rFonts w:ascii="Times New Roman" w:hAnsi="Times New Roman" w:cs="Times New Roman"/>
          <w:noProof/>
          <w:sz w:val="24"/>
          <w:lang w:val="en-IE"/>
        </w:rPr>
        <w:footnoteReference w:id="32"/>
      </w:r>
      <w:r>
        <w:rPr>
          <w:rFonts w:ascii="Times New Roman" w:hAnsi="Times New Roman" w:cs="Times New Roman"/>
          <w:noProof/>
          <w:sz w:val="24"/>
          <w:lang w:val="en-IE"/>
        </w:rPr>
        <w:t xml:space="preserve"> and 26,300 as buses and coaches. The motorisation rate is 492 passenger cars per 1,000 inhabitants.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present situation of few </w:t>
      </w:r>
      <w:r>
        <w:rPr>
          <w:rFonts w:ascii="Times New Roman" w:hAnsi="Times New Roman" w:cs="Times New Roman"/>
          <w:noProof/>
          <w:sz w:val="24"/>
          <w:lang w:val="en-IE"/>
        </w:rPr>
        <w:t xml:space="preserve">AFV/electric vehicles (1749/345) on Greek roads, with for example less than 0.022% of AFV/0.0042% electric vehicle/passenger cars, </w:t>
      </w:r>
      <w:r>
        <w:rPr>
          <w:rFonts w:ascii="Times New Roman" w:hAnsi="Times New Roman" w:cs="Times New Roman"/>
          <w:i/>
          <w:noProof/>
          <w:sz w:val="24"/>
          <w:lang w:val="en-IE"/>
        </w:rPr>
        <w:t>is regarded by Greece as insufficient and in need of improvement.</w:t>
      </w:r>
      <w:r>
        <w:rPr>
          <w:rFonts w:ascii="Times New Roman" w:hAnsi="Times New Roman" w:cs="Times New Roman"/>
          <w:noProof/>
          <w:sz w:val="24"/>
          <w:lang w:val="en-IE"/>
        </w:rPr>
        <w:t xml:space="preserve"> </w:t>
      </w:r>
      <w:r>
        <w:rPr>
          <w:rStyle w:val="CommentReference"/>
          <w:rFonts w:ascii="Times New Roman" w:hAnsi="Times New Roman" w:cs="Times New Roman"/>
          <w:noProof/>
          <w:sz w:val="24"/>
          <w:lang w:val="en-IE"/>
        </w:rPr>
        <w:t xml:space="preserve">In the NPF was written that there are </w:t>
      </w:r>
      <w:r>
        <w:rPr>
          <w:rFonts w:ascii="Times New Roman" w:hAnsi="Times New Roman" w:cs="Times New Roman"/>
          <w:noProof/>
          <w:sz w:val="24"/>
          <w:lang w:val="en-IE"/>
        </w:rPr>
        <w:t>3.5% AFV on Greek roa</w:t>
      </w:r>
      <w:r>
        <w:rPr>
          <w:rFonts w:ascii="Times New Roman" w:hAnsi="Times New Roman" w:cs="Times New Roman"/>
          <w:noProof/>
          <w:sz w:val="24"/>
          <w:lang w:val="en-IE"/>
        </w:rPr>
        <w:t xml:space="preserve">ds, with less than 0.01% of electric passenger cars. The higher amount of AFV in the NPF is due to the LPG bi-fuel vehicles that were counted in the NPF. </w:t>
      </w:r>
    </w:p>
    <w:p w:rsidR="003C43BF" w:rsidRDefault="006C3212">
      <w:pPr>
        <w:pStyle w:val="Text1"/>
        <w:tabs>
          <w:tab w:val="left" w:pos="720"/>
        </w:tabs>
        <w:spacing w:line="259"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line="259"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5 maritime ports in the TEN-T Core Network (Athina-Piraeus</w:t>
      </w:r>
      <w:r>
        <w:rPr>
          <w:rFonts w:ascii="Times New Roman" w:hAnsi="Times New Roman" w:cs="Times New Roman"/>
          <w:noProof/>
          <w:sz w:val="24"/>
          <w:lang w:val="en-IE"/>
        </w:rPr>
        <w:t>, Heraklion, Igoumenitsa, Patras, Thessaloniki)</w:t>
      </w:r>
    </w:p>
    <w:p w:rsidR="003C43BF" w:rsidRDefault="006C3212">
      <w:pPr>
        <w:pStyle w:val="Text1"/>
        <w:numPr>
          <w:ilvl w:val="0"/>
          <w:numId w:val="12"/>
        </w:numPr>
        <w:spacing w:after="0" w:line="259" w:lineRule="auto"/>
        <w:ind w:left="714" w:hanging="357"/>
        <w:rPr>
          <w:rFonts w:ascii="Times New Roman" w:hAnsi="Times New Roman" w:cs="Times New Roman"/>
          <w:noProof/>
          <w:sz w:val="24"/>
          <w:lang w:val="en-IE"/>
        </w:rPr>
      </w:pPr>
      <w:r>
        <w:rPr>
          <w:rFonts w:ascii="Times New Roman" w:hAnsi="Times New Roman" w:cs="Times New Roman"/>
          <w:noProof/>
          <w:sz w:val="24"/>
          <w:lang w:val="en-IE"/>
        </w:rPr>
        <w:t>20 maritime ports in the TEN-T Comprehensive Network</w:t>
      </w:r>
    </w:p>
    <w:p w:rsidR="003C43BF" w:rsidRDefault="006C3212">
      <w:pPr>
        <w:pStyle w:val="Text1"/>
        <w:numPr>
          <w:ilvl w:val="0"/>
          <w:numId w:val="12"/>
        </w:numPr>
        <w:spacing w:after="0" w:line="259" w:lineRule="auto"/>
        <w:ind w:left="714" w:hanging="357"/>
        <w:rPr>
          <w:rFonts w:ascii="Times New Roman" w:hAnsi="Times New Roman" w:cs="Times New Roman"/>
          <w:noProof/>
          <w:sz w:val="24"/>
          <w:lang w:val="en-IE"/>
        </w:rPr>
      </w:pPr>
      <w:r>
        <w:rPr>
          <w:rFonts w:ascii="Times New Roman" w:hAnsi="Times New Roman" w:cs="Times New Roman"/>
          <w:noProof/>
          <w:sz w:val="24"/>
          <w:lang w:val="en-IE"/>
        </w:rPr>
        <w:t>No inland ports</w:t>
      </w:r>
    </w:p>
    <w:p w:rsidR="003C43BF" w:rsidRDefault="003C43BF">
      <w:pPr>
        <w:pStyle w:val="Text1"/>
        <w:spacing w:after="0" w:line="259" w:lineRule="auto"/>
        <w:ind w:left="714"/>
        <w:rPr>
          <w:rFonts w:ascii="Times New Roman" w:hAnsi="Times New Roman" w:cs="Times New Roman"/>
          <w:noProof/>
          <w:sz w:val="24"/>
          <w:lang w:val="en-IE"/>
        </w:rPr>
      </w:pPr>
    </w:p>
    <w:p w:rsidR="003C43BF" w:rsidRDefault="006C3212">
      <w:pPr>
        <w:pStyle w:val="Text1"/>
        <w:tabs>
          <w:tab w:val="left" w:pos="720"/>
        </w:tabs>
        <w:spacing w:line="259" w:lineRule="auto"/>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line="259" w:lineRule="auto"/>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3 airports in the TEN-T Core Network (Athina, Heraklion, Thessaloniki) </w:t>
      </w:r>
    </w:p>
    <w:p w:rsidR="003C43BF" w:rsidRDefault="006C3212">
      <w:pPr>
        <w:pStyle w:val="ListParagraph"/>
        <w:numPr>
          <w:ilvl w:val="0"/>
          <w:numId w:val="13"/>
        </w:numPr>
        <w:spacing w:after="160" w:line="259" w:lineRule="auto"/>
        <w:rPr>
          <w:rFonts w:ascii="Times New Roman" w:hAnsi="Times New Roman" w:cs="Times New Roman"/>
          <w:noProof/>
          <w:sz w:val="24"/>
          <w:lang w:val="en-IE"/>
        </w:rPr>
      </w:pPr>
      <w:r>
        <w:rPr>
          <w:rFonts w:ascii="Times New Roman" w:hAnsi="Times New Roman" w:cs="Times New Roman"/>
          <w:noProof/>
          <w:sz w:val="24"/>
          <w:lang w:val="en-IE"/>
        </w:rPr>
        <w:t xml:space="preserve">35 airports in the </w:t>
      </w:r>
      <w:r>
        <w:rPr>
          <w:rFonts w:ascii="Times New Roman" w:hAnsi="Times New Roman" w:cs="Times New Roman"/>
          <w:noProof/>
          <w:sz w:val="24"/>
          <w:lang w:val="en-IE"/>
        </w:rPr>
        <w:t>TEN-T Comprehensive Network</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3C43BF">
      <w:pPr>
        <w:rPr>
          <w:rFonts w:ascii="Times New Roman" w:hAnsi="Times New Roman" w:cs="Times New Roman"/>
          <w:noProof/>
          <w:sz w:val="24"/>
          <w:lang w:val="en-IE"/>
        </w:rPr>
      </w:pPr>
    </w:p>
    <w:p w:rsidR="003C43BF" w:rsidRDefault="006C3212">
      <w:pPr>
        <w:pStyle w:val="Heading2"/>
        <w:rPr>
          <w:rFonts w:ascii="Times New Roman" w:hAnsi="Times New Roman" w:cs="Times New Roman"/>
          <w:noProof/>
          <w:sz w:val="24"/>
          <w:lang w:val="en-IE"/>
        </w:rPr>
      </w:pPr>
      <w:bookmarkStart w:id="235" w:name="_Toc55301840"/>
      <w:bookmarkStart w:id="236" w:name="_Toc56944161"/>
      <w:r>
        <w:rPr>
          <w:rFonts w:ascii="Times New Roman" w:hAnsi="Times New Roman" w:cs="Times New Roman"/>
          <w:noProof/>
          <w:sz w:val="24"/>
          <w:lang w:val="en-IE"/>
        </w:rPr>
        <w:t>Spain (ES)</w:t>
      </w:r>
      <w:bookmarkEnd w:id="235"/>
      <w:bookmarkEnd w:id="236"/>
    </w:p>
    <w:p w:rsidR="003C43BF" w:rsidRDefault="006C3212">
      <w:pPr>
        <w:pStyle w:val="Heading3"/>
        <w:ind w:left="720"/>
        <w:rPr>
          <w:rFonts w:ascii="Times New Roman" w:hAnsi="Times New Roman" w:cs="Times New Roman"/>
          <w:noProof/>
          <w:sz w:val="24"/>
          <w:lang w:val="en-IE"/>
        </w:rPr>
      </w:pPr>
      <w:bookmarkStart w:id="237" w:name="_Toc55301841"/>
      <w:bookmarkStart w:id="238" w:name="_Toc56944162"/>
      <w:r>
        <w:rPr>
          <w:rFonts w:ascii="Times New Roman" w:hAnsi="Times New Roman" w:cs="Times New Roman"/>
          <w:noProof/>
          <w:sz w:val="24"/>
          <w:lang w:val="en-IE"/>
        </w:rPr>
        <w:t xml:space="preserve">Main messages from the </w:t>
      </w:r>
      <w:bookmarkEnd w:id="237"/>
      <w:bookmarkEnd w:id="238"/>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its original assessment of the Spanish NPF the Commission concluded: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Spanish NPF focusses on LPG and natural gas, for which substantial infrastructure</w:t>
      </w:r>
      <w:r>
        <w:rPr>
          <w:rFonts w:ascii="Times New Roman" w:hAnsi="Times New Roman" w:cs="Times New Roman"/>
          <w:i/>
          <w:noProof/>
          <w:sz w:val="24"/>
          <w:lang w:val="en-IE"/>
        </w:rPr>
        <w:t xml:space="preserve"> is already in place. The Spanish NPF contains modest targets and measures for increasing shore side electricity in its ports. Coverage of electricity supply for stationary airplanes at the major airports is already good and no increase is foreseen.</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Sp</w:t>
      </w:r>
      <w:r>
        <w:rPr>
          <w:rFonts w:ascii="Times New Roman" w:hAnsi="Times New Roman" w:cs="Times New Roman"/>
          <w:i/>
          <w:noProof/>
          <w:sz w:val="24"/>
          <w:lang w:val="en-IE"/>
        </w:rPr>
        <w:t>anish NPF strongly emphasizes LNG. LNG refuelling is available for all maritime ports in the TEN-T core network and in several ports of the comprehensive network, and additional bunkering terminals and ship-to-ship refuelling are planned. There are already</w:t>
      </w:r>
      <w:r>
        <w:rPr>
          <w:rFonts w:ascii="Times New Roman" w:hAnsi="Times New Roman" w:cs="Times New Roman"/>
          <w:i/>
          <w:noProof/>
          <w:sz w:val="24"/>
          <w:lang w:val="en-IE"/>
        </w:rPr>
        <w:t xml:space="preserve"> 15 publicly accessible LNG refuelling points for heavy duty vehicles present in the Spanish territory and it is foreseen to add 20 more by 2020. Altogether, the planned LNG refuelling points could guarantee that the maximum distance requirement for LNG re</w:t>
      </w:r>
      <w:r>
        <w:rPr>
          <w:rFonts w:ascii="Times New Roman" w:hAnsi="Times New Roman" w:cs="Times New Roman"/>
          <w:i/>
          <w:noProof/>
          <w:sz w:val="24"/>
          <w:lang w:val="en-IE"/>
        </w:rPr>
        <w:t>fuelling points along the TEN-T core road network would be fulfilled on the Spanish territory.</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Spain has considered hydrogen in its NPF. The deployment of 20 publicly accessible hydrogen refuelling points and 500 hydrogen fuel cell vehicles by 2020 is fore</w:t>
      </w:r>
      <w:r>
        <w:rPr>
          <w:rFonts w:ascii="Times New Roman" w:hAnsi="Times New Roman" w:cs="Times New Roman"/>
          <w:i/>
          <w:noProof/>
          <w:sz w:val="24"/>
          <w:lang w:val="en-IE"/>
        </w:rPr>
        <w:t>seen.</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Spanish NPF contains an extensive list of measures, most already in place. Most of them can be considered having a low to medium impact on market actor's decisions. Regulatory measures have been put in place to facilitate infrastructure deploymen</w:t>
      </w:r>
      <w:r>
        <w:rPr>
          <w:rFonts w:ascii="Times New Roman" w:hAnsi="Times New Roman" w:cs="Times New Roman"/>
          <w:i/>
          <w:noProof/>
          <w:sz w:val="24"/>
          <w:lang w:val="en-IE"/>
        </w:rPr>
        <w:t xml:space="preserve">t. Longer durations for the validity of financial support measures could provide certainty for market actors and hence increase the likelihood that the national targets and objectives of the NPF can be reached.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consideration of the interests of region</w:t>
      </w:r>
      <w:r>
        <w:rPr>
          <w:rFonts w:ascii="Times New Roman" w:hAnsi="Times New Roman" w:cs="Times New Roman"/>
          <w:i/>
          <w:noProof/>
          <w:sz w:val="24"/>
          <w:lang w:val="en-IE"/>
        </w:rPr>
        <w:t>al and local authorities, as well as stakeholders during the drafting of the Spanish NPF can be viewed as exemplary. Further co-operation will continue in the follow up phase of the NPF.</w:t>
      </w:r>
    </w:p>
    <w:p w:rsidR="003C43BF" w:rsidRDefault="006C3212">
      <w:pPr>
        <w:jc w:val="both"/>
        <w:rPr>
          <w:rFonts w:ascii="Times New Roman" w:hAnsi="Times New Roman" w:cs="Times New Roman"/>
          <w:noProof/>
          <w:sz w:val="24"/>
          <w:lang w:val="en-IE"/>
        </w:rPr>
      </w:pPr>
      <w:r>
        <w:rPr>
          <w:rFonts w:ascii="Times New Roman" w:hAnsi="Times New Roman" w:cs="Times New Roman"/>
          <w:i/>
          <w:noProof/>
          <w:sz w:val="24"/>
          <w:lang w:val="en-IE"/>
        </w:rPr>
        <w:t>Spain is actively involved in coordinating its plans on alternative f</w:t>
      </w:r>
      <w:r>
        <w:rPr>
          <w:rFonts w:ascii="Times New Roman" w:hAnsi="Times New Roman" w:cs="Times New Roman"/>
          <w:i/>
          <w:noProof/>
          <w:sz w:val="24"/>
          <w:lang w:val="en-IE"/>
        </w:rPr>
        <w:t>uels infrastructure with other member states as well as collaborating with them in this field, in particular for the deployment of alternative fuel infrastructure for electricity, natural gas and LPG. Spain and France collaborate for the establishment of a</w:t>
      </w:r>
      <w:r>
        <w:rPr>
          <w:rFonts w:ascii="Times New Roman" w:hAnsi="Times New Roman" w:cs="Times New Roman"/>
          <w:i/>
          <w:noProof/>
          <w:sz w:val="24"/>
          <w:lang w:val="en-IE"/>
        </w:rPr>
        <w:t xml:space="preserve"> hydrogen refuelling station corridor connecting the two countries.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239" w:name="_Toc55301842"/>
      <w:bookmarkStart w:id="240" w:name="_Toc56944163"/>
      <w:r>
        <w:rPr>
          <w:rFonts w:ascii="Times New Roman" w:hAnsi="Times New Roman" w:cs="Times New Roman"/>
          <w:noProof/>
          <w:sz w:val="24"/>
          <w:lang w:val="en-IE"/>
        </w:rPr>
        <w:t>Overview of requirements’ fulfilment from Annex I of the Directive</w:t>
      </w:r>
      <w:bookmarkEnd w:id="239"/>
      <w:bookmarkEnd w:id="240"/>
      <w:r>
        <w:rPr>
          <w:rFonts w:ascii="Times New Roman" w:hAnsi="Times New Roman" w:cs="Times New Roman"/>
          <w:noProof/>
          <w:color w:val="000000"/>
          <w:sz w:val="24"/>
          <w:lang w:val="en-IE"/>
        </w:rPr>
        <w:tab/>
      </w:r>
    </w:p>
    <w:p w:rsidR="003C43BF" w:rsidRDefault="006C3212">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5.9.2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353050" cy="7955915"/>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53050" cy="7955915"/>
                    </a:xfrm>
                    <a:prstGeom prst="rect">
                      <a:avLst/>
                    </a:prstGeom>
                    <a:noFill/>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checklist shows that almost all the requirements of Annex I from the Directive are covered.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covered for all modes; CNG, hydrogen and LPG for road transport; LNG for road and m</w:t>
      </w:r>
      <w:r>
        <w:rPr>
          <w:rFonts w:ascii="Times New Roman" w:hAnsi="Times New Roman" w:cs="Times New Roman"/>
          <w:noProof/>
          <w:sz w:val="24"/>
          <w:lang w:val="en-IE"/>
        </w:rPr>
        <w:t xml:space="preserve">aritime transport; all the other combinations are either absent or not applicable. </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Spanish NIR reports almost 100 measures. </w:t>
      </w:r>
      <w:r>
        <w:rPr>
          <w:rFonts w:ascii="Times New Roman" w:hAnsi="Times New Roman" w:cs="Times New Roman"/>
          <w:iCs/>
          <w:noProof/>
          <w:sz w:val="24"/>
          <w:lang w:val="en-IE"/>
        </w:rPr>
        <w:t>Under the Policy and Deployment &amp; Manufacturing sections it was possible to identify eight AF/transport mode clusters of measur</w:t>
      </w:r>
      <w:r>
        <w:rPr>
          <w:rFonts w:ascii="Times New Roman" w:hAnsi="Times New Roman" w:cs="Times New Roman"/>
          <w:iCs/>
          <w:noProof/>
          <w:sz w:val="24"/>
          <w:lang w:val="en-IE"/>
        </w:rPr>
        <w:t>es, of which seven were assessable.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241" w:name="_Toc55301843"/>
      <w:bookmarkStart w:id="242" w:name="_Toc56944164"/>
      <w:r>
        <w:rPr>
          <w:rFonts w:ascii="Times New Roman" w:hAnsi="Times New Roman" w:cs="Times New Roman"/>
          <w:noProof/>
          <w:sz w:val="24"/>
          <w:lang w:val="en-IE"/>
        </w:rPr>
        <w:t>Quantitative assessment: Vehicles and infrastructure</w:t>
      </w:r>
      <w:bookmarkEnd w:id="241"/>
      <w:bookmarkEnd w:id="242"/>
      <w:r>
        <w:rPr>
          <w:rFonts w:ascii="Times New Roman" w:hAnsi="Times New Roman" w:cs="Times New Roman"/>
          <w:noProof/>
          <w:sz w:val="24"/>
          <w:lang w:val="en-IE"/>
        </w:rPr>
        <w:t xml:space="preserve"> </w:t>
      </w:r>
    </w:p>
    <w:p w:rsidR="003C43BF" w:rsidRDefault="006C3212">
      <w:pPr>
        <w:pStyle w:val="Caption"/>
        <w:keepNext/>
        <w:jc w:val="both"/>
        <w:rPr>
          <w:rFonts w:ascii="Times New Roman" w:hAnsi="Times New Roman" w:cs="Times New Roman"/>
          <w:b w:val="0"/>
          <w:i/>
          <w:noProof/>
          <w:sz w:val="20"/>
          <w:szCs w:val="18"/>
          <w:lang w:val="en-IE"/>
        </w:rPr>
      </w:pPr>
      <w:bookmarkStart w:id="243" w:name="_Ref52817469"/>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5.9.3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243"/>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National AFV estimates and AFI targets established in the NIR at the horizon 2020, 2025 and 2030 and th</w:t>
      </w:r>
      <w:r>
        <w:rPr>
          <w:rFonts w:ascii="Times New Roman" w:hAnsi="Times New Roman" w:cs="Times New Roman"/>
          <w:b w:val="0"/>
          <w:i/>
          <w:noProof/>
          <w:sz w:val="20"/>
          <w:szCs w:val="18"/>
          <w:lang w:val="en-IE"/>
        </w:rPr>
        <w:t xml:space="preserve">eir comparison with the NPF situation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31510" cy="7062113"/>
            <wp:effectExtent l="0" t="0" r="254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7062113"/>
                    </a:xfrm>
                    <a:prstGeom prst="rect">
                      <a:avLst/>
                    </a:prstGeom>
                    <a:noFill/>
                    <a:ln>
                      <a:noFill/>
                    </a:ln>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088630" cy="454802"/>
            <wp:effectExtent l="0" t="0" r="762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78836" cy="464836"/>
                    </a:xfrm>
                    <a:prstGeom prst="rect">
                      <a:avLst/>
                    </a:prstGeom>
                    <a:noFill/>
                    <a:ln>
                      <a:noFill/>
                    </a:ln>
                  </pic:spPr>
                </pic:pic>
              </a:graphicData>
            </a:graphic>
          </wp:inline>
        </w:drawing>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Spain recorded a total of 32,508 EVs in 2018. The majority of them are passenger cars (15,855 BEV and 12,707 PHEV), followed by 3,788 electric light commercial vehicles and 158 electric buses</w:t>
      </w:r>
      <w:r>
        <w:rPr>
          <w:rFonts w:ascii="Times New Roman" w:hAnsi="Times New Roman" w:cs="Times New Roman"/>
          <w:noProof/>
          <w:sz w:val="24"/>
          <w:lang w:val="en-IE"/>
        </w:rPr>
        <w:t xml:space="preserve"> and coaches. In addition, the number of electric powered two wheelers in 2018 was 22,111. The Spanish NIR’s estimates for electric vehicles are 150,000 in 2020, 800,000 in 2025 and 5,000,000 in 2030. These estimates are provided without details on vehicle</w:t>
      </w:r>
      <w:r>
        <w:rPr>
          <w:rFonts w:ascii="Times New Roman" w:hAnsi="Times New Roman" w:cs="Times New Roman"/>
          <w:noProof/>
          <w:sz w:val="24"/>
          <w:lang w:val="en-IE"/>
        </w:rPr>
        <w:t xml:space="preserve"> classes and represent a confirmation of the NPF for 2020 and a remarkable jump of 1,823% for 2030 (no estimate was provided in the NPF for 2025). This reflects a higher policy ambition.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EV estimates is 21.67% for 2020 and 0.6</w:t>
      </w:r>
      <w:r>
        <w:rPr>
          <w:rFonts w:ascii="Times New Roman" w:hAnsi="Times New Roman" w:cs="Times New Roman"/>
          <w:iCs/>
          <w:noProof/>
          <w:color w:val="000000" w:themeColor="text1"/>
          <w:sz w:val="24"/>
          <w:lang w:val="en-IE"/>
        </w:rPr>
        <w:t xml:space="preserve">5%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 envisaged EV estimates. 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w:t>
      </w:r>
      <w:r>
        <w:rPr>
          <w:rFonts w:ascii="Times New Roman" w:hAnsi="Times New Roman" w:cs="Times New Roman"/>
          <w:iCs/>
          <w:noProof/>
          <w:color w:val="000000" w:themeColor="text1"/>
          <w:sz w:val="24"/>
          <w:lang w:val="en-IE"/>
        </w:rPr>
        <w:t>30 for EV fleet evolution planned by Spain is equal to 53%.</w:t>
      </w:r>
      <w:r>
        <w:rPr>
          <w:rFonts w:ascii="Times New Roman" w:hAnsi="Times New Roman" w:cs="Times New Roman"/>
          <w:noProof/>
          <w:color w:val="000000" w:themeColor="text1"/>
          <w:sz w:val="28"/>
          <w:szCs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Spain recorded 5,187 publicly accessible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4,665 were normal power (≤22kW) recharging points and 522 high power (&gt;22kW) recharging points. While Spain had not provided targets for publicly accessible recharging points for 2020, 2025 and 2030 in its NPF, this has been modified in </w:t>
      </w:r>
      <w:r>
        <w:rPr>
          <w:rFonts w:ascii="Times New Roman" w:hAnsi="Times New Roman" w:cs="Times New Roman"/>
          <w:noProof/>
          <w:sz w:val="24"/>
          <w:lang w:val="en-IE"/>
        </w:rPr>
        <w:t>the NIR: 10,000 publicly accessible recharging points are now foreseen for 2020 and 17,000 for 2025. The NIR does not provide estimates for private recharging points.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ES NIR indicates that full information on the number of recharging points is unavaila</w:t>
      </w:r>
      <w:r>
        <w:rPr>
          <w:rFonts w:ascii="Times New Roman" w:hAnsi="Times New Roman" w:cs="Times New Roman"/>
          <w:noProof/>
          <w:sz w:val="24"/>
          <w:lang w:val="en-IE"/>
        </w:rPr>
        <w:t>ble and that the Spanish Government is participating in the European project (PSA-IDACS) promoted by the European Commission to gather all the relevant data.</w:t>
      </w:r>
    </w:p>
    <w:p w:rsidR="003C43BF" w:rsidRDefault="006C3212">
      <w:pPr>
        <w:tabs>
          <w:tab w:val="left" w:pos="360"/>
        </w:tabs>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targets is 51.87% for </w:t>
      </w:r>
      <w:r>
        <w:rPr>
          <w:rFonts w:ascii="Times New Roman" w:hAnsi="Times New Roman" w:cs="Times New Roman"/>
          <w:iCs/>
          <w:noProof/>
          <w:color w:val="000000" w:themeColor="text1"/>
          <w:sz w:val="24"/>
          <w:lang w:val="en-IE"/>
        </w:rPr>
        <w:t xml:space="preserve">2020 and 30.51% for 2025.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slow progress</w:t>
      </w:r>
      <w:r>
        <w:rPr>
          <w:rFonts w:ascii="Times New Roman" w:hAnsi="Times New Roman" w:cs="Times New Roman"/>
          <w:iCs/>
          <w:noProof/>
          <w:color w:val="000000" w:themeColor="text1"/>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w:t>
      </w:r>
      <w:r>
        <w:rPr>
          <w:rFonts w:ascii="Times New Roman" w:hAnsi="Times New Roman" w:cs="Times New Roman"/>
          <w:iCs/>
          <w:noProof/>
          <w:color w:val="000000" w:themeColor="text1"/>
          <w:sz w:val="24"/>
          <w:lang w:val="en-IE"/>
        </w:rPr>
        <w:t xml:space="preserve">16-2025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Spain is equal to 16%.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ES NIR, the following table shows the ratio between vehicles and publicly accessible recharging points (i.e. sufficiency index) for th</w:t>
      </w:r>
      <w:r>
        <w:rPr>
          <w:rFonts w:ascii="Times New Roman" w:hAnsi="Times New Roman" w:cs="Times New Roman"/>
          <w:noProof/>
          <w:sz w:val="24"/>
          <w:lang w:val="en-IE"/>
        </w:rPr>
        <w:t>e pair electricity/road. As it can be seen, in 2020 the foreseen sufficiency index is higher than 10, which, considering the low share of high power recharging points in 2018 (10%), has to be regarded as probably inadequate. The sufficiency index further d</w:t>
      </w:r>
      <w:r>
        <w:rPr>
          <w:rFonts w:ascii="Times New Roman" w:hAnsi="Times New Roman" w:cs="Times New Roman"/>
          <w:noProof/>
          <w:sz w:val="24"/>
          <w:lang w:val="en-IE"/>
        </w:rPr>
        <w:t>eteriorates in 2025 when it becomes 47.06.</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476750" cy="570865"/>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750" cy="570865"/>
                    </a:xfrm>
                    <a:prstGeom prst="rect">
                      <a:avLst/>
                    </a:prstGeom>
                    <a:noFill/>
                    <a:ln>
                      <a:noFill/>
                    </a:ln>
                  </pic:spPr>
                </pic:pic>
              </a:graphicData>
            </a:graphic>
          </wp:inline>
        </w:drawing>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jc w:val="both"/>
        <w:rPr>
          <w:rFonts w:ascii="Times New Roman" w:hAnsi="Times New Roman" w:cs="Times New Roman"/>
          <w:noProof/>
          <w:sz w:val="24"/>
          <w:lang w:val="en-IE"/>
        </w:rPr>
      </w:pPr>
      <w:r>
        <w:rPr>
          <w:rFonts w:ascii="Times New Roman" w:eastAsia="Calibri" w:hAnsi="Times New Roman" w:cs="Times New Roman"/>
          <w:noProof/>
          <w:sz w:val="24"/>
          <w:lang w:val="en-IE"/>
        </w:rPr>
        <w:t>The Spanish NIR contains two tables providing information about the charging efficiency of high power (&gt;22kW) recharging points. Namely, the averaged data by high power recharg</w:t>
      </w:r>
      <w:r>
        <w:rPr>
          <w:rFonts w:ascii="Times New Roman" w:eastAsia="Calibri" w:hAnsi="Times New Roman" w:cs="Times New Roman"/>
          <w:noProof/>
          <w:sz w:val="24"/>
          <w:lang w:val="en-IE"/>
        </w:rPr>
        <w:t xml:space="preserve">ing point per day (on average, a recharging point provides 1.85 recharges, is used 2.3 hours and supplies 33.985 kWh per day) and the daily data regarding the average number of recharges and duration. The total energy supplied is also provided. Every day, </w:t>
      </w:r>
      <w:r>
        <w:rPr>
          <w:rFonts w:ascii="Times New Roman" w:eastAsia="Calibri" w:hAnsi="Times New Roman" w:cs="Times New Roman"/>
          <w:noProof/>
          <w:sz w:val="24"/>
          <w:lang w:val="en-IE"/>
        </w:rPr>
        <w:t>around 198 recharging operations take place at high power recharging points, representing a total average energy of 1,904.610 kWh for a total average duration of 129.51 hours.</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total number of CNG vehicles recorded by Spain in 2018 was </w:t>
      </w:r>
      <w:r>
        <w:rPr>
          <w:rFonts w:ascii="Times New Roman" w:hAnsi="Times New Roman" w:cs="Times New Roman"/>
          <w:noProof/>
          <w:sz w:val="24"/>
          <w:lang w:val="en-IE"/>
        </w:rPr>
        <w:t>12,393 of which 6,452 (52%) were passenger cars, 1,438 (12%) LCVs, 2,108 (17%) HCVs and 2,395 (19%) buses and coaches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 Spanish NIR es</w:t>
      </w:r>
      <w:r>
        <w:rPr>
          <w:rFonts w:ascii="Times New Roman" w:hAnsi="Times New Roman" w:cs="Times New Roman"/>
          <w:noProof/>
          <w:sz w:val="24"/>
          <w:lang w:val="en-IE"/>
        </w:rPr>
        <w:t>timates 23,000 CNG vehicles for 2020, 100,000 for 2025 and 200,000 for 2030. These estimates are provided without details on vehicle classes. The Spanish NPF had only provided estimates for the number of CNG vehicles in 2020; the NIR revised estimate is 33</w:t>
      </w:r>
      <w:r>
        <w:rPr>
          <w:rFonts w:ascii="Times New Roman" w:hAnsi="Times New Roman" w:cs="Times New Roman"/>
          <w:noProof/>
          <w:sz w:val="24"/>
          <w:lang w:val="en-IE"/>
        </w:rPr>
        <w:t xml:space="preserve">.72% higher than that of the NPF, reflecting a greater policy ambition. </w:t>
      </w:r>
    </w:p>
    <w:p w:rsidR="003C43BF" w:rsidRDefault="006C3212">
      <w:pPr>
        <w:tabs>
          <w:tab w:val="left" w:pos="360"/>
        </w:tabs>
        <w:jc w:val="both"/>
        <w:rPr>
          <w:rFonts w:ascii="Times New Roman" w:eastAsia="Calibri" w:hAnsi="Times New Roman" w:cs="Times New Roman"/>
          <w:noProof/>
          <w:color w:val="000000"/>
          <w:sz w:val="28"/>
          <w:szCs w:val="24"/>
          <w:lang w:val="en-IE"/>
        </w:rPr>
      </w:pPr>
      <w:r>
        <w:rPr>
          <w:rFonts w:ascii="Times New Roman" w:eastAsia="Calibri" w:hAnsi="Times New Roman" w:cs="Times New Roman"/>
          <w:iCs/>
          <w:noProof/>
          <w:color w:val="000000"/>
          <w:sz w:val="24"/>
          <w:lang w:val="en-IE"/>
        </w:rPr>
        <w:t xml:space="preserve">The 2018 </w:t>
      </w:r>
      <w:r>
        <w:rPr>
          <w:rFonts w:ascii="Times New Roman" w:eastAsia="Calibri" w:hAnsi="Times New Roman" w:cs="Times New Roman"/>
          <w:b/>
          <w:i/>
          <w:iCs/>
          <w:noProof/>
          <w:color w:val="000000"/>
          <w:sz w:val="24"/>
          <w:lang w:val="en-IE"/>
        </w:rPr>
        <w:t>attainment</w:t>
      </w:r>
      <w:r>
        <w:rPr>
          <w:rFonts w:ascii="Times New Roman" w:eastAsia="Calibri" w:hAnsi="Times New Roman" w:cs="Times New Roman"/>
          <w:iCs/>
          <w:noProof/>
          <w:color w:val="000000"/>
          <w:sz w:val="24"/>
          <w:lang w:val="en-IE"/>
        </w:rPr>
        <w:t xml:space="preserve"> of future CNG vehicles estimates is 53.88% for 2020 and 6.20% for 2030. According to the assessment methodology described in </w:t>
      </w:r>
      <w:r>
        <w:rPr>
          <w:rFonts w:ascii="Times New Roman" w:hAnsi="Times New Roman" w:cs="Times New Roman"/>
          <w:iCs/>
          <w:noProof/>
          <w:sz w:val="24"/>
          <w:lang w:val="en-IE"/>
        </w:rPr>
        <w:t>Section 2.1</w:t>
      </w:r>
      <w:r>
        <w:rPr>
          <w:rFonts w:ascii="Times New Roman" w:eastAsia="Calibri" w:hAnsi="Times New Roman" w:cs="Times New Roman"/>
          <w:iCs/>
          <w:noProof/>
          <w:color w:val="000000"/>
          <w:sz w:val="24"/>
          <w:lang w:val="en-IE"/>
        </w:rPr>
        <w:t xml:space="preserve">, the 2018 situation corresponds to an </w:t>
      </w:r>
      <w:r>
        <w:rPr>
          <w:rFonts w:ascii="Times New Roman" w:eastAsia="Calibri" w:hAnsi="Times New Roman" w:cs="Times New Roman"/>
          <w:b/>
          <w:i/>
          <w:iCs/>
          <w:noProof/>
          <w:color w:val="000000"/>
          <w:sz w:val="24"/>
          <w:lang w:val="en-IE"/>
        </w:rPr>
        <w:t>adequate progress</w:t>
      </w:r>
      <w:r>
        <w:rPr>
          <w:rFonts w:ascii="Times New Roman" w:eastAsia="Calibri" w:hAnsi="Times New Roman" w:cs="Times New Roman"/>
          <w:iCs/>
          <w:noProof/>
          <w:color w:val="000000"/>
          <w:sz w:val="24"/>
          <w:lang w:val="en-IE"/>
        </w:rPr>
        <w:t xml:space="preserve"> towards reaching the envisaged CNG vehicles estimates. The calculated </w:t>
      </w:r>
      <w:r>
        <w:rPr>
          <w:rFonts w:ascii="Times New Roman" w:eastAsia="Calibri" w:hAnsi="Times New Roman" w:cs="Times New Roman"/>
          <w:b/>
          <w:i/>
          <w:iCs/>
          <w:noProof/>
          <w:color w:val="000000"/>
          <w:sz w:val="24"/>
          <w:lang w:val="en-IE"/>
        </w:rPr>
        <w:t>average annual growth rate</w:t>
      </w:r>
      <w:r>
        <w:rPr>
          <w:rFonts w:ascii="Times New Roman" w:eastAsia="Calibri" w:hAnsi="Times New Roman" w:cs="Times New Roman"/>
          <w:iCs/>
          <w:noProof/>
          <w:color w:val="000000"/>
          <w:sz w:val="24"/>
          <w:lang w:val="en-IE"/>
        </w:rPr>
        <w:t xml:space="preserve"> corresponding to the period 2016-2030 for the CNG vehicle fleet evolution planned by Spain is equal to</w:t>
      </w:r>
      <w:r>
        <w:rPr>
          <w:rFonts w:ascii="Times New Roman" w:eastAsia="Calibri" w:hAnsi="Times New Roman" w:cs="Times New Roman"/>
          <w:iCs/>
          <w:noProof/>
          <w:color w:val="000000"/>
          <w:sz w:val="24"/>
          <w:lang w:val="en-IE"/>
        </w:rPr>
        <w:t xml:space="preserve"> 31%.</w:t>
      </w:r>
      <w:r>
        <w:rPr>
          <w:rFonts w:ascii="Times New Roman" w:eastAsia="Calibri" w:hAnsi="Times New Roman" w:cs="Times New Roman"/>
          <w:noProof/>
          <w:color w:val="000000"/>
          <w:sz w:val="28"/>
          <w:szCs w:val="24"/>
          <w:lang w:val="en-IE"/>
        </w:rPr>
        <w:t xml:space="preserv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Spain recorded 60 CNG publicly accessible refuelling points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 NPF had only provided a target for CNG </w:t>
      </w:r>
      <w:r>
        <w:rPr>
          <w:rFonts w:ascii="Times New Roman" w:hAnsi="Times New Roman" w:cs="Times New Roman"/>
          <w:noProof/>
          <w:sz w:val="24"/>
          <w:lang w:val="en-IE"/>
        </w:rPr>
        <w:t>refuelling infrastructure in 2020. The ES NIR presents a revised target for 2020 (150 points), which is 97.37% higher than in the NPF and a new target of 200 CNG refuelling points in 2025. This shows an increase of ambition for CNG.</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publicly accessible CNG refuelling infrastructure targets is 40.00% for 2020 and 30.00% for 2025.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w:t>
      </w:r>
      <w:r>
        <w:rPr>
          <w:rFonts w:ascii="Times New Roman" w:eastAsia="Calibri" w:hAnsi="Times New Roman" w:cs="Times New Roman"/>
          <w:iCs/>
          <w:noProof/>
          <w:color w:val="000000"/>
          <w:sz w:val="24"/>
          <w:lang w:val="en-IE"/>
        </w:rPr>
        <w:t xml:space="preserve">an </w:t>
      </w:r>
      <w:r>
        <w:rPr>
          <w:rFonts w:ascii="Times New Roman" w:eastAsia="Calibri" w:hAnsi="Times New Roman" w:cs="Times New Roman"/>
          <w:b/>
          <w:i/>
          <w:iCs/>
          <w:noProof/>
          <w:color w:val="000000"/>
          <w:sz w:val="24"/>
          <w:lang w:val="en-IE"/>
        </w:rPr>
        <w:t>adequate progress</w:t>
      </w:r>
      <w:r>
        <w:rPr>
          <w:rFonts w:ascii="Times New Roman" w:eastAsia="Calibri" w:hAnsi="Times New Roman" w:cs="Times New Roman"/>
          <w:iCs/>
          <w:noProof/>
          <w:color w:val="000000"/>
          <w:sz w:val="24"/>
          <w:lang w:val="en-IE"/>
        </w:rPr>
        <w:t xml:space="preserve"> </w:t>
      </w:r>
      <w:r>
        <w:rPr>
          <w:rFonts w:ascii="Times New Roman" w:hAnsi="Times New Roman" w:cs="Times New Roman"/>
          <w:iCs/>
          <w:noProof/>
          <w:color w:val="000000" w:themeColor="text1"/>
          <w:sz w:val="24"/>
          <w:lang w:val="en-IE"/>
        </w:rPr>
        <w:t>towards reaching these envi</w:t>
      </w:r>
      <w:r>
        <w:rPr>
          <w:rFonts w:ascii="Times New Roman" w:hAnsi="Times New Roman" w:cs="Times New Roman"/>
          <w:iCs/>
          <w:noProof/>
          <w:color w:val="000000" w:themeColor="text1"/>
          <w:sz w:val="24"/>
          <w:lang w:val="en-IE"/>
        </w:rPr>
        <w:t xml:space="preserve">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2016-2025 for publicly accessible CNG refuelling infrastructure evolution planned by Spain is equal to 21%.</w:t>
      </w:r>
      <w:r>
        <w:rPr>
          <w:rFonts w:ascii="Times New Roman" w:hAnsi="Times New Roman" w:cs="Times New Roman"/>
          <w:noProof/>
          <w:color w:val="000000" w:themeColor="text1"/>
          <w:sz w:val="28"/>
          <w:szCs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ES NIR, the following table shows the ratio</w:t>
      </w:r>
      <w:r>
        <w:rPr>
          <w:rFonts w:ascii="Times New Roman" w:hAnsi="Times New Roman" w:cs="Times New Roman"/>
          <w:noProof/>
          <w:sz w:val="24"/>
          <w:lang w:val="en-IE"/>
        </w:rPr>
        <w:t xml:space="preserve"> between vehicles and publicly accessible refuelling points (i.e. sufficiency index) for the pair CNG/road. It can be seen that sufficiency index is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for the implementation period until 2025.</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603750" cy="570865"/>
            <wp:effectExtent l="0" t="0" r="635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03750" cy="570865"/>
                    </a:xfrm>
                    <a:prstGeom prst="rect">
                      <a:avLst/>
                    </a:prstGeom>
                    <a:noFill/>
                    <a:ln>
                      <a:noFill/>
                    </a:ln>
                  </pic:spPr>
                </pic:pic>
              </a:graphicData>
            </a:graphic>
          </wp:inline>
        </w:drawing>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Spain recorded 960 LNG vehicles in use in 2018, composed entirely by heavy commercial vehicles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eastAsia="Calibri" w:hAnsi="Times New Roman" w:cs="Times New Roman"/>
          <w:noProof/>
          <w:sz w:val="24"/>
          <w:lang w:val="en-IE"/>
        </w:rPr>
        <w:t>). Such LNG fleet has increased rem</w:t>
      </w:r>
      <w:r>
        <w:rPr>
          <w:rFonts w:ascii="Times New Roman" w:eastAsia="Calibri" w:hAnsi="Times New Roman" w:cs="Times New Roman"/>
          <w:noProof/>
          <w:sz w:val="24"/>
          <w:lang w:val="en-IE"/>
        </w:rPr>
        <w:t>arkably since 2012 when there were just 12 vehicles. The Spanish NPF had estimated to have 800 LNG vehicles registered in 2020 and according to the NIR that value had been surpassed already in 2018. The NIR revised estimate for the number of LNG vehicles i</w:t>
      </w:r>
      <w:r>
        <w:rPr>
          <w:rFonts w:ascii="Times New Roman" w:eastAsia="Calibri" w:hAnsi="Times New Roman" w:cs="Times New Roman"/>
          <w:noProof/>
          <w:sz w:val="24"/>
          <w:lang w:val="en-IE"/>
        </w:rPr>
        <w:t xml:space="preserve">n 2020 is 2,000 that is 150% higher than in the NPF. In addition, new estimates for LNG vehicles in 2025 and 2030 are 7,000 and 25,000 respectively, presumably all heavy-duty vehicles. </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LNG vehicles estimates is 48.00% for 202</w:t>
      </w:r>
      <w:r>
        <w:rPr>
          <w:rFonts w:ascii="Times New Roman" w:hAnsi="Times New Roman" w:cs="Times New Roman"/>
          <w:iCs/>
          <w:noProof/>
          <w:color w:val="000000" w:themeColor="text1"/>
          <w:sz w:val="24"/>
          <w:lang w:val="en-IE"/>
        </w:rPr>
        <w:t xml:space="preserve">0 and 3.84%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Spain from 2016 until 2018 for LNG vehicles deployment is 2.60% of the overall planned deployment during the period 2016-2030.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r>
        <w:rPr>
          <w:rFonts w:ascii="Times New Roman" w:eastAsia="Calibri" w:hAnsi="Times New Roman" w:cs="Times New Roman"/>
          <w:noProof/>
          <w:sz w:val="24"/>
          <w:lang w:val="en-IE"/>
        </w:rPr>
        <w:t xml:space="preserve">shows that in 2018 </w:t>
      </w:r>
      <w:r>
        <w:rPr>
          <w:rFonts w:ascii="Times New Roman" w:hAnsi="Times New Roman" w:cs="Times New Roman"/>
          <w:noProof/>
          <w:sz w:val="24"/>
          <w:lang w:val="en-IE"/>
        </w:rPr>
        <w:t>there were already 34 publicly accessible LNG refuelling points in Spain. The ES NIR declares that there were 24 combin</w:t>
      </w:r>
      <w:r>
        <w:rPr>
          <w:rFonts w:ascii="Times New Roman" w:hAnsi="Times New Roman" w:cs="Times New Roman"/>
          <w:noProof/>
          <w:sz w:val="24"/>
          <w:lang w:val="en-IE"/>
        </w:rPr>
        <w:t>ed CNG/LNG stations under construction in 2019. The Spanish NPF had only provided targets for 2020 and 2025. The NIR now presents revised targets for LNG refuelling points: 85 in 2020 and 110 in 2025, which are respectively 93.18% and 150% higher than in t</w:t>
      </w:r>
      <w:r>
        <w:rPr>
          <w:rFonts w:ascii="Times New Roman" w:hAnsi="Times New Roman" w:cs="Times New Roman"/>
          <w:noProof/>
          <w:sz w:val="24"/>
          <w:lang w:val="en-IE"/>
        </w:rPr>
        <w:t>he NPF.</w:t>
      </w:r>
    </w:p>
    <w:p w:rsidR="003C43BF" w:rsidRDefault="006C3212">
      <w:pPr>
        <w:tabs>
          <w:tab w:val="left" w:pos="360"/>
        </w:tabs>
        <w:spacing w:after="120"/>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publicly accessible LNG refuelling infrastructure targets is 40% for 2020 and 30.91% for 2025. </w:t>
      </w:r>
      <w:r>
        <w:rPr>
          <w:rFonts w:ascii="Times New Roman" w:hAnsi="Times New Roman" w:cs="Times New Roman"/>
          <w:noProof/>
          <w:color w:val="000000" w:themeColor="text1"/>
          <w:sz w:val="24"/>
          <w:shd w:val="clear" w:color="auto" w:fill="FFFFFF"/>
          <w:lang w:val="en-IE"/>
        </w:rPr>
        <w:t>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obtained by Spain for publicly accessible LNG refuelling infrastructure deployment from 2016 until 2018 versus the period 2016-2030 could not be computed because of the lack of the 2030 target.</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ES NIR, the following table shows the rati</w:t>
      </w:r>
      <w:r>
        <w:rPr>
          <w:rFonts w:ascii="Times New Roman" w:hAnsi="Times New Roman" w:cs="Times New Roman"/>
          <w:noProof/>
          <w:sz w:val="24"/>
          <w:lang w:val="en-IE"/>
        </w:rPr>
        <w:t xml:space="preserve">o between vehicles and publicly accessible refuelling points (i.e. sufficiency index) for the pair LNG/road.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603750" cy="570865"/>
            <wp:effectExtent l="0" t="0" r="635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03750" cy="570865"/>
                    </a:xfrm>
                    <a:prstGeom prst="rect">
                      <a:avLst/>
                    </a:prstGeom>
                    <a:noFill/>
                    <a:ln>
                      <a:noFill/>
                    </a:ln>
                  </pic:spPr>
                </pic:pic>
              </a:graphicData>
            </a:graphic>
          </wp:inline>
        </w:drawing>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The ES NIR indicates that there are 28 hydrogen-powered vehicles (20 passenger cars and 8 buses) in Spain in 2018. There were </w:t>
      </w:r>
      <w:r>
        <w:rPr>
          <w:rFonts w:ascii="Times New Roman" w:eastAsia="Calibri" w:hAnsi="Times New Roman" w:cs="Times New Roman"/>
          <w:noProof/>
          <w:sz w:val="24"/>
          <w:lang w:val="en-IE"/>
        </w:rPr>
        <w:t>also 4 PTW &amp; other vehicles. According to the NIR, the fleet of hydrogen-powered cars is limited to demonstration projects and 38 of these vehicles were authorised to circulate on public roads in 2019. It is expected to reach 50 hydrogen-powered vehicles b</w:t>
      </w:r>
      <w:r>
        <w:rPr>
          <w:rFonts w:ascii="Times New Roman" w:eastAsia="Calibri" w:hAnsi="Times New Roman" w:cs="Times New Roman"/>
          <w:noProof/>
          <w:sz w:val="24"/>
          <w:lang w:val="en-IE"/>
        </w:rPr>
        <w:t>y 2020, 200 by 2025 and 1,000 by 2030. The 2020 estimate is 90% lower than the 500 vehicles foreseen in the NPF.</w:t>
      </w:r>
    </w:p>
    <w:p w:rsidR="003C43BF" w:rsidRDefault="006C3212">
      <w:pPr>
        <w:tabs>
          <w:tab w:val="left" w:pos="360"/>
        </w:tabs>
        <w:jc w:val="both"/>
        <w:rPr>
          <w:rFonts w:ascii="Times New Roman" w:eastAsia="Calibri" w:hAnsi="Times New Roman" w:cs="Times New Roman"/>
          <w:noProof/>
          <w:color w:val="000000"/>
          <w:sz w:val="28"/>
          <w:szCs w:val="24"/>
          <w:lang w:val="en-IE"/>
        </w:rPr>
      </w:pPr>
      <w:r>
        <w:rPr>
          <w:rFonts w:ascii="Times New Roman" w:eastAsia="Calibri" w:hAnsi="Times New Roman" w:cs="Times New Roman"/>
          <w:noProof/>
          <w:sz w:val="24"/>
          <w:lang w:val="en-IE"/>
        </w:rPr>
        <w:t xml:space="preserve">The 2018 </w:t>
      </w:r>
      <w:r>
        <w:rPr>
          <w:rFonts w:ascii="Times New Roman" w:eastAsia="Calibri" w:hAnsi="Times New Roman" w:cs="Times New Roman"/>
          <w:b/>
          <w:i/>
          <w:noProof/>
          <w:sz w:val="24"/>
          <w:lang w:val="en-IE"/>
        </w:rPr>
        <w:t>attainment</w:t>
      </w:r>
      <w:r>
        <w:rPr>
          <w:rFonts w:ascii="Times New Roman" w:eastAsia="Calibri" w:hAnsi="Times New Roman" w:cs="Times New Roman"/>
          <w:noProof/>
          <w:sz w:val="24"/>
          <w:lang w:val="en-IE"/>
        </w:rPr>
        <w:t xml:space="preserve"> of future hydrogen vehicles estimates is </w:t>
      </w:r>
      <w:r>
        <w:rPr>
          <w:rFonts w:ascii="Times New Roman" w:eastAsia="Calibri" w:hAnsi="Times New Roman" w:cs="Times New Roman"/>
          <w:iCs/>
          <w:noProof/>
          <w:color w:val="000000"/>
          <w:sz w:val="24"/>
          <w:lang w:val="en-IE"/>
        </w:rPr>
        <w:t xml:space="preserve">56% for 2020 and 2.8% for 2030. According to the assessment methodology described </w:t>
      </w:r>
      <w:r>
        <w:rPr>
          <w:rFonts w:ascii="Times New Roman" w:eastAsia="Calibri" w:hAnsi="Times New Roman" w:cs="Times New Roman"/>
          <w:iCs/>
          <w:noProof/>
          <w:color w:val="000000"/>
          <w:sz w:val="24"/>
          <w:lang w:val="en-IE"/>
        </w:rPr>
        <w:t xml:space="preserve">in </w:t>
      </w:r>
      <w:r>
        <w:rPr>
          <w:rFonts w:ascii="Times New Roman" w:hAnsi="Times New Roman" w:cs="Times New Roman"/>
          <w:iCs/>
          <w:noProof/>
          <w:sz w:val="24"/>
          <w:lang w:val="en-IE"/>
        </w:rPr>
        <w:t>Section 2.1</w:t>
      </w:r>
      <w:r>
        <w:rPr>
          <w:rFonts w:ascii="Times New Roman" w:eastAsia="Calibri" w:hAnsi="Times New Roman" w:cs="Times New Roman"/>
          <w:iCs/>
          <w:noProof/>
          <w:color w:val="000000"/>
          <w:sz w:val="24"/>
          <w:lang w:val="en-IE"/>
        </w:rPr>
        <w:t xml:space="preserve">, the </w:t>
      </w:r>
      <w:r>
        <w:rPr>
          <w:rFonts w:ascii="Times New Roman" w:eastAsia="Calibri" w:hAnsi="Times New Roman" w:cs="Times New Roman"/>
          <w:b/>
          <w:i/>
          <w:iCs/>
          <w:noProof/>
          <w:color w:val="000000"/>
          <w:sz w:val="24"/>
          <w:lang w:val="en-IE"/>
        </w:rPr>
        <w:t>progress</w:t>
      </w:r>
      <w:r>
        <w:rPr>
          <w:rFonts w:ascii="Times New Roman" w:eastAsia="Calibri" w:hAnsi="Times New Roman" w:cs="Times New Roman"/>
          <w:iCs/>
          <w:noProof/>
          <w:color w:val="000000"/>
          <w:sz w:val="24"/>
          <w:lang w:val="en-IE"/>
        </w:rPr>
        <w:t xml:space="preserve"> obtained by Spain from 2016 until 2018 for hydrogen vehicles deployment is 1.62% of the overall planned deployment during the period 2016-2030.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r>
        <w:rPr>
          <w:rFonts w:ascii="Times New Roman" w:eastAsia="Calibri" w:hAnsi="Times New Roman" w:cs="Times New Roman"/>
          <w:noProof/>
          <w:sz w:val="24"/>
          <w:lang w:val="en-IE"/>
        </w:rPr>
        <w:t xml:space="preserve">shows that in 2018 </w:t>
      </w:r>
      <w:r>
        <w:rPr>
          <w:rFonts w:ascii="Times New Roman" w:hAnsi="Times New Roman" w:cs="Times New Roman"/>
          <w:noProof/>
          <w:sz w:val="24"/>
          <w:lang w:val="en-IE"/>
        </w:rPr>
        <w:t xml:space="preserve">there were four hydrogen publicly accessible refuelling points in Spain. The ES NPF had only provided a target for 2020 of 20 hydrogen refuelling points. The NIR provides a </w:t>
      </w:r>
      <w:r>
        <w:rPr>
          <w:rFonts w:ascii="Times New Roman" w:hAnsi="Times New Roman" w:cs="Times New Roman"/>
          <w:noProof/>
          <w:sz w:val="24"/>
          <w:lang w:val="en-IE"/>
        </w:rPr>
        <w:t>revised value of six refuelling points in 2020 (70% lower) and a new target of 15 in 2025.</w:t>
      </w:r>
    </w:p>
    <w:p w:rsidR="003C43BF" w:rsidRDefault="006C3212">
      <w:pPr>
        <w:tabs>
          <w:tab w:val="left" w:pos="360"/>
        </w:tabs>
        <w:spacing w:after="120"/>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publicly accessible hydrogen refuelling infrastructure targets is 66.67% for 2020 and 26.67% for 2025. </w:t>
      </w:r>
      <w:r>
        <w:rPr>
          <w:rFonts w:ascii="Times New Roman" w:hAnsi="Times New Roman" w:cs="Times New Roman"/>
          <w:noProof/>
          <w:color w:val="000000" w:themeColor="text1"/>
          <w:sz w:val="24"/>
          <w:shd w:val="clear" w:color="auto" w:fill="FFFFFF"/>
          <w:lang w:val="en-IE"/>
        </w:rPr>
        <w:t xml:space="preserve">According to the assessment </w:t>
      </w:r>
      <w:r>
        <w:rPr>
          <w:rFonts w:ascii="Times New Roman" w:hAnsi="Times New Roman" w:cs="Times New Roman"/>
          <w:noProof/>
          <w:color w:val="000000" w:themeColor="text1"/>
          <w:sz w:val="24"/>
          <w:shd w:val="clear" w:color="auto" w:fill="FFFFFF"/>
          <w:lang w:val="en-IE"/>
        </w:rPr>
        <w:t>methodology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obtained by Spain for publicly accessible hydrogen refuelling infrastructure deployment from 2016 until 2018 versus the period 2016-2030 could not be computed due to the lack of the 2030 target.</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w:t>
      </w:r>
      <w:r>
        <w:rPr>
          <w:rFonts w:ascii="Times New Roman" w:hAnsi="Times New Roman" w:cs="Times New Roman"/>
          <w:noProof/>
          <w:sz w:val="24"/>
          <w:lang w:val="en-IE"/>
        </w:rPr>
        <w:t>d on the ES NIR, the following table shows the ratio between vehicles and publicly accessible refuelling points (i.e. sufficiency index) for the pair hydrogen/road until 2025.</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603750" cy="570865"/>
            <wp:effectExtent l="0" t="0" r="635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03750" cy="570865"/>
                    </a:xfrm>
                    <a:prstGeom prst="rect">
                      <a:avLst/>
                    </a:prstGeom>
                    <a:noFill/>
                    <a:ln>
                      <a:noFill/>
                    </a:ln>
                  </pic:spPr>
                </pic:pic>
              </a:graphicData>
            </a:graphic>
          </wp:inline>
        </w:drawing>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indicates that, currently, there are no offi</w:t>
      </w:r>
      <w:r>
        <w:rPr>
          <w:rFonts w:ascii="Times New Roman" w:hAnsi="Times New Roman" w:cs="Times New Roman"/>
          <w:noProof/>
          <w:sz w:val="24"/>
          <w:lang w:val="en-IE"/>
        </w:rPr>
        <w:t>cial figures for the number of vehicles compatible with blends of higher concentrations than E5 or B7, or registrations of such vehicles. Furthermore, all diesel vehicles can use high proportions of HVO (Hydrotreated Vegetable Oil).</w:t>
      </w:r>
    </w:p>
    <w:p w:rsidR="003C43BF" w:rsidRDefault="006C3212">
      <w:pPr>
        <w:pStyle w:val="Heading6"/>
        <w:numPr>
          <w:ilvl w:val="0"/>
          <w:numId w:val="0"/>
        </w:numPr>
        <w:rPr>
          <w:rStyle w:val="Heading4Char"/>
          <w:rFonts w:ascii="Times New Roman" w:hAnsi="Times New Roman" w:cs="Times New Roman"/>
          <w:i w:val="0"/>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All pump</w:t>
      </w:r>
      <w:r>
        <w:rPr>
          <w:rFonts w:ascii="Times New Roman" w:hAnsi="Times New Roman" w:cs="Times New Roman"/>
          <w:noProof/>
          <w:sz w:val="24"/>
          <w:lang w:val="en-IE"/>
        </w:rPr>
        <w:t>s at Spanish service stations offering diesel can supply blends with up to 7% biodiesel by volume (B7). Moreover, normal petrol pumps can contain up to 5% bioethanol by volume (E5). Thus, whenever a vehicle is filled with B7 diesel and petrol, biodiesel an</w:t>
      </w:r>
      <w:r>
        <w:rPr>
          <w:rFonts w:ascii="Times New Roman" w:hAnsi="Times New Roman" w:cs="Times New Roman"/>
          <w:noProof/>
          <w:sz w:val="24"/>
          <w:lang w:val="en-IE"/>
        </w:rPr>
        <w:t>d bioethanol are being consumed, respectively. Since 2011, the diesel sold in Spain contains a considerable volume of HVO.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2018, there were 63 Spanish service stations selling blends with higher bioethanol (8 stations) and biodiesel (55 stations) conten</w:t>
      </w:r>
      <w:r>
        <w:rPr>
          <w:rFonts w:ascii="Times New Roman" w:hAnsi="Times New Roman" w:cs="Times New Roman"/>
          <w:noProof/>
          <w:sz w:val="24"/>
          <w:lang w:val="en-IE"/>
        </w:rPr>
        <w:t>t, although the introduction of these blends in Spain has not stopped decreasing since 2016 and they could be found in only 0.5% of all service stations.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Spain had a fleet of 41,085 LPG vehicles in use in 2018 (of which 37,402 were passenger cars, 3,455 LCVs, 132 HCVs and 96 buses and coaches)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There were also 425 PTW. Most of these vehicles are bi-fuel (petrol-LPG) and the proportion of heavy-duty vehicles is nominal since they are not yet sold with LPG-dedicated engines, although Spanish companies are doing dual fuel (diesel-LPG) conv</w:t>
      </w:r>
      <w:r>
        <w:rPr>
          <w:rFonts w:ascii="Times New Roman" w:hAnsi="Times New Roman" w:cs="Times New Roman"/>
          <w:noProof/>
          <w:sz w:val="24"/>
          <w:lang w:val="en-IE"/>
        </w:rPr>
        <w:t xml:space="preserve">ersions on trucks over 3,500 kg with good results. The Spanish NIR recognises that the evolution of LPG since 2016 – when the NPF was approved – has not gone as quickly as expected and presents revised future numbers for LPG vehicles. </w:t>
      </w:r>
      <w:r>
        <w:rPr>
          <w:rFonts w:ascii="Times New Roman" w:eastAsia="Calibri" w:hAnsi="Times New Roman" w:cs="Times New Roman"/>
          <w:noProof/>
          <w:sz w:val="24"/>
          <w:lang w:val="en-IE"/>
        </w:rPr>
        <w:t>The NIR revised estim</w:t>
      </w:r>
      <w:r>
        <w:rPr>
          <w:rFonts w:ascii="Times New Roman" w:eastAsia="Calibri" w:hAnsi="Times New Roman" w:cs="Times New Roman"/>
          <w:noProof/>
          <w:sz w:val="24"/>
          <w:lang w:val="en-IE"/>
        </w:rPr>
        <w:t>ate for the number of LPG vehicles in 2020 is 100,000, which is 50% lower than in the less optimistic NPF scenario. In addition, the ES NIR presents new estimates for LPG vehicles in 2025 and 2030 of 200,000 and 500,000 respectively (without providing deta</w:t>
      </w:r>
      <w:r>
        <w:rPr>
          <w:rFonts w:ascii="Times New Roman" w:eastAsia="Calibri" w:hAnsi="Times New Roman" w:cs="Times New Roman"/>
          <w:noProof/>
          <w:sz w:val="24"/>
          <w:lang w:val="en-IE"/>
        </w:rPr>
        <w:t>ils on vehicle classes), which were absent in the NPF</w:t>
      </w:r>
      <w:r>
        <w:rPr>
          <w:rFonts w:ascii="Times New Roman" w:hAnsi="Times New Roman" w:cs="Times New Roman"/>
          <w:noProof/>
          <w:sz w:val="24"/>
          <w:lang w:val="en-IE"/>
        </w:rPr>
        <w:t xml:space="preserve">. </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LPG vehicles estimates is 41.09% for 2020 and 8.22%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Spain from 2016 until 2018 for LPG vehicles deployment is 5.41% of the overall planned deployment during the period 2016-2030.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that in 2018 there were 589 LPG publicly accessible refuelling points in Spain. The NIR indicates that the number of stations accessible to the public has grown by 26% since the approval of the NPF. Although the LPG refuelling stati</w:t>
      </w:r>
      <w:r>
        <w:rPr>
          <w:rFonts w:ascii="Times New Roman" w:hAnsi="Times New Roman" w:cs="Times New Roman"/>
          <w:noProof/>
          <w:sz w:val="24"/>
          <w:lang w:val="en-IE"/>
        </w:rPr>
        <w:t>on operators maintain their interest in increasing the extensive reach of the national network, investments in infrastructure are not being made at the pace initially envisaged since Spain considers the current infrastructure sufficient to supply a fleet o</w:t>
      </w:r>
      <w:r>
        <w:rPr>
          <w:rFonts w:ascii="Times New Roman" w:hAnsi="Times New Roman" w:cs="Times New Roman"/>
          <w:noProof/>
          <w:sz w:val="24"/>
          <w:lang w:val="en-IE"/>
        </w:rPr>
        <w:t>f over 200,000 vehicles. The Spanish NPF had only provided a target of 800 for the number of LPG refuelling points in 2020. The NIR now presents a revised target for LPG refuelling points of 650 in 2020, which is 18.75% smaller than in the NPF, and a new t</w:t>
      </w:r>
      <w:r>
        <w:rPr>
          <w:rFonts w:ascii="Times New Roman" w:hAnsi="Times New Roman" w:cs="Times New Roman"/>
          <w:noProof/>
          <w:sz w:val="24"/>
          <w:lang w:val="en-IE"/>
        </w:rPr>
        <w:t>arget of 750 refuelling points in 2025.</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publicly accessible LPG refuelling infrastructure targets is 90.62% for 2020 and 78.53% for 2025. </w:t>
      </w:r>
      <w:r>
        <w:rPr>
          <w:rFonts w:ascii="Times New Roman" w:hAnsi="Times New Roman" w:cs="Times New Roman"/>
          <w:noProof/>
          <w:color w:val="000000" w:themeColor="text1"/>
          <w:sz w:val="24"/>
          <w:shd w:val="clear" w:color="auto" w:fill="FFFFFF"/>
          <w:lang w:val="en-IE"/>
        </w:rPr>
        <w:t>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obtained </w:t>
      </w:r>
      <w:r>
        <w:rPr>
          <w:rFonts w:ascii="Times New Roman" w:hAnsi="Times New Roman" w:cs="Times New Roman"/>
          <w:noProof/>
          <w:color w:val="000000" w:themeColor="text1"/>
          <w:sz w:val="24"/>
          <w:shd w:val="clear" w:color="auto" w:fill="FFFFFF"/>
          <w:lang w:val="en-IE"/>
        </w:rPr>
        <w:t>by Spain for publicly accessible LPG refuelling infrastructure deployment from 2016 until 2018 versus the period 2016-2030 could not be computed because the 2030 target is absent.</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ES NIR, the following table shows the ratio between vehic</w:t>
      </w:r>
      <w:r>
        <w:rPr>
          <w:rFonts w:ascii="Times New Roman" w:hAnsi="Times New Roman" w:cs="Times New Roman"/>
          <w:noProof/>
          <w:sz w:val="24"/>
          <w:lang w:val="en-IE"/>
        </w:rPr>
        <w:t xml:space="preserve">les and publicly accessible refuelling points (i.e. sufficiency index) for the pair LPG/road.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603750" cy="570865"/>
            <wp:effectExtent l="0" t="0" r="635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03750" cy="570865"/>
                    </a:xfrm>
                    <a:prstGeom prst="rect">
                      <a:avLst/>
                    </a:prstGeom>
                    <a:noFill/>
                    <a:ln>
                      <a:noFill/>
                    </a:ln>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Rail</w:t>
      </w:r>
      <w:r>
        <w:rPr>
          <w:rStyle w:val="Heading4Char"/>
          <w:rFonts w:ascii="Times New Roman" w:eastAsia="SimSun" w:hAnsi="Times New Roman" w:cs="Times New Roman"/>
          <w:noProof/>
          <w:color w:val="1F4D78" w:themeColor="accent1" w:themeShade="7F"/>
          <w:sz w:val="24"/>
          <w:lang w:val="en-IE"/>
        </w:rPr>
        <w:t xml:space="preserve"> </w:t>
      </w:r>
      <w:r>
        <w:rPr>
          <w:rFonts w:ascii="Times New Roman" w:hAnsi="Times New Roman" w:cs="Times New Roman"/>
          <w:noProof/>
          <w:sz w:val="24"/>
          <w:lang w:val="en-IE"/>
        </w:rPr>
        <w:t xml:space="preserve">transport </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NIR mentions that for the transition period until the rail network is fully electrified, or for lines that will not </w:t>
      </w:r>
      <w:r>
        <w:rPr>
          <w:rFonts w:ascii="Times New Roman" w:hAnsi="Times New Roman" w:cs="Times New Roman"/>
          <w:noProof/>
          <w:sz w:val="24"/>
          <w:lang w:val="en-IE"/>
        </w:rPr>
        <w:t>be electrified, RENFE (Spanish national railways network) is planning the conversion of part of the diesel fleet to LNG, hydrogen or batteries, as the sole means of traction or in combination with electric traction.</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According to the Spanish </w:t>
      </w:r>
      <w:r>
        <w:rPr>
          <w:rFonts w:ascii="Times New Roman" w:hAnsi="Times New Roman" w:cs="Times New Roman"/>
          <w:noProof/>
          <w:sz w:val="24"/>
          <w:lang w:val="en-IE"/>
        </w:rPr>
        <w:t>NIR, almost 40% (over 6,000 km) of the rail network in the TEN-T Core is not electrified. The NIR further indicates that there are existing plans to electrify over 1,000 km of these lines. In addition, part of the diesel rail traffic will be diverted to th</w:t>
      </w:r>
      <w:r>
        <w:rPr>
          <w:rFonts w:ascii="Times New Roman" w:hAnsi="Times New Roman" w:cs="Times New Roman"/>
          <w:noProof/>
          <w:sz w:val="24"/>
          <w:lang w:val="en-IE"/>
        </w:rPr>
        <w:t>e high speed network which is being extended through the Spanish territory.</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The Spanish NIR does not provide any details in this matter.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that in 2018 Spain had two shore-side electricity supply points for ships and ferries, in Melilla and Motril respectively. Additional six shore-side electricity supply points were planned to be in operation by the end of 2019. According to the ES NI</w:t>
      </w:r>
      <w:r>
        <w:rPr>
          <w:rFonts w:ascii="Times New Roman" w:hAnsi="Times New Roman" w:cs="Times New Roman"/>
          <w:noProof/>
          <w:sz w:val="24"/>
          <w:lang w:val="en-IE"/>
        </w:rPr>
        <w:t>R, it is expected to have 45 electricity supply points for ships and ferries in 2020. This shows an increase in ambition compared with the NPF where the target for 2020 was of five electricity supply points.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Since only a target corresponding to 2020 was pr</w:t>
      </w:r>
      <w:r>
        <w:rPr>
          <w:rFonts w:ascii="Times New Roman" w:hAnsi="Times New Roman" w:cs="Times New Roman"/>
          <w:noProof/>
          <w:sz w:val="24"/>
          <w:lang w:val="en-IE"/>
        </w:rPr>
        <w:t xml:space="preserve">ovided,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shore-side electricity supply points in maritime ports could be calculated only based on that target and is equal to 4.44%. </w:t>
      </w:r>
      <w:r>
        <w:rPr>
          <w:rFonts w:ascii="Times New Roman" w:hAnsi="Times New Roman" w:cs="Times New Roman"/>
          <w:noProof/>
          <w:color w:val="000000" w:themeColor="text1"/>
          <w:sz w:val="24"/>
          <w:shd w:val="clear" w:color="auto" w:fill="FFFFFF"/>
          <w:lang w:val="en-IE"/>
        </w:rPr>
        <w:t>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obtained by Spain for </w:t>
      </w:r>
      <w:r>
        <w:rPr>
          <w:rFonts w:ascii="Times New Roman" w:hAnsi="Times New Roman" w:cs="Times New Roman"/>
          <w:noProof/>
          <w:color w:val="000000" w:themeColor="text1"/>
          <w:sz w:val="24"/>
          <w:shd w:val="clear" w:color="auto" w:fill="FFFFFF"/>
          <w:lang w:val="en-IE"/>
        </w:rPr>
        <w:t>the deployment of </w:t>
      </w:r>
      <w:r>
        <w:rPr>
          <w:rFonts w:ascii="Times New Roman" w:hAnsi="Times New Roman" w:cs="Times New Roman"/>
          <w:noProof/>
          <w:sz w:val="24"/>
          <w:lang w:val="en-IE"/>
        </w:rPr>
        <w:t>shore-side electricity supply points</w:t>
      </w:r>
      <w:r>
        <w:rPr>
          <w:rFonts w:ascii="Times New Roman" w:hAnsi="Times New Roman" w:cs="Times New Roman"/>
          <w:noProof/>
          <w:color w:val="000000" w:themeColor="text1"/>
          <w:sz w:val="24"/>
          <w:shd w:val="clear" w:color="auto" w:fill="FFFFFF"/>
          <w:lang w:val="en-IE"/>
        </w:rPr>
        <w:t xml:space="preserve"> in maritime ports from 2016 until 2018 versus the period 2016-2030 could not be computed because of the lack of the 2030 target.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declares that, since the approval in December 2016 o</w:t>
      </w:r>
      <w:r>
        <w:rPr>
          <w:rFonts w:ascii="Times New Roman" w:hAnsi="Times New Roman" w:cs="Times New Roman"/>
          <w:noProof/>
          <w:sz w:val="24"/>
          <w:lang w:val="en-IE"/>
        </w:rPr>
        <w:t>f the NPF, the development of the market of LNG as a marine fuel in Spain has progressed well.</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In 2018, Spain had one vessel (that covers the Valencia-Palma de Mallorca line) using LNG in its auxiliary engine. In 2019, two ferries, propelled with t</w:t>
      </w:r>
      <w:r>
        <w:rPr>
          <w:rFonts w:ascii="Times New Roman" w:hAnsi="Times New Roman" w:cs="Times New Roman"/>
          <w:noProof/>
          <w:sz w:val="24"/>
          <w:lang w:val="en-IE"/>
        </w:rPr>
        <w:t>wo dual petrol-LNG engines, started operation in the lines Barcelona-Palma de Mallorca and Huelva-Canarias. The Spanish NPF had only provided an estimate for the number LNG seagoing vessels in 2020, whereas the NIR presents a revised estimate for 2020 (9 v</w:t>
      </w:r>
      <w:r>
        <w:rPr>
          <w:rFonts w:ascii="Times New Roman" w:hAnsi="Times New Roman" w:cs="Times New Roman"/>
          <w:noProof/>
          <w:sz w:val="24"/>
          <w:lang w:val="en-IE"/>
        </w:rPr>
        <w:t>essels), which is 200% higher than in the NPF, and new estimated numbers of 10 and 12 LNG vessels in 2025 and 2030 respectively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color w:val="000000" w:themeColor="text1"/>
          <w:sz w:val="24"/>
          <w:lang w:val="en-IE"/>
        </w:rPr>
        <w: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LNG seagoing ships and ferries estimates is 11.11% for 2020 and 8.33%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Spain obtained from 2016 until 2018 for LNG seagoing ships and ferr</w:t>
      </w:r>
      <w:r>
        <w:rPr>
          <w:rFonts w:ascii="Times New Roman" w:hAnsi="Times New Roman" w:cs="Times New Roman"/>
          <w:noProof/>
          <w:sz w:val="24"/>
          <w:lang w:val="en-IE"/>
        </w:rPr>
        <w:t xml:space="preserve">ies deployment in maritime ports is 8.33% of the overall planned deployment during the period 2016-2030.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ES NIR indicates that all 43 Spanish ports of general interest are currently in a position to supply LNG by means of tanks, subject to market conditions. That supply is complemented by the adaptation of two terminals for the supply of LNG, which are al</w:t>
      </w:r>
      <w:r>
        <w:rPr>
          <w:rFonts w:ascii="Times New Roman" w:hAnsi="Times New Roman" w:cs="Times New Roman"/>
          <w:noProof/>
          <w:color w:val="000000" w:themeColor="text1"/>
          <w:sz w:val="24"/>
          <w:lang w:val="en-IE"/>
        </w:rPr>
        <w:t>ready operational in the ports of Barcelona and Bilbao, and a supply vessel that is operational in the port of Huelva. In addition, another supply vessel currently operates with a base in the port of Barcelona, although with availability subjected to marke</w:t>
      </w:r>
      <w:r>
        <w:rPr>
          <w:rFonts w:ascii="Times New Roman" w:hAnsi="Times New Roman" w:cs="Times New Roman"/>
          <w:noProof/>
          <w:color w:val="000000" w:themeColor="text1"/>
          <w:sz w:val="24"/>
          <w:lang w:val="en-IE"/>
        </w:rPr>
        <w:t xml:space="preserve">t condition and license.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The NPF targets for LNG supply points to ships and ferries have been </w:t>
      </w:r>
      <w:r>
        <w:rPr>
          <w:rFonts w:ascii="Times New Roman" w:hAnsi="Times New Roman" w:cs="Times New Roman"/>
          <w:b/>
          <w:noProof/>
          <w:color w:val="000000" w:themeColor="text1"/>
          <w:sz w:val="24"/>
          <w:lang w:val="en-IE"/>
        </w:rPr>
        <w:t>already 100% attained</w:t>
      </w:r>
      <w:r>
        <w:rPr>
          <w:rFonts w:ascii="Times New Roman" w:hAnsi="Times New Roman" w:cs="Times New Roman"/>
          <w:noProof/>
          <w:color w:val="000000" w:themeColor="text1"/>
          <w:sz w:val="24"/>
          <w:lang w:val="en-IE"/>
        </w:rPr>
        <w:t xml:space="preserve"> (see</w:t>
      </w:r>
      <w:r>
        <w:rPr>
          <w:rFonts w:ascii="Times New Roman" w:hAnsi="Times New Roman" w:cs="Times New Roman"/>
          <w:noProof/>
          <w:sz w:val="24"/>
          <w:lang w:val="en-IE"/>
        </w:rPr>
        <w:t xml:space="preserv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 xml:space="preserve">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Spain obtained from 2016 until 2018 for LNG refuelling infrastructure deployment in maritime ports is also 100.</w:t>
      </w:r>
      <w:r>
        <w:rPr>
          <w:rFonts w:ascii="Times New Roman" w:hAnsi="Times New Roman" w:cs="Times New Roman"/>
          <w:noProof/>
          <w:sz w:val="24"/>
          <w:lang w:val="en-IE"/>
        </w:rPr>
        <w:t xml:space="preserve">00% of the overall planned deployment during the period 2016-2030. </w:t>
      </w:r>
    </w:p>
    <w:p w:rsidR="003C43BF" w:rsidRDefault="003C43BF">
      <w:pPr>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Waterborne transport (inland)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does not contain any information about use of alternative fuels in inland waterborne transport.</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w:t>
      </w:r>
      <w:r>
        <w:rPr>
          <w:rFonts w:ascii="Times New Roman" w:hAnsi="Times New Roman" w:cs="Times New Roman"/>
          <w:noProof/>
          <w:sz w:val="24"/>
          <w:lang w:val="en-IE"/>
        </w:rPr>
        <w:t>ish NIR does not provide any details regarding deployment of hybrid-electric or fully-electric airplanes.</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tabs>
          <w:tab w:val="left" w:pos="360"/>
        </w:tabs>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bidi="en-US"/>
        </w:rPr>
        <w:t xml:space="preserve">According to the ES NIR, in the baseline situation, corresponding to 2015, there were 400 power supply points for stationary aircraft in the airports of general interest in Spain. From 2016 until 2018, 65 units were replaced and 34 new units installed, so </w:t>
      </w:r>
      <w:r>
        <w:rPr>
          <w:rFonts w:ascii="Times New Roman" w:hAnsi="Times New Roman" w:cs="Times New Roman"/>
          <w:noProof/>
          <w:sz w:val="24"/>
          <w:lang w:val="en-IE" w:bidi="en-US"/>
        </w:rPr>
        <w:t xml:space="preserve">there are currently 434 power supply points. It is expected that by 2030 there will be 36 new points and significant investment in replacing equipment.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_Ref52817469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r>
        <w:rPr>
          <w:rFonts w:ascii="Times New Roman" w:hAnsi="Times New Roman" w:cs="Times New Roman"/>
          <w:noProof/>
          <w:color w:val="000000" w:themeColor="text1"/>
          <w:sz w:val="24"/>
          <w:lang w:val="en-IE"/>
        </w:rPr>
        <w:t>shows that the target for 2030 is of 470 electricity supply points for stationary 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The </w:t>
      </w:r>
      <w:r>
        <w:rPr>
          <w:rFonts w:ascii="Times New Roman" w:hAnsi="Times New Roman" w:cs="Times New Roman"/>
          <w:noProof/>
          <w:sz w:val="24"/>
          <w:lang w:val="en-IE"/>
        </w:rPr>
        <w:t xml:space="preserve">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is 92.34%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 by Spain from 2016 until 2018 in the deployment of electricity supply for stationary airplanes is 43.75% of the overall planned deployment during the period 2016-2030. </w:t>
      </w: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244" w:name="_Toc55301844"/>
      <w:bookmarkStart w:id="245" w:name="_Toc56944165"/>
      <w:r>
        <w:rPr>
          <w:rFonts w:ascii="Times New Roman" w:hAnsi="Times New Roman" w:cs="Times New Roman"/>
          <w:noProof/>
          <w:sz w:val="24"/>
          <w:lang w:val="en-IE"/>
        </w:rPr>
        <w:t>Measures assessment</w:t>
      </w:r>
      <w:bookmarkEnd w:id="244"/>
      <w:bookmarkEnd w:id="245"/>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iCs/>
          <w:noProof/>
          <w:sz w:val="24"/>
          <w:lang w:val="en-IE"/>
        </w:rPr>
      </w:pPr>
      <w:r>
        <w:rPr>
          <w:rFonts w:ascii="Times New Roman" w:hAnsi="Times New Roman" w:cs="Times New Roman"/>
          <w:iCs/>
          <w:noProof/>
          <w:sz w:val="24"/>
          <w:lang w:val="en-IE"/>
        </w:rPr>
        <w:t>As in the NPF, the Spanish NIR contains an extensive li</w:t>
      </w:r>
      <w:r>
        <w:rPr>
          <w:rFonts w:ascii="Times New Roman" w:hAnsi="Times New Roman" w:cs="Times New Roman"/>
          <w:iCs/>
          <w:noProof/>
          <w:sz w:val="24"/>
          <w:lang w:val="en-IE"/>
        </w:rPr>
        <w:t>st of measures that covers various fuels and modes, but mainly targeting electricity, CNG, LNG for road transport and LNG for maritime and, to a lesser extent, hydrogen. The NIR also showcases measures at Autonomous Communities level as well as local measu</w:t>
      </w:r>
      <w:r>
        <w:rPr>
          <w:rFonts w:ascii="Times New Roman" w:hAnsi="Times New Roman" w:cs="Times New Roman"/>
          <w:iCs/>
          <w:noProof/>
          <w:sz w:val="24"/>
          <w:lang w:val="en-IE"/>
        </w:rPr>
        <w:t>res in the major cities Barcelona, Madrid, Malaga, Seville, Valencia, Valladolid and Saragossa.</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contains 34 legal measures which represent an increase compared to the 25 legal measures identified in the NPF. Legal measures a</w:t>
      </w:r>
      <w:r>
        <w:rPr>
          <w:rFonts w:ascii="Times New Roman" w:hAnsi="Times New Roman" w:cs="Times New Roman"/>
          <w:noProof/>
          <w:sz w:val="24"/>
          <w:lang w:val="en-IE"/>
        </w:rPr>
        <w:t xml:space="preserve">re implemented at national level and nine of them are cross-cutting applicable to all alternative fuels and related to both vehicles and infrastructure. Some of these measures relate to the fulfilment of the Paris Agreement targets (the </w:t>
      </w:r>
      <w:r>
        <w:rPr>
          <w:rFonts w:ascii="Times New Roman" w:hAnsi="Times New Roman" w:cs="Times New Roman"/>
          <w:i/>
          <w:noProof/>
          <w:sz w:val="24"/>
          <w:lang w:val="en-IE"/>
        </w:rPr>
        <w:t xml:space="preserve">Climate Change and </w:t>
      </w:r>
      <w:r>
        <w:rPr>
          <w:rFonts w:ascii="Times New Roman" w:hAnsi="Times New Roman" w:cs="Times New Roman"/>
          <w:i/>
          <w:noProof/>
          <w:sz w:val="24"/>
          <w:lang w:val="en-IE"/>
        </w:rPr>
        <w:t xml:space="preserve">Energy Transition Bill </w:t>
      </w:r>
      <w:r>
        <w:rPr>
          <w:rFonts w:ascii="Times New Roman" w:hAnsi="Times New Roman" w:cs="Times New Roman"/>
          <w:noProof/>
          <w:sz w:val="24"/>
          <w:lang w:val="en-IE"/>
        </w:rPr>
        <w:t xml:space="preserve">and the draft </w:t>
      </w:r>
      <w:r>
        <w:rPr>
          <w:rFonts w:ascii="Times New Roman" w:hAnsi="Times New Roman" w:cs="Times New Roman"/>
          <w:i/>
          <w:noProof/>
          <w:sz w:val="24"/>
          <w:lang w:val="en-IE"/>
        </w:rPr>
        <w:t>2021-2030 Integrated National Energy and Climate Plan</w:t>
      </w:r>
      <w:r>
        <w:rPr>
          <w:rFonts w:ascii="Times New Roman" w:hAnsi="Times New Roman" w:cs="Times New Roman"/>
          <w:noProof/>
          <w:sz w:val="24"/>
          <w:lang w:val="en-IE"/>
        </w:rPr>
        <w:t>) and to the implementation of the European Directives, such as the Energy Performance of Buildings Directive 2018/844/EU, the Air Pollution Directive 2016/2284/EU an</w:t>
      </w:r>
      <w:r>
        <w:rPr>
          <w:rFonts w:ascii="Times New Roman" w:hAnsi="Times New Roman" w:cs="Times New Roman"/>
          <w:noProof/>
          <w:sz w:val="24"/>
          <w:lang w:val="en-IE"/>
        </w:rPr>
        <w:t xml:space="preserve">d the Alternative Fuels Infrastructure Directive 2014/94/EU. </w:t>
      </w:r>
      <w:r>
        <w:rPr>
          <w:rFonts w:ascii="Times New Roman" w:hAnsi="Times New Roman" w:cs="Times New Roman"/>
          <w:iCs/>
          <w:noProof/>
          <w:sz w:val="24"/>
          <w:lang w:val="en-IE"/>
        </w:rPr>
        <w:t>At Autonomous Communities level Andalusia, Catalonia, Valencia, Extremadura, Balearic Islands, Navarre, Basque Country and Murcia have developed legal frameworks, strategies and plans to foster t</w:t>
      </w:r>
      <w:r>
        <w:rPr>
          <w:rFonts w:ascii="Times New Roman" w:hAnsi="Times New Roman" w:cs="Times New Roman"/>
          <w:iCs/>
          <w:noProof/>
          <w:sz w:val="24"/>
          <w:lang w:val="en-IE"/>
        </w:rPr>
        <w:t xml:space="preserve">he deployment of AFV/AFI.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Some of the legal measures in the ES NIR can be considered updates of the measures provided in the NPF (e.g. related to Green Public procurement). The majority of the legal measures described in the NIR are already in place (arou</w:t>
      </w:r>
      <w:r>
        <w:rPr>
          <w:rFonts w:ascii="Times New Roman" w:hAnsi="Times New Roman" w:cs="Times New Roman"/>
          <w:noProof/>
          <w:sz w:val="24"/>
          <w:lang w:val="en-IE"/>
        </w:rPr>
        <w:t xml:space="preserve">nd 14% were under consideration).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Considering all the legal measures together, they appear to be designed as the necessary tools to allow the realisation of the AFV/AFI plans as presented in the NPF and revised in the NIR. Based on the available informati</w:t>
      </w:r>
      <w:r>
        <w:rPr>
          <w:rFonts w:ascii="Times New Roman" w:hAnsi="Times New Roman" w:cs="Times New Roman"/>
          <w:noProof/>
          <w:sz w:val="24"/>
          <w:lang w:val="en-IE"/>
        </w:rPr>
        <w:t>on, the level of ambition of the legal measures can be considered to have increased in the NIR, compared to the NPF, for electricity and hydrogen for road and LNG for maritime transport.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all the legal measures described in the S</w:t>
      </w:r>
      <w:r>
        <w:rPr>
          <w:rFonts w:ascii="Times New Roman" w:hAnsi="Times New Roman" w:cs="Times New Roman"/>
          <w:noProof/>
          <w:sz w:val="24"/>
          <w:lang w:val="en-IE"/>
        </w:rPr>
        <w:t>panish NIR, 23 can be categorised as legislative and regulatory measures. Fourteen measures are applicable to road transport while nine are dedicated to maritime transport. The following can be highlighted:</w:t>
      </w:r>
    </w:p>
    <w:p w:rsidR="003C43BF" w:rsidRDefault="006C3212">
      <w:pPr>
        <w:pStyle w:val="ListParagraph"/>
        <w:numPr>
          <w:ilvl w:val="0"/>
          <w:numId w:val="36"/>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new </w:t>
      </w:r>
      <w:r>
        <w:rPr>
          <w:rFonts w:ascii="Times New Roman" w:hAnsi="Times New Roman" w:cs="Times New Roman"/>
          <w:i/>
          <w:noProof/>
          <w:sz w:val="24"/>
          <w:lang w:val="en-IE"/>
        </w:rPr>
        <w:t>Spanish Industrial Policy 2030</w:t>
      </w:r>
      <w:r>
        <w:rPr>
          <w:rFonts w:ascii="Times New Roman" w:hAnsi="Times New Roman" w:cs="Times New Roman"/>
          <w:noProof/>
          <w:sz w:val="24"/>
          <w:lang w:val="en-IE"/>
        </w:rPr>
        <w:t xml:space="preserve"> and its se</w:t>
      </w:r>
      <w:r>
        <w:rPr>
          <w:rFonts w:ascii="Times New Roman" w:hAnsi="Times New Roman" w:cs="Times New Roman"/>
          <w:noProof/>
          <w:sz w:val="24"/>
          <w:lang w:val="en-IE"/>
        </w:rPr>
        <w:t>ctoral agendas for automotive, shipping and capital goods setting out specific measures to promote alternative fuels in transport</w:t>
      </w:r>
    </w:p>
    <w:p w:rsidR="003C43BF" w:rsidRDefault="006C3212">
      <w:pPr>
        <w:pStyle w:val="ListParagraph"/>
        <w:numPr>
          <w:ilvl w:val="0"/>
          <w:numId w:val="36"/>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Strategic Plan of Integrated Support to the Automotive Sector, 2019-2025</w:t>
      </w:r>
      <w:r>
        <w:rPr>
          <w:rFonts w:ascii="Times New Roman" w:hAnsi="Times New Roman" w:cs="Times New Roman"/>
          <w:noProof/>
          <w:sz w:val="24"/>
          <w:lang w:val="en-IE"/>
        </w:rPr>
        <w:t>, for the transition towards a new sustainable mob</w:t>
      </w:r>
      <w:r>
        <w:rPr>
          <w:rFonts w:ascii="Times New Roman" w:hAnsi="Times New Roman" w:cs="Times New Roman"/>
          <w:noProof/>
          <w:sz w:val="24"/>
          <w:lang w:val="en-IE"/>
        </w:rPr>
        <w:t>ility model, led by a Sustainable Mobility Committee to coordinate policy, support measures and RTD&amp;D actions for the penetration of zero and low-emission vehicles</w:t>
      </w:r>
    </w:p>
    <w:p w:rsidR="003C43BF" w:rsidRDefault="006C3212">
      <w:pPr>
        <w:pStyle w:val="ListParagraph"/>
        <w:numPr>
          <w:ilvl w:val="0"/>
          <w:numId w:val="36"/>
        </w:numPr>
        <w:jc w:val="both"/>
        <w:rPr>
          <w:rFonts w:ascii="Times New Roman" w:hAnsi="Times New Roman" w:cs="Times New Roman"/>
          <w:noProof/>
          <w:sz w:val="24"/>
          <w:lang w:val="en-IE"/>
        </w:rPr>
      </w:pPr>
      <w:r>
        <w:rPr>
          <w:rFonts w:ascii="Times New Roman" w:hAnsi="Times New Roman" w:cs="Times New Roman"/>
          <w:noProof/>
          <w:sz w:val="24"/>
          <w:lang w:val="en-IE"/>
        </w:rPr>
        <w:t>The increase of the availability of public recharging points by deregulating electric chargi</w:t>
      </w:r>
      <w:r>
        <w:rPr>
          <w:rFonts w:ascii="Times New Roman" w:hAnsi="Times New Roman" w:cs="Times New Roman"/>
          <w:noProof/>
          <w:sz w:val="24"/>
          <w:lang w:val="en-IE"/>
        </w:rPr>
        <w:t>ng and creating an information register to monitor its activity. The figure of charge manager established in the Electricity Sector Act 24/2013, which was seen too rigid, was cancelled by Royal Decree-Law 15/2018</w:t>
      </w:r>
    </w:p>
    <w:p w:rsidR="003C43BF" w:rsidRDefault="006C3212">
      <w:pPr>
        <w:pStyle w:val="ListParagraph"/>
        <w:numPr>
          <w:ilvl w:val="0"/>
          <w:numId w:val="36"/>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The Royal Decree 235/2018 laying down the </w:t>
      </w:r>
      <w:r>
        <w:rPr>
          <w:rFonts w:ascii="Times New Roman" w:hAnsi="Times New Roman" w:cs="Times New Roman"/>
          <w:noProof/>
          <w:sz w:val="24"/>
          <w:lang w:val="en-IE"/>
        </w:rPr>
        <w:t>calculation methods and reporting requirements with regard to the intensity of greenhouse gas emissions of fuels and energy in transport</w:t>
      </w:r>
    </w:p>
    <w:p w:rsidR="003C43BF" w:rsidRDefault="006C3212">
      <w:pPr>
        <w:pStyle w:val="ListParagraph"/>
        <w:numPr>
          <w:ilvl w:val="0"/>
          <w:numId w:val="36"/>
        </w:numPr>
        <w:rPr>
          <w:rFonts w:ascii="Times New Roman" w:hAnsi="Times New Roman" w:cs="Times New Roman"/>
          <w:noProof/>
          <w:sz w:val="24"/>
          <w:lang w:val="en-IE"/>
        </w:rPr>
      </w:pPr>
      <w:r>
        <w:rPr>
          <w:rFonts w:ascii="Times New Roman" w:hAnsi="Times New Roman" w:cs="Times New Roman"/>
          <w:noProof/>
          <w:sz w:val="24"/>
          <w:lang w:val="en-IE"/>
        </w:rPr>
        <w:t xml:space="preserve">The Decree 335/2018 amending several royal decrees regulating the natural gas sector and creating a new structure that </w:t>
      </w:r>
      <w:r>
        <w:rPr>
          <w:rFonts w:ascii="Times New Roman" w:hAnsi="Times New Roman" w:cs="Times New Roman"/>
          <w:noProof/>
          <w:sz w:val="24"/>
          <w:lang w:val="en-IE"/>
        </w:rPr>
        <w:t>allows LNG loading operations related to bunkering LNG as a marine fuel in the current phase of the market’s development.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Of all the legal measures described in the Spanish NIR, 11 can be categorised as administrative measures. Six measures </w:t>
      </w:r>
      <w:r>
        <w:rPr>
          <w:rFonts w:ascii="Times New Roman" w:hAnsi="Times New Roman" w:cs="Times New Roman"/>
          <w:noProof/>
          <w:sz w:val="24"/>
          <w:lang w:val="en-IE"/>
        </w:rPr>
        <w:t>are applicable to road transport and five are specific for maritime transport. The following can be highlighted:</w:t>
      </w:r>
    </w:p>
    <w:p w:rsidR="003C43BF" w:rsidRDefault="006C3212">
      <w:pPr>
        <w:pStyle w:val="ListParagraph"/>
        <w:numPr>
          <w:ilvl w:val="0"/>
          <w:numId w:val="37"/>
        </w:numPr>
        <w:jc w:val="both"/>
        <w:rPr>
          <w:rFonts w:ascii="Times New Roman" w:hAnsi="Times New Roman" w:cs="Times New Roman"/>
          <w:noProof/>
          <w:sz w:val="24"/>
          <w:lang w:val="en-IE"/>
        </w:rPr>
      </w:pPr>
      <w:r>
        <w:rPr>
          <w:rFonts w:ascii="Times New Roman" w:hAnsi="Times New Roman" w:cs="Times New Roman"/>
          <w:noProof/>
          <w:sz w:val="24"/>
          <w:lang w:val="en-IE"/>
        </w:rPr>
        <w:t>The adoption of technical standards related to natural gas refuelling stations for CNG/LNG vehicles, automotive CNG/LNG fuel specifications and</w:t>
      </w:r>
      <w:r>
        <w:rPr>
          <w:rFonts w:ascii="Times New Roman" w:hAnsi="Times New Roman" w:cs="Times New Roman"/>
          <w:noProof/>
          <w:sz w:val="24"/>
          <w:lang w:val="en-IE"/>
        </w:rPr>
        <w:t xml:space="preserve"> certification of LNG tanker drivers who offload to LNG bunkering stations.</w:t>
      </w:r>
    </w:p>
    <w:p w:rsidR="003C43BF" w:rsidRDefault="006C3212">
      <w:pPr>
        <w:pStyle w:val="ListParagraph"/>
        <w:numPr>
          <w:ilvl w:val="0"/>
          <w:numId w:val="37"/>
        </w:numPr>
        <w:jc w:val="both"/>
        <w:rPr>
          <w:rFonts w:ascii="Times New Roman" w:hAnsi="Times New Roman" w:cs="Times New Roman"/>
          <w:noProof/>
          <w:sz w:val="24"/>
          <w:lang w:val="en-IE"/>
        </w:rPr>
      </w:pPr>
      <w:r>
        <w:rPr>
          <w:rFonts w:ascii="Times New Roman" w:hAnsi="Times New Roman" w:cs="Times New Roman"/>
          <w:noProof/>
          <w:sz w:val="24"/>
          <w:lang w:val="en-IE"/>
        </w:rPr>
        <w:t>The creation of the Spanish Hydrogen Working Group and the reactivation of the Technical Committee on Standardisation for hydrogen technologies, CTN-181, to contribute to CEN/CENEL</w:t>
      </w:r>
      <w:r>
        <w:rPr>
          <w:rFonts w:ascii="Times New Roman" w:hAnsi="Times New Roman" w:cs="Times New Roman"/>
          <w:noProof/>
          <w:sz w:val="24"/>
          <w:lang w:val="en-IE"/>
        </w:rPr>
        <w:t>EC work and meet the requirements of the Directive 2014/94/EU.</w:t>
      </w:r>
    </w:p>
    <w:p w:rsidR="003C43BF" w:rsidRDefault="006C3212">
      <w:pPr>
        <w:pStyle w:val="ListParagraph"/>
        <w:numPr>
          <w:ilvl w:val="0"/>
          <w:numId w:val="37"/>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The activities on recommendation for port authorities regarding requirements for LNG bunkering at ports, part of the CEF funded project </w:t>
      </w:r>
      <w:r>
        <w:rPr>
          <w:rFonts w:ascii="Times New Roman" w:hAnsi="Times New Roman" w:cs="Times New Roman"/>
          <w:i/>
          <w:noProof/>
          <w:sz w:val="24"/>
          <w:lang w:val="en-IE"/>
        </w:rPr>
        <w:t>CORE LNGas HIVE</w:t>
      </w:r>
      <w:r>
        <w:rPr>
          <w:rFonts w:ascii="Times New Roman" w:hAnsi="Times New Roman" w:cs="Times New Roman"/>
          <w:noProof/>
          <w:sz w:val="24"/>
          <w:lang w:val="en-IE"/>
        </w:rPr>
        <w:t>.</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contain</w:t>
      </w:r>
      <w:r>
        <w:rPr>
          <w:rFonts w:ascii="Times New Roman" w:hAnsi="Times New Roman" w:cs="Times New Roman"/>
          <w:noProof/>
          <w:sz w:val="24"/>
          <w:lang w:val="en-IE"/>
        </w:rPr>
        <w:t>s 22 policy measures applicable at national level, representing an increase compared to the 11 policy measures identified in the NPF. Eight of the policy measures described in the NIR refer to road transport and 14 refer to maritime transport. In addition,</w:t>
      </w:r>
      <w:r>
        <w:rPr>
          <w:rFonts w:ascii="Times New Roman" w:hAnsi="Times New Roman" w:cs="Times New Roman"/>
          <w:noProof/>
          <w:sz w:val="24"/>
          <w:lang w:val="en-IE"/>
        </w:rPr>
        <w:t xml:space="preserve"> the NIR summarises the most relevant policy measures at regional and local level, namely 33 measures valid in autonomies and regions and 6 measures in force locally. The majority of the policy measures can be considered updates of the measures provided in</w:t>
      </w:r>
      <w:r>
        <w:rPr>
          <w:rFonts w:ascii="Times New Roman" w:hAnsi="Times New Roman" w:cs="Times New Roman"/>
          <w:noProof/>
          <w:sz w:val="24"/>
          <w:lang w:val="en-IE"/>
        </w:rPr>
        <w:t xml:space="preserve"> the NPF, in particular annual renewal of financial support measures. Although most of the policy measures described in the NIR are existing, about 13% of the policy measures can be considered to be past measures (i.e. expired by 2019).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w:t>
      </w:r>
      <w:r>
        <w:rPr>
          <w:rFonts w:ascii="Times New Roman" w:hAnsi="Times New Roman" w:cs="Times New Roman"/>
          <w:noProof/>
          <w:sz w:val="24"/>
          <w:lang w:val="en-IE"/>
        </w:rPr>
        <w:t xml:space="preserve"> national targets and objectives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All the 22 policy measures described in the NIR and applicable at national level can be considered as measures to ensure national targets and objectives. Around 73% of these measures are of a financial nature.</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w:t>
      </w:r>
      <w:r>
        <w:rPr>
          <w:rFonts w:ascii="Times New Roman" w:hAnsi="Times New Roman" w:cs="Times New Roman"/>
          <w:noProof/>
          <w:sz w:val="24"/>
          <w:lang w:val="en-IE"/>
        </w:rPr>
        <w:t>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Over the last years, the Spanish government has approved various programmes to subsidise the purchase of alternative fuels vehicles (electric, CNG, LNG, LPG and hydrogen) and their infrastructure. These programmes and their budget are approved every year</w:t>
      </w:r>
      <w:r>
        <w:rPr>
          <w:rFonts w:ascii="Times New Roman" w:hAnsi="Times New Roman" w:cs="Times New Roman"/>
          <w:noProof/>
          <w:sz w:val="24"/>
          <w:lang w:val="en-IE"/>
        </w:rPr>
        <w:t xml:space="preserve"> by means of a Royal Decree. The NIR mentions:</w:t>
      </w:r>
    </w:p>
    <w:p w:rsidR="003C43BF" w:rsidRDefault="006C3212">
      <w:pPr>
        <w:pStyle w:val="ListParagraph"/>
        <w:numPr>
          <w:ilvl w:val="0"/>
          <w:numId w:val="38"/>
        </w:numPr>
        <w:jc w:val="both"/>
        <w:rPr>
          <w:rFonts w:ascii="Times New Roman" w:hAnsi="Times New Roman" w:cs="Times New Roman"/>
          <w:noProof/>
          <w:sz w:val="24"/>
          <w:lang w:val="en-IE"/>
        </w:rPr>
      </w:pPr>
      <w:r>
        <w:rPr>
          <w:rFonts w:ascii="Times New Roman" w:hAnsi="Times New Roman" w:cs="Times New Roman"/>
          <w:i/>
          <w:noProof/>
          <w:sz w:val="24"/>
          <w:lang w:val="en-IE"/>
        </w:rPr>
        <w:t>MOVEA 2016</w:t>
      </w:r>
      <w:r>
        <w:rPr>
          <w:rFonts w:ascii="Times New Roman" w:hAnsi="Times New Roman" w:cs="Times New Roman"/>
          <w:noProof/>
          <w:sz w:val="24"/>
          <w:lang w:val="en-IE"/>
        </w:rPr>
        <w:t xml:space="preserve"> with a budget of 16.6 million € financed a total of 2,132 vehicles and 42 recharging points; </w:t>
      </w:r>
      <w:r>
        <w:rPr>
          <w:rFonts w:ascii="Times New Roman" w:hAnsi="Times New Roman" w:cs="Times New Roman"/>
          <w:i/>
          <w:noProof/>
          <w:sz w:val="24"/>
          <w:lang w:val="en-IE"/>
        </w:rPr>
        <w:t>MOVEA 2017</w:t>
      </w:r>
      <w:r>
        <w:rPr>
          <w:rFonts w:ascii="Times New Roman" w:hAnsi="Times New Roman" w:cs="Times New Roman"/>
          <w:noProof/>
          <w:sz w:val="24"/>
          <w:lang w:val="en-IE"/>
        </w:rPr>
        <w:t xml:space="preserve"> had a budget of 14.26 million € and financed a total of 2,370 vehicles and 26 recharging points.</w:t>
      </w:r>
    </w:p>
    <w:p w:rsidR="003C43BF" w:rsidRDefault="006C3212">
      <w:pPr>
        <w:pStyle w:val="ListParagraph"/>
        <w:numPr>
          <w:ilvl w:val="0"/>
          <w:numId w:val="38"/>
        </w:numPr>
        <w:jc w:val="both"/>
        <w:rPr>
          <w:rFonts w:ascii="Times New Roman" w:hAnsi="Times New Roman" w:cs="Times New Roman"/>
          <w:noProof/>
          <w:sz w:val="24"/>
          <w:lang w:val="en-IE"/>
        </w:rPr>
      </w:pPr>
      <w:r>
        <w:rPr>
          <w:rFonts w:ascii="Times New Roman" w:hAnsi="Times New Roman" w:cs="Times New Roman"/>
          <w:i/>
          <w:noProof/>
          <w:sz w:val="24"/>
          <w:lang w:val="en-IE"/>
        </w:rPr>
        <w:t>MOVALT 2018</w:t>
      </w:r>
      <w:r>
        <w:rPr>
          <w:rFonts w:ascii="Times New Roman" w:hAnsi="Times New Roman" w:cs="Times New Roman"/>
          <w:noProof/>
          <w:sz w:val="24"/>
          <w:lang w:val="en-IE"/>
        </w:rPr>
        <w:t xml:space="preserve"> with two programmes: </w:t>
      </w:r>
      <w:r>
        <w:rPr>
          <w:rFonts w:ascii="Times New Roman" w:hAnsi="Times New Roman" w:cs="Times New Roman"/>
          <w:i/>
          <w:noProof/>
          <w:sz w:val="24"/>
          <w:lang w:val="en-IE"/>
        </w:rPr>
        <w:t>MOVALT vehicles,</w:t>
      </w:r>
      <w:r>
        <w:rPr>
          <w:rFonts w:ascii="Times New Roman" w:hAnsi="Times New Roman" w:cs="Times New Roman"/>
          <w:noProof/>
          <w:sz w:val="24"/>
          <w:lang w:val="en-IE"/>
        </w:rPr>
        <w:t xml:space="preserve"> with a budget of 20 million €, made it possible to finance 2,977 AFV and </w:t>
      </w:r>
      <w:r>
        <w:rPr>
          <w:rFonts w:ascii="Times New Roman" w:hAnsi="Times New Roman" w:cs="Times New Roman"/>
          <w:i/>
          <w:noProof/>
          <w:sz w:val="24"/>
          <w:lang w:val="en-IE"/>
        </w:rPr>
        <w:t>MOVALT infrastructure</w:t>
      </w:r>
      <w:r>
        <w:rPr>
          <w:rFonts w:ascii="Times New Roman" w:hAnsi="Times New Roman" w:cs="Times New Roman"/>
          <w:noProof/>
          <w:sz w:val="24"/>
          <w:lang w:val="en-IE"/>
        </w:rPr>
        <w:t xml:space="preserve"> that has a bu</w:t>
      </w:r>
      <w:r>
        <w:rPr>
          <w:rFonts w:ascii="Times New Roman" w:hAnsi="Times New Roman" w:cs="Times New Roman"/>
          <w:noProof/>
          <w:sz w:val="24"/>
          <w:lang w:val="en-IE"/>
        </w:rPr>
        <w:t>dget of 20 million € and whose call for applications is pending (it is estimated to finance around 310 recharging points).</w:t>
      </w:r>
    </w:p>
    <w:p w:rsidR="003C43BF" w:rsidRDefault="006C3212">
      <w:pPr>
        <w:pStyle w:val="ListParagraph"/>
        <w:numPr>
          <w:ilvl w:val="0"/>
          <w:numId w:val="38"/>
        </w:numPr>
        <w:jc w:val="both"/>
        <w:rPr>
          <w:rFonts w:ascii="Times New Roman" w:hAnsi="Times New Roman" w:cs="Times New Roman"/>
          <w:noProof/>
          <w:sz w:val="24"/>
          <w:lang w:val="en-IE"/>
        </w:rPr>
      </w:pPr>
      <w:r>
        <w:rPr>
          <w:rFonts w:ascii="Times New Roman" w:hAnsi="Times New Roman" w:cs="Times New Roman"/>
          <w:i/>
          <w:noProof/>
          <w:sz w:val="24"/>
          <w:lang w:val="en-IE"/>
        </w:rPr>
        <w:t>MOVES 2019</w:t>
      </w:r>
      <w:r>
        <w:rPr>
          <w:rFonts w:ascii="Times New Roman" w:hAnsi="Times New Roman" w:cs="Times New Roman"/>
          <w:noProof/>
          <w:sz w:val="24"/>
          <w:lang w:val="en-IE"/>
        </w:rPr>
        <w:t xml:space="preserve"> was approved in February 2019 with a budget of 45 million € and will be managed by the Spanish autonomous communities.</w:t>
      </w:r>
    </w:p>
    <w:p w:rsidR="003C43BF" w:rsidRDefault="006C3212">
      <w:pPr>
        <w:pStyle w:val="ListParagraph"/>
        <w:numPr>
          <w:ilvl w:val="0"/>
          <w:numId w:val="38"/>
        </w:numPr>
        <w:jc w:val="both"/>
        <w:rPr>
          <w:rFonts w:ascii="Times New Roman" w:hAnsi="Times New Roman" w:cs="Times New Roman"/>
          <w:noProof/>
          <w:sz w:val="24"/>
          <w:lang w:val="en-IE"/>
        </w:rPr>
      </w:pPr>
      <w:r>
        <w:rPr>
          <w:rFonts w:ascii="Times New Roman" w:hAnsi="Times New Roman" w:cs="Times New Roman"/>
          <w:i/>
          <w:noProof/>
          <w:sz w:val="24"/>
          <w:lang w:val="en-IE"/>
        </w:rPr>
        <w:t>MOV</w:t>
      </w:r>
      <w:r>
        <w:rPr>
          <w:rFonts w:ascii="Times New Roman" w:hAnsi="Times New Roman" w:cs="Times New Roman"/>
          <w:i/>
          <w:noProof/>
          <w:sz w:val="24"/>
          <w:lang w:val="en-IE"/>
        </w:rPr>
        <w:t>ES One-off projects 2019</w:t>
      </w:r>
      <w:r>
        <w:rPr>
          <w:rFonts w:ascii="Times New Roman" w:hAnsi="Times New Roman" w:cs="Times New Roman"/>
          <w:noProof/>
          <w:sz w:val="24"/>
          <w:lang w:val="en-IE"/>
        </w:rPr>
        <w:t xml:space="preserve">, approved in July 2019, provides continuity to the </w:t>
      </w:r>
      <w:r>
        <w:rPr>
          <w:rFonts w:ascii="Times New Roman" w:hAnsi="Times New Roman" w:cs="Times New Roman"/>
          <w:i/>
          <w:noProof/>
          <w:sz w:val="24"/>
          <w:lang w:val="en-IE"/>
        </w:rPr>
        <w:t>MOVES Programme</w:t>
      </w:r>
      <w:r>
        <w:rPr>
          <w:rFonts w:ascii="Times New Roman" w:hAnsi="Times New Roman" w:cs="Times New Roman"/>
          <w:noProof/>
          <w:sz w:val="24"/>
          <w:lang w:val="en-IE"/>
        </w:rPr>
        <w:t xml:space="preserve"> with a budget of 15 million € for funding projects on urban mobility and innovation regarding electro-mobility and hydrogen.</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It is also worth mentioning:</w:t>
      </w:r>
    </w:p>
    <w:p w:rsidR="003C43BF" w:rsidRDefault="006C3212">
      <w:pPr>
        <w:pStyle w:val="ListParagraph"/>
        <w:numPr>
          <w:ilvl w:val="0"/>
          <w:numId w:val="39"/>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2016-2</w:t>
      </w:r>
      <w:r>
        <w:rPr>
          <w:rFonts w:ascii="Times New Roman" w:hAnsi="Times New Roman" w:cs="Times New Roman"/>
          <w:i/>
          <w:noProof/>
          <w:sz w:val="24"/>
          <w:lang w:val="en-IE"/>
        </w:rPr>
        <w:t>019 CLIMA programme</w:t>
      </w:r>
      <w:r>
        <w:rPr>
          <w:rFonts w:ascii="Times New Roman" w:hAnsi="Times New Roman" w:cs="Times New Roman"/>
          <w:noProof/>
          <w:sz w:val="24"/>
          <w:lang w:val="en-IE"/>
        </w:rPr>
        <w:t xml:space="preserve"> has financed 28 projects in the area of transport, thanks to the financial contribution of over 1.2 million €. The majority are projects to replace vehicle fleets powered by conventional fossil fuels with electric vehicles and, to a les</w:t>
      </w:r>
      <w:r>
        <w:rPr>
          <w:rFonts w:ascii="Times New Roman" w:hAnsi="Times New Roman" w:cs="Times New Roman"/>
          <w:noProof/>
          <w:sz w:val="24"/>
          <w:lang w:val="en-IE"/>
        </w:rPr>
        <w:t xml:space="preserve">ser extent, projects to promote the use of biomethane by vehicles and connecting vessels to the national port’s network. </w:t>
      </w:r>
    </w:p>
    <w:p w:rsidR="003C43BF" w:rsidRDefault="006C3212">
      <w:pPr>
        <w:pStyle w:val="ListParagraph"/>
        <w:numPr>
          <w:ilvl w:val="0"/>
          <w:numId w:val="39"/>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The continuation of the </w:t>
      </w:r>
      <w:r>
        <w:rPr>
          <w:rFonts w:ascii="Times New Roman" w:hAnsi="Times New Roman" w:cs="Times New Roman"/>
          <w:i/>
          <w:noProof/>
          <w:sz w:val="24"/>
          <w:lang w:val="en-IE"/>
        </w:rPr>
        <w:t>PIMA waste</w:t>
      </w:r>
      <w:r>
        <w:rPr>
          <w:rFonts w:ascii="Times New Roman" w:hAnsi="Times New Roman" w:cs="Times New Roman"/>
          <w:noProof/>
          <w:sz w:val="24"/>
          <w:lang w:val="en-IE"/>
        </w:rPr>
        <w:t xml:space="preserve"> and </w:t>
      </w:r>
      <w:r>
        <w:rPr>
          <w:rFonts w:ascii="Times New Roman" w:hAnsi="Times New Roman" w:cs="Times New Roman"/>
          <w:i/>
          <w:noProof/>
          <w:sz w:val="24"/>
          <w:lang w:val="en-IE"/>
        </w:rPr>
        <w:t>PEMAR</w:t>
      </w:r>
      <w:r>
        <w:rPr>
          <w:rFonts w:ascii="Times New Roman" w:hAnsi="Times New Roman" w:cs="Times New Roman"/>
          <w:noProof/>
          <w:sz w:val="24"/>
          <w:lang w:val="en-IE"/>
        </w:rPr>
        <w:t xml:space="preserve"> for efficient use of biogas and production of biofuels from used oils.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 terms of measur</w:t>
      </w:r>
      <w:r>
        <w:rPr>
          <w:rFonts w:ascii="Times New Roman" w:hAnsi="Times New Roman" w:cs="Times New Roman"/>
          <w:noProof/>
          <w:sz w:val="24"/>
          <w:lang w:val="en-IE"/>
        </w:rPr>
        <w:t>es at Autonomous Communities level, it can be highlighted:</w:t>
      </w:r>
    </w:p>
    <w:p w:rsidR="003C43BF" w:rsidRDefault="006C3212">
      <w:pPr>
        <w:pStyle w:val="ListParagraph"/>
        <w:numPr>
          <w:ilvl w:val="0"/>
          <w:numId w:val="40"/>
        </w:numPr>
        <w:rPr>
          <w:rFonts w:ascii="Times New Roman" w:hAnsi="Times New Roman" w:cs="Times New Roman"/>
          <w:noProof/>
          <w:sz w:val="24"/>
          <w:lang w:val="en-IE"/>
        </w:rPr>
      </w:pPr>
      <w:r>
        <w:rPr>
          <w:rFonts w:ascii="Times New Roman" w:hAnsi="Times New Roman" w:cs="Times New Roman"/>
          <w:noProof/>
          <w:sz w:val="24"/>
          <w:lang w:val="en-IE"/>
        </w:rPr>
        <w:t>Andalusia 2017-2020 line of grants (80% ERDF funded) for all types of AFV and AFI;</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Asturias grants in 2017 for the installation of recharging points for EVs and refuelling points for CNG and LPG; </w:t>
      </w:r>
      <w:r>
        <w:rPr>
          <w:rFonts w:ascii="Times New Roman" w:hAnsi="Times New Roman" w:cs="Times New Roman"/>
          <w:noProof/>
          <w:sz w:val="24"/>
          <w:lang w:val="en-IE"/>
        </w:rPr>
        <w:t>and in 2018 for the purchase of AFV and the installation of recharging points and refuelling points for CNG;</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Aid for the installation of recharging points in different parts of the Canary Islands and line of grants to promote the deployment of ten rapid re</w:t>
      </w:r>
      <w:r>
        <w:rPr>
          <w:rFonts w:ascii="Times New Roman" w:hAnsi="Times New Roman" w:cs="Times New Roman"/>
          <w:noProof/>
          <w:sz w:val="24"/>
          <w:lang w:val="en-IE"/>
        </w:rPr>
        <w:t>charging points for electric vehicles in Tenerife;</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Cantabria grants in 2017, 2018 and 2019 for the installation of rapid and fast recharging points;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Castile-La Mancha aids in 2018 and 2019 for the purchase of LPG, CNG, LNG or hydrogen vehicles;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Castile-Leo</w:t>
      </w:r>
      <w:r>
        <w:rPr>
          <w:rFonts w:ascii="Times New Roman" w:hAnsi="Times New Roman" w:cs="Times New Roman"/>
          <w:noProof/>
          <w:sz w:val="24"/>
          <w:lang w:val="en-IE"/>
        </w:rPr>
        <w:t>n grant for the purchase of new EVs (BEV, PHEV or hybrid) or where the propulsion system is based on internal combustion engines that can use alternative fossil fuels;</w:t>
      </w:r>
    </w:p>
    <w:p w:rsidR="003C43BF" w:rsidRDefault="006C3212">
      <w:pPr>
        <w:pStyle w:val="ListParagraph"/>
        <w:numPr>
          <w:ilvl w:val="0"/>
          <w:numId w:val="40"/>
        </w:numPr>
        <w:rPr>
          <w:rFonts w:ascii="Times New Roman" w:hAnsi="Times New Roman" w:cs="Times New Roman"/>
          <w:noProof/>
          <w:sz w:val="24"/>
          <w:lang w:val="en-IE"/>
        </w:rPr>
      </w:pPr>
      <w:r>
        <w:rPr>
          <w:rFonts w:ascii="Times New Roman" w:hAnsi="Times New Roman" w:cs="Times New Roman"/>
          <w:noProof/>
          <w:sz w:val="24"/>
          <w:lang w:val="en-IE"/>
        </w:rPr>
        <w:t>Catalonia grants for the purchase of vehicles to use as taxis;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Madrid 2017 and 2018 aid </w:t>
      </w:r>
      <w:r>
        <w:rPr>
          <w:rFonts w:ascii="Times New Roman" w:hAnsi="Times New Roman" w:cs="Times New Roman"/>
          <w:noProof/>
          <w:sz w:val="24"/>
          <w:lang w:val="en-IE"/>
        </w:rPr>
        <w:t>to self-employed and SMEs to modernise the fleet of LCV with highly energy-efficient models that consume less fuel and emit less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and NO</w:t>
      </w:r>
      <w:r>
        <w:rPr>
          <w:rFonts w:ascii="Times New Roman" w:hAnsi="Times New Roman" w:cs="Times New Roman"/>
          <w:noProof/>
          <w:sz w:val="24"/>
          <w:vertAlign w:val="subscript"/>
          <w:lang w:val="en-IE"/>
        </w:rPr>
        <w:t>x</w:t>
      </w:r>
      <w:r>
        <w:rPr>
          <w:rFonts w:ascii="Times New Roman" w:hAnsi="Times New Roman" w:cs="Times New Roman"/>
          <w:noProof/>
          <w:sz w:val="24"/>
          <w:lang w:val="en-IE"/>
        </w:rPr>
        <w:t xml:space="preserve"> and incentives to modernise the taxi fleet, 2018 grants for the deployment of recharging points (conventional, fast</w:t>
      </w:r>
      <w:r>
        <w:rPr>
          <w:rFonts w:ascii="Times New Roman" w:hAnsi="Times New Roman" w:cs="Times New Roman"/>
          <w:noProof/>
          <w:sz w:val="24"/>
          <w:lang w:val="en-IE"/>
        </w:rPr>
        <w:t>, rapid and ultra-fast charging), 2018 aids for the purchase of M1 vehicles powered by LPG, LNG, CNG or bi-fuel (petrol and gas), BEVs, REEVs, PHEVs and hydrogen vehicles, and exclusively electric motorcycles (L-category);</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Community of Valencia 2017, 2018 </w:t>
      </w:r>
      <w:r>
        <w:rPr>
          <w:rFonts w:ascii="Times New Roman" w:hAnsi="Times New Roman" w:cs="Times New Roman"/>
          <w:noProof/>
          <w:sz w:val="24"/>
          <w:lang w:val="en-IE"/>
        </w:rPr>
        <w:t>and 2019 aid for public or private companies and bodies for the installation of recharging points and aid for the purchase of EVs or AFVs;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Balearic Islands aid in 2018 to promote the installation of recharging points (normal, semi-fast and fast) and to pro</w:t>
      </w:r>
      <w:r>
        <w:rPr>
          <w:rFonts w:ascii="Times New Roman" w:hAnsi="Times New Roman" w:cs="Times New Roman"/>
          <w:noProof/>
          <w:sz w:val="24"/>
          <w:lang w:val="en-IE"/>
        </w:rPr>
        <w:t>mote low-emission BEV, PHEV, CNG and LPG vehicles for rental and taxis;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The Rioja grants in 2018 for municipalities with fewer than 25,000 inhabitants for the installation of fast recharging points for public use;</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Navarra 2017 aid to local authorities with</w:t>
      </w:r>
      <w:r>
        <w:rPr>
          <w:rFonts w:ascii="Times New Roman" w:hAnsi="Times New Roman" w:cs="Times New Roman"/>
          <w:noProof/>
          <w:sz w:val="24"/>
          <w:lang w:val="en-IE"/>
        </w:rPr>
        <w:t xml:space="preserve"> fewer than 20,000 inhabitants for the purchase of BEV and the installation of recharging points;</w:t>
      </w:r>
    </w:p>
    <w:p w:rsidR="003C43BF" w:rsidRDefault="006C3212">
      <w:pPr>
        <w:pStyle w:val="ListParagraph"/>
        <w:numPr>
          <w:ilvl w:val="0"/>
          <w:numId w:val="40"/>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Basque Country aid in 2018 for the purchase of electric mopeds, EV or hybrid HDV and for AFI for electricity and CNG and for the conversion of LCV to CNG/LPG </w:t>
      </w:r>
      <w:r>
        <w:rPr>
          <w:rFonts w:ascii="Times New Roman" w:hAnsi="Times New Roman" w:cs="Times New Roman"/>
          <w:noProof/>
          <w:sz w:val="24"/>
          <w:lang w:val="en-IE"/>
        </w:rPr>
        <w:t>and HDV to CNG, aid for AFI installations in shared garages. Aid programme in 2019 for investments in efficient and alternative vehicles and for the promotion of electric recharging points for public use.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tax incentives, rebates of car registrati</w:t>
      </w:r>
      <w:r>
        <w:rPr>
          <w:rFonts w:ascii="Times New Roman" w:hAnsi="Times New Roman" w:cs="Times New Roman"/>
          <w:noProof/>
          <w:sz w:val="24"/>
          <w:lang w:val="en-IE"/>
        </w:rPr>
        <w:t xml:space="preserve">on and road taxes as well as personal income tax reduction applicable to benefits in-kind for business AFV for private use have been in force since 2016. In addition, at Autonomous Communities level, the Canary Islands have eliminated the general indirect </w:t>
      </w:r>
      <w:r>
        <w:rPr>
          <w:rFonts w:ascii="Times New Roman" w:hAnsi="Times New Roman" w:cs="Times New Roman"/>
          <w:noProof/>
          <w:sz w:val="24"/>
          <w:lang w:val="en-IE"/>
        </w:rPr>
        <w:t>tax for the purchase of hybrid and electric vehicles as well as for public transport vehicles powered by CNG and LPG. Castile-Leon has proposed a deduction of the regional income tax for the purchase of electric vehicles; the Rioja provides the possibility</w:t>
      </w:r>
      <w:r>
        <w:rPr>
          <w:rFonts w:ascii="Times New Roman" w:hAnsi="Times New Roman" w:cs="Times New Roman"/>
          <w:noProof/>
          <w:sz w:val="24"/>
          <w:lang w:val="en-IE"/>
        </w:rPr>
        <w:t xml:space="preserve"> of </w:t>
      </w:r>
      <w:r>
        <w:rPr>
          <w:rFonts w:ascii="Times New Roman" w:hAnsi="Times New Roman" w:cs="Times New Roman"/>
          <w:noProof/>
          <w:sz w:val="24"/>
          <w:lang w:val="en-IE" w:bidi="en-US"/>
        </w:rPr>
        <w:t xml:space="preserve">a </w:t>
      </w:r>
      <w:r>
        <w:rPr>
          <w:rFonts w:ascii="Times New Roman" w:hAnsi="Times New Roman" w:cs="Times New Roman"/>
          <w:noProof/>
          <w:sz w:val="24"/>
          <w:lang w:val="en-IE"/>
        </w:rPr>
        <w:t>deduction in the annual tax declaration equal to 15% of</w:t>
      </w:r>
      <w:r>
        <w:rPr>
          <w:rFonts w:ascii="Times New Roman" w:hAnsi="Times New Roman" w:cs="Times New Roman"/>
          <w:noProof/>
          <w:sz w:val="24"/>
          <w:lang w:val="en-IE" w:bidi="en-US"/>
        </w:rPr>
        <w:t xml:space="preserve"> the purchase value of new electric vehicles and Navarra provides tax deductions for investments in the installation of recharging points and in BEV and PHEV. At local level, Saragossa exempts el</w:t>
      </w:r>
      <w:r>
        <w:rPr>
          <w:rFonts w:ascii="Times New Roman" w:hAnsi="Times New Roman" w:cs="Times New Roman"/>
          <w:noProof/>
          <w:sz w:val="24"/>
          <w:lang w:val="en-IE" w:bidi="en-US"/>
        </w:rPr>
        <w:t>ectric vehicles from parking fees in certain zones of the city and provides discounts to the motor vehicle tax for low and zero emission vehicles.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contains 14 measures that can be considered as policy measures for water</w:t>
      </w:r>
      <w:r>
        <w:rPr>
          <w:rFonts w:ascii="Times New Roman" w:hAnsi="Times New Roman" w:cs="Times New Roman"/>
          <w:noProof/>
          <w:sz w:val="24"/>
          <w:lang w:val="en-IE"/>
        </w:rPr>
        <w:t>borne maritime transport. Compared to the four measures identified in the NPF, this shows an increase in ambition. It is particularly noticed:</w:t>
      </w:r>
    </w:p>
    <w:p w:rsidR="003C43BF" w:rsidRDefault="006C3212">
      <w:pPr>
        <w:pStyle w:val="ListParagraph"/>
        <w:numPr>
          <w:ilvl w:val="0"/>
          <w:numId w:val="41"/>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The elimination of the tax on provision of shore-side electricity from January 2020 and the 50% reduction in the </w:t>
      </w:r>
      <w:r>
        <w:rPr>
          <w:rFonts w:ascii="Times New Roman" w:hAnsi="Times New Roman" w:cs="Times New Roman"/>
          <w:noProof/>
          <w:sz w:val="24"/>
          <w:lang w:val="en-IE"/>
        </w:rPr>
        <w:t>berthing fee charged to vessels docked in port when connected to the electricity grid.</w:t>
      </w:r>
    </w:p>
    <w:p w:rsidR="003C43BF" w:rsidRDefault="006C3212">
      <w:pPr>
        <w:pStyle w:val="ListParagraph"/>
        <w:numPr>
          <w:ilvl w:val="0"/>
          <w:numId w:val="41"/>
        </w:numPr>
        <w:jc w:val="both"/>
        <w:rPr>
          <w:rFonts w:ascii="Times New Roman" w:hAnsi="Times New Roman" w:cs="Times New Roman"/>
          <w:noProof/>
          <w:sz w:val="24"/>
          <w:lang w:val="en-IE"/>
        </w:rPr>
      </w:pPr>
      <w:r>
        <w:rPr>
          <w:rFonts w:ascii="Times New Roman" w:hAnsi="Times New Roman" w:cs="Times New Roman"/>
          <w:noProof/>
          <w:sz w:val="24"/>
          <w:lang w:val="en-IE"/>
        </w:rPr>
        <w:t>The existing 50% discount on the total tax due for access and berthing in Zone I and/or Zone II for vessels powered by LNG or vessels that use LNG in their auxiliary eng</w:t>
      </w:r>
      <w:r>
        <w:rPr>
          <w:rFonts w:ascii="Times New Roman" w:hAnsi="Times New Roman" w:cs="Times New Roman"/>
          <w:noProof/>
          <w:sz w:val="24"/>
          <w:lang w:val="en-IE"/>
        </w:rPr>
        <w:t>ines, supplemented with 10 to 40% reductions on the port duty for vessels depending on the Port Authority. Likewise, additional 10 to 40% reduction, depending on the Port Authority, of the port duty applicable to LNG cargos for bunkering and up to 30% reba</w:t>
      </w:r>
      <w:r>
        <w:rPr>
          <w:rFonts w:ascii="Times New Roman" w:hAnsi="Times New Roman" w:cs="Times New Roman"/>
          <w:noProof/>
          <w:sz w:val="24"/>
          <w:lang w:val="en-IE"/>
        </w:rPr>
        <w:t>te on the occupation rate applicable to terminals for LNG bunkering.</w:t>
      </w:r>
    </w:p>
    <w:p w:rsidR="003C43BF" w:rsidRDefault="006C3212">
      <w:pPr>
        <w:pStyle w:val="ListParagraph"/>
        <w:numPr>
          <w:ilvl w:val="0"/>
          <w:numId w:val="41"/>
        </w:numPr>
        <w:jc w:val="both"/>
        <w:rPr>
          <w:rFonts w:ascii="Times New Roman" w:hAnsi="Times New Roman" w:cs="Times New Roman"/>
          <w:noProof/>
          <w:sz w:val="24"/>
          <w:lang w:val="en-IE"/>
        </w:rPr>
      </w:pPr>
      <w:r>
        <w:rPr>
          <w:rFonts w:ascii="Times New Roman" w:hAnsi="Times New Roman" w:cs="Times New Roman"/>
          <w:noProof/>
          <w:sz w:val="24"/>
          <w:lang w:val="en-IE"/>
        </w:rPr>
        <w:t>The provision of 40 million € in 2018, as Spanish Government-backed financing for building and for converting existing vessels to low-emission. This instrument has been in force since the</w:t>
      </w:r>
      <w:r>
        <w:rPr>
          <w:rFonts w:ascii="Times New Roman" w:hAnsi="Times New Roman" w:cs="Times New Roman"/>
          <w:noProof/>
          <w:sz w:val="24"/>
          <w:lang w:val="en-IE"/>
        </w:rPr>
        <w:t xml:space="preserve"> 1990s and its annual budgetary contribution is set out in the Budget Act for each year. Initially geared to the building of new low-emission vessels, it currently allows guarantees for the conversion of vessels too.</w:t>
      </w:r>
    </w:p>
    <w:p w:rsidR="003C43BF" w:rsidRDefault="006C3212">
      <w:pPr>
        <w:pStyle w:val="ListParagraph"/>
        <w:numPr>
          <w:ilvl w:val="0"/>
          <w:numId w:val="41"/>
        </w:numPr>
        <w:jc w:val="both"/>
        <w:rPr>
          <w:rFonts w:ascii="Times New Roman" w:hAnsi="Times New Roman" w:cs="Times New Roman"/>
          <w:noProof/>
          <w:sz w:val="24"/>
          <w:lang w:val="en-IE"/>
        </w:rPr>
      </w:pPr>
      <w:r>
        <w:rPr>
          <w:rFonts w:ascii="Times New Roman" w:hAnsi="Times New Roman" w:cs="Times New Roman"/>
          <w:noProof/>
          <w:sz w:val="24"/>
          <w:lang w:val="en-IE"/>
        </w:rPr>
        <w:t>The activities within the “</w:t>
      </w:r>
      <w:r>
        <w:rPr>
          <w:rFonts w:ascii="Times New Roman" w:hAnsi="Times New Roman" w:cs="Times New Roman"/>
          <w:i/>
          <w:noProof/>
          <w:sz w:val="24"/>
          <w:lang w:val="en-IE"/>
        </w:rPr>
        <w:t>CORE LNGas H</w:t>
      </w:r>
      <w:r>
        <w:rPr>
          <w:rFonts w:ascii="Times New Roman" w:hAnsi="Times New Roman" w:cs="Times New Roman"/>
          <w:i/>
          <w:noProof/>
          <w:sz w:val="24"/>
          <w:lang w:val="en-IE"/>
        </w:rPr>
        <w:t>ive — Core Network Corridors and Liquefied Natural Gas Project</w:t>
      </w:r>
      <w:r>
        <w:rPr>
          <w:rFonts w:ascii="Times New Roman" w:hAnsi="Times New Roman" w:cs="Times New Roman"/>
          <w:noProof/>
          <w:sz w:val="24"/>
          <w:lang w:val="en-IE"/>
        </w:rPr>
        <w:t xml:space="preserve">”, funded by the European Commission through the CEF (2014-EU-TM-0732-S) aimed at promoting the development of LNG as a marine fuel and the launching in 2018 of the </w:t>
      </w:r>
      <w:r>
        <w:rPr>
          <w:rFonts w:ascii="Times New Roman" w:hAnsi="Times New Roman" w:cs="Times New Roman"/>
          <w:i/>
          <w:noProof/>
          <w:sz w:val="24"/>
          <w:lang w:val="en-IE"/>
        </w:rPr>
        <w:t>LNGHIVE2</w:t>
      </w:r>
      <w:r>
        <w:rPr>
          <w:rFonts w:ascii="Times New Roman" w:hAnsi="Times New Roman" w:cs="Times New Roman"/>
          <w:noProof/>
          <w:sz w:val="24"/>
          <w:lang w:val="en-IE"/>
        </w:rPr>
        <w:t xml:space="preserve"> strategy for the con</w:t>
      </w:r>
      <w:r>
        <w:rPr>
          <w:rFonts w:ascii="Times New Roman" w:hAnsi="Times New Roman" w:cs="Times New Roman"/>
          <w:noProof/>
          <w:sz w:val="24"/>
          <w:lang w:val="en-IE"/>
        </w:rPr>
        <w:t xml:space="preserve">tinuation of the institutional measures and developments of </w:t>
      </w:r>
      <w:r>
        <w:rPr>
          <w:rFonts w:ascii="Times New Roman" w:hAnsi="Times New Roman" w:cs="Times New Roman"/>
          <w:i/>
          <w:noProof/>
          <w:sz w:val="24"/>
          <w:lang w:val="en-IE"/>
        </w:rPr>
        <w:t>CORE LNGas HIVE</w:t>
      </w:r>
      <w:r>
        <w:rPr>
          <w:rFonts w:ascii="Times New Roman" w:hAnsi="Times New Roman" w:cs="Times New Roman"/>
          <w:noProof/>
          <w:sz w:val="24"/>
          <w:lang w:val="en-IE"/>
        </w:rPr>
        <w: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does not contain specific measures that can promote AFI at national level, although a number of autonomi</w:t>
      </w:r>
      <w:r>
        <w:rPr>
          <w:rFonts w:ascii="Times New Roman" w:hAnsi="Times New Roman" w:cs="Times New Roman"/>
          <w:noProof/>
          <w:sz w:val="24"/>
          <w:lang w:val="en-IE"/>
        </w:rPr>
        <w:t>es and regions provide grants and incentives for the purchase of AFV for use as taxis (Catalonia, Madrid, Balearic Islands, and Navarra) and for the procurement of electric buses for urban public transport. There are also initiatives at local level in Madr</w:t>
      </w:r>
      <w:r>
        <w:rPr>
          <w:rFonts w:ascii="Times New Roman" w:hAnsi="Times New Roman" w:cs="Times New Roman"/>
          <w:noProof/>
          <w:sz w:val="24"/>
          <w:lang w:val="en-IE"/>
        </w:rPr>
        <w:t>id, Seville and Saragossa.</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Although the Spanish NIR does not explicitly mention measures for the promotion of private electro-mobility infrastructure, the programmes </w:t>
      </w:r>
      <w:r>
        <w:rPr>
          <w:rFonts w:ascii="Times New Roman" w:hAnsi="Times New Roman" w:cs="Times New Roman"/>
          <w:i/>
          <w:noProof/>
          <w:sz w:val="24"/>
          <w:lang w:val="en-IE"/>
        </w:rPr>
        <w:t xml:space="preserve">MOVEA </w:t>
      </w:r>
      <w:r>
        <w:rPr>
          <w:rFonts w:ascii="Times New Roman" w:hAnsi="Times New Roman" w:cs="Times New Roman"/>
          <w:i/>
          <w:noProof/>
          <w:sz w:val="24"/>
          <w:lang w:val="en-IE"/>
        </w:rPr>
        <w:t>2016</w:t>
      </w:r>
      <w:r>
        <w:rPr>
          <w:rFonts w:ascii="Times New Roman" w:hAnsi="Times New Roman" w:cs="Times New Roman"/>
          <w:noProof/>
          <w:sz w:val="24"/>
          <w:lang w:val="en-IE"/>
        </w:rPr>
        <w:t xml:space="preserve"> and </w:t>
      </w:r>
      <w:r>
        <w:rPr>
          <w:rFonts w:ascii="Times New Roman" w:hAnsi="Times New Roman" w:cs="Times New Roman"/>
          <w:i/>
          <w:noProof/>
          <w:sz w:val="24"/>
          <w:lang w:val="en-IE"/>
        </w:rPr>
        <w:t>2017</w:t>
      </w:r>
      <w:r>
        <w:rPr>
          <w:rFonts w:ascii="Times New Roman" w:hAnsi="Times New Roman" w:cs="Times New Roman"/>
          <w:noProof/>
          <w:sz w:val="24"/>
          <w:lang w:val="en-IE"/>
        </w:rPr>
        <w:t xml:space="preserve">, </w:t>
      </w:r>
      <w:r>
        <w:rPr>
          <w:rFonts w:ascii="Times New Roman" w:hAnsi="Times New Roman" w:cs="Times New Roman"/>
          <w:i/>
          <w:noProof/>
          <w:sz w:val="24"/>
          <w:lang w:val="en-IE"/>
        </w:rPr>
        <w:t>MOVALT 2018</w:t>
      </w:r>
      <w:r>
        <w:rPr>
          <w:rFonts w:ascii="Times New Roman" w:hAnsi="Times New Roman" w:cs="Times New Roman"/>
          <w:noProof/>
          <w:sz w:val="24"/>
          <w:lang w:val="en-IE"/>
        </w:rPr>
        <w:t xml:space="preserve"> and </w:t>
      </w:r>
      <w:r>
        <w:rPr>
          <w:rFonts w:ascii="Times New Roman" w:hAnsi="Times New Roman" w:cs="Times New Roman"/>
          <w:i/>
          <w:noProof/>
          <w:sz w:val="24"/>
          <w:lang w:val="en-IE"/>
        </w:rPr>
        <w:t>MOVES 2019</w:t>
      </w:r>
      <w:r>
        <w:rPr>
          <w:rFonts w:ascii="Times New Roman" w:hAnsi="Times New Roman" w:cs="Times New Roman"/>
          <w:noProof/>
          <w:sz w:val="24"/>
          <w:lang w:val="en-IE"/>
        </w:rPr>
        <w:t xml:space="preserve"> included budget provisions for funding private recharging points. In addition, autonomies and regions provided grants and incentives for the installation of recharging points in business premises and condominium ga</w:t>
      </w:r>
      <w:r>
        <w:rPr>
          <w:rFonts w:ascii="Times New Roman" w:hAnsi="Times New Roman" w:cs="Times New Roman"/>
          <w:noProof/>
          <w:sz w:val="24"/>
          <w:lang w:val="en-IE"/>
        </w:rPr>
        <w:t>rages.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contains 18 deployment support measures for AFI at national level, which compared to the 9 measures identified in the NPF, represent an increase in ambition. In addition, the NIR mentions several initiatives at regional and local level. Mos</w:t>
      </w:r>
      <w:r>
        <w:rPr>
          <w:rFonts w:ascii="Times New Roman" w:hAnsi="Times New Roman" w:cs="Times New Roman"/>
          <w:noProof/>
          <w:sz w:val="24"/>
          <w:lang w:val="en-IE"/>
        </w:rPr>
        <w:t>t of these measures are existing. Eleven AFI deployment support measures refer to road transport, seven of them to recharging infrastructure, and the rest to CNG, LNG, hydrogen and LPG refuelling points. At Autonomous Communities level, Canary Islands, Cat</w:t>
      </w:r>
      <w:r>
        <w:rPr>
          <w:rFonts w:ascii="Times New Roman" w:hAnsi="Times New Roman" w:cs="Times New Roman"/>
          <w:noProof/>
          <w:sz w:val="24"/>
          <w:lang w:val="en-IE"/>
        </w:rPr>
        <w:t>alonia and Balearic Islands, as well as Madrid at local level, provide support for the deployment of recharging points. The NIR highlights the support for building hydrogen infrastructure in Mallorca and Madrid as well as regional promotion initiatives for</w:t>
      </w:r>
      <w:r>
        <w:rPr>
          <w:rFonts w:ascii="Times New Roman" w:hAnsi="Times New Roman" w:cs="Times New Roman"/>
          <w:noProof/>
          <w:sz w:val="24"/>
          <w:lang w:val="en-IE"/>
        </w:rPr>
        <w:t xml:space="preserve"> hydrogen in Castile-La Mancha, Andalusia, Basque Country and Aragon.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Four deployment support measures concern waterborne maritime transport (two for electricity and two for LNG refuelling points) and two measures target electricity supply infrastructure </w:t>
      </w:r>
      <w:r>
        <w:rPr>
          <w:rFonts w:ascii="Times New Roman" w:hAnsi="Times New Roman" w:cs="Times New Roman"/>
          <w:noProof/>
          <w:sz w:val="24"/>
          <w:lang w:val="en-IE"/>
        </w:rPr>
        <w:t>for stationary aircraft.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Spain relies on European co-funding mechanisms for AFI deployment, namely the CEF blending Facility (</w:t>
      </w:r>
      <w:r>
        <w:rPr>
          <w:rFonts w:ascii="Times New Roman" w:hAnsi="Times New Roman" w:cs="Times New Roman"/>
          <w:i/>
          <w:noProof/>
          <w:sz w:val="24"/>
          <w:lang w:val="en-IE"/>
        </w:rPr>
        <w:t>CIRVE</w:t>
      </w:r>
      <w:r>
        <w:rPr>
          <w:rFonts w:ascii="Times New Roman" w:hAnsi="Times New Roman" w:cs="Times New Roman"/>
          <w:noProof/>
          <w:sz w:val="24"/>
          <w:lang w:val="en-IE"/>
        </w:rPr>
        <w:t xml:space="preserve">, </w:t>
      </w:r>
      <w:r>
        <w:rPr>
          <w:rFonts w:ascii="Times New Roman" w:hAnsi="Times New Roman" w:cs="Times New Roman"/>
          <w:i/>
          <w:noProof/>
          <w:sz w:val="24"/>
          <w:lang w:val="en-IE"/>
        </w:rPr>
        <w:t>E-VIA FLEX-E</w:t>
      </w:r>
      <w:r>
        <w:rPr>
          <w:rFonts w:ascii="Times New Roman" w:hAnsi="Times New Roman" w:cs="Times New Roman"/>
          <w:noProof/>
          <w:sz w:val="24"/>
          <w:lang w:val="en-IE"/>
        </w:rPr>
        <w:t xml:space="preserve">, </w:t>
      </w:r>
      <w:r>
        <w:rPr>
          <w:rFonts w:ascii="Times New Roman" w:hAnsi="Times New Roman" w:cs="Times New Roman"/>
          <w:i/>
          <w:noProof/>
          <w:sz w:val="24"/>
          <w:lang w:val="en-IE"/>
        </w:rPr>
        <w:t>EUROP-E</w:t>
      </w:r>
      <w:r>
        <w:rPr>
          <w:rFonts w:ascii="Times New Roman" w:hAnsi="Times New Roman" w:cs="Times New Roman"/>
          <w:noProof/>
          <w:sz w:val="24"/>
          <w:lang w:val="en-IE"/>
        </w:rPr>
        <w:t xml:space="preserve">, </w:t>
      </w:r>
      <w:r>
        <w:rPr>
          <w:rFonts w:ascii="Times New Roman" w:hAnsi="Times New Roman" w:cs="Times New Roman"/>
          <w:i/>
          <w:noProof/>
          <w:sz w:val="24"/>
          <w:lang w:val="en-IE"/>
        </w:rPr>
        <w:t>AMBRA</w:t>
      </w:r>
      <w:r>
        <w:rPr>
          <w:rFonts w:ascii="Times New Roman" w:hAnsi="Times New Roman" w:cs="Times New Roman"/>
          <w:noProof/>
          <w:sz w:val="24"/>
          <w:lang w:val="en-IE"/>
        </w:rPr>
        <w:t xml:space="preserve">, </w:t>
      </w:r>
      <w:r>
        <w:rPr>
          <w:rFonts w:ascii="Times New Roman" w:hAnsi="Times New Roman" w:cs="Times New Roman"/>
          <w:i/>
          <w:noProof/>
          <w:sz w:val="24"/>
          <w:lang w:val="en-IE"/>
        </w:rPr>
        <w:t>ECOGATE</w:t>
      </w:r>
      <w:r>
        <w:rPr>
          <w:rFonts w:ascii="Times New Roman" w:hAnsi="Times New Roman" w:cs="Times New Roman"/>
          <w:noProof/>
          <w:sz w:val="24"/>
          <w:lang w:val="en-IE"/>
        </w:rPr>
        <w:t xml:space="preserve">, OPS masterplan for Spanish ports and </w:t>
      </w:r>
      <w:r>
        <w:rPr>
          <w:rFonts w:ascii="Times New Roman" w:hAnsi="Times New Roman" w:cs="Times New Roman"/>
          <w:i/>
          <w:noProof/>
          <w:sz w:val="24"/>
          <w:lang w:val="en-IE"/>
        </w:rPr>
        <w:t>CORE LNGas HIVE</w:t>
      </w:r>
      <w:r>
        <w:rPr>
          <w:rFonts w:ascii="Times New Roman" w:hAnsi="Times New Roman" w:cs="Times New Roman"/>
          <w:noProof/>
          <w:sz w:val="24"/>
          <w:lang w:val="en-IE"/>
        </w:rPr>
        <w:t xml:space="preserve">) and the ERDF (for example for </w:t>
      </w:r>
      <w:r>
        <w:rPr>
          <w:rFonts w:ascii="Times New Roman" w:hAnsi="Times New Roman" w:cs="Times New Roman"/>
          <w:noProof/>
          <w:sz w:val="24"/>
          <w:lang w:val="en-IE"/>
        </w:rPr>
        <w:t xml:space="preserve">installing biofuels pumps in Valencia). The Spain-France-Andorra cooperation programme </w:t>
      </w:r>
      <w:r>
        <w:rPr>
          <w:rFonts w:ascii="Times New Roman" w:hAnsi="Times New Roman" w:cs="Times New Roman"/>
          <w:i/>
          <w:noProof/>
          <w:sz w:val="24"/>
          <w:lang w:val="en-IE"/>
        </w:rPr>
        <w:t xml:space="preserve">POCTEFA Interreg </w:t>
      </w:r>
      <w:r>
        <w:rPr>
          <w:rFonts w:ascii="Times New Roman" w:hAnsi="Times New Roman" w:cs="Times New Roman"/>
          <w:noProof/>
          <w:sz w:val="24"/>
          <w:lang w:val="en-IE"/>
        </w:rPr>
        <w:t>is also considered. Furthermore, there are some public-private initiatives for installing publicly accessible recharging points in rail stations, airpor</w:t>
      </w:r>
      <w:r>
        <w:rPr>
          <w:rFonts w:ascii="Times New Roman" w:hAnsi="Times New Roman" w:cs="Times New Roman"/>
          <w:noProof/>
          <w:sz w:val="24"/>
          <w:lang w:val="en-IE"/>
        </w:rPr>
        <w:t>ts and public places.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all the deployment and manufacturing support measures listed in the Spanish NIR, nine can be categorised as support to manufacturing plants for AF technologies. Two measures are d</w:t>
      </w:r>
      <w:r>
        <w:rPr>
          <w:rFonts w:ascii="Times New Roman" w:hAnsi="Times New Roman" w:cs="Times New Roman"/>
          <w:noProof/>
          <w:sz w:val="24"/>
          <w:lang w:val="en-IE"/>
        </w:rPr>
        <w:t>edicated to road transport: the continuation of the ‘</w:t>
      </w:r>
      <w:r>
        <w:rPr>
          <w:rFonts w:ascii="Times New Roman" w:hAnsi="Times New Roman" w:cs="Times New Roman"/>
          <w:i/>
          <w:noProof/>
          <w:sz w:val="24"/>
          <w:lang w:val="en-IE"/>
        </w:rPr>
        <w:t>Reindustrialisation and industrial competitiveness strengthening programme</w:t>
      </w:r>
      <w:r>
        <w:rPr>
          <w:rFonts w:ascii="Times New Roman" w:hAnsi="Times New Roman" w:cs="Times New Roman"/>
          <w:noProof/>
          <w:sz w:val="24"/>
          <w:lang w:val="en-IE"/>
        </w:rPr>
        <w:t>’ (mentioned in the NPF) and a project for manufacturing LPG engines for buses. The remaining seven measures are related to the b</w:t>
      </w:r>
      <w:r>
        <w:rPr>
          <w:rFonts w:ascii="Times New Roman" w:hAnsi="Times New Roman" w:cs="Times New Roman"/>
          <w:noProof/>
          <w:sz w:val="24"/>
          <w:lang w:val="en-IE"/>
        </w:rPr>
        <w:t>uilding (or the conversion) of maritime vessels and ferries to run with LNG.</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Spanish NIR.</w:t>
      </w:r>
    </w:p>
    <w:p w:rsidR="003C43BF" w:rsidRDefault="003C43BF">
      <w:pPr>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w:t>
      </w:r>
      <w:r>
        <w:rPr>
          <w:rFonts w:ascii="Times New Roman" w:hAnsi="Times New Roman" w:cs="Times New Roman"/>
          <w:noProof/>
          <w:sz w:val="24"/>
          <w:lang w:val="en-IE"/>
        </w:rPr>
        <w:t>e assessment of Policy and Deployment &amp; Manufacturing measures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_Ref52817669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xml:space="preserve">. As it can be seen, clusters of measures are identified for the pairs electricity/road, CNG/road, </w:t>
      </w:r>
      <w:r>
        <w:rPr>
          <w:rFonts w:ascii="Times New Roman" w:hAnsi="Times New Roman" w:cs="Times New Roman"/>
          <w:noProof/>
          <w:sz w:val="24"/>
          <w:lang w:val="en-IE"/>
        </w:rPr>
        <w:t>LNG/road and LNG/water-maritime, hydrogen/road, LPG/road and electricity/water-maritime. Nothing assessable could be defined for the pair LNG/water-inland.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majority of the assessable measures mentioned in the NIR score medium. For the clusters electric</w:t>
      </w:r>
      <w:r>
        <w:rPr>
          <w:rFonts w:ascii="Times New Roman" w:hAnsi="Times New Roman" w:cs="Times New Roman"/>
          <w:noProof/>
          <w:sz w:val="24"/>
          <w:lang w:val="en-IE"/>
        </w:rPr>
        <w:t>ity/road and LNG/water-maritime, a score between medium and high can be considered. The cluster electricity/water-maritime scores high. The duration of policy measures is subject to yearly budgetary approval. The results of the applied assessment methodolo</w:t>
      </w:r>
      <w:r>
        <w:rPr>
          <w:rFonts w:ascii="Times New Roman" w:hAnsi="Times New Roman" w:cs="Times New Roman"/>
          <w:noProof/>
          <w:sz w:val="24"/>
          <w:lang w:val="en-IE"/>
        </w:rPr>
        <w:t xml:space="preserve">gy are based on the assumption that continuity is given to Policy and Deployment &amp; Manufacturing support measures. The clusters electricity/road, CNG/road, LNG/road, LNG/water-maritime, hydrogen/road and LPG/road can be considered to be comprehensive. The </w:t>
      </w:r>
      <w:r>
        <w:rPr>
          <w:rFonts w:ascii="Times New Roman" w:hAnsi="Times New Roman" w:cs="Times New Roman"/>
          <w:noProof/>
          <w:sz w:val="24"/>
          <w:lang w:val="en-IE"/>
        </w:rPr>
        <w:t>cluster electricity/water-maritime results not comprehensive. In terms of expected impact of the measures to support the realisation of the AFV/AFI objectives as presented in the NPF and revised in the NIR, those for the pairs electricity/road and LNG/wate</w:t>
      </w:r>
      <w:r>
        <w:rPr>
          <w:rFonts w:ascii="Times New Roman" w:hAnsi="Times New Roman" w:cs="Times New Roman"/>
          <w:noProof/>
          <w:sz w:val="24"/>
          <w:lang w:val="en-IE"/>
        </w:rPr>
        <w:t>r-maritime result to have a medium-high impact, all the other assessable clusters have a medium impact.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it can be seen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_Ref52817669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5.9.4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compared to t</w:t>
      </w:r>
      <w:r>
        <w:rPr>
          <w:rFonts w:ascii="Times New Roman" w:hAnsi="Times New Roman" w:cs="Times New Roman"/>
          <w:noProof/>
          <w:sz w:val="24"/>
          <w:lang w:val="en-IE"/>
        </w:rPr>
        <w:t xml:space="preserve">he NPF the level of ambition has increased in the NIR for all the assessable clusters, with the exception of LPG/road, for which it remains the same.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jc w:val="both"/>
        <w:rPr>
          <w:rFonts w:ascii="Times New Roman" w:hAnsi="Times New Roman" w:cs="Times New Roman"/>
          <w:noProof/>
          <w:sz w:val="24"/>
          <w:lang w:val="en-IE"/>
        </w:rPr>
      </w:pPr>
      <w:bookmarkStart w:id="246" w:name="_Ref52817669"/>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5.9.4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46"/>
      <w:r>
        <w:rPr>
          <w:rFonts w:ascii="Times New Roman" w:hAnsi="Times New Roman" w:cs="Times New Roman"/>
          <w:i/>
          <w:noProof/>
          <w:sz w:val="20"/>
          <w:szCs w:val="18"/>
          <w:lang w:val="en-IE"/>
        </w:rPr>
        <w:t xml:space="preserve"> Quantitative assessment of Policy and Depl</w:t>
      </w:r>
      <w:r>
        <w:rPr>
          <w:rFonts w:ascii="Times New Roman" w:hAnsi="Times New Roman" w:cs="Times New Roman"/>
          <w:i/>
          <w:noProof/>
          <w:sz w:val="20"/>
          <w:szCs w:val="18"/>
          <w:lang w:val="en-IE"/>
        </w:rPr>
        <w:t>oyment &amp; Manufacturing support measures</w:t>
      </w:r>
    </w:p>
    <w:p w:rsidR="003C43BF" w:rsidRDefault="006C3212">
      <w:pPr>
        <w:jc w:val="both"/>
        <w:rPr>
          <w:rFonts w:ascii="Times New Roman" w:eastAsia="Calibri" w:hAnsi="Times New Roman" w:cs="Times New Roman"/>
          <w:noProof/>
          <w:sz w:val="20"/>
          <w:szCs w:val="18"/>
          <w:lang w:val="en-IE"/>
        </w:rPr>
      </w:pPr>
      <w:r>
        <w:rPr>
          <w:rFonts w:ascii="Times New Roman" w:hAnsi="Times New Roman" w:cs="Times New Roman"/>
          <w:noProof/>
          <w:sz w:val="24"/>
          <w:lang w:eastAsia="en-GB"/>
        </w:rPr>
        <w:drawing>
          <wp:inline distT="0" distB="0" distL="0" distR="0">
            <wp:extent cx="5645150" cy="2072640"/>
            <wp:effectExtent l="0" t="0" r="0" b="381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5150" cy="2072640"/>
                    </a:xfrm>
                    <a:prstGeom prst="rect">
                      <a:avLst/>
                    </a:prstGeom>
                    <a:noFill/>
                  </pic:spPr>
                </pic:pic>
              </a:graphicData>
            </a:graphic>
          </wp:inline>
        </w:drawing>
      </w:r>
      <w:r>
        <w:rPr>
          <w:rFonts w:ascii="Times New Roman" w:hAnsi="Times New Roman" w:cs="Times New Roman"/>
          <w:noProof/>
          <w:sz w:val="24"/>
          <w:lang w:val="en-IE"/>
        </w:rPr>
        <w:t xml:space="preserve"> </w:t>
      </w: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terms of expected impact of the measures to</w:t>
      </w:r>
      <w:r>
        <w:rPr>
          <w:rFonts w:ascii="Times New Roman" w:hAnsi="Times New Roman" w:cs="Times New Roman"/>
          <w:noProof/>
          <w:sz w:val="24"/>
          <w:lang w:val="en-IE"/>
        </w:rPr>
        <w:t xml:space="preserve"> support the realisation of the AFV/AFI objectives as presented in the NPF and revised in the NIR, those for the pairs electricity/road and LNG/water-maritime result to have a medium-high impact; those for the pairs CNG/road, LNG/road, electricity/water-ma</w:t>
      </w:r>
      <w:r>
        <w:rPr>
          <w:rFonts w:ascii="Times New Roman" w:hAnsi="Times New Roman" w:cs="Times New Roman"/>
          <w:noProof/>
          <w:sz w:val="24"/>
          <w:lang w:val="en-IE"/>
        </w:rPr>
        <w:t>ritime, hydrogen/road and LPG/road have a medium impact; while all the others are not assessable.</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describes 25 RTD&amp;D programmes, which represent a significant increase compared to the 7 RT</w:t>
      </w:r>
      <w:r>
        <w:rPr>
          <w:rFonts w:ascii="Times New Roman" w:hAnsi="Times New Roman" w:cs="Times New Roman"/>
          <w:noProof/>
          <w:sz w:val="24"/>
          <w:lang w:val="en-IE"/>
        </w:rPr>
        <w:t>D&amp;D projects identified in the NPF. National financing and support for RTD&amp;D projects target electricity, CNG, hydrogen, LPG and biofuels for road transport. The majority of the NIR projects can be considered follow-ups or expansions of the projects listed</w:t>
      </w:r>
      <w:r>
        <w:rPr>
          <w:rFonts w:ascii="Times New Roman" w:hAnsi="Times New Roman" w:cs="Times New Roman"/>
          <w:noProof/>
          <w:sz w:val="24"/>
          <w:lang w:val="en-IE"/>
        </w:rPr>
        <w:t xml:space="preserve"> in the NPF. In addition, the Spanish government promotes the participation in European working groups and associations (for batteries, hydrogen, autogas LPG-cluster and bio-ethanol), in the IPCEIs (Important Projects of Common European Interest) for batte</w:t>
      </w:r>
      <w:r>
        <w:rPr>
          <w:rFonts w:ascii="Times New Roman" w:hAnsi="Times New Roman" w:cs="Times New Roman"/>
          <w:noProof/>
          <w:sz w:val="24"/>
          <w:lang w:val="en-IE"/>
        </w:rPr>
        <w:t>ries and for hydrogen and in the Fuel Cell and Hydrogen Joint Undertaking. The Spanish NIR highlights several regional projects on biomethane production (from waste and from algae) and use. For maritime transport, the NIR mentions two RTD&amp;D initiatives: on</w:t>
      </w:r>
      <w:r>
        <w:rPr>
          <w:rFonts w:ascii="Times New Roman" w:hAnsi="Times New Roman" w:cs="Times New Roman"/>
          <w:noProof/>
          <w:sz w:val="24"/>
          <w:lang w:val="en-IE"/>
        </w:rPr>
        <w:t>e on LNG ships building and another on smart electricity grids in ports.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Spanish NIR also describes four projects on AF in railways. Two projects are related to pilot tests of LNG locomotives and demonstration of the LNG refuelling infrastructure. The </w:t>
      </w:r>
      <w:r>
        <w:rPr>
          <w:rFonts w:ascii="Times New Roman" w:hAnsi="Times New Roman" w:cs="Times New Roman"/>
          <w:noProof/>
          <w:sz w:val="24"/>
          <w:lang w:val="en-IE"/>
        </w:rPr>
        <w:t>other two projects deal with hybridising with LNG and hydrogen sub-urban and mid-range trains and with the development of a hydrogen electric tram powered by battery and fuel cells.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On the basis of the available information, and compared to the NPF, the le</w:t>
      </w:r>
      <w:r>
        <w:rPr>
          <w:rFonts w:ascii="Times New Roman" w:hAnsi="Times New Roman" w:cs="Times New Roman"/>
          <w:noProof/>
          <w:sz w:val="24"/>
          <w:lang w:val="en-IE"/>
        </w:rPr>
        <w:t>vel of ambition in the NIR can be considered to have increased for RTD&amp;D actions for most fuels and transport modes.</w:t>
      </w:r>
    </w:p>
    <w:p w:rsidR="003C43BF" w:rsidRDefault="006C3212">
      <w:pPr>
        <w:pStyle w:val="Heading3"/>
        <w:ind w:left="720"/>
        <w:rPr>
          <w:rFonts w:ascii="Times New Roman" w:hAnsi="Times New Roman" w:cs="Times New Roman"/>
          <w:noProof/>
          <w:sz w:val="24"/>
          <w:lang w:val="en-IE"/>
        </w:rPr>
      </w:pPr>
      <w:bookmarkStart w:id="247" w:name="_Toc55301845"/>
      <w:bookmarkStart w:id="248" w:name="_Toc56944166"/>
      <w:r>
        <w:rPr>
          <w:rFonts w:ascii="Times New Roman" w:hAnsi="Times New Roman" w:cs="Times New Roman"/>
          <w:noProof/>
          <w:sz w:val="24"/>
          <w:lang w:val="en-IE"/>
        </w:rPr>
        <w:t>Additional information on alternative fuels infrastructure developments</w:t>
      </w:r>
      <w:bookmarkEnd w:id="247"/>
      <w:bookmarkEnd w:id="248"/>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The Spanish NIR does not provide information on the changes in fuel</w:t>
      </w:r>
      <w:r>
        <w:rPr>
          <w:rFonts w:ascii="Times New Roman" w:hAnsi="Times New Roman" w:cs="Times New Roman"/>
          <w:noProof/>
          <w:sz w:val="24"/>
          <w:lang w:val="en-IE"/>
        </w:rPr>
        <w:t xml:space="preserve"> use.</w:t>
      </w: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249" w:name="_Toc55301846"/>
      <w:bookmarkStart w:id="250" w:name="_Toc56944167"/>
      <w:r>
        <w:rPr>
          <w:rFonts w:ascii="Times New Roman" w:hAnsi="Times New Roman" w:cs="Times New Roman"/>
          <w:noProof/>
          <w:sz w:val="24"/>
          <w:lang w:val="en-IE"/>
        </w:rPr>
        <w:t>Summary of the assessment</w:t>
      </w:r>
      <w:bookmarkEnd w:id="249"/>
      <w:bookmarkEnd w:id="250"/>
      <w:r>
        <w:rPr>
          <w:rFonts w:ascii="Times New Roman" w:hAnsi="Times New Roman" w:cs="Times New Roman"/>
          <w:noProof/>
          <w:sz w:val="24"/>
          <w:lang w:val="en-IE"/>
        </w:rPr>
        <w:tab/>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5.9.6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30875" cy="3987165"/>
            <wp:effectExtent l="0" t="0" r="317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987165"/>
                    </a:xfrm>
                    <a:prstGeom prst="rect">
                      <a:avLst/>
                    </a:prstGeom>
                    <a:noFill/>
                  </pic:spPr>
                </pic:pic>
              </a:graphicData>
            </a:graphic>
          </wp:inline>
        </w:drawing>
      </w:r>
    </w:p>
    <w:p w:rsidR="003C43BF" w:rsidRDefault="003C43BF">
      <w:pPr>
        <w:jc w:val="both"/>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Spanish NIR considers all alternative fuels transport modes, with particular focus on CNG, LNG and </w:t>
      </w:r>
      <w:r>
        <w:rPr>
          <w:rFonts w:ascii="Times New Roman" w:hAnsi="Times New Roman" w:cs="Times New Roman"/>
          <w:noProof/>
          <w:sz w:val="24"/>
          <w:lang w:val="en-IE"/>
        </w:rPr>
        <w:t>electricity. While for CNG/road a moderate infrastructure is in place, Spain is putting efforts to deploy electric recharging points and LNG refuelling points. In its NPF, Spain had considered a strong growth of LPG, however the NIR recognises that the evo</w:t>
      </w:r>
      <w:r>
        <w:rPr>
          <w:rFonts w:ascii="Times New Roman" w:hAnsi="Times New Roman" w:cs="Times New Roman"/>
          <w:noProof/>
          <w:sz w:val="24"/>
          <w:lang w:val="en-IE"/>
        </w:rPr>
        <w:t>lution of LPG vehicles since 2016 has not gone as quickly as expected and that deployment of LPG refuelling points is also proceeding at slower pace than initially anticipated. Spain’s continued support to LNG as a marine fuel has led to a good development</w:t>
      </w:r>
      <w:r>
        <w:rPr>
          <w:rFonts w:ascii="Times New Roman" w:hAnsi="Times New Roman" w:cs="Times New Roman"/>
          <w:noProof/>
          <w:sz w:val="24"/>
          <w:lang w:val="en-IE"/>
        </w:rPr>
        <w:t xml:space="preserve"> of the market in LNG waterborne maritime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does not establish infrastructure targets/vehicle estimates for all fuels and modes for each of the years of reference (2020, 2025 and 2030). Specifically, several targets are not provided for AF</w:t>
      </w:r>
      <w:r>
        <w:rPr>
          <w:rFonts w:ascii="Times New Roman" w:hAnsi="Times New Roman" w:cs="Times New Roman"/>
          <w:noProof/>
          <w:sz w:val="24"/>
          <w:lang w:val="en-IE"/>
        </w:rPr>
        <w:t>I in 2030. Therefore, it cannot be stated that the Spanish NIR covers the whole AFID period (2016-2030). Compared to the Spanish NPF that addressed most of the requirements of Article 3 of the Directive, the Spanish NIR almost fully addresses the requireme</w:t>
      </w:r>
      <w:r>
        <w:rPr>
          <w:rFonts w:ascii="Times New Roman" w:hAnsi="Times New Roman" w:cs="Times New Roman"/>
          <w:noProof/>
          <w:sz w:val="24"/>
          <w:lang w:val="en-IE"/>
        </w:rPr>
        <w:t>nts of Annex I of the Directive, with the exception of: a) information on the need for renewable jet fuel refuelling points in airports within the TEN-T Core Network; and b) information on any particular needs during the initial phase of AFI deployment.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w:t>
      </w:r>
      <w:r>
        <w:rPr>
          <w:rFonts w:ascii="Times New Roman" w:hAnsi="Times New Roman" w:cs="Times New Roman"/>
          <w:noProof/>
          <w:sz w:val="24"/>
          <w:lang w:val="en-IE"/>
        </w:rPr>
        <w:t>e main outcomes of the technical assessment of the Spanish NIR on vehicles/vessels estimates and infrastructure targets can be summarised as follows:</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ListParagraph"/>
        <w:numPr>
          <w:ilvl w:val="0"/>
          <w:numId w:val="42"/>
        </w:numPr>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Concerning EVs, Spain recorded a total of 32,508 electric vehicles in 2018 (o</w:t>
      </w:r>
      <w:r>
        <w:rPr>
          <w:rFonts w:ascii="Times New Roman" w:hAnsi="Times New Roman" w:cs="Times New Roman"/>
          <w:noProof/>
          <w:sz w:val="24"/>
          <w:lang w:val="en-IE"/>
        </w:rPr>
        <w:t xml:space="preserve">f which 28,562 were passenger cars, 3788 LCVs and 158 buses and coaches). The Spanish NIR estimates for the number of electric vehicles are 150,000 in 2020, 800,000 in 2025 and 5,000,000 in 2030, which translate in the same estimate as in the NPF for 2020 </w:t>
      </w:r>
      <w:r>
        <w:rPr>
          <w:rFonts w:ascii="Times New Roman" w:hAnsi="Times New Roman" w:cs="Times New Roman"/>
          <w:noProof/>
          <w:sz w:val="24"/>
          <w:lang w:val="en-IE"/>
        </w:rPr>
        <w:t>and 1,823% higher estimate for 2030. While Spain did not provide infrastructure targets in its NPF, the NIR targets for publicly accessible recharging points are 10,000 for 2020 and 17,000 for 2025. The 2018 progress results to be adequate for the vehicles</w:t>
      </w:r>
      <w:r>
        <w:rPr>
          <w:rFonts w:ascii="Times New Roman" w:hAnsi="Times New Roman" w:cs="Times New Roman"/>
          <w:noProof/>
          <w:sz w:val="24"/>
          <w:lang w:val="en-IE"/>
        </w:rPr>
        <w:t xml:space="preserve"> and slow for infrastructure, while the sufficiency index remains adequate until 2018 and becomes insufficient from 2020, in particular in 2025, due to the low level of ambition in terms of recharging points.</w:t>
      </w:r>
    </w:p>
    <w:p w:rsidR="003C43BF" w:rsidRDefault="006C3212">
      <w:pPr>
        <w:pStyle w:val="ListParagraph"/>
        <w:numPr>
          <w:ilvl w:val="0"/>
          <w:numId w:val="42"/>
        </w:numPr>
        <w:jc w:val="both"/>
        <w:rPr>
          <w:rFonts w:ascii="Times New Roman" w:hAnsi="Times New Roman" w:cs="Times New Roman"/>
          <w:noProof/>
          <w:sz w:val="24"/>
          <w:lang w:val="en-IE"/>
        </w:rPr>
      </w:pPr>
      <w:r>
        <w:rPr>
          <w:rFonts w:ascii="Times New Roman" w:hAnsi="Times New Roman" w:cs="Times New Roman"/>
          <w:b/>
          <w:noProof/>
          <w:sz w:val="24"/>
          <w:lang w:val="en-IE"/>
        </w:rPr>
        <w:t xml:space="preserve">CNG </w:t>
      </w:r>
      <w:r>
        <w:rPr>
          <w:rFonts w:ascii="Times New Roman" w:hAnsi="Times New Roman" w:cs="Times New Roman"/>
          <w:noProof/>
          <w:sz w:val="24"/>
          <w:lang w:val="en-IE"/>
        </w:rPr>
        <w:t>– Spain recorded a total of 12,393 CNG vehi</w:t>
      </w:r>
      <w:r>
        <w:rPr>
          <w:rFonts w:ascii="Times New Roman" w:hAnsi="Times New Roman" w:cs="Times New Roman"/>
          <w:noProof/>
          <w:sz w:val="24"/>
          <w:lang w:val="en-IE"/>
        </w:rPr>
        <w:t>cles in 2018 (of which 6,452 were passenger cars, 1,438 LCVs, 2,108 HCVs and 2,395 buses and coaches). Compared to the NPF, where only a vehicle estimate for 2020 was provided, the Spanish NIR presents a revised estimate of 23,000 CNG vehicles for 2020 (33</w:t>
      </w:r>
      <w:r>
        <w:rPr>
          <w:rFonts w:ascii="Times New Roman" w:hAnsi="Times New Roman" w:cs="Times New Roman"/>
          <w:noProof/>
          <w:sz w:val="24"/>
          <w:lang w:val="en-IE"/>
        </w:rPr>
        <w:t>.72% higher than in the NPF), and new estimates of 100,000 vehicles for 2025 and 200,000 vehicles for 2030. Spain recorded 60 CNG refuelling points in 2018; the NIR presents a revised set of targets for 2020 (150 points), which is 97.37% higher than in the</w:t>
      </w:r>
      <w:r>
        <w:rPr>
          <w:rFonts w:ascii="Times New Roman" w:hAnsi="Times New Roman" w:cs="Times New Roman"/>
          <w:noProof/>
          <w:sz w:val="24"/>
          <w:lang w:val="en-IE"/>
        </w:rPr>
        <w:t xml:space="preserve"> NPF and expects to have 200 CNG refuelling points in 2025. The 2018 progress results to be adequate for both the vehicles and infrastructure and the sufficiency index is below the indicative value of 600 for the implementation period until computable (202</w:t>
      </w:r>
      <w:r>
        <w:rPr>
          <w:rFonts w:ascii="Times New Roman" w:hAnsi="Times New Roman" w:cs="Times New Roman"/>
          <w:noProof/>
          <w:sz w:val="24"/>
          <w:lang w:val="en-IE"/>
        </w:rPr>
        <w:t>5).</w:t>
      </w:r>
    </w:p>
    <w:p w:rsidR="003C43BF" w:rsidRDefault="006C3212">
      <w:pPr>
        <w:pStyle w:val="ListParagraph"/>
        <w:numPr>
          <w:ilvl w:val="0"/>
          <w:numId w:val="42"/>
        </w:numPr>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xml:space="preserve">- Spain recorded 960 LNG vehicles in use in 2018, composed entirely by HCVs. The Spanish NPF expected to have 800 LNG vehicles registered in 2020; the NIR presents a revised set of vehicle estimates 150% higher than the NPF for 2020. </w:t>
      </w:r>
      <w:r>
        <w:rPr>
          <w:rFonts w:ascii="Times New Roman" w:eastAsia="Calibri" w:hAnsi="Times New Roman" w:cs="Times New Roman"/>
          <w:noProof/>
          <w:sz w:val="24"/>
          <w:lang w:val="en-IE"/>
        </w:rPr>
        <w:t xml:space="preserve">The estimates </w:t>
      </w:r>
      <w:r>
        <w:rPr>
          <w:rFonts w:ascii="Times New Roman" w:eastAsia="Calibri" w:hAnsi="Times New Roman" w:cs="Times New Roman"/>
          <w:noProof/>
          <w:sz w:val="24"/>
          <w:lang w:val="en-IE"/>
        </w:rPr>
        <w:t>for LNG vehicles in 2025 and 2030 are 7,000 and 25,000 respectively</w:t>
      </w:r>
      <w:r>
        <w:rPr>
          <w:rFonts w:ascii="Times New Roman" w:hAnsi="Times New Roman" w:cs="Times New Roman"/>
          <w:noProof/>
          <w:sz w:val="24"/>
          <w:lang w:val="en-IE"/>
        </w:rPr>
        <w:t xml:space="preserve">. </w:t>
      </w:r>
      <w:r>
        <w:rPr>
          <w:rFonts w:ascii="Times New Roman" w:eastAsia="Calibri" w:hAnsi="Times New Roman" w:cs="Times New Roman"/>
          <w:noProof/>
          <w:sz w:val="24"/>
          <w:lang w:val="en-IE"/>
        </w:rPr>
        <w:t xml:space="preserve">In 2018, </w:t>
      </w:r>
      <w:r>
        <w:rPr>
          <w:rFonts w:ascii="Times New Roman" w:hAnsi="Times New Roman" w:cs="Times New Roman"/>
          <w:noProof/>
          <w:sz w:val="24"/>
          <w:lang w:val="en-IE"/>
        </w:rPr>
        <w:t>there were 34 LNG refuelling points in Spain. The NIR presents revised targets for LNG refuelling points for 2020 and 2025 that are respectively 93.18% and 150% higher than in th</w:t>
      </w:r>
      <w:r>
        <w:rPr>
          <w:rFonts w:ascii="Times New Roman" w:hAnsi="Times New Roman" w:cs="Times New Roman"/>
          <w:noProof/>
          <w:sz w:val="24"/>
          <w:lang w:val="en-IE"/>
        </w:rPr>
        <w:t xml:space="preserve">e NPF. </w:t>
      </w:r>
    </w:p>
    <w:p w:rsidR="003C43BF" w:rsidRDefault="006C3212">
      <w:pPr>
        <w:pStyle w:val="ListParagraph"/>
        <w:numPr>
          <w:ilvl w:val="0"/>
          <w:numId w:val="42"/>
        </w:numPr>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There were 28 hydrogen-powered vehicles (20 passenger cars and 8 buses) in Spain in 2018. Spain had included hydrogen in its NPF. The NIR estimate for hydrogen vehicles in 2020 is 90% lower than the NPF. The new estimates are 50 hydrogen</w:t>
      </w:r>
      <w:r>
        <w:rPr>
          <w:rFonts w:ascii="Times New Roman" w:hAnsi="Times New Roman" w:cs="Times New Roman"/>
          <w:noProof/>
          <w:sz w:val="24"/>
          <w:lang w:val="en-IE"/>
        </w:rPr>
        <w:t>-powered vehicles by 2020, 200 by 2025 and 1,000 by 2030. Concerning hydrogen infrastructure, there were 4 publicly accessible hydrogen fuelling points in 2018 and, similarly to the vehicle estimates, the NIR presents revised targets for hydrogen infrastru</w:t>
      </w:r>
      <w:r>
        <w:rPr>
          <w:rFonts w:ascii="Times New Roman" w:hAnsi="Times New Roman" w:cs="Times New Roman"/>
          <w:noProof/>
          <w:sz w:val="24"/>
          <w:lang w:val="en-IE"/>
        </w:rPr>
        <w:t xml:space="preserve">cture (6 points in 2020 and 15 in 2025), which for 2020 is 70% lower than in the NPF. </w:t>
      </w:r>
    </w:p>
    <w:p w:rsidR="003C43BF" w:rsidRDefault="006C3212">
      <w:pPr>
        <w:pStyle w:val="ListParagraph"/>
        <w:numPr>
          <w:ilvl w:val="0"/>
          <w:numId w:val="42"/>
        </w:numPr>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The Spanish NIR does not contain data or estimates on the number of vehicles running on high concentrations of biofuels. In 2018, there were 63 Spanish servic</w:t>
      </w:r>
      <w:r>
        <w:rPr>
          <w:rFonts w:ascii="Times New Roman" w:hAnsi="Times New Roman" w:cs="Times New Roman"/>
          <w:noProof/>
          <w:sz w:val="24"/>
          <w:lang w:val="en-IE"/>
        </w:rPr>
        <w:t xml:space="preserve">e stations selling blends with higher bioethanol (8 stations) and biodiesel (55 stations) content. </w:t>
      </w:r>
    </w:p>
    <w:p w:rsidR="003C43BF" w:rsidRDefault="006C3212">
      <w:pPr>
        <w:pStyle w:val="ListParagraph"/>
        <w:numPr>
          <w:ilvl w:val="0"/>
          <w:numId w:val="42"/>
        </w:numPr>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Spain had a fleet of 41,085 LPG vehicles in 2018 (of which 37,402 passenger cars, 3,455 LCVs, 132 HCV and 96 buses and coaches). The Spanish NIR presents a revised set of estimates for LPG vehicles (100,000 in 2020, 200,000 in 2025 and 500,000 in 2030) </w:t>
      </w:r>
      <w:r>
        <w:rPr>
          <w:rFonts w:ascii="Times New Roman" w:hAnsi="Times New Roman" w:cs="Times New Roman"/>
          <w:noProof/>
          <w:sz w:val="24"/>
          <w:lang w:val="en-IE"/>
        </w:rPr>
        <w:t>that for 2020 is 50% lower than in the less optimistic NPF scenario. Regarding LPG infrastructure, in 2018 there were 589 LPG refuelling points. In line with the vehicle reduction scenario, the NIR presents revised targets for LPG refuelling points (650 in</w:t>
      </w:r>
      <w:r>
        <w:rPr>
          <w:rFonts w:ascii="Times New Roman" w:hAnsi="Times New Roman" w:cs="Times New Roman"/>
          <w:noProof/>
          <w:sz w:val="24"/>
          <w:lang w:val="en-IE"/>
        </w:rPr>
        <w:t xml:space="preserve"> 2020 and 750 in 2025) which for 2020 is 18.75% smaller than in the NPF.</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NIR indicates that almost 40% (over 6,000 km) of the Spanish rail network in the TEN-T Core is not electrified and there are plans to electrify over 1,000 km of tho</w:t>
      </w:r>
      <w:r>
        <w:rPr>
          <w:rFonts w:ascii="Times New Roman" w:hAnsi="Times New Roman" w:cs="Times New Roman"/>
          <w:noProof/>
          <w:sz w:val="24"/>
          <w:lang w:val="en-IE"/>
        </w:rPr>
        <w:t>se lines. For lines that will not be electrified, RENFE (Spanish national railways network) is planning the conversion of part of the diesel fleet to LNG, hydrogen or batteries, as the sole means of traction or in combination with electric traction.</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w:t>
      </w:r>
      <w:r>
        <w:rPr>
          <w:rFonts w:ascii="Times New Roman" w:hAnsi="Times New Roman" w:cs="Times New Roman"/>
          <w:noProof/>
          <w:sz w:val="24"/>
          <w:lang w:val="en-IE"/>
        </w:rPr>
        <w:t>orne transport (maritime)</w:t>
      </w:r>
    </w:p>
    <w:p w:rsidR="003C43BF" w:rsidRDefault="006C3212">
      <w:pPr>
        <w:pStyle w:val="ListParagraph"/>
        <w:numPr>
          <w:ilvl w:val="0"/>
          <w:numId w:val="43"/>
        </w:numPr>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number of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points at the Spanish maritime ports was 2 in 2018. According to the NIR, it is expected to have 45 electricity supply points in 2020.</w:t>
      </w:r>
    </w:p>
    <w:p w:rsidR="003C43BF" w:rsidRDefault="006C3212">
      <w:pPr>
        <w:pStyle w:val="ListParagraph"/>
        <w:numPr>
          <w:ilvl w:val="0"/>
          <w:numId w:val="43"/>
        </w:numPr>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In 2018, Spain had one vessel u</w:t>
      </w:r>
      <w:r>
        <w:rPr>
          <w:rFonts w:ascii="Times New Roman" w:hAnsi="Times New Roman" w:cs="Times New Roman"/>
          <w:noProof/>
          <w:sz w:val="24"/>
          <w:lang w:val="en-IE"/>
        </w:rPr>
        <w:t xml:space="preserve">sing LNG in its auxiliary engine. The Spanish NPF only provided estimates for the number LNG seagoing vessels in 2020 whereas NIR presents a revised estimate for 2020 (9 vessels) which is 200% higher than in the NPF. The estimated number of LNG vessels in </w:t>
      </w:r>
      <w:r>
        <w:rPr>
          <w:rFonts w:ascii="Times New Roman" w:hAnsi="Times New Roman" w:cs="Times New Roman"/>
          <w:noProof/>
          <w:sz w:val="24"/>
          <w:lang w:val="en-IE"/>
        </w:rPr>
        <w:t>2025 and 2030 is 10 and 12 respectively. As for LNG infrastructure, the ES NIR indicates that all 43 Spanish ports of general interest are currently in a position to supply LNG by means of truck tankers, complemented with LNG terminals in 2 ports. This mea</w:t>
      </w:r>
      <w:r>
        <w:rPr>
          <w:rFonts w:ascii="Times New Roman" w:hAnsi="Times New Roman" w:cs="Times New Roman"/>
          <w:noProof/>
          <w:sz w:val="24"/>
          <w:lang w:val="en-IE"/>
        </w:rPr>
        <w:t>ns that the NPF targets for LNG supply points to ships and ferries (13 in 2020 and 42 in 2025) have been already attained.</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Spanish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43"/>
        </w:numPr>
        <w:jc w:val="both"/>
        <w:rPr>
          <w:rFonts w:ascii="Times New Roman" w:hAnsi="Times New Roman" w:cs="Times New Roman"/>
          <w:noProof/>
          <w:sz w:val="24"/>
          <w:lang w:val="en-IE"/>
        </w:rPr>
      </w:pPr>
      <w:r>
        <w:rPr>
          <w:rFonts w:ascii="Times New Roman" w:hAnsi="Times New Roman" w:cs="Times New Roman"/>
          <w:b/>
          <w:noProof/>
          <w:sz w:val="24"/>
          <w:lang w:val="en-IE"/>
        </w:rPr>
        <w:t>Electricity (for stationary airplanes</w:t>
      </w:r>
      <w:r>
        <w:rPr>
          <w:rFonts w:ascii="Times New Roman" w:hAnsi="Times New Roman" w:cs="Times New Roman"/>
          <w:noProof/>
          <w:sz w:val="24"/>
          <w:lang w:val="en-IE"/>
        </w:rPr>
        <w:t>) -</w:t>
      </w:r>
      <w:r>
        <w:rPr>
          <w:rFonts w:ascii="Times New Roman" w:hAnsi="Times New Roman" w:cs="Times New Roman"/>
          <w:noProof/>
          <w:sz w:val="24"/>
          <w:lang w:val="en-IE"/>
        </w:rPr>
        <w:t xml:space="preserve"> According to the NIR, there are currently 434 power supply points for stationary aircraft at the airports of general interest in Spain; the target is 470 points in 2030.</w:t>
      </w:r>
    </w:p>
    <w:p w:rsidR="003C43BF" w:rsidRDefault="003C43BF">
      <w:pPr>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Spanish NIR contains an extensive list with 108 national </w:t>
      </w:r>
      <w:r>
        <w:rPr>
          <w:rFonts w:ascii="Times New Roman" w:hAnsi="Times New Roman" w:cs="Times New Roman"/>
          <w:b/>
          <w:noProof/>
          <w:sz w:val="24"/>
          <w:lang w:val="en-IE"/>
        </w:rPr>
        <w:t>measures</w:t>
      </w:r>
      <w:r>
        <w:rPr>
          <w:rFonts w:ascii="Times New Roman" w:hAnsi="Times New Roman" w:cs="Times New Roman"/>
          <w:noProof/>
          <w:sz w:val="24"/>
          <w:lang w:val="en-IE"/>
        </w:rPr>
        <w:t>, covering vari</w:t>
      </w:r>
      <w:r>
        <w:rPr>
          <w:rFonts w:ascii="Times New Roman" w:hAnsi="Times New Roman" w:cs="Times New Roman"/>
          <w:noProof/>
          <w:sz w:val="24"/>
          <w:lang w:val="en-IE"/>
        </w:rPr>
        <w:t>ous fuels and modes, mostly targeting electricity, CNG, LNG for road transport and LNG for maritime transport and to a lesser extent hydrogen. The NIR also showcases measures at Autonomous Communities level as well as local measures in major cities. The NI</w:t>
      </w:r>
      <w:r>
        <w:rPr>
          <w:rFonts w:ascii="Times New Roman" w:hAnsi="Times New Roman" w:cs="Times New Roman"/>
          <w:noProof/>
          <w:sz w:val="24"/>
          <w:lang w:val="en-IE"/>
        </w:rPr>
        <w:t>R contains 34 legal measures implemented at national level, of which nine are cross-cutting applicable to all alternative fuels and related to both vehicles and infrastructure. Considering all the legal measures, they appear to be designed as the necessary</w:t>
      </w:r>
      <w:r>
        <w:rPr>
          <w:rFonts w:ascii="Times New Roman" w:hAnsi="Times New Roman" w:cs="Times New Roman"/>
          <w:noProof/>
          <w:sz w:val="24"/>
          <w:lang w:val="en-IE"/>
        </w:rPr>
        <w:t xml:space="preserve"> tools to allow the realisation of the AFV/AFI plans as described in the NPF and revised in the NIR.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There are 22 policy measures applicable at national level in the Spanish NIR. The majority of them can be considered updates of the measures provided in t</w:t>
      </w:r>
      <w:r>
        <w:rPr>
          <w:rFonts w:ascii="Times New Roman" w:hAnsi="Times New Roman" w:cs="Times New Roman"/>
          <w:noProof/>
          <w:sz w:val="24"/>
          <w:lang w:val="en-IE"/>
        </w:rPr>
        <w:t xml:space="preserve">he NPF, in particular annual renewal of financial support measures. As for deployment and manufacture support, 27 measures have been identified from the NIR. The result of the applied assessment methodology shows that, if continuity is given to policy and </w:t>
      </w:r>
      <w:r>
        <w:rPr>
          <w:rFonts w:ascii="Times New Roman" w:hAnsi="Times New Roman" w:cs="Times New Roman"/>
          <w:noProof/>
          <w:sz w:val="24"/>
          <w:lang w:val="en-IE"/>
        </w:rPr>
        <w:t>support measures, the set seems sufficient to advance with the attainment of the declared targets and objectives. With the exception of LPG, the level of ambition for policy and deployment &amp; manufacture support measures between the NPF and the NIR has incr</w:t>
      </w:r>
      <w:r>
        <w:rPr>
          <w:rFonts w:ascii="Times New Roman" w:hAnsi="Times New Roman" w:cs="Times New Roman"/>
          <w:noProof/>
          <w:sz w:val="24"/>
          <w:lang w:val="en-IE"/>
        </w:rPr>
        <w:t>eased for all the assessable clusters. In terms of expected impact of the measures to support the realisation of the AFV/AFI objectives as presented in the NPF and revised in the NIR, those for the pairs electricity/road and LNG/water-maritime result to ha</w:t>
      </w:r>
      <w:r>
        <w:rPr>
          <w:rFonts w:ascii="Times New Roman" w:hAnsi="Times New Roman" w:cs="Times New Roman"/>
          <w:noProof/>
          <w:sz w:val="24"/>
          <w:lang w:val="en-IE"/>
        </w:rPr>
        <w:t>ve a medium-high impact, all the other assessable clusters have a medium impact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Spanish NIR describes 25 RTD&amp;D programmes. Based on the available information, and compared to the NPF, the level of ambition in the NIR can be considered to have increased</w:t>
      </w:r>
      <w:r>
        <w:rPr>
          <w:rFonts w:ascii="Times New Roman" w:hAnsi="Times New Roman" w:cs="Times New Roman"/>
          <w:noProof/>
          <w:sz w:val="24"/>
          <w:lang w:val="en-IE"/>
        </w:rPr>
        <w:t xml:space="preserve"> for most alternative fuels and transport modes.</w:t>
      </w:r>
    </w:p>
    <w:p w:rsidR="003C43BF" w:rsidRDefault="003C43BF">
      <w:pPr>
        <w:rPr>
          <w:rFonts w:ascii="Times New Roman" w:hAnsi="Times New Roman" w:cs="Times New Roman"/>
          <w:noProof/>
          <w:lang w:val="en-IE"/>
        </w:rPr>
      </w:pPr>
    </w:p>
    <w:p w:rsidR="003C43BF" w:rsidRDefault="006C3212">
      <w:pPr>
        <w:pStyle w:val="Heading3"/>
        <w:rPr>
          <w:rFonts w:ascii="Times New Roman" w:hAnsi="Times New Roman" w:cs="Times New Roman"/>
          <w:noProof/>
          <w:sz w:val="24"/>
          <w:lang w:val="en-IE"/>
        </w:rPr>
      </w:pPr>
      <w:bookmarkStart w:id="251" w:name="_Toc55301847"/>
      <w:bookmarkStart w:id="252" w:name="_Toc55301848"/>
      <w:bookmarkStart w:id="253" w:name="_Toc56944168"/>
      <w:bookmarkEnd w:id="251"/>
      <w:bookmarkEnd w:id="252"/>
      <w:r>
        <w:rPr>
          <w:rFonts w:ascii="Times New Roman" w:hAnsi="Times New Roman" w:cs="Times New Roman"/>
          <w:noProof/>
          <w:sz w:val="24"/>
          <w:lang w:val="en-IE"/>
        </w:rPr>
        <w:t>Final remarks</w:t>
      </w:r>
      <w:bookmarkEnd w:id="253"/>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Spanish NIR provides a quite comprehensive report on the efforts to implement the Directive. The NIR is in line with the provisions of Annex I to the Directive and all alternative fuels </w:t>
      </w:r>
      <w:r>
        <w:rPr>
          <w:rFonts w:ascii="Times New Roman" w:hAnsi="Times New Roman" w:cs="Times New Roman"/>
          <w:noProof/>
          <w:sz w:val="24"/>
          <w:lang w:val="en-IE"/>
        </w:rPr>
        <w:t>are addressed. The market for electric passenger vehicles and heavy-duty LNG vehicles is expected to grow significantly in the coming years; the market for CNG and LPG vehicles is also foreseen to grow but to a lesser extent. The Spanish NIR expects hydrog</w:t>
      </w:r>
      <w:r>
        <w:rPr>
          <w:rFonts w:ascii="Times New Roman" w:hAnsi="Times New Roman" w:cs="Times New Roman"/>
          <w:noProof/>
          <w:sz w:val="24"/>
          <w:lang w:val="en-IE"/>
        </w:rPr>
        <w:t>en to remain a niche market. A significant number of measures to promote alternative fuels in all modes of transport are being implemented with different scopes and impacts. Spain is involved in the implementation of a significant number of R&amp;D&amp;I programme</w:t>
      </w:r>
      <w:r>
        <w:rPr>
          <w:rFonts w:ascii="Times New Roman" w:hAnsi="Times New Roman" w:cs="Times New Roman"/>
          <w:noProof/>
          <w:sz w:val="24"/>
          <w:lang w:val="en-IE"/>
        </w:rPr>
        <w:t>s, both at national and European level, for the production of alternative fuels and the development of new generations of batteries and fuel cells and, to a lesser extent, for the construction of LNG ships.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regard to electricity, the NIR expects up to</w:t>
      </w:r>
      <w:r>
        <w:rPr>
          <w:rFonts w:ascii="Times New Roman" w:hAnsi="Times New Roman" w:cs="Times New Roman"/>
          <w:noProof/>
          <w:sz w:val="24"/>
          <w:lang w:val="en-IE"/>
        </w:rPr>
        <w:t xml:space="preserve"> five million electric vehicles on the roads by 2030, representing around 16% of the vehicle fleet by that time. Taking into account the current situation and expected trend developments, this level of ambition appears to be broadly consistent with the pac</w:t>
      </w:r>
      <w:r>
        <w:rPr>
          <w:rFonts w:ascii="Times New Roman" w:hAnsi="Times New Roman" w:cs="Times New Roman"/>
          <w:noProof/>
          <w:sz w:val="24"/>
          <w:lang w:val="en-IE"/>
        </w:rPr>
        <w:t>e of deployment of electric vehicles considered necessary for a full transition to carbon neutrality by 2050. Nevertheless, only 17,000 recharging points are planned for 2025, which seems insufficient for the estimated fleet of 800,000 electric vehicles in</w:t>
      </w:r>
      <w:r>
        <w:rPr>
          <w:rFonts w:ascii="Times New Roman" w:hAnsi="Times New Roman" w:cs="Times New Roman"/>
          <w:noProof/>
          <w:sz w:val="24"/>
          <w:lang w:val="en-IE"/>
        </w:rPr>
        <w:t xml:space="preserve"> that year. An increase of ambition would contribute to better meeting the objective of realising a dense, wide-spread and easy to use network of recharging and refuelling infrastructure throughout the EU. Spain should provide information on its targets fo</w:t>
      </w:r>
      <w:r>
        <w:rPr>
          <w:rFonts w:ascii="Times New Roman" w:hAnsi="Times New Roman" w:cs="Times New Roman"/>
          <w:noProof/>
          <w:sz w:val="24"/>
          <w:lang w:val="en-IE"/>
        </w:rPr>
        <w:t xml:space="preserve">r recharging infrastructure in 2030. Information on charging efficiency is provided. Forty-five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facilities for ships and ferries are expected in 2020. For stationary aircraft 434 power supply points are already installed in th</w:t>
      </w:r>
      <w:r>
        <w:rPr>
          <w:rFonts w:ascii="Times New Roman" w:hAnsi="Times New Roman" w:cs="Times New Roman"/>
          <w:noProof/>
          <w:sz w:val="24"/>
          <w:lang w:val="en-IE"/>
        </w:rPr>
        <w:t>e Spanish airports. Almost 40% (over 6,000 km) of the Spanish TEN-T Core rail Network is not yet electrified; further efforts are needed in this regard. The NIR indicates that there are already plans to electrify over 1,000 km of these lines. In general, t</w:t>
      </w:r>
      <w:r>
        <w:rPr>
          <w:rFonts w:ascii="Times New Roman" w:hAnsi="Times New Roman" w:cs="Times New Roman"/>
          <w:noProof/>
          <w:sz w:val="24"/>
          <w:lang w:val="en-IE"/>
        </w:rPr>
        <w:t>he report highlights Spain’s strong commitment to promoting the use of electricity in the transport sector.</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for hydrogen, the NIR shows a low development of both vehicles and infrastructure. Fifteen hydrogen filling stations are planned for 2025 and no </w:t>
      </w:r>
      <w:r>
        <w:rPr>
          <w:rFonts w:ascii="Times New Roman" w:hAnsi="Times New Roman" w:cs="Times New Roman"/>
          <w:noProof/>
          <w:sz w:val="24"/>
          <w:lang w:val="en-IE"/>
        </w:rPr>
        <w:t xml:space="preserve">target has been defined for 2030. Spain should provide further information in future reporting on planning for 2030 and beyond.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Concerning natural gas, there were 12,393 CNG vehicles by 2018. The NIR estimates 100,000 CNG vehicles by 2025 and 200,000 CNG </w:t>
      </w:r>
      <w:r>
        <w:rPr>
          <w:rFonts w:ascii="Times New Roman" w:hAnsi="Times New Roman" w:cs="Times New Roman"/>
          <w:noProof/>
          <w:sz w:val="24"/>
          <w:lang w:val="en-IE"/>
        </w:rPr>
        <w:t>vehicles by 2030 as well as 200 refuelling points by 2025. Further, the NIR sets the target of 7,000 LNG vehicles in 2025 and 25,000 LNG vehicles by 2030. No 2030 target for LNG refuelling stations was provided. However, the NIR estimates 110 LNG refuellin</w:t>
      </w:r>
      <w:r>
        <w:rPr>
          <w:rFonts w:ascii="Times New Roman" w:hAnsi="Times New Roman" w:cs="Times New Roman"/>
          <w:noProof/>
          <w:sz w:val="24"/>
          <w:lang w:val="en-IE"/>
        </w:rPr>
        <w:t>g points by 2025. This seems sufficient taking into account the length of the Spanish TEN-T Road Core Network, provided that the refuelling points are equally distributed along the network. Moreover, all Spanish ports of the TEN-T Comprehensive Network are</w:t>
      </w:r>
      <w:r>
        <w:rPr>
          <w:rFonts w:ascii="Times New Roman" w:hAnsi="Times New Roman" w:cs="Times New Roman"/>
          <w:noProof/>
          <w:sz w:val="24"/>
          <w:lang w:val="en-IE"/>
        </w:rPr>
        <w:t xml:space="preserve"> in a position of supplying LNG by the use of road tankers, complemented by LNG terminals in two ports. On the other hand, the estimated number of LNG vessels by 2025 and 2030 is very small in relation to the number of ports with capacity to supply LNG. Sp</w:t>
      </w:r>
      <w:r>
        <w:rPr>
          <w:rFonts w:ascii="Times New Roman" w:hAnsi="Times New Roman" w:cs="Times New Roman"/>
          <w:noProof/>
          <w:sz w:val="24"/>
          <w:lang w:val="en-IE"/>
        </w:rPr>
        <w:t>ain should encourage the use of LNG vessels to take advantage of the existence of this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There were 41,085 LPG vehicles by 2018. Around 100,000 LPG vehicles are estimated for the year 2020. LPG vehicles will rank second in the alternative veh</w:t>
      </w:r>
      <w:r>
        <w:rPr>
          <w:rFonts w:ascii="Times New Roman" w:hAnsi="Times New Roman" w:cs="Times New Roman"/>
          <w:noProof/>
          <w:sz w:val="24"/>
          <w:lang w:val="en-IE"/>
        </w:rPr>
        <w:t>icle fleet in Spain in 2030. The NIR estimates around 500,000 LPG vehicles by 2030. The NIR shows a smaller development of the LPG vehicles market compared to the estimates provided in the NPF.</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According to the NIR, only 0.5% of the service stations provid</w:t>
      </w:r>
      <w:r>
        <w:rPr>
          <w:rFonts w:ascii="Times New Roman" w:hAnsi="Times New Roman" w:cs="Times New Roman"/>
          <w:noProof/>
          <w:sz w:val="24"/>
          <w:lang w:val="en-IE"/>
        </w:rPr>
        <w:t>e blends with higher bioethanol and biodiesel. Spain should provide more information in future reporting on efforts to promote the use of renewable fuels in transport, and particularly in aviation.</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254" w:name="_Toc55301850"/>
      <w:bookmarkStart w:id="255" w:name="_Toc56944169"/>
      <w:r>
        <w:rPr>
          <w:rFonts w:ascii="Times New Roman" w:hAnsi="Times New Roman" w:cs="Times New Roman"/>
          <w:noProof/>
          <w:sz w:val="24"/>
          <w:lang w:val="en-IE"/>
        </w:rPr>
        <w:t>ANNEX - Description of the Member State</w:t>
      </w:r>
      <w:bookmarkEnd w:id="254"/>
      <w:bookmarkEnd w:id="255"/>
    </w:p>
    <w:p w:rsidR="003C43BF" w:rsidRDefault="006C3212">
      <w:pPr>
        <w:tabs>
          <w:tab w:val="left" w:pos="720"/>
        </w:tabs>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w:t>
      </w:r>
      <w:r>
        <w:rPr>
          <w:rFonts w:ascii="Times New Roman" w:hAnsi="Times New Roman" w:cs="Times New Roman"/>
          <w:noProof/>
          <w:color w:val="000000" w:themeColor="text1"/>
          <w:sz w:val="24"/>
          <w:lang w:val="en-IE"/>
        </w:rPr>
        <w:t>a of 506,000 km², Spain has a population of 46.658 million people in 2018, which makes up for a population density of 92 inhabitants/km².</w:t>
      </w:r>
    </w:p>
    <w:p w:rsidR="003C43BF" w:rsidRDefault="006C3212">
      <w:pPr>
        <w:tabs>
          <w:tab w:val="left" w:pos="720"/>
        </w:tabs>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numPr>
          <w:ilvl w:val="0"/>
          <w:numId w:val="11"/>
        </w:numPr>
        <w:tabs>
          <w:tab w:val="left" w:pos="2520"/>
        </w:tabs>
        <w:spacing w:after="200" w:line="276" w:lineRule="auto"/>
        <w:rPr>
          <w:rFonts w:ascii="Times New Roman" w:hAnsi="Times New Roman" w:cs="Times New Roman"/>
          <w:noProof/>
          <w:sz w:val="24"/>
          <w:lang w:val="en-IE"/>
        </w:rPr>
      </w:pPr>
      <w:r>
        <w:rPr>
          <w:rFonts w:ascii="Times New Roman" w:hAnsi="Times New Roman" w:cs="Times New Roman"/>
          <w:noProof/>
          <w:sz w:val="24"/>
          <w:lang w:val="en-IE"/>
        </w:rPr>
        <w:t xml:space="preserve">128 urban agglomerations &gt; 50,000 inhabitants </w:t>
      </w:r>
    </w:p>
    <w:p w:rsidR="003C43BF" w:rsidRDefault="006C3212">
      <w:pPr>
        <w:tabs>
          <w:tab w:val="left" w:pos="72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Spain achieves a per capita gross domestic product at market prices of €25,730, which represents a per capita gross domestic product in purchasing power standards of 91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tabs>
          <w:tab w:val="left" w:pos="720"/>
        </w:tabs>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w:t>
      </w:r>
      <w:r>
        <w:rPr>
          <w:rFonts w:ascii="Times New Roman" w:hAnsi="Times New Roman" w:cs="Times New Roman"/>
          <w:i/>
          <w:noProof/>
          <w:sz w:val="24"/>
          <w:lang w:val="en-IE"/>
        </w:rPr>
        <w:t xml:space="preserve">road networks </w:t>
      </w:r>
    </w:p>
    <w:p w:rsidR="003C43BF" w:rsidRDefault="006C3212">
      <w:pPr>
        <w:tabs>
          <w:tab w:val="left" w:pos="720"/>
        </w:tabs>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Spain is 5,706 km. The total road network length is 165,749 km, of which 15,585 km are motorways.</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following lengths of the TEN-T Road Corridors are present in Spain: 48% (2,727 km) of the Medi</w:t>
      </w:r>
      <w:r>
        <w:rPr>
          <w:rFonts w:ascii="Times New Roman" w:hAnsi="Times New Roman" w:cs="Times New Roman"/>
          <w:noProof/>
          <w:color w:val="000000" w:themeColor="text1"/>
          <w:sz w:val="24"/>
          <w:lang w:val="en-IE"/>
        </w:rPr>
        <w:t>terranean Corridor and 46% (2,040 km) of the Atlantic Corridor.</w:t>
      </w:r>
    </w:p>
    <w:p w:rsidR="003C43BF" w:rsidRDefault="006C3212">
      <w:pPr>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Through the TEN-T Road Corridors, Spain is connected with the following </w:t>
      </w:r>
      <w:r>
        <w:rPr>
          <w:rFonts w:ascii="Times New Roman" w:hAnsi="Times New Roman" w:cs="Times New Roman"/>
          <w:noProof/>
          <w:sz w:val="24"/>
          <w:lang w:val="en-IE"/>
        </w:rPr>
        <w:t>Member State</w:t>
      </w:r>
      <w:r>
        <w:rPr>
          <w:rFonts w:ascii="Times New Roman" w:hAnsi="Times New Roman" w:cs="Times New Roman"/>
          <w:noProof/>
          <w:color w:val="000000" w:themeColor="text1"/>
          <w:sz w:val="24"/>
          <w:lang w:val="en-IE"/>
        </w:rPr>
        <w:t xml:space="preserve">s: </w:t>
      </w:r>
      <w:r>
        <w:rPr>
          <w:rFonts w:ascii="Times New Roman" w:hAnsi="Times New Roman" w:cs="Times New Roman"/>
          <w:noProof/>
          <w:color w:val="000000" w:themeColor="text1"/>
          <w:sz w:val="24"/>
          <w:lang w:val="en-IE"/>
        </w:rPr>
        <w:br/>
        <w:t xml:space="preserve">- Portugal (through the Mediterranean Corridor) </w:t>
      </w:r>
      <w:r>
        <w:rPr>
          <w:rFonts w:ascii="Times New Roman" w:hAnsi="Times New Roman" w:cs="Times New Roman"/>
          <w:noProof/>
          <w:color w:val="000000" w:themeColor="text1"/>
          <w:sz w:val="24"/>
          <w:lang w:val="en-IE"/>
        </w:rPr>
        <w:br/>
        <w:t>- France (through the Mediterranean and the Atlantic Co</w:t>
      </w:r>
      <w:r>
        <w:rPr>
          <w:rFonts w:ascii="Times New Roman" w:hAnsi="Times New Roman" w:cs="Times New Roman"/>
          <w:noProof/>
          <w:color w:val="000000" w:themeColor="text1"/>
          <w:sz w:val="24"/>
          <w:lang w:val="en-IE"/>
        </w:rPr>
        <w:t>rridor</w:t>
      </w:r>
      <w:r>
        <w:rPr>
          <w:rFonts w:ascii="Times New Roman" w:hAnsi="Times New Roman" w:cs="Times New Roman"/>
          <w:noProof/>
          <w:sz w:val="24"/>
          <w:lang w:val="en-IE"/>
        </w:rPr>
        <w:t>)</w:t>
      </w:r>
    </w:p>
    <w:p w:rsidR="003C43BF" w:rsidRDefault="006C3212">
      <w:pPr>
        <w:tabs>
          <w:tab w:val="left" w:pos="720"/>
        </w:tabs>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tabs>
          <w:tab w:val="left" w:pos="720"/>
        </w:tabs>
        <w:jc w:val="both"/>
        <w:rPr>
          <w:rFonts w:ascii="Times New Roman" w:hAnsi="Times New Roman" w:cs="Times New Roman"/>
          <w:noProof/>
          <w:sz w:val="24"/>
          <w:lang w:val="en-IE"/>
        </w:rPr>
      </w:pPr>
      <w:r>
        <w:rPr>
          <w:rFonts w:ascii="Times New Roman" w:hAnsi="Times New Roman" w:cs="Times New Roman"/>
          <w:noProof/>
          <w:sz w:val="24"/>
          <w:lang w:val="en-IE"/>
        </w:rPr>
        <w:t>At the end of 2018, Spain accounts for 34,630,709 registered road vehicles of which 24,074,151 are categorized as passenger cars, 4,637,954 as light goods vehicles, 568,899 as heavy goods vehicles and 64,905 as b</w:t>
      </w:r>
      <w:r>
        <w:rPr>
          <w:rFonts w:ascii="Times New Roman" w:hAnsi="Times New Roman" w:cs="Times New Roman"/>
          <w:noProof/>
          <w:sz w:val="24"/>
          <w:lang w:val="en-IE"/>
        </w:rPr>
        <w:t>uses and coaches. The motorisation rate is 516 passenger cars per 1,000 inhabitants.</w:t>
      </w:r>
    </w:p>
    <w:p w:rsidR="003C43BF" w:rsidRDefault="006C3212">
      <w:pPr>
        <w:tabs>
          <w:tab w:val="left" w:pos="720"/>
        </w:tabs>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numPr>
          <w:ilvl w:val="0"/>
          <w:numId w:val="12"/>
        </w:numPr>
        <w:spacing w:after="0" w:line="276" w:lineRule="auto"/>
        <w:ind w:left="714" w:hanging="357"/>
        <w:jc w:val="both"/>
        <w:rPr>
          <w:rFonts w:ascii="Times New Roman" w:hAnsi="Times New Roman" w:cs="Times New Roman"/>
          <w:noProof/>
          <w:sz w:val="24"/>
          <w:lang w:val="es-ES_tradnl"/>
        </w:rPr>
      </w:pPr>
      <w:r>
        <w:rPr>
          <w:rFonts w:ascii="Times New Roman" w:hAnsi="Times New Roman" w:cs="Times New Roman"/>
          <w:noProof/>
          <w:sz w:val="24"/>
          <w:lang w:val="es-ES_tradnl"/>
        </w:rPr>
        <w:t>13 maritime ports in the TEN-T Core Network (A Coruña, Algeciras, Barcelona, Bilbao, Cartagena, Gijón, Huelva, Las Palmas, Palma</w:t>
      </w:r>
      <w:r>
        <w:rPr>
          <w:rFonts w:ascii="Times New Roman" w:hAnsi="Times New Roman" w:cs="Times New Roman"/>
          <w:noProof/>
          <w:sz w:val="24"/>
          <w:lang w:val="es-ES_tradnl"/>
        </w:rPr>
        <w:t xml:space="preserve"> de Mallorca, Sevilla, Tarragona, Tenerife-Santa Cruz, Valencia)</w:t>
      </w:r>
    </w:p>
    <w:p w:rsidR="003C43BF" w:rsidRDefault="006C3212">
      <w:pPr>
        <w:numPr>
          <w:ilvl w:val="0"/>
          <w:numId w:val="12"/>
        </w:numPr>
        <w:spacing w:after="0" w:line="276" w:lineRule="auto"/>
        <w:ind w:left="714" w:hanging="357"/>
        <w:rPr>
          <w:rFonts w:ascii="Times New Roman" w:hAnsi="Times New Roman" w:cs="Times New Roman"/>
          <w:noProof/>
          <w:sz w:val="24"/>
          <w:lang w:val="en-IE"/>
        </w:rPr>
      </w:pPr>
      <w:r>
        <w:rPr>
          <w:rFonts w:ascii="Times New Roman" w:hAnsi="Times New Roman" w:cs="Times New Roman"/>
          <w:noProof/>
          <w:sz w:val="24"/>
          <w:lang w:val="en-IE"/>
        </w:rPr>
        <w:t>24 maritime ports in the TEN-T Comprehensive Network</w:t>
      </w:r>
    </w:p>
    <w:p w:rsidR="003C43BF" w:rsidRDefault="006C3212">
      <w:pPr>
        <w:numPr>
          <w:ilvl w:val="0"/>
          <w:numId w:val="12"/>
        </w:numPr>
        <w:spacing w:after="0" w:line="276" w:lineRule="auto"/>
        <w:ind w:left="714" w:hanging="357"/>
        <w:rPr>
          <w:rFonts w:ascii="Times New Roman" w:hAnsi="Times New Roman" w:cs="Times New Roman"/>
          <w:noProof/>
          <w:sz w:val="24"/>
          <w:lang w:val="en-IE"/>
        </w:rPr>
      </w:pPr>
      <w:r>
        <w:rPr>
          <w:rFonts w:ascii="Times New Roman" w:hAnsi="Times New Roman" w:cs="Times New Roman"/>
          <w:noProof/>
          <w:sz w:val="24"/>
          <w:lang w:val="en-IE"/>
        </w:rPr>
        <w:t>1 inland ports in the TEN-T Core Network (Sevilla)</w:t>
      </w:r>
    </w:p>
    <w:p w:rsidR="003C43BF" w:rsidRDefault="006C3212">
      <w:pPr>
        <w:numPr>
          <w:ilvl w:val="0"/>
          <w:numId w:val="12"/>
        </w:numPr>
        <w:spacing w:after="0" w:line="276" w:lineRule="auto"/>
        <w:ind w:left="714" w:hanging="357"/>
        <w:rPr>
          <w:rFonts w:ascii="Times New Roman" w:hAnsi="Times New Roman" w:cs="Times New Roman"/>
          <w:noProof/>
          <w:sz w:val="24"/>
          <w:lang w:val="en-IE"/>
        </w:rPr>
      </w:pPr>
      <w:r>
        <w:rPr>
          <w:rFonts w:ascii="Times New Roman" w:hAnsi="Times New Roman" w:cs="Times New Roman"/>
          <w:noProof/>
          <w:sz w:val="24"/>
          <w:lang w:val="en-IE"/>
        </w:rPr>
        <w:t>No inland ports in the TEN-T Comprehensive Network</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inland waterways TEN-T Core Network in Spain is 92 km long. </w:t>
      </w:r>
    </w:p>
    <w:p w:rsidR="003C43BF" w:rsidRDefault="006C3212">
      <w:pPr>
        <w:tabs>
          <w:tab w:val="left" w:pos="720"/>
        </w:tabs>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numPr>
          <w:ilvl w:val="0"/>
          <w:numId w:val="13"/>
        </w:numPr>
        <w:spacing w:after="0" w:line="276" w:lineRule="auto"/>
        <w:ind w:left="714" w:hanging="357"/>
        <w:jc w:val="both"/>
        <w:rPr>
          <w:rFonts w:ascii="Times New Roman" w:hAnsi="Times New Roman" w:cs="Times New Roman"/>
          <w:noProof/>
          <w:sz w:val="24"/>
          <w:lang w:val="es-ES_tradnl"/>
        </w:rPr>
      </w:pPr>
      <w:r>
        <w:rPr>
          <w:rFonts w:ascii="Times New Roman" w:hAnsi="Times New Roman" w:cs="Times New Roman"/>
          <w:noProof/>
          <w:sz w:val="24"/>
          <w:lang w:val="es-ES_tradnl"/>
        </w:rPr>
        <w:t xml:space="preserve">10 airports in the TEN-T Core Network (Alicante, Barcelona, Bilbao, Las Palmas, Madrid-Barajas, Málaga, Palma de Mallorca, Sevilla, Tenerife Sur-Reina Sofía, Valencia) </w:t>
      </w:r>
    </w:p>
    <w:p w:rsidR="003C43BF" w:rsidRDefault="006C3212">
      <w:pPr>
        <w:numPr>
          <w:ilvl w:val="0"/>
          <w:numId w:val="13"/>
        </w:numPr>
        <w:spacing w:after="200" w:line="276" w:lineRule="auto"/>
        <w:rPr>
          <w:rFonts w:ascii="Times New Roman" w:hAnsi="Times New Roman" w:cs="Times New Roman"/>
          <w:noProof/>
          <w:sz w:val="24"/>
          <w:lang w:val="en-IE"/>
        </w:rPr>
      </w:pPr>
      <w:r>
        <w:rPr>
          <w:rFonts w:ascii="Times New Roman" w:hAnsi="Times New Roman" w:cs="Times New Roman"/>
          <w:noProof/>
          <w:sz w:val="24"/>
          <w:lang w:val="en-IE"/>
        </w:rPr>
        <w:t xml:space="preserve">29 airports in the TEN-T Comprehensive Network </w:t>
      </w: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6C3212">
      <w:pPr>
        <w:pStyle w:val="Heading2"/>
        <w:rPr>
          <w:rFonts w:ascii="Times New Roman" w:hAnsi="Times New Roman" w:cs="Times New Roman"/>
          <w:noProof/>
          <w:sz w:val="24"/>
          <w:lang w:val="en-IE"/>
        </w:rPr>
      </w:pPr>
      <w:bookmarkStart w:id="256" w:name="_Toc55301851"/>
      <w:bookmarkStart w:id="257" w:name="_Toc56944170"/>
      <w:r>
        <w:rPr>
          <w:rFonts w:ascii="Times New Roman" w:hAnsi="Times New Roman" w:cs="Times New Roman"/>
          <w:noProof/>
          <w:sz w:val="24"/>
          <w:lang w:val="en-IE"/>
        </w:rPr>
        <w:t>France (FR)</w:t>
      </w:r>
      <w:bookmarkEnd w:id="256"/>
      <w:bookmarkEnd w:id="257"/>
    </w:p>
    <w:p w:rsidR="003C43BF" w:rsidRDefault="006C3212">
      <w:pPr>
        <w:pStyle w:val="Heading3"/>
        <w:ind w:left="720"/>
        <w:rPr>
          <w:rFonts w:ascii="Times New Roman" w:hAnsi="Times New Roman" w:cs="Times New Roman"/>
          <w:noProof/>
          <w:sz w:val="24"/>
          <w:lang w:val="en-IE"/>
        </w:rPr>
      </w:pPr>
      <w:bookmarkStart w:id="258" w:name="_Toc55301852"/>
      <w:bookmarkStart w:id="259" w:name="_Toc56944171"/>
      <w:r>
        <w:rPr>
          <w:rFonts w:ascii="Times New Roman" w:hAnsi="Times New Roman" w:cs="Times New Roman"/>
          <w:noProof/>
          <w:sz w:val="24"/>
          <w:lang w:val="en-IE"/>
        </w:rPr>
        <w:t xml:space="preserve">Main messages from the </w:t>
      </w:r>
      <w:bookmarkEnd w:id="258"/>
      <w:bookmarkEnd w:id="259"/>
      <w:r>
        <w:rPr>
          <w:rFonts w:ascii="Times New Roman" w:hAnsi="Times New Roman" w:cs="Times New Roman"/>
          <w:noProof/>
          <w:sz w:val="24"/>
          <w:lang w:val="en-IE"/>
        </w:rPr>
        <w:t>Co</w:t>
      </w:r>
      <w:r>
        <w:rPr>
          <w:rFonts w:ascii="Times New Roman" w:hAnsi="Times New Roman" w:cs="Times New Roman"/>
          <w:noProof/>
          <w:sz w:val="24"/>
          <w:lang w:val="en-IE"/>
        </w:rPr>
        <w:t>mmission assessment of the NPF</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its original assessment of the French NPF the Commission concluded: </w:t>
      </w:r>
    </w:p>
    <w:p w:rsidR="003C43BF" w:rsidRDefault="006C3212">
      <w:pPr>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French NPF fully addresses the requirements of Article 3. It contains an extensive discussion of the current state and future development of alternat</w:t>
      </w:r>
      <w:r>
        <w:rPr>
          <w:rFonts w:ascii="Times New Roman" w:hAnsi="Times New Roman" w:cs="Times New Roman"/>
          <w:i/>
          <w:noProof/>
          <w:color w:val="000000" w:themeColor="text1"/>
          <w:sz w:val="24"/>
          <w:lang w:val="en-IE"/>
        </w:rPr>
        <w:t xml:space="preserve">ive fuels and corresponding infrastructure in the transport sector. For the different fuels and modes, it discusses targets as required by Article 3 of the Directive. However, for some fuels/modes the target commitment is ambiguous, which, at times, makes </w:t>
      </w:r>
      <w:r>
        <w:rPr>
          <w:rFonts w:ascii="Times New Roman" w:hAnsi="Times New Roman" w:cs="Times New Roman"/>
          <w:i/>
          <w:noProof/>
          <w:color w:val="000000" w:themeColor="text1"/>
          <w:sz w:val="24"/>
          <w:lang w:val="en-IE"/>
        </w:rPr>
        <w:t xml:space="preserve">it difficult to understand the ambition of the French NPF. </w:t>
      </w:r>
    </w:p>
    <w:p w:rsidR="003C43BF" w:rsidRDefault="006C3212">
      <w:pPr>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focus of the French NPF is mainly on electric vehicles with estimates of roughly 1.6% EV on the road in 2020. Based on the targets provided, it can be concluded that the aims for recharging in</w:t>
      </w:r>
      <w:r>
        <w:rPr>
          <w:rFonts w:ascii="Times New Roman" w:hAnsi="Times New Roman" w:cs="Times New Roman"/>
          <w:i/>
          <w:noProof/>
          <w:color w:val="000000" w:themeColor="text1"/>
          <w:sz w:val="24"/>
          <w:lang w:val="en-IE"/>
        </w:rPr>
        <w:t>frastructure accessible to the public seem insufficient in comparison with the future estimated EVs. Each department of metropolitan France is already today equipped with at least one recharging point. It seems that the distance requirement on the TEN-T Co</w:t>
      </w:r>
      <w:r>
        <w:rPr>
          <w:rFonts w:ascii="Times New Roman" w:hAnsi="Times New Roman" w:cs="Times New Roman"/>
          <w:i/>
          <w:noProof/>
          <w:color w:val="000000" w:themeColor="text1"/>
          <w:sz w:val="24"/>
          <w:lang w:val="en-IE"/>
        </w:rPr>
        <w:t>re Network of one recharging point at least every 60 km is fulfilled. The French NPF also highlights the role that electricity can play in airports for use by stationary airplanes, shore-side electricity supply for inland waterway vessels and seagoing ship</w:t>
      </w:r>
      <w:r>
        <w:rPr>
          <w:rFonts w:ascii="Times New Roman" w:hAnsi="Times New Roman" w:cs="Times New Roman"/>
          <w:i/>
          <w:noProof/>
          <w:color w:val="000000" w:themeColor="text1"/>
          <w:sz w:val="24"/>
          <w:lang w:val="en-IE"/>
        </w:rPr>
        <w:t xml:space="preserve">s in maritime and inland ports of the TEN-T Core Network and in other ports. </w:t>
      </w:r>
    </w:p>
    <w:p w:rsidR="003C43BF" w:rsidRDefault="006C3212">
      <w:pPr>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The current and targeted number of CNG refuelling points can be considered sufficient, although the NPF does not provide future estimates for CNG vehicles. The NPF focus for CNG </w:t>
      </w:r>
      <w:r>
        <w:rPr>
          <w:rFonts w:ascii="Times New Roman" w:hAnsi="Times New Roman" w:cs="Times New Roman"/>
          <w:i/>
          <w:noProof/>
          <w:color w:val="000000" w:themeColor="text1"/>
          <w:sz w:val="24"/>
          <w:lang w:val="en-IE"/>
        </w:rPr>
        <w:t>is on the TEN-T Core Network and nine French large urban areas. The French NPF emphasizes the role that natural gas vehicles can play for the public transport sector, cleaning vehicles, garbage trucks, and captive fleets of light-duty vehicles. The provide</w:t>
      </w:r>
      <w:r>
        <w:rPr>
          <w:rFonts w:ascii="Times New Roman" w:hAnsi="Times New Roman" w:cs="Times New Roman"/>
          <w:i/>
          <w:noProof/>
          <w:color w:val="000000" w:themeColor="text1"/>
          <w:sz w:val="24"/>
          <w:lang w:val="en-IE"/>
        </w:rPr>
        <w:t xml:space="preserve">d information indicates the fulfilment of the distance requirement of at least one CNG refuelling point every 150 km. </w:t>
      </w:r>
    </w:p>
    <w:p w:rsidR="003C43BF" w:rsidRDefault="006C3212">
      <w:pPr>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For heavy-duty trucks, the committed target provides the appropriate number of LNG refuelling points, which is strictly necessary in the </w:t>
      </w:r>
      <w:r>
        <w:rPr>
          <w:rFonts w:ascii="Times New Roman" w:hAnsi="Times New Roman" w:cs="Times New Roman"/>
          <w:i/>
          <w:noProof/>
          <w:color w:val="000000" w:themeColor="text1"/>
          <w:sz w:val="24"/>
          <w:lang w:val="en-IE"/>
        </w:rPr>
        <w:t>sense of the Directive and this number is assumed to assure a normal circulation at least within the road TEN-T Core Network. The localisation map confirms the uniform geographical coverage without important gaps and the fulfilment of the distance requirem</w:t>
      </w:r>
      <w:r>
        <w:rPr>
          <w:rFonts w:ascii="Times New Roman" w:hAnsi="Times New Roman" w:cs="Times New Roman"/>
          <w:i/>
          <w:noProof/>
          <w:color w:val="000000" w:themeColor="text1"/>
          <w:sz w:val="24"/>
          <w:lang w:val="en-IE"/>
        </w:rPr>
        <w:t>ent of at least one refuelling point every 400 km.</w:t>
      </w:r>
    </w:p>
    <w:p w:rsidR="003C43BF" w:rsidRDefault="006C3212">
      <w:pPr>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The French NPF commits to the provision of LNG bunkering by 2025, at least, on one maritime port of each coastal area of the country: Channel - North Sea, Atlantic and Mediterranean. According to evolving </w:t>
      </w:r>
      <w:r>
        <w:rPr>
          <w:rFonts w:ascii="Times New Roman" w:hAnsi="Times New Roman" w:cs="Times New Roman"/>
          <w:i/>
          <w:noProof/>
          <w:color w:val="000000" w:themeColor="text1"/>
          <w:sz w:val="24"/>
          <w:lang w:val="en-IE"/>
        </w:rPr>
        <w:t xml:space="preserve">market demand, truck to ship mobile bunkering offers or small fixed points could emerge by 2030 in several inland ports of the TEN-T Core Network. France targets to equip at least three ports with LNG refuelling on its inland waterways. </w:t>
      </w:r>
    </w:p>
    <w:p w:rsidR="003C43BF" w:rsidRDefault="006C3212">
      <w:pPr>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France has taken s</w:t>
      </w:r>
      <w:r>
        <w:rPr>
          <w:rFonts w:ascii="Times New Roman" w:hAnsi="Times New Roman" w:cs="Times New Roman"/>
          <w:i/>
          <w:noProof/>
          <w:color w:val="000000" w:themeColor="text1"/>
          <w:sz w:val="24"/>
          <w:lang w:val="en-IE"/>
        </w:rPr>
        <w:t>teps to promote the deployment of a hydrogen-refuelling infrastructure and funds several ongoing projects in this field. This deployment is based on a bottom-up approach within specific networks and it involves establishing captive fleet clusters. The targ</w:t>
      </w:r>
      <w:r>
        <w:rPr>
          <w:rFonts w:ascii="Times New Roman" w:hAnsi="Times New Roman" w:cs="Times New Roman"/>
          <w:i/>
          <w:noProof/>
          <w:color w:val="000000" w:themeColor="text1"/>
          <w:sz w:val="24"/>
          <w:lang w:val="en-IE"/>
        </w:rPr>
        <w:t>ets could be revised upwards in the event of a strong increase in the offer of available vehicles and related market conditions.</w:t>
      </w:r>
    </w:p>
    <w:p w:rsidR="003C43BF" w:rsidRDefault="006C3212">
      <w:pPr>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French NPF has a big portfolio of measures, the great majority already in effect. These measures are structured in: legisla</w:t>
      </w:r>
      <w:r>
        <w:rPr>
          <w:rFonts w:ascii="Times New Roman" w:hAnsi="Times New Roman" w:cs="Times New Roman"/>
          <w:i/>
          <w:noProof/>
          <w:color w:val="000000" w:themeColor="text1"/>
          <w:sz w:val="24"/>
          <w:lang w:val="en-IE"/>
        </w:rPr>
        <w:t>tive and regulatory (20), informative (11), incentive (15), call for projects (6), RTD&amp;D (3) and measures for cross-border coordinated actions and projects funded by EU programmes (11). The measures defined in the French NPF are comprehensive for the follo</w:t>
      </w:r>
      <w:r>
        <w:rPr>
          <w:rFonts w:ascii="Times New Roman" w:hAnsi="Times New Roman" w:cs="Times New Roman"/>
          <w:i/>
          <w:noProof/>
          <w:color w:val="000000" w:themeColor="text1"/>
          <w:sz w:val="24"/>
          <w:lang w:val="en-IE"/>
        </w:rPr>
        <w:t>wing fuels in road transport: electricity, CNG, LNG, and hydrogen. They can be considered exemplary for electric vehicles and the associated infrastructure.</w:t>
      </w:r>
    </w:p>
    <w:p w:rsidR="003C43BF" w:rsidRDefault="006C3212">
      <w:pPr>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France cooperates with neighbouring countries and other Member States to support EU-wide circulatio</w:t>
      </w:r>
      <w:r>
        <w:rPr>
          <w:rFonts w:ascii="Times New Roman" w:hAnsi="Times New Roman" w:cs="Times New Roman"/>
          <w:i/>
          <w:noProof/>
          <w:color w:val="000000" w:themeColor="text1"/>
          <w:sz w:val="24"/>
          <w:lang w:val="en-IE"/>
        </w:rPr>
        <w:t>n for AFV and cross-border continuity for AFI. An important enabler for this cooperation is, according to the French NPF the Connecting Europe Facility.</w:t>
      </w:r>
    </w:p>
    <w:p w:rsidR="003C43BF" w:rsidRDefault="003C43BF">
      <w:pPr>
        <w:jc w:val="both"/>
        <w:rPr>
          <w:rFonts w:ascii="Times New Roman" w:hAnsi="Times New Roman" w:cs="Times New Roman"/>
          <w:i/>
          <w:noProof/>
          <w:color w:val="000000" w:themeColor="text1"/>
          <w:sz w:val="24"/>
          <w:lang w:val="en-IE"/>
        </w:rPr>
      </w:pPr>
    </w:p>
    <w:p w:rsidR="003C43BF" w:rsidRDefault="006C3212">
      <w:pPr>
        <w:pStyle w:val="Heading3"/>
        <w:ind w:left="720"/>
        <w:rPr>
          <w:rFonts w:ascii="Times New Roman" w:hAnsi="Times New Roman" w:cs="Times New Roman"/>
          <w:noProof/>
          <w:sz w:val="24"/>
          <w:lang w:val="en-IE"/>
        </w:rPr>
      </w:pPr>
      <w:bookmarkStart w:id="260" w:name="_Toc55301853"/>
      <w:bookmarkStart w:id="261" w:name="_Toc56944172"/>
      <w:r>
        <w:rPr>
          <w:rFonts w:ascii="Times New Roman" w:hAnsi="Times New Roman" w:cs="Times New Roman"/>
          <w:noProof/>
          <w:sz w:val="24"/>
          <w:lang w:val="en-IE"/>
        </w:rPr>
        <w:t>Overview of requirements’ fulfilment from Annex I of the Directive</w:t>
      </w:r>
      <w:bookmarkEnd w:id="260"/>
      <w:bookmarkEnd w:id="261"/>
    </w:p>
    <w:p w:rsidR="003C43BF" w:rsidRDefault="006C3212">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5.10.2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rsidR="003C43BF" w:rsidRDefault="006C3212">
      <w:pPr>
        <w:rPr>
          <w:rFonts w:ascii="Times New Roman" w:hAnsi="Times New Roman" w:cs="Times New Roman"/>
          <w:i/>
          <w:iCs/>
          <w:noProof/>
          <w:color w:val="000000" w:themeColor="text1"/>
          <w:sz w:val="20"/>
          <w:szCs w:val="18"/>
          <w:lang w:val="en-IE"/>
        </w:rPr>
      </w:pPr>
      <w:r>
        <w:rPr>
          <w:rFonts w:ascii="Times New Roman" w:hAnsi="Times New Roman" w:cs="Times New Roman"/>
          <w:i/>
          <w:iCs/>
          <w:noProof/>
          <w:color w:val="000000" w:themeColor="text1"/>
          <w:sz w:val="20"/>
          <w:szCs w:val="18"/>
          <w:lang w:eastAsia="en-GB"/>
        </w:rPr>
        <w:drawing>
          <wp:inline distT="0" distB="0" distL="0" distR="0">
            <wp:extent cx="5462270" cy="7821930"/>
            <wp:effectExtent l="0" t="0" r="5080" b="762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62270" cy="7821930"/>
                    </a:xfrm>
                    <a:prstGeom prst="rect">
                      <a:avLst/>
                    </a:prstGeom>
                    <a:noFill/>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eastAsia="en-IE"/>
        </w:rPr>
        <w:t>T</w:t>
      </w:r>
      <w:r>
        <w:rPr>
          <w:rFonts w:ascii="Times New Roman" w:hAnsi="Times New Roman" w:cs="Times New Roman"/>
          <w:noProof/>
          <w:sz w:val="24"/>
          <w:lang w:val="en-IE"/>
        </w:rPr>
        <w:t xml:space="preserve">he checklist shows that most of the requirements of Annex I from the Directive are covered.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several cases, the French NIR does not </w:t>
      </w:r>
      <w:r>
        <w:rPr>
          <w:rFonts w:ascii="Times New Roman" w:hAnsi="Times New Roman" w:cs="Times New Roman"/>
          <w:noProof/>
          <w:color w:val="000000" w:themeColor="text1"/>
          <w:sz w:val="24"/>
          <w:lang w:val="en-IE"/>
        </w:rPr>
        <w:t xml:space="preserve">offer quantitative information on </w:t>
      </w:r>
      <w:r>
        <w:rPr>
          <w:rFonts w:ascii="Times New Roman" w:hAnsi="Times New Roman" w:cs="Times New Roman"/>
          <w:noProof/>
          <w:sz w:val="24"/>
          <w:lang w:val="en-IE"/>
        </w:rPr>
        <w:t xml:space="preserve">future AFI targets and AFV estimates </w:t>
      </w:r>
      <w:r>
        <w:rPr>
          <w:rFonts w:ascii="Times New Roman" w:hAnsi="Times New Roman" w:cs="Times New Roman"/>
          <w:noProof/>
          <w:sz w:val="24"/>
          <w:lang w:val="en-IE"/>
        </w:rPr>
        <w:t>for the years required by the Directive (2020, 2025 and 2030) but for different years, based on national strategies (2023 and 2028). In the case of AFV estimates, it only provided information on the natural gas vehicles (including both CNG and LNG vehicles</w:t>
      </w:r>
      <w:r>
        <w:rPr>
          <w:rFonts w:ascii="Times New Roman" w:hAnsi="Times New Roman" w:cs="Times New Roman"/>
          <w:noProof/>
          <w:sz w:val="24"/>
          <w:lang w:val="en-IE"/>
        </w:rPr>
        <w:t xml:space="preserve"> in one category).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and hydrogen are well covered for road transport, while natural gas (including biomethane), biofuels and LPG are partially covered for road transport; hydrogen is p</w:t>
      </w:r>
      <w:r>
        <w:rPr>
          <w:rFonts w:ascii="Times New Roman" w:hAnsi="Times New Roman" w:cs="Times New Roman"/>
          <w:noProof/>
          <w:sz w:val="24"/>
          <w:lang w:val="en-IE"/>
        </w:rPr>
        <w:t>artially covered for rail transport; shore-side electricity supply and LNG are partially covered for waterborne transport; electricity supply for stationary airplanes is partially covered for air transport; all the other combinations are absent.</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French NIR reports around 55 measures. </w:t>
      </w:r>
      <w:r>
        <w:rPr>
          <w:rFonts w:ascii="Times New Roman" w:hAnsi="Times New Roman" w:cs="Times New Roman"/>
          <w:iCs/>
          <w:noProof/>
          <w:sz w:val="24"/>
          <w:lang w:val="en-IE"/>
        </w:rPr>
        <w:t>Under the Policy and Deployment &amp; Manufacturing sections it was possible to identify 11 AF/transport mode clusters of measures, all assessable.</w:t>
      </w:r>
    </w:p>
    <w:p w:rsidR="003C43BF" w:rsidRDefault="003C43BF">
      <w:pPr>
        <w:spacing w:after="120" w:line="240" w:lineRule="auto"/>
        <w:jc w:val="both"/>
        <w:rPr>
          <w:rFonts w:ascii="Times New Roman" w:hAnsi="Times New Roman" w:cs="Times New Roman"/>
          <w:noProof/>
          <w:color w:val="222222"/>
          <w:sz w:val="24"/>
          <w:shd w:val="clear" w:color="auto" w:fill="FFFFFF"/>
          <w:lang w:val="en-IE"/>
        </w:rPr>
      </w:pPr>
    </w:p>
    <w:p w:rsidR="003C43BF" w:rsidRDefault="006C3212">
      <w:pPr>
        <w:pStyle w:val="Heading3"/>
        <w:spacing w:after="160"/>
        <w:ind w:left="720"/>
        <w:rPr>
          <w:rFonts w:ascii="Times New Roman" w:hAnsi="Times New Roman" w:cs="Times New Roman"/>
          <w:noProof/>
          <w:sz w:val="24"/>
          <w:lang w:val="en-IE"/>
        </w:rPr>
      </w:pPr>
      <w:bookmarkStart w:id="262" w:name="_Toc55301854"/>
      <w:bookmarkStart w:id="263" w:name="_Toc56944173"/>
      <w:r>
        <w:rPr>
          <w:rFonts w:ascii="Times New Roman" w:hAnsi="Times New Roman" w:cs="Times New Roman"/>
          <w:iCs/>
          <w:noProof/>
          <w:color w:val="44546A" w:themeColor="text2"/>
          <w:sz w:val="20"/>
          <w:szCs w:val="18"/>
          <w:lang w:eastAsia="en-GB"/>
        </w:rPr>
        <mc:AlternateContent>
          <mc:Choice Requires="wps">
            <w:drawing>
              <wp:anchor distT="45720" distB="45720" distL="114300" distR="114300" simplePos="0" relativeHeight="251658240" behindDoc="0" locked="0" layoutInCell="1" allowOverlap="1">
                <wp:simplePos x="0" y="0"/>
                <wp:positionH relativeFrom="margin">
                  <wp:posOffset>-8255</wp:posOffset>
                </wp:positionH>
                <wp:positionV relativeFrom="paragraph">
                  <wp:posOffset>375920</wp:posOffset>
                </wp:positionV>
                <wp:extent cx="5978525" cy="1404620"/>
                <wp:effectExtent l="0" t="0" r="22225" b="26670"/>
                <wp:wrapSquare wrapText="bothSides"/>
                <wp:docPr id="7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1404620"/>
                        </a:xfrm>
                        <a:prstGeom prst="rect">
                          <a:avLst/>
                        </a:prstGeom>
                        <a:solidFill>
                          <a:srgbClr val="FFFFFF"/>
                        </a:solidFill>
                        <a:ln w="9525">
                          <a:solidFill>
                            <a:srgbClr val="000000"/>
                          </a:solidFill>
                          <a:miter lim="800000"/>
                          <a:headEnd/>
                          <a:tailEnd/>
                        </a:ln>
                      </wps:spPr>
                      <wps:txbx>
                        <w:txbxContent>
                          <w:p w:rsidR="003C43BF" w:rsidRDefault="006C3212">
                            <w:pPr>
                              <w:spacing w:after="120" w:line="264" w:lineRule="auto"/>
                              <w:jc w:val="both"/>
                              <w:rPr>
                                <w:rFonts w:ascii="Times New Roman" w:hAnsi="Times New Roman" w:cs="Times New Roman"/>
                              </w:rPr>
                            </w:pPr>
                            <w:r>
                              <w:rPr>
                                <w:rFonts w:ascii="Times New Roman" w:hAnsi="Times New Roman" w:cs="Times New Roman"/>
                              </w:rPr>
                              <w:t>The French NIR mentions that the Clean Mobility Development Strat</w:t>
                            </w:r>
                            <w:r>
                              <w:rPr>
                                <w:rFonts w:ascii="Times New Roman" w:hAnsi="Times New Roman" w:cs="Times New Roman"/>
                              </w:rPr>
                              <w:t>egy 2 (</w:t>
                            </w:r>
                            <w:r>
                              <w:rPr>
                                <w:rFonts w:ascii="Times New Roman" w:hAnsi="Times New Roman" w:cs="Times New Roman"/>
                                <w:i/>
                                <w:iCs/>
                              </w:rPr>
                              <w:t>Stratégie de développement de la mobilité propre</w:t>
                            </w:r>
                            <w:r>
                              <w:rPr>
                                <w:rFonts w:ascii="Times New Roman" w:hAnsi="Times New Roman" w:cs="Times New Roman"/>
                              </w:rPr>
                              <w:t xml:space="preserve"> 2 – SDMP2) proposal, appended to the Multiannual Energy Programme draft revision, will lay down the guidelines for the decarbonisation of transport and will set new objectives for 2023 and 2028. “</w:t>
                            </w:r>
                            <w:r>
                              <w:rPr>
                                <w:rFonts w:ascii="Times New Roman" w:hAnsi="Times New Roman" w:cs="Times New Roman"/>
                                <w:i/>
                              </w:rPr>
                              <w:t xml:space="preserve">The </w:t>
                            </w:r>
                            <w:r>
                              <w:rPr>
                                <w:rFonts w:ascii="Times New Roman" w:hAnsi="Times New Roman" w:cs="Times New Roman"/>
                                <w:i/>
                              </w:rPr>
                              <w:t>SDMP2 chiefly clarifies scenarios of trends relating to vehicle fleets, the outlook in terms of increasing the number of recharging points to boost alternative fuels, changes in terms of transport’s consumption of the various energy sources and the propose</w:t>
                            </w:r>
                            <w:r>
                              <w:rPr>
                                <w:rFonts w:ascii="Times New Roman" w:hAnsi="Times New Roman" w:cs="Times New Roman"/>
                                <w:i/>
                              </w:rPr>
                              <w:t>d guidelines for each of the levers (decarbonisation of the fuel consumed by vehicles, vehicle energy efficiency, control of transport demand, modal shift, optimisation of vehicle use</w:t>
                            </w:r>
                            <w:r>
                              <w:rPr>
                                <w:rFonts w:ascii="Times New Roman" w:hAnsi="Times New Roman" w:cs="Times New Roman"/>
                              </w:rPr>
                              <w:t xml:space="preserve">). </w:t>
                            </w:r>
                            <w:r>
                              <w:rPr>
                                <w:rFonts w:ascii="Times New Roman" w:hAnsi="Times New Roman" w:cs="Times New Roman"/>
                                <w:i/>
                              </w:rPr>
                              <w:t>The estimates presented in the reporting table on the fleet of vehicle</w:t>
                            </w:r>
                            <w:r>
                              <w:rPr>
                                <w:rFonts w:ascii="Times New Roman" w:hAnsi="Times New Roman" w:cs="Times New Roman"/>
                                <w:i/>
                              </w:rPr>
                              <w:t xml:space="preserve">s using alternative fuels and the targets relating to the number of recharging and refuelling points are therefore based on the objectives of the SDMP2 proposal </w:t>
                            </w:r>
                            <w:r>
                              <w:rPr>
                                <w:rFonts w:ascii="Times New Roman" w:hAnsi="Times New Roman" w:cs="Times New Roman"/>
                                <w:b/>
                                <w:bCs/>
                                <w:i/>
                              </w:rPr>
                              <w:t>which is still awaiting adoption</w:t>
                            </w:r>
                            <w:r>
                              <w:rPr>
                                <w:rFonts w:ascii="Times New Roman" w:hAnsi="Times New Roman" w:cs="Times New Roman"/>
                                <w:i/>
                              </w:rPr>
                              <w:t>;</w:t>
                            </w:r>
                            <w:r>
                              <w:rPr>
                                <w:rFonts w:ascii="Times New Roman" w:hAnsi="Times New Roman" w:cs="Times New Roman"/>
                                <w:b/>
                                <w:i/>
                              </w:rPr>
                              <w:t xml:space="preserve"> </w:t>
                            </w:r>
                            <w:r>
                              <w:rPr>
                                <w:rFonts w:ascii="Times New Roman" w:hAnsi="Times New Roman" w:cs="Times New Roman"/>
                                <w:i/>
                              </w:rPr>
                              <w:t>as yet these fleet deployment estimates are therefore not Fre</w:t>
                            </w:r>
                            <w:r>
                              <w:rPr>
                                <w:rFonts w:ascii="Times New Roman" w:hAnsi="Times New Roman" w:cs="Times New Roman"/>
                                <w:i/>
                              </w:rPr>
                              <w:t xml:space="preserve">nch commitments”. </w:t>
                            </w:r>
                            <w:r>
                              <w:rPr>
                                <w:rFonts w:ascii="Times New Roman" w:hAnsi="Times New Roman" w:cs="Times New Roman"/>
                              </w:rPr>
                              <w:t>Indeed, in order to carry out the assessment of the French NIR, these indicative targets have been considered, but in a conservative way, according to the following scheme: SDPM2 targets for 2023 are considered as 2025 targets in the NIR;</w:t>
                            </w:r>
                            <w:r>
                              <w:rPr>
                                <w:rFonts w:ascii="Times New Roman" w:hAnsi="Times New Roman" w:cs="Times New Roman"/>
                              </w:rPr>
                              <w:t xml:space="preserve"> SDPM2 targets for 2028 are considered as 2030 targets in the NIR.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5pt;margin-top:29.6pt;width:470.7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">
                <v:textbox style="mso-fit-shape-to-text:t">
                  <w:txbxContent>
                    <w:p w:rsidR="003C43BF" w:rsidRDefault="006C3212">
                      <w:pPr>
                        <w:spacing w:after="120" w:line="264" w:lineRule="auto"/>
                        <w:jc w:val="both"/>
                        <w:rPr>
                          <w:rFonts w:ascii="Times New Roman" w:hAnsi="Times New Roman" w:cs="Times New Roman"/>
                        </w:rPr>
                      </w:pPr>
                      <w:r>
                        <w:rPr>
                          <w:rFonts w:ascii="Times New Roman" w:hAnsi="Times New Roman" w:cs="Times New Roman"/>
                        </w:rPr>
                        <w:t>The French NIR mentions that the Clean Mobility Development Strat</w:t>
                      </w:r>
                      <w:r>
                        <w:rPr>
                          <w:rFonts w:ascii="Times New Roman" w:hAnsi="Times New Roman" w:cs="Times New Roman"/>
                        </w:rPr>
                        <w:t>egy 2 (</w:t>
                      </w:r>
                      <w:r>
                        <w:rPr>
                          <w:rFonts w:ascii="Times New Roman" w:hAnsi="Times New Roman" w:cs="Times New Roman"/>
                          <w:i/>
                          <w:iCs/>
                        </w:rPr>
                        <w:t>Stratégie de développement de la mobilité propre</w:t>
                      </w:r>
                      <w:r>
                        <w:rPr>
                          <w:rFonts w:ascii="Times New Roman" w:hAnsi="Times New Roman" w:cs="Times New Roman"/>
                        </w:rPr>
                        <w:t xml:space="preserve"> 2 – SDMP2) proposal, appended to the Multiannual Energy Programme draft revision, will lay down the guidelines for the decarbonisation of transport and will set new objectives for 2023 and 2028. “</w:t>
                      </w:r>
                      <w:r>
                        <w:rPr>
                          <w:rFonts w:ascii="Times New Roman" w:hAnsi="Times New Roman" w:cs="Times New Roman"/>
                          <w:i/>
                        </w:rPr>
                        <w:t xml:space="preserve">The </w:t>
                      </w:r>
                      <w:r>
                        <w:rPr>
                          <w:rFonts w:ascii="Times New Roman" w:hAnsi="Times New Roman" w:cs="Times New Roman"/>
                          <w:i/>
                        </w:rPr>
                        <w:t>SDMP2 chiefly clarifies scenarios of trends relating to vehicle fleets, the outlook in terms of increasing the number of recharging points to boost alternative fuels, changes in terms of transport’s consumption of the various energy sources and the propose</w:t>
                      </w:r>
                      <w:r>
                        <w:rPr>
                          <w:rFonts w:ascii="Times New Roman" w:hAnsi="Times New Roman" w:cs="Times New Roman"/>
                          <w:i/>
                        </w:rPr>
                        <w:t>d guidelines for each of the levers (decarbonisation of the fuel consumed by vehicles, vehicle energy efficiency, control of transport demand, modal shift, optimisation of vehicle use</w:t>
                      </w:r>
                      <w:r>
                        <w:rPr>
                          <w:rFonts w:ascii="Times New Roman" w:hAnsi="Times New Roman" w:cs="Times New Roman"/>
                        </w:rPr>
                        <w:t xml:space="preserve">). </w:t>
                      </w:r>
                      <w:r>
                        <w:rPr>
                          <w:rFonts w:ascii="Times New Roman" w:hAnsi="Times New Roman" w:cs="Times New Roman"/>
                          <w:i/>
                        </w:rPr>
                        <w:t>The estimates presented in the reporting table on the fleet of vehicle</w:t>
                      </w:r>
                      <w:r>
                        <w:rPr>
                          <w:rFonts w:ascii="Times New Roman" w:hAnsi="Times New Roman" w:cs="Times New Roman"/>
                          <w:i/>
                        </w:rPr>
                        <w:t xml:space="preserve">s using alternative fuels and the targets relating to the number of recharging and refuelling points are therefore based on the objectives of the SDMP2 proposal </w:t>
                      </w:r>
                      <w:r>
                        <w:rPr>
                          <w:rFonts w:ascii="Times New Roman" w:hAnsi="Times New Roman" w:cs="Times New Roman"/>
                          <w:b/>
                          <w:bCs/>
                          <w:i/>
                        </w:rPr>
                        <w:t>which is still awaiting adoption</w:t>
                      </w:r>
                      <w:r>
                        <w:rPr>
                          <w:rFonts w:ascii="Times New Roman" w:hAnsi="Times New Roman" w:cs="Times New Roman"/>
                          <w:i/>
                        </w:rPr>
                        <w:t>;</w:t>
                      </w:r>
                      <w:r>
                        <w:rPr>
                          <w:rFonts w:ascii="Times New Roman" w:hAnsi="Times New Roman" w:cs="Times New Roman"/>
                          <w:b/>
                          <w:i/>
                        </w:rPr>
                        <w:t xml:space="preserve"> </w:t>
                      </w:r>
                      <w:r>
                        <w:rPr>
                          <w:rFonts w:ascii="Times New Roman" w:hAnsi="Times New Roman" w:cs="Times New Roman"/>
                          <w:i/>
                        </w:rPr>
                        <w:t>as yet these fleet deployment estimates are therefore not Fre</w:t>
                      </w:r>
                      <w:r>
                        <w:rPr>
                          <w:rFonts w:ascii="Times New Roman" w:hAnsi="Times New Roman" w:cs="Times New Roman"/>
                          <w:i/>
                        </w:rPr>
                        <w:t xml:space="preserve">nch commitments”. </w:t>
                      </w:r>
                      <w:r>
                        <w:rPr>
                          <w:rFonts w:ascii="Times New Roman" w:hAnsi="Times New Roman" w:cs="Times New Roman"/>
                        </w:rPr>
                        <w:t>Indeed, in order to carry out the assessment of the French NIR, these indicative targets have been considered, but in a conservative way, according to the following scheme: SDPM2 targets for 2023 are considered as 2025 targets in the NIR;</w:t>
                      </w:r>
                      <w:r>
                        <w:rPr>
                          <w:rFonts w:ascii="Times New Roman" w:hAnsi="Times New Roman" w:cs="Times New Roman"/>
                        </w:rPr>
                        <w:t xml:space="preserve"> SDPM2 targets for 2028 are considered as 2030 targets in the NIR.</w:t>
                      </w:r>
                    </w:p>
                  </w:txbxContent>
                </v:textbox>
                <w10:wrap type="square" anchorx="margin"/>
              </v:shape>
            </w:pict>
          </mc:Fallback>
        </mc:AlternateContent>
      </w:r>
      <w:r>
        <w:rPr>
          <w:rFonts w:ascii="Times New Roman" w:hAnsi="Times New Roman" w:cs="Times New Roman"/>
          <w:noProof/>
          <w:sz w:val="24"/>
          <w:lang w:val="en-IE"/>
        </w:rPr>
        <w:t>Quantitative assessment: Vehicles and infrastructure</w:t>
      </w:r>
      <w:bookmarkEnd w:id="262"/>
      <w:bookmarkEnd w:id="263"/>
      <w:r>
        <w:rPr>
          <w:rFonts w:ascii="Times New Roman" w:hAnsi="Times New Roman" w:cs="Times New Roman"/>
          <w:noProof/>
          <w:sz w:val="24"/>
          <w:lang w:val="en-IE"/>
        </w:rPr>
        <w:t xml:space="preserve"> </w:t>
      </w:r>
    </w:p>
    <w:p w:rsidR="003C43BF" w:rsidRDefault="003C43BF">
      <w:pPr>
        <w:rPr>
          <w:rFonts w:ascii="Times New Roman" w:hAnsi="Times New Roman" w:cs="Times New Roman"/>
          <w:noProof/>
          <w:sz w:val="24"/>
          <w:lang w:val="en-IE"/>
        </w:rPr>
      </w:pP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Caption"/>
        <w:keepNext/>
        <w:jc w:val="both"/>
        <w:rPr>
          <w:rFonts w:ascii="Times New Roman" w:hAnsi="Times New Roman" w:cs="Times New Roman"/>
          <w:b w:val="0"/>
          <w:i/>
          <w:noProof/>
          <w:sz w:val="20"/>
          <w:szCs w:val="18"/>
          <w:lang w:val="en-IE"/>
        </w:rPr>
      </w:pPr>
      <w:bookmarkStart w:id="264" w:name="_Ref53948345"/>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5.10.3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264"/>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 xml:space="preserve">National AFV estimates and AFI targets established in the NIR at the horizon 2020, 2025 and 2030 and their comparison with the NPF situation </w:t>
      </w:r>
    </w:p>
    <w:p w:rsidR="003C43BF" w:rsidRDefault="006C3212">
      <w:pPr>
        <w:rPr>
          <w:rFonts w:ascii="Times New Roman" w:hAnsi="Times New Roman" w:cs="Times New Roman"/>
          <w:iCs/>
          <w:noProof/>
          <w:color w:val="44546A" w:themeColor="text2"/>
          <w:sz w:val="20"/>
          <w:szCs w:val="18"/>
          <w:lang w:val="en-IE"/>
        </w:rPr>
      </w:pPr>
      <w:r>
        <w:rPr>
          <w:rFonts w:ascii="Times New Roman" w:hAnsi="Times New Roman" w:cs="Times New Roman"/>
          <w:noProof/>
          <w:sz w:val="24"/>
          <w:lang w:eastAsia="en-GB"/>
        </w:rPr>
        <w:drawing>
          <wp:inline distT="0" distB="0" distL="0" distR="0">
            <wp:extent cx="5791200" cy="6455959"/>
            <wp:effectExtent l="0" t="0" r="0" b="2540"/>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95684" cy="6460957"/>
                    </a:xfrm>
                    <a:prstGeom prst="rect">
                      <a:avLst/>
                    </a:prstGeom>
                    <a:noFill/>
                    <a:ln>
                      <a:noFill/>
                    </a:ln>
                  </pic:spPr>
                </pic:pic>
              </a:graphicData>
            </a:graphic>
          </wp:inline>
        </w:drawing>
      </w:r>
    </w:p>
    <w:p w:rsidR="003C43BF" w:rsidRDefault="006C3212">
      <w:pPr>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3630304" cy="437362"/>
            <wp:effectExtent l="0" t="0" r="0" b="127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jc w:val="both"/>
        <w:rPr>
          <w:rFonts w:ascii="Times New Roman" w:hAnsi="Times New Roman" w:cs="Times New Roman"/>
          <w:noProof/>
          <w:color w:val="000000" w:themeColor="text1"/>
          <w:sz w:val="20"/>
          <w:szCs w:val="18"/>
          <w:lang w:val="en-IE"/>
        </w:rPr>
      </w:pPr>
      <w:r>
        <w:rPr>
          <w:rFonts w:ascii="Times New Roman" w:hAnsi="Times New Roman" w:cs="Times New Roman"/>
          <w:noProof/>
          <w:color w:val="000000" w:themeColor="text1"/>
          <w:sz w:val="20"/>
          <w:szCs w:val="18"/>
          <w:vertAlign w:val="superscript"/>
          <w:lang w:val="en-IE"/>
        </w:rPr>
        <w:t>(1)</w:t>
      </w:r>
      <w:r>
        <w:rPr>
          <w:rFonts w:ascii="Times New Roman" w:hAnsi="Times New Roman" w:cs="Times New Roman"/>
          <w:noProof/>
          <w:color w:val="000000" w:themeColor="text1"/>
          <w:sz w:val="20"/>
          <w:szCs w:val="18"/>
          <w:lang w:val="en-IE"/>
        </w:rPr>
        <w:t xml:space="preserve"> targets from the FR NPF; </w:t>
      </w:r>
      <w:r>
        <w:rPr>
          <w:rFonts w:ascii="Times New Roman" w:hAnsi="Times New Roman" w:cs="Times New Roman"/>
          <w:noProof/>
          <w:color w:val="000000" w:themeColor="text1"/>
          <w:sz w:val="20"/>
          <w:szCs w:val="18"/>
          <w:vertAlign w:val="superscript"/>
          <w:lang w:val="en-IE"/>
        </w:rPr>
        <w:t>(2)</w:t>
      </w:r>
      <w:r>
        <w:rPr>
          <w:rFonts w:ascii="Times New Roman" w:hAnsi="Times New Roman" w:cs="Times New Roman"/>
          <w:noProof/>
          <w:color w:val="000000" w:themeColor="text1"/>
          <w:sz w:val="20"/>
          <w:szCs w:val="18"/>
          <w:lang w:val="en-IE"/>
        </w:rPr>
        <w:t xml:space="preserve"> at least the value indicated since this target refers to 2022; </w:t>
      </w:r>
      <w:r>
        <w:rPr>
          <w:rFonts w:ascii="Times New Roman" w:hAnsi="Times New Roman" w:cs="Times New Roman"/>
          <w:noProof/>
          <w:color w:val="000000" w:themeColor="text1"/>
          <w:sz w:val="20"/>
          <w:szCs w:val="18"/>
          <w:vertAlign w:val="superscript"/>
          <w:lang w:val="en-IE"/>
        </w:rPr>
        <w:t>(3)</w:t>
      </w:r>
      <w:r>
        <w:rPr>
          <w:rFonts w:ascii="Times New Roman" w:hAnsi="Times New Roman" w:cs="Times New Roman"/>
          <w:noProof/>
          <w:color w:val="000000" w:themeColor="text1"/>
          <w:sz w:val="20"/>
          <w:szCs w:val="18"/>
          <w:lang w:val="en-IE"/>
        </w:rPr>
        <w:t xml:space="preserve"> natural gas (CNG+LNG) vehicles;</w:t>
      </w:r>
      <w:r>
        <w:rPr>
          <w:rFonts w:ascii="Times New Roman" w:hAnsi="Times New Roman" w:cs="Times New Roman"/>
          <w:noProof/>
          <w:color w:val="000000" w:themeColor="text1"/>
          <w:sz w:val="20"/>
          <w:szCs w:val="18"/>
          <w:vertAlign w:val="superscript"/>
          <w:lang w:val="en-IE"/>
        </w:rPr>
        <w:t xml:space="preserve"> (4)</w:t>
      </w:r>
      <w:r>
        <w:rPr>
          <w:rFonts w:ascii="Times New Roman" w:hAnsi="Times New Roman" w:cs="Times New Roman"/>
          <w:noProof/>
          <w:color w:val="000000" w:themeColor="text1"/>
          <w:sz w:val="20"/>
          <w:szCs w:val="18"/>
          <w:lang w:val="en-IE"/>
        </w:rPr>
        <w:t xml:space="preserve"> data from EAFO since the FR NIR did not provide this information; </w:t>
      </w:r>
      <w:r>
        <w:rPr>
          <w:rFonts w:ascii="Times New Roman" w:hAnsi="Times New Roman" w:cs="Times New Roman"/>
          <w:noProof/>
          <w:color w:val="000000" w:themeColor="text1"/>
          <w:sz w:val="20"/>
          <w:szCs w:val="18"/>
          <w:vertAlign w:val="superscript"/>
          <w:lang w:val="en-IE"/>
        </w:rPr>
        <w:t>(5)</w:t>
      </w:r>
      <w:r>
        <w:rPr>
          <w:rFonts w:ascii="Times New Roman" w:hAnsi="Times New Roman" w:cs="Times New Roman"/>
          <w:noProof/>
          <w:color w:val="000000" w:themeColor="text1"/>
          <w:sz w:val="20"/>
          <w:szCs w:val="18"/>
          <w:lang w:val="en-IE"/>
        </w:rPr>
        <w:t xml:space="preserve"> at least the value indicated since this SDMP2 target refers to 2023; </w:t>
      </w:r>
      <w:r>
        <w:rPr>
          <w:rFonts w:ascii="Times New Roman" w:hAnsi="Times New Roman" w:cs="Times New Roman"/>
          <w:noProof/>
          <w:color w:val="000000" w:themeColor="text1"/>
          <w:sz w:val="20"/>
          <w:szCs w:val="18"/>
          <w:vertAlign w:val="superscript"/>
          <w:lang w:val="en-IE"/>
        </w:rPr>
        <w:t>(6)</w:t>
      </w:r>
      <w:r>
        <w:rPr>
          <w:rFonts w:ascii="Times New Roman" w:hAnsi="Times New Roman" w:cs="Times New Roman"/>
          <w:noProof/>
          <w:color w:val="000000" w:themeColor="text1"/>
          <w:sz w:val="20"/>
          <w:szCs w:val="18"/>
          <w:lang w:val="en-IE"/>
        </w:rPr>
        <w:t xml:space="preserve"> at least the value indicated since this SDMP2 target refers to 2028; </w:t>
      </w:r>
      <w:r>
        <w:rPr>
          <w:rFonts w:ascii="Times New Roman" w:hAnsi="Times New Roman" w:cs="Times New Roman"/>
          <w:noProof/>
          <w:color w:val="000000" w:themeColor="text1"/>
          <w:sz w:val="20"/>
          <w:szCs w:val="18"/>
          <w:vertAlign w:val="superscript"/>
          <w:lang w:val="en-IE"/>
        </w:rPr>
        <w:t>(7)</w:t>
      </w:r>
      <w:r>
        <w:rPr>
          <w:rFonts w:ascii="Times New Roman" w:hAnsi="Times New Roman" w:cs="Times New Roman"/>
          <w:noProof/>
          <w:color w:val="000000" w:themeColor="text1"/>
          <w:sz w:val="20"/>
          <w:szCs w:val="18"/>
          <w:lang w:val="en-IE"/>
        </w:rPr>
        <w:t xml:space="preserve"> dat</w:t>
      </w:r>
      <w:r>
        <w:rPr>
          <w:rFonts w:ascii="Times New Roman" w:hAnsi="Times New Roman" w:cs="Times New Roman"/>
          <w:noProof/>
          <w:color w:val="000000" w:themeColor="text1"/>
          <w:sz w:val="20"/>
          <w:szCs w:val="18"/>
          <w:lang w:val="en-IE"/>
        </w:rPr>
        <w:t>a from “VIG'HY l'observatoire de l'hydrogène” (https://www.vighy-afhypac.org/) since the FR NIR did not provide this information.</w:t>
      </w:r>
    </w:p>
    <w:p w:rsidR="003C43BF" w:rsidRDefault="003C43BF">
      <w:pPr>
        <w:jc w:val="both"/>
        <w:rPr>
          <w:rFonts w:ascii="Times New Roman" w:hAnsi="Times New Roman" w:cs="Times New Roman"/>
          <w:noProof/>
          <w:color w:val="000000" w:themeColor="text1"/>
          <w:sz w:val="20"/>
          <w:szCs w:val="18"/>
          <w:lang w:val="en-IE"/>
        </w:rPr>
      </w:pPr>
    </w:p>
    <w:p w:rsidR="003C43BF" w:rsidRDefault="006C3212">
      <w:pPr>
        <w:pStyle w:val="Heading4"/>
        <w:rPr>
          <w:rFonts w:ascii="Times New Roman" w:hAnsi="Times New Roman" w:cs="Times New Roman"/>
          <w:noProof/>
          <w:color w:val="000000" w:themeColor="text1"/>
          <w:sz w:val="24"/>
          <w:lang w:val="en-IE"/>
        </w:rPr>
      </w:pPr>
      <w:r>
        <w:rPr>
          <w:rFonts w:ascii="Times New Roman" w:hAnsi="Times New Roman" w:cs="Times New Roman"/>
          <w:noProof/>
          <w:sz w:val="24"/>
          <w:lang w:val="en-IE"/>
        </w:rPr>
        <w:t>Road transport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spacing w:after="160"/>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France recorded 200,250 battery electric and plug-in hybrid electric vehicles in use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_Ref53948345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5.10.3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160,000 (≈80%) were passenger</w:t>
      </w:r>
      <w:r>
        <w:rPr>
          <w:rFonts w:ascii="Times New Roman" w:hAnsi="Times New Roman" w:cs="Times New Roman"/>
          <w:noProof/>
          <w:sz w:val="24"/>
          <w:lang w:val="en-IE"/>
        </w:rPr>
        <w:t xml:space="preserve"> cars, 39,600 LCVs, 100 HCV and 550 buses and coaches</w:t>
      </w:r>
      <w:r>
        <w:rPr>
          <w:rStyle w:val="FootnoteReference"/>
          <w:rFonts w:ascii="Times New Roman" w:hAnsi="Times New Roman" w:cs="Times New Roman"/>
          <w:noProof/>
          <w:sz w:val="24"/>
          <w:lang w:val="en-IE"/>
        </w:rPr>
        <w:footnoteReference w:id="33"/>
      </w:r>
      <w:r>
        <w:rPr>
          <w:rFonts w:ascii="Times New Roman" w:hAnsi="Times New Roman" w:cs="Times New Roman"/>
          <w:noProof/>
          <w:sz w:val="24"/>
          <w:lang w:val="en-IE"/>
        </w:rPr>
        <w:t>. The French NIR also reports 24,000 PTWs in 2018. The French NIR EV’s estimates are 616,465 for 2020, 2,442,300 for 2025 and 6,929,700 for 2030</w:t>
      </w:r>
      <w:r>
        <w:rPr>
          <w:rStyle w:val="FootnoteReference"/>
          <w:rFonts w:ascii="Times New Roman" w:hAnsi="Times New Roman" w:cs="Times New Roman"/>
          <w:noProof/>
          <w:sz w:val="24"/>
          <w:lang w:val="en-IE"/>
        </w:rPr>
        <w:footnoteReference w:id="34"/>
      </w:r>
      <w:r>
        <w:rPr>
          <w:rFonts w:ascii="Times New Roman" w:hAnsi="Times New Roman" w:cs="Times New Roman"/>
          <w:noProof/>
          <w:sz w:val="24"/>
          <w:lang w:val="en-IE"/>
        </w:rPr>
        <w:t>. They consist in a revised estimate for 2020 (35.78% lower than the NPF values), and new estimates for 2025 and 2030. The vast majority of the electric vehicles that France expects to see on the roads in 2030 will be passenger cars (6,200,000 out of which</w:t>
      </w:r>
      <w:r>
        <w:rPr>
          <w:rFonts w:ascii="Times New Roman" w:hAnsi="Times New Roman" w:cs="Times New Roman"/>
          <w:noProof/>
          <w:sz w:val="24"/>
          <w:lang w:val="en-IE"/>
        </w:rPr>
        <w:t xml:space="preserve"> 4,100,000 BEVs), but 710,000 LCVs, 12,000 BEV HCVs, and 7,700 BEV buses and coaches are also foreseen.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32.48% for 2020 and 2.89% for 2030. According to the assessment methodology described in Section 2.1, the</w:t>
      </w:r>
      <w:r>
        <w:rPr>
          <w:rFonts w:ascii="Times New Roman" w:hAnsi="Times New Roman" w:cs="Times New Roman"/>
          <w:iCs/>
          <w:noProof/>
          <w:sz w:val="24"/>
          <w:lang w:val="en-IE"/>
        </w:rPr>
        <w:t xml:space="preserv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France is equal to </w:t>
      </w:r>
      <w:r>
        <w:rPr>
          <w:rFonts w:ascii="Times New Roman" w:hAnsi="Times New Roman" w:cs="Times New Roman"/>
          <w:iCs/>
          <w:noProof/>
          <w:sz w:val="24"/>
          <w:lang w:val="en-IE"/>
        </w:rPr>
        <w:t>34%.</w:t>
      </w:r>
    </w:p>
    <w:p w:rsidR="003C43BF" w:rsidRDefault="006C3212">
      <w:pPr>
        <w:pStyle w:val="Heading6"/>
        <w:numPr>
          <w:ilvl w:val="0"/>
          <w:numId w:val="0"/>
        </w:numPr>
        <w:spacing w:after="160"/>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France</w:t>
      </w:r>
      <w:r>
        <w:rPr>
          <w:rFonts w:ascii="Times New Roman" w:hAnsi="Times New Roman" w:cs="Times New Roman"/>
          <w:noProof/>
          <w:sz w:val="24"/>
          <w:lang w:val="en-IE"/>
        </w:rPr>
        <w:t xml:space="preserve"> recorded 24,800 publicly accessible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_Ref53948345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5.10.3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corresponding to 9,566 normal power (≤22kW) recharging stations and to 8</w:t>
      </w:r>
      <w:r>
        <w:rPr>
          <w:rFonts w:ascii="Times New Roman" w:hAnsi="Times New Roman" w:cs="Times New Roman"/>
          <w:noProof/>
          <w:sz w:val="24"/>
          <w:lang w:val="en-IE"/>
        </w:rPr>
        <w:t>55 high power (&gt;22kW) recharging stations. The NIR also mentions that 225,000 private recharging points existed in France in 2018 according to the estimation of the public distribution system operator.</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FR NIR does not specifically provide targets for 2</w:t>
      </w:r>
      <w:r>
        <w:rPr>
          <w:rFonts w:ascii="Times New Roman" w:hAnsi="Times New Roman" w:cs="Times New Roman"/>
          <w:noProof/>
          <w:sz w:val="24"/>
          <w:lang w:val="en-IE"/>
        </w:rPr>
        <w:t>020/2025/2030. However, it states that, “</w:t>
      </w:r>
      <w:r>
        <w:rPr>
          <w:rFonts w:ascii="Times New Roman" w:hAnsi="Times New Roman" w:cs="Times New Roman"/>
          <w:i/>
          <w:noProof/>
          <w:sz w:val="24"/>
          <w:lang w:val="en-IE"/>
        </w:rPr>
        <w:t>in 2018, the French government and manufacturers pledged to have 100,000 recharging points installed by the end of 2022.</w:t>
      </w:r>
      <w:r>
        <w:rPr>
          <w:rFonts w:ascii="Times New Roman" w:hAnsi="Times New Roman" w:cs="Times New Roman"/>
          <w:noProof/>
          <w:sz w:val="24"/>
          <w:lang w:val="en-IE"/>
        </w:rPr>
        <w:t>” The NIR mentions that the density of recharging points is difficult to foresee because of sev</w:t>
      </w:r>
      <w:r>
        <w:rPr>
          <w:rFonts w:ascii="Times New Roman" w:hAnsi="Times New Roman" w:cs="Times New Roman"/>
          <w:noProof/>
          <w:sz w:val="24"/>
          <w:lang w:val="en-IE"/>
        </w:rPr>
        <w:t>eral uncertainties (e.g. EV fleet numbers and composition (BEV and PHEV), geographical spread of EVs, access to private recharging points, vehicle range and driver behaviour) which prevent the setting of targets for 2025 and 2030. The FR NPF contained a ta</w:t>
      </w:r>
      <w:r>
        <w:rPr>
          <w:rFonts w:ascii="Times New Roman" w:hAnsi="Times New Roman" w:cs="Times New Roman"/>
          <w:noProof/>
          <w:sz w:val="24"/>
          <w:lang w:val="en-IE"/>
        </w:rPr>
        <w:t xml:space="preserve">rget of 35,000 publicly accessible recharging points for 2020 and a 7,000,000 total target for private and publicly accessible recharging points for 2030.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French NIR states that the existing recharging infrastructure network (10,421 stations in 2018 a</w:t>
      </w:r>
      <w:r>
        <w:rPr>
          <w:rFonts w:ascii="Times New Roman" w:hAnsi="Times New Roman" w:cs="Times New Roman"/>
          <w:noProof/>
          <w:sz w:val="24"/>
          <w:lang w:val="en-IE"/>
        </w:rPr>
        <w:t>nd 11,600 stations in 2019) provides a better geographic coverage than the one announced in the NPF for 2020, based on a scenario of 8,150 recharging stations.</w:t>
      </w:r>
    </w:p>
    <w:p w:rsidR="003C43BF" w:rsidRDefault="006C3212">
      <w:pPr>
        <w:tabs>
          <w:tab w:val="left" w:pos="360"/>
        </w:tabs>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publicly accessible recharging infrastructure target is 70.86% for 2020.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these envisaged targets. The calcu</w:t>
      </w:r>
      <w:r>
        <w:rPr>
          <w:rFonts w:ascii="Times New Roman" w:hAnsi="Times New Roman" w:cs="Times New Roman"/>
          <w:iCs/>
          <w:noProof/>
          <w:color w:val="000000" w:themeColor="text1"/>
          <w:sz w:val="24"/>
          <w:lang w:val="en-IE"/>
        </w:rPr>
        <w:t xml:space="preserve">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2016-2025</w:t>
      </w:r>
      <w:r>
        <w:rPr>
          <w:rStyle w:val="FootnoteReference"/>
          <w:rFonts w:ascii="Times New Roman" w:hAnsi="Times New Roman" w:cs="Times New Roman"/>
          <w:iCs/>
          <w:noProof/>
          <w:color w:val="000000" w:themeColor="text1"/>
          <w:sz w:val="24"/>
          <w:lang w:val="en-IE"/>
        </w:rPr>
        <w:footnoteReference w:id="35"/>
      </w:r>
      <w:r>
        <w:rPr>
          <w:rFonts w:ascii="Times New Roman" w:hAnsi="Times New Roman" w:cs="Times New Roman"/>
          <w:iCs/>
          <w:noProof/>
          <w:color w:val="000000" w:themeColor="text1"/>
          <w:sz w:val="24"/>
          <w:lang w:val="en-IE"/>
        </w:rPr>
        <w:t xml:space="preserve"> for publicly accessible recharging infrastructure evolution planned by France is equal to 23%. </w:t>
      </w:r>
    </w:p>
    <w:p w:rsidR="003C43BF" w:rsidRDefault="006C3212">
      <w:pPr>
        <w:pStyle w:val="Heading6"/>
        <w:numPr>
          <w:ilvl w:val="0"/>
          <w:numId w:val="0"/>
        </w:numPr>
        <w:spacing w:after="160"/>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French NIR, the following table shows the ratio between vehicles and </w:t>
      </w:r>
      <w:r>
        <w:rPr>
          <w:rFonts w:ascii="Times New Roman" w:hAnsi="Times New Roman" w:cs="Times New Roman"/>
          <w:noProof/>
          <w:sz w:val="24"/>
          <w:lang w:val="en-IE"/>
        </w:rPr>
        <w:t>publicly accessible recharging points (i.e. sufficiency index) for the pair electricity/road. For the past period 2016-2018, the ratios are inferior to the value of 10 and thus can be regarded as adequate. Instead, for 2020, the sufficiency index exceeds t</w:t>
      </w:r>
      <w:r>
        <w:rPr>
          <w:rFonts w:ascii="Times New Roman" w:hAnsi="Times New Roman" w:cs="Times New Roman"/>
          <w:noProof/>
          <w:sz w:val="24"/>
          <w:lang w:val="en-IE"/>
        </w:rPr>
        <w:t xml:space="preserve">he recommended value and can be regarded as inadequate. For 2025 and 2030, the ratios could be not calculated because of the lack of AFI targets for these specific years. </w:t>
      </w:r>
    </w:p>
    <w:p w:rsidR="003C43BF" w:rsidRDefault="006C3212">
      <w:pPr>
        <w:rPr>
          <w:rFonts w:ascii="Times New Roman" w:hAnsi="Times New Roman" w:cs="Times New Roman"/>
          <w:noProof/>
          <w:color w:val="0070C0"/>
          <w:sz w:val="24"/>
          <w:lang w:val="en-IE"/>
        </w:rPr>
      </w:pPr>
      <w:r>
        <w:rPr>
          <w:rFonts w:ascii="Times New Roman" w:hAnsi="Times New Roman" w:cs="Times New Roman"/>
          <w:noProof/>
          <w:sz w:val="24"/>
          <w:lang w:eastAsia="en-GB"/>
        </w:rPr>
        <w:drawing>
          <wp:inline distT="0" distB="0" distL="0" distR="0">
            <wp:extent cx="5083810" cy="387985"/>
            <wp:effectExtent l="0" t="0" r="2540" b="0"/>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83810" cy="387985"/>
                    </a:xfrm>
                    <a:prstGeom prst="rect">
                      <a:avLst/>
                    </a:prstGeom>
                    <a:noFill/>
                    <a:ln>
                      <a:noFill/>
                    </a:ln>
                  </pic:spPr>
                </pic:pic>
              </a:graphicData>
            </a:graphic>
          </wp:inline>
        </w:drawing>
      </w:r>
    </w:p>
    <w:p w:rsidR="003C43BF" w:rsidRDefault="006C3212">
      <w:pPr>
        <w:rPr>
          <w:rFonts w:ascii="Times New Roman" w:hAnsi="Times New Roman" w:cs="Times New Roman"/>
          <w:noProof/>
          <w:sz w:val="20"/>
          <w:szCs w:val="18"/>
          <w:lang w:val="en-IE"/>
        </w:rPr>
      </w:pPr>
      <w:r>
        <w:rPr>
          <w:rFonts w:ascii="Times New Roman" w:hAnsi="Times New Roman" w:cs="Times New Roman"/>
          <w:noProof/>
          <w:sz w:val="20"/>
          <w:szCs w:val="18"/>
          <w:lang w:val="en-IE"/>
        </w:rPr>
        <w:t>Legend: *calculated using the AFI target value provided in the NPF</w:t>
      </w:r>
    </w:p>
    <w:p w:rsidR="003C43BF" w:rsidRDefault="006C3212">
      <w:pPr>
        <w:pStyle w:val="Heading6"/>
        <w:numPr>
          <w:ilvl w:val="0"/>
          <w:numId w:val="0"/>
        </w:numPr>
        <w:spacing w:after="160"/>
        <w:rPr>
          <w:rFonts w:ascii="Times New Roman" w:hAnsi="Times New Roman" w:cs="Times New Roman"/>
          <w:noProof/>
          <w:color w:val="000000" w:themeColor="text1"/>
          <w:sz w:val="24"/>
          <w:lang w:val="en-IE"/>
        </w:rPr>
      </w:pPr>
      <w:r>
        <w:rPr>
          <w:rFonts w:ascii="Times New Roman" w:hAnsi="Times New Roman" w:cs="Times New Roman"/>
          <w:noProof/>
          <w:sz w:val="24"/>
          <w:lang w:val="en-IE"/>
        </w:rPr>
        <w:t xml:space="preserve">Information on charging efficiency </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French NIR states that the Corri-door network co-funded by CEF-T can be seen as representative in terms of the utilisation rate of high power (&gt;22kW) recharging points. In 2018, the network of 200 high power rechargi</w:t>
      </w:r>
      <w:r>
        <w:rPr>
          <w:rFonts w:ascii="Times New Roman" w:hAnsi="Times New Roman" w:cs="Times New Roman"/>
          <w:noProof/>
          <w:color w:val="000000" w:themeColor="text1"/>
          <w:sz w:val="24"/>
          <w:lang w:val="en-IE"/>
        </w:rPr>
        <w:t>ng points recorded 40,000 recharges with an average duration of 32 minutes. Therefore, they recorded on average a charge time of 18 minutes per day with 0.55 recharges per day (one recharge every 1.825 days).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b/>
          <w:i/>
          <w:iCs/>
          <w:noProof/>
          <w:color w:val="000000" w:themeColor="text1"/>
          <w:sz w:val="24"/>
          <w:lang w:val="en-IE"/>
        </w:rPr>
      </w:pPr>
      <w:r>
        <w:rPr>
          <w:rFonts w:ascii="Times New Roman" w:hAnsi="Times New Roman" w:cs="Times New Roman"/>
          <w:noProof/>
          <w:color w:val="000000" w:themeColor="text1"/>
          <w:sz w:val="24"/>
          <w:lang w:val="en-IE"/>
        </w:rPr>
        <w:t>The French NIR does not differenti</w:t>
      </w:r>
      <w:r>
        <w:rPr>
          <w:rFonts w:ascii="Times New Roman" w:hAnsi="Times New Roman" w:cs="Times New Roman"/>
          <w:noProof/>
          <w:color w:val="000000" w:themeColor="text1"/>
          <w:sz w:val="24"/>
          <w:lang w:val="en-IE"/>
        </w:rPr>
        <w:t>ate between CNG and LNG vehicles, presenting data for natural gas vehicles. For the period 2016-2018, the French NIR only provides the situation for 2017: 12,150 natural gas vehicles in use, out of which 8,200 were LCVs, 1,350 HCVs and 2,600 buses and coac</w:t>
      </w:r>
      <w:r>
        <w:rPr>
          <w:rFonts w:ascii="Times New Roman" w:hAnsi="Times New Roman" w:cs="Times New Roman"/>
          <w:noProof/>
          <w:color w:val="000000" w:themeColor="text1"/>
          <w:sz w:val="24"/>
          <w:lang w:val="en-IE"/>
        </w:rPr>
        <w:t xml:space="preserve">hes. According to EAFO, there were 15,306 natural gas vehicles in 2018 in France. In contrast to the NPF, which did not contain </w:t>
      </w:r>
      <w:r>
        <w:rPr>
          <w:rFonts w:ascii="Times New Roman" w:hAnsi="Times New Roman" w:cs="Times New Roman"/>
          <w:iCs/>
          <w:noProof/>
          <w:color w:val="000000" w:themeColor="text1"/>
          <w:sz w:val="24"/>
          <w:lang w:val="en-IE"/>
        </w:rPr>
        <w:t>natural gas vehicle estimates, the FR NIR presents all the required estimates for the next decade: 11,600 for 2020, 97,800 for 2</w:t>
      </w:r>
      <w:r>
        <w:rPr>
          <w:rFonts w:ascii="Times New Roman" w:hAnsi="Times New Roman" w:cs="Times New Roman"/>
          <w:iCs/>
          <w:noProof/>
          <w:color w:val="000000" w:themeColor="text1"/>
          <w:sz w:val="24"/>
          <w:lang w:val="en-IE"/>
        </w:rPr>
        <w:t>025 and 207,700 for 2030. The foreseen composition of the natural gas fleet in 2030 is 129,000 LCVs, 70,000 HCVs and 8,700 buses and coaches.</w:t>
      </w:r>
    </w:p>
    <w:p w:rsidR="003C43BF" w:rsidRDefault="006C3212">
      <w:pPr>
        <w:tabs>
          <w:tab w:val="left" w:pos="360"/>
        </w:tabs>
        <w:jc w:val="both"/>
        <w:rPr>
          <w:rFonts w:ascii="Times New Roman" w:hAnsi="Times New Roman" w:cs="Times New Roman"/>
          <w:noProof/>
          <w:sz w:val="28"/>
          <w:szCs w:val="24"/>
          <w:lang w:val="en-IE"/>
        </w:rPr>
      </w:pPr>
      <w:r>
        <w:rPr>
          <w:rFonts w:ascii="Times New Roman" w:hAnsi="Times New Roman" w:cs="Times New Roman"/>
          <w:iCs/>
          <w:noProof/>
          <w:color w:val="000000" w:themeColor="text1"/>
          <w:sz w:val="24"/>
          <w:lang w:val="en-IE"/>
        </w:rPr>
        <w:t>The 2018</w:t>
      </w:r>
      <w:r>
        <w:rPr>
          <w:rFonts w:ascii="Times New Roman" w:hAnsi="Times New Roman" w:cs="Times New Roman"/>
          <w:iCs/>
          <w:noProof/>
          <w:sz w:val="24"/>
          <w:lang w:val="en-IE"/>
        </w:rPr>
        <w:t xml:space="preserve">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natural gas vehicles estimates is 131.95% for 2020 and 7.37% for 2030. According to </w:t>
      </w:r>
      <w:r>
        <w:rPr>
          <w:rFonts w:ascii="Times New Roman" w:hAnsi="Times New Roman" w:cs="Times New Roman"/>
          <w:iCs/>
          <w:noProof/>
          <w:sz w:val="24"/>
          <w:lang w:val="en-IE"/>
        </w:rPr>
        <w:t xml:space="preserve">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 envisaged natural gas vehicles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w:t>
      </w:r>
      <w:r>
        <w:rPr>
          <w:rFonts w:ascii="Times New Roman" w:hAnsi="Times New Roman" w:cs="Times New Roman"/>
          <w:iCs/>
          <w:noProof/>
          <w:sz w:val="24"/>
          <w:lang w:val="en-IE"/>
        </w:rPr>
        <w:t>natural gas</w:t>
      </w:r>
      <w:r>
        <w:rPr>
          <w:rFonts w:ascii="Times New Roman" w:hAnsi="Times New Roman" w:cs="Times New Roman"/>
          <w:iCs/>
          <w:noProof/>
          <w:color w:val="000000" w:themeColor="text1"/>
          <w:sz w:val="24"/>
          <w:lang w:val="en-IE"/>
        </w:rPr>
        <w:t xml:space="preserve"> vehicle fleet evolution planned by France is equal to</w:t>
      </w:r>
      <w:r>
        <w:rPr>
          <w:rFonts w:ascii="Times New Roman" w:hAnsi="Times New Roman" w:cs="Times New Roman"/>
          <w:iCs/>
          <w:noProof/>
          <w:sz w:val="24"/>
          <w:lang w:val="en-IE"/>
        </w:rPr>
        <w:t xml:space="preserve"> 26%.</w:t>
      </w:r>
      <w:r>
        <w:rPr>
          <w:rFonts w:ascii="Times New Roman" w:hAnsi="Times New Roman" w:cs="Times New Roman"/>
          <w:noProof/>
          <w:sz w:val="28"/>
          <w:szCs w:val="24"/>
          <w:lang w:val="en-IE"/>
        </w:rPr>
        <w:t xml:space="preserve"> </w:t>
      </w:r>
    </w:p>
    <w:p w:rsidR="003C43BF" w:rsidRDefault="006C3212">
      <w:pPr>
        <w:rPr>
          <w:rFonts w:ascii="Times New Roman" w:hAnsi="Times New Roman" w:cs="Times New Roman"/>
          <w:noProof/>
          <w:sz w:val="28"/>
          <w:szCs w:val="24"/>
          <w:lang w:val="en-IE"/>
        </w:rPr>
      </w:pPr>
      <w:r>
        <w:rPr>
          <w:rFonts w:ascii="Times New Roman" w:hAnsi="Times New Roman" w:cs="Times New Roman"/>
          <w:noProof/>
          <w:sz w:val="28"/>
          <w:szCs w:val="24"/>
          <w:lang w:val="en-IE"/>
        </w:rPr>
        <w:br w:type="page"/>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For the period 2016-2018, the French NIR</w:t>
      </w:r>
      <w:r>
        <w:rPr>
          <w:rFonts w:ascii="Times New Roman" w:hAnsi="Times New Roman" w:cs="Times New Roman"/>
          <w:noProof/>
          <w:sz w:val="24"/>
          <w:lang w:val="en-IE"/>
        </w:rPr>
        <w:t xml:space="preserve"> does not provide numerical information on the existing CNG infrastructure</w:t>
      </w:r>
      <w:r>
        <w:rPr>
          <w:rStyle w:val="FootnoteReference"/>
          <w:rFonts w:ascii="Times New Roman" w:hAnsi="Times New Roman" w:cs="Times New Roman"/>
          <w:noProof/>
          <w:sz w:val="24"/>
          <w:lang w:val="en-IE"/>
        </w:rPr>
        <w:footnoteReference w:id="36"/>
      </w:r>
      <w:r>
        <w:rPr>
          <w:rFonts w:ascii="Times New Roman" w:hAnsi="Times New Roman" w:cs="Times New Roman"/>
          <w:noProof/>
          <w:sz w:val="24"/>
          <w:lang w:val="en-IE"/>
        </w:rPr>
        <w:t>. According to EAFO, there were 61 CNG refuelling po</w:t>
      </w:r>
      <w:r>
        <w:rPr>
          <w:rFonts w:ascii="Times New Roman" w:hAnsi="Times New Roman" w:cs="Times New Roman"/>
          <w:noProof/>
          <w:sz w:val="24"/>
          <w:lang w:val="en-IE"/>
        </w:rPr>
        <w:t>ints in France at the end of 2018. As targets for the next decade, the FR NIR mentions only the SDMP2 proposal targets that represent the number of stations needed to supply the projected vehicle numbers. Thus, it is stated that France will require at leas</w:t>
      </w:r>
      <w:r>
        <w:rPr>
          <w:rFonts w:ascii="Times New Roman" w:hAnsi="Times New Roman" w:cs="Times New Roman"/>
          <w:noProof/>
          <w:sz w:val="24"/>
          <w:lang w:val="en-IE"/>
        </w:rPr>
        <w:t>t 121 CNG stations by 2023 and 285 by 2028. Therefore, this assessment considers as conservative target for 2025 at least 121 CNG stations and at least 285 CNG stations for 2030</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The FR NPF contained targets of 79 CNG refuelling stations for 2020 and of 11</w:t>
      </w:r>
      <w:r>
        <w:rPr>
          <w:rFonts w:ascii="Times New Roman" w:hAnsi="Times New Roman" w:cs="Times New Roman"/>
          <w:noProof/>
          <w:sz w:val="24"/>
          <w:lang w:val="en-IE"/>
        </w:rPr>
        <w:t xml:space="preserve">6 for 2025. </w:t>
      </w:r>
      <w:r>
        <w:rPr>
          <w:rFonts w:ascii="Times New Roman" w:hAnsi="Times New Roman" w:cs="Times New Roman"/>
          <w:noProof/>
          <w:color w:val="000000" w:themeColor="text1"/>
          <w:sz w:val="24"/>
          <w:lang w:val="en-IE"/>
        </w:rPr>
        <w:t xml:space="preserve">The new considered NIR target for 2025 represents a slight increase of 4.31% compared to the NPF. </w:t>
      </w:r>
    </w:p>
    <w:p w:rsidR="003C43BF" w:rsidRDefault="006C3212">
      <w:pPr>
        <w:tabs>
          <w:tab w:val="left" w:pos="360"/>
        </w:tabs>
        <w:jc w:val="both"/>
        <w:rPr>
          <w:rFonts w:ascii="Times New Roman" w:hAnsi="Times New Roman" w:cs="Times New Roman"/>
          <w:noProof/>
          <w:sz w:val="28"/>
          <w:szCs w:val="24"/>
          <w:lang w:val="en-IE"/>
        </w:rPr>
      </w:pPr>
      <w:r>
        <w:rPr>
          <w:rFonts w:ascii="Times New Roman" w:hAnsi="Times New Roman" w:cs="Times New Roman"/>
          <w:noProof/>
          <w:color w:val="000000" w:themeColor="text1"/>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noProof/>
          <w:color w:val="000000" w:themeColor="text1"/>
          <w:sz w:val="24"/>
          <w:lang w:val="en-IE"/>
        </w:rPr>
        <w:t xml:space="preserve"> of future public CNG refuelling</w:t>
      </w:r>
      <w:r>
        <w:rPr>
          <w:rFonts w:ascii="Times New Roman" w:hAnsi="Times New Roman" w:cs="Times New Roman"/>
          <w:iCs/>
          <w:noProof/>
          <w:sz w:val="24"/>
          <w:lang w:val="en-IE"/>
        </w:rPr>
        <w:t xml:space="preserve"> infrastructure targets is 77.22% for 2020 and 21.4% for 2030. According to the assessment met</w:t>
      </w:r>
      <w:r>
        <w:rPr>
          <w:rFonts w:ascii="Times New Roman" w:hAnsi="Times New Roman" w:cs="Times New Roman"/>
          <w:iCs/>
          <w:noProof/>
          <w:sz w:val="24"/>
          <w:lang w:val="en-IE"/>
        </w:rPr>
        <w:t xml:space="preserve">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CNG refuelling infrastructure evolution planned by France is equal to</w:t>
      </w:r>
      <w:r>
        <w:rPr>
          <w:rFonts w:ascii="Times New Roman" w:hAnsi="Times New Roman" w:cs="Times New Roman"/>
          <w:iCs/>
          <w:noProof/>
          <w:sz w:val="24"/>
          <w:lang w:val="en-IE"/>
        </w:rPr>
        <w:t xml:space="preserve"> 14%.</w:t>
      </w:r>
      <w:r>
        <w:rPr>
          <w:rFonts w:ascii="Times New Roman" w:hAnsi="Times New Roman" w:cs="Times New Roman"/>
          <w:noProof/>
          <w:sz w:val="28"/>
          <w:szCs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ratio </w:t>
      </w:r>
      <w:r>
        <w:rPr>
          <w:rFonts w:ascii="Times New Roman" w:hAnsi="Times New Roman" w:cs="Times New Roman"/>
          <w:noProof/>
          <w:sz w:val="24"/>
          <w:lang w:val="en-IE"/>
        </w:rPr>
        <w:t>between vehicles and publicly accessible refuelling points (i.e. sufficiency index) for the pair CNG/</w:t>
      </w:r>
      <w:r>
        <w:rPr>
          <w:rFonts w:ascii="Times New Roman" w:hAnsi="Times New Roman" w:cs="Times New Roman"/>
          <w:noProof/>
          <w:sz w:val="24"/>
          <w:lang w:val="en-IE"/>
        </w:rPr>
        <w:t xml:space="preserve">road </w:t>
      </w:r>
      <w:r>
        <w:rPr>
          <w:rFonts w:ascii="Times New Roman" w:hAnsi="Times New Roman" w:cs="Times New Roman"/>
          <w:noProof/>
          <w:color w:val="000000" w:themeColor="text1"/>
          <w:sz w:val="24"/>
          <w:lang w:val="en-IE"/>
        </w:rPr>
        <w:t>cannot be computed since the FR NIR provided only information on natural gas vehicles (CNG+LNG).</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Vehicles </w:t>
      </w:r>
    </w:p>
    <w:p w:rsidR="003C43BF" w:rsidRDefault="006C3212">
      <w:pPr>
        <w:jc w:val="both"/>
        <w:rPr>
          <w:rFonts w:ascii="Times New Roman" w:eastAsiaTheme="majorEastAsia" w:hAnsi="Times New Roman" w:cs="Times New Roman"/>
          <w:noProof/>
          <w:sz w:val="24"/>
          <w:lang w:val="en-IE"/>
        </w:rPr>
      </w:pPr>
      <w:r>
        <w:rPr>
          <w:rFonts w:ascii="Times New Roman" w:eastAsiaTheme="majorEastAsia" w:hAnsi="Times New Roman" w:cs="Times New Roman"/>
          <w:noProof/>
          <w:sz w:val="24"/>
          <w:lang w:val="en-IE"/>
        </w:rPr>
        <w:t>No available data since the LNG vehicles are not discriminated from natural gas vehicles (see Section 5.10.3.1.2).</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For the </w:t>
      </w:r>
      <w:r>
        <w:rPr>
          <w:rFonts w:ascii="Times New Roman" w:hAnsi="Times New Roman" w:cs="Times New Roman"/>
          <w:noProof/>
          <w:color w:val="000000" w:themeColor="text1"/>
          <w:sz w:val="24"/>
          <w:lang w:val="en-IE"/>
        </w:rPr>
        <w:t>period 2016-2018, the French NIR</w:t>
      </w:r>
      <w:r>
        <w:rPr>
          <w:rFonts w:ascii="Times New Roman" w:hAnsi="Times New Roman" w:cs="Times New Roman"/>
          <w:noProof/>
          <w:sz w:val="24"/>
          <w:lang w:val="en-IE"/>
        </w:rPr>
        <w:t xml:space="preserve"> does not provide numerical information on the existing LNG infrastructure</w:t>
      </w:r>
      <w:r>
        <w:rPr>
          <w:rStyle w:val="FootnoteReference"/>
          <w:rFonts w:ascii="Times New Roman" w:hAnsi="Times New Roman" w:cs="Times New Roman"/>
          <w:noProof/>
          <w:sz w:val="24"/>
          <w:lang w:val="en-IE"/>
        </w:rPr>
        <w:footnoteReference w:id="37"/>
      </w:r>
      <w:r>
        <w:rPr>
          <w:rFonts w:ascii="Times New Roman" w:hAnsi="Times New Roman" w:cs="Times New Roman"/>
          <w:noProof/>
          <w:sz w:val="24"/>
          <w:lang w:val="en-IE"/>
        </w:rPr>
        <w:t>. According to EAFO, there were 20 LNG refuelling points in France at the end of 2018. As targets for the next decade, the FR NIR mentions only the S</w:t>
      </w:r>
      <w:r>
        <w:rPr>
          <w:rFonts w:ascii="Times New Roman" w:hAnsi="Times New Roman" w:cs="Times New Roman"/>
          <w:noProof/>
          <w:sz w:val="24"/>
          <w:lang w:val="en-IE"/>
        </w:rPr>
        <w:t xml:space="preserve">DMP2 proposal LNG infrastructure targets that represent the number of stations needed to supply the projected vehicle numbers. Thus, it is stated that France will require at least 17 LNG stations by 2023 and 41 by 2028. The FR NPF contained a target of 25 </w:t>
      </w:r>
      <w:r>
        <w:rPr>
          <w:rFonts w:ascii="Times New Roman" w:hAnsi="Times New Roman" w:cs="Times New Roman"/>
          <w:noProof/>
          <w:sz w:val="24"/>
          <w:lang w:val="en-IE"/>
        </w:rPr>
        <w:t xml:space="preserve">LNG refuelling stations for 2025. This assessment considers as conservative target for 2030 at least 41 LNG refuelling stations since this value was indicated by </w:t>
      </w:r>
      <w:r>
        <w:rPr>
          <w:rFonts w:ascii="Times New Roman" w:hAnsi="Times New Roman" w:cs="Times New Roman"/>
          <w:noProof/>
          <w:color w:val="000000" w:themeColor="text1"/>
          <w:sz w:val="24"/>
          <w:lang w:val="en-IE"/>
        </w:rPr>
        <w:t xml:space="preserve">SDMP2 for 2028. </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noProof/>
          <w:color w:val="000000" w:themeColor="text1"/>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future public LNG refuelling infrastructure targets is 80% for 2025 and 48.78% for 2030. According to the assessment methodology described in Section 2.1, the progress obtained by France from 2016 until 2018 for public LNG refuelling infrastructure depl</w:t>
      </w:r>
      <w:r>
        <w:rPr>
          <w:rFonts w:ascii="Times New Roman" w:hAnsi="Times New Roman" w:cs="Times New Roman"/>
          <w:iCs/>
          <w:noProof/>
          <w:sz w:val="24"/>
          <w:lang w:val="en-IE"/>
        </w:rPr>
        <w:t xml:space="preserve">oyment is 47.5% of the overall planned deployment during the period 2016-2030. </w:t>
      </w:r>
    </w:p>
    <w:p w:rsidR="003C43BF" w:rsidRDefault="003C43BF">
      <w:pPr>
        <w:tabs>
          <w:tab w:val="left" w:pos="360"/>
        </w:tabs>
        <w:jc w:val="both"/>
        <w:rPr>
          <w:rFonts w:ascii="Times New Roman" w:hAnsi="Times New Roman" w:cs="Times New Roman"/>
          <w:iCs/>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Ratio </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ratio </w:t>
      </w:r>
      <w:r>
        <w:rPr>
          <w:rFonts w:ascii="Times New Roman" w:hAnsi="Times New Roman" w:cs="Times New Roman"/>
          <w:noProof/>
          <w:sz w:val="24"/>
          <w:lang w:val="en-IE"/>
        </w:rPr>
        <w:t xml:space="preserve">between vehicles and publicly accessible refuelling points (i.e. sufficiency index) for the pair LNG/road </w:t>
      </w:r>
      <w:r>
        <w:rPr>
          <w:rFonts w:ascii="Times New Roman" w:hAnsi="Times New Roman" w:cs="Times New Roman"/>
          <w:noProof/>
          <w:color w:val="000000" w:themeColor="text1"/>
          <w:sz w:val="24"/>
          <w:lang w:val="en-IE"/>
        </w:rPr>
        <w:t>cannot be computed since the FR NIR provided only in</w:t>
      </w:r>
      <w:r>
        <w:rPr>
          <w:rFonts w:ascii="Times New Roman" w:hAnsi="Times New Roman" w:cs="Times New Roman"/>
          <w:noProof/>
          <w:color w:val="000000" w:themeColor="text1"/>
          <w:sz w:val="24"/>
          <w:lang w:val="en-IE"/>
        </w:rPr>
        <w:t>formation on natural gas vehicles (CNG+LNG).</w:t>
      </w:r>
    </w:p>
    <w:p w:rsidR="003C43BF" w:rsidRDefault="003C43BF">
      <w:pPr>
        <w:jc w:val="both"/>
        <w:rPr>
          <w:rFonts w:ascii="Times New Roman" w:hAnsi="Times New Roman" w:cs="Times New Roman"/>
          <w:noProof/>
          <w:color w:val="000000" w:themeColor="text1"/>
          <w:sz w:val="24"/>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Hydrogen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FR NIR mentions that the French government adopted the Energy Transition Hydrogen Deployment Plan (</w:t>
      </w:r>
      <w:r>
        <w:rPr>
          <w:rFonts w:ascii="Times New Roman" w:hAnsi="Times New Roman" w:cs="Times New Roman"/>
          <w:i/>
          <w:iCs/>
          <w:noProof/>
          <w:sz w:val="24"/>
          <w:lang w:val="en-IE"/>
        </w:rPr>
        <w:t>Plan de déploiement de l’hydrogène pour la transition énergétique</w:t>
      </w:r>
      <w:r>
        <w:rPr>
          <w:rFonts w:ascii="Times New Roman" w:hAnsi="Times New Roman" w:cs="Times New Roman"/>
          <w:noProof/>
          <w:sz w:val="24"/>
          <w:lang w:val="en-IE"/>
        </w:rPr>
        <w:t>) in 2018 which is setting object</w:t>
      </w:r>
      <w:r>
        <w:rPr>
          <w:rFonts w:ascii="Times New Roman" w:hAnsi="Times New Roman" w:cs="Times New Roman"/>
          <w:noProof/>
          <w:sz w:val="24"/>
          <w:lang w:val="en-IE"/>
        </w:rPr>
        <w:t>ives for the deployment of vehicles and refuelling infrastructure that will be appended to the SDMP2 when it is adopted. In this assessment, the objectives from this plan are therefore considered.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According to EAFO, there were 351 hydrogen-powered</w:t>
      </w:r>
      <w:r>
        <w:rPr>
          <w:rFonts w:ascii="Times New Roman" w:hAnsi="Times New Roman" w:cs="Times New Roman"/>
          <w:noProof/>
          <w:sz w:val="24"/>
          <w:lang w:val="en-IE"/>
        </w:rPr>
        <w:t xml:space="preserve"> vehicles in use in France at the end of 2018 (77 passenger cars and 274 LCVs). The French NIR only indicates that around 100 hydrogen-powered passenger cars were in use in 2018, while the information for the other vehicles categories is missing. The FR NI</w:t>
      </w:r>
      <w:r>
        <w:rPr>
          <w:rFonts w:ascii="Times New Roman" w:hAnsi="Times New Roman" w:cs="Times New Roman"/>
          <w:noProof/>
          <w:sz w:val="24"/>
          <w:lang w:val="en-IE"/>
        </w:rPr>
        <w:t>R provides estimates of 235 vehicles (220 LCVs, 15 HDVs</w:t>
      </w:r>
      <w:r>
        <w:rPr>
          <w:rStyle w:val="FootnoteReference"/>
          <w:rFonts w:ascii="Times New Roman" w:hAnsi="Times New Roman" w:cs="Times New Roman"/>
          <w:noProof/>
          <w:sz w:val="24"/>
          <w:lang w:val="en-IE"/>
        </w:rPr>
        <w:footnoteReference w:id="38"/>
      </w:r>
      <w:r>
        <w:rPr>
          <w:rFonts w:ascii="Times New Roman" w:hAnsi="Times New Roman" w:cs="Times New Roman"/>
          <w:noProof/>
          <w:sz w:val="24"/>
          <w:lang w:val="en-IE"/>
        </w:rPr>
        <w:t>) by 2020 and 9,050 vehicles (8,700 LCVs, 350 HDVs) by 2025 while the FR NPF had not included any estimate.</w:t>
      </w:r>
    </w:p>
    <w:p w:rsidR="003C43BF" w:rsidRDefault="006C3212">
      <w:pPr>
        <w:tabs>
          <w:tab w:val="left" w:pos="360"/>
        </w:tabs>
        <w:jc w:val="both"/>
        <w:rPr>
          <w:rFonts w:ascii="Times New Roman" w:hAnsi="Times New Roman" w:cs="Times New Roman"/>
          <w:noProof/>
          <w:color w:val="000000" w:themeColor="text1"/>
          <w:sz w:val="24"/>
          <w:shd w:val="clear" w:color="auto" w:fill="FFFFFF"/>
          <w:lang w:val="en-IE"/>
        </w:rPr>
      </w:pPr>
      <w:r>
        <w:rPr>
          <w:rFonts w:ascii="Times New Roman" w:hAnsi="Times New Roman" w:cs="Times New Roman"/>
          <w:noProof/>
          <w:sz w:val="24"/>
          <w:lang w:val="en-IE"/>
        </w:rPr>
        <w:t>The 2018</w:t>
      </w:r>
      <w:r>
        <w:rPr>
          <w:rFonts w:ascii="Times New Roman" w:eastAsia="Calibri" w:hAnsi="Times New Roman" w:cs="Times New Roman"/>
          <w:noProof/>
          <w:sz w:val="24"/>
          <w:lang w:val="en-IE"/>
        </w:rPr>
        <w:t xml:space="preserve"> </w:t>
      </w:r>
      <w:r>
        <w:rPr>
          <w:rFonts w:ascii="Times New Roman" w:eastAsia="Calibri" w:hAnsi="Times New Roman" w:cs="Times New Roman"/>
          <w:b/>
          <w:i/>
          <w:noProof/>
          <w:sz w:val="24"/>
          <w:lang w:val="en-IE"/>
        </w:rPr>
        <w:t>attainment</w:t>
      </w:r>
      <w:r>
        <w:rPr>
          <w:rFonts w:ascii="Times New Roman" w:eastAsia="Calibri" w:hAnsi="Times New Roman" w:cs="Times New Roman"/>
          <w:noProof/>
          <w:sz w:val="24"/>
          <w:lang w:val="en-IE"/>
        </w:rPr>
        <w:t xml:space="preserve"> of future hydrogen vehicles estimates is </w:t>
      </w:r>
      <w:r>
        <w:rPr>
          <w:rFonts w:ascii="Times New Roman" w:eastAsia="Calibri" w:hAnsi="Times New Roman" w:cs="Times New Roman"/>
          <w:iCs/>
          <w:noProof/>
          <w:color w:val="000000"/>
          <w:sz w:val="24"/>
          <w:lang w:val="en-IE"/>
        </w:rPr>
        <w:t xml:space="preserve">above 100% for 2020 and 3.88% for 2030. According to the assessment methodology described in </w:t>
      </w:r>
      <w:r>
        <w:rPr>
          <w:rFonts w:ascii="Times New Roman" w:hAnsi="Times New Roman" w:cs="Times New Roman"/>
          <w:iCs/>
          <w:noProof/>
          <w:sz w:val="24"/>
          <w:lang w:val="en-IE"/>
        </w:rPr>
        <w:t>Section 2.1</w:t>
      </w:r>
      <w:r>
        <w:rPr>
          <w:rFonts w:ascii="Times New Roman" w:eastAsia="Calibri" w:hAnsi="Times New Roman" w:cs="Times New Roman"/>
          <w:iCs/>
          <w:noProof/>
          <w:color w:val="000000"/>
          <w:sz w:val="24"/>
          <w:lang w:val="en-IE"/>
        </w:rPr>
        <w:t xml:space="preserve">, the </w:t>
      </w:r>
      <w:r>
        <w:rPr>
          <w:rFonts w:ascii="Times New Roman" w:eastAsia="Calibri" w:hAnsi="Times New Roman" w:cs="Times New Roman"/>
          <w:b/>
          <w:i/>
          <w:iCs/>
          <w:noProof/>
          <w:color w:val="000000"/>
          <w:sz w:val="24"/>
          <w:lang w:val="en-IE"/>
        </w:rPr>
        <w:t>progress</w:t>
      </w:r>
      <w:r>
        <w:rPr>
          <w:rFonts w:ascii="Times New Roman" w:eastAsia="Calibri" w:hAnsi="Times New Roman" w:cs="Times New Roman"/>
          <w:iCs/>
          <w:noProof/>
          <w:color w:val="000000"/>
          <w:sz w:val="24"/>
          <w:lang w:val="en-IE"/>
        </w:rPr>
        <w:t xml:space="preserve"> obtained by France for hydrogen vehicles deployment from 2016 until 2018 </w:t>
      </w:r>
      <w:r>
        <w:rPr>
          <w:rFonts w:ascii="Times New Roman" w:hAnsi="Times New Roman" w:cs="Times New Roman"/>
          <w:noProof/>
          <w:color w:val="000000" w:themeColor="text1"/>
          <w:sz w:val="24"/>
          <w:shd w:val="clear" w:color="auto" w:fill="FFFFFF"/>
          <w:lang w:val="en-IE"/>
        </w:rPr>
        <w:t>versus the period 2016-2030 could not be computed because the 20</w:t>
      </w:r>
      <w:r>
        <w:rPr>
          <w:rFonts w:ascii="Times New Roman" w:hAnsi="Times New Roman" w:cs="Times New Roman"/>
          <w:noProof/>
          <w:color w:val="000000" w:themeColor="text1"/>
          <w:sz w:val="24"/>
          <w:shd w:val="clear" w:color="auto" w:fill="FFFFFF"/>
          <w:lang w:val="en-IE"/>
        </w:rPr>
        <w:t>30 estimate is absent.</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For the period 2016-2018, the French NIR does not provide numerical information on the existing hydrogen refuelling infrastructure</w:t>
      </w:r>
      <w:r>
        <w:rPr>
          <w:rFonts w:ascii="Times New Roman" w:eastAsia="Calibri" w:hAnsi="Times New Roman" w:cs="Times New Roman"/>
          <w:noProof/>
          <w:sz w:val="24"/>
          <w:vertAlign w:val="superscript"/>
          <w:lang w:val="en-IE"/>
        </w:rPr>
        <w:footnoteReference w:id="39"/>
      </w:r>
      <w:r>
        <w:rPr>
          <w:rFonts w:ascii="Times New Roman" w:eastAsia="Calibri" w:hAnsi="Times New Roman" w:cs="Times New Roman"/>
          <w:noProof/>
          <w:sz w:val="24"/>
          <w:lang w:val="en-IE"/>
        </w:rPr>
        <w:t>. According to “VIG'HY l'observatoire de l'hydrogène”</w:t>
      </w:r>
      <w:r>
        <w:rPr>
          <w:rFonts w:ascii="Times New Roman" w:eastAsia="Calibri" w:hAnsi="Times New Roman" w:cs="Times New Roman"/>
          <w:noProof/>
          <w:sz w:val="24"/>
          <w:vertAlign w:val="superscript"/>
          <w:lang w:val="en-IE"/>
        </w:rPr>
        <w:footnoteReference w:id="40"/>
      </w:r>
      <w:r>
        <w:rPr>
          <w:rFonts w:ascii="Times New Roman" w:eastAsia="Calibri" w:hAnsi="Times New Roman" w:cs="Times New Roman"/>
          <w:noProof/>
          <w:sz w:val="24"/>
          <w:lang w:val="en-IE"/>
        </w:rPr>
        <w:t>, there were 20 public hydrogen r</w:t>
      </w:r>
      <w:r>
        <w:rPr>
          <w:rFonts w:ascii="Times New Roman" w:eastAsia="Calibri" w:hAnsi="Times New Roman" w:cs="Times New Roman"/>
          <w:noProof/>
          <w:sz w:val="24"/>
          <w:lang w:val="en-IE"/>
        </w:rPr>
        <w:t>efuelling points in France at the end of 2018. As targets for the next decade, the FR NIR mentions only the total</w:t>
      </w:r>
      <w:r>
        <w:rPr>
          <w:rFonts w:ascii="Times New Roman" w:eastAsia="Calibri" w:hAnsi="Times New Roman" w:cs="Times New Roman"/>
          <w:noProof/>
          <w:sz w:val="24"/>
          <w:vertAlign w:val="superscript"/>
          <w:lang w:val="en-IE"/>
        </w:rPr>
        <w:footnoteReference w:id="41"/>
      </w:r>
      <w:r>
        <w:rPr>
          <w:rFonts w:ascii="Times New Roman" w:eastAsia="Calibri" w:hAnsi="Times New Roman" w:cs="Times New Roman"/>
          <w:noProof/>
          <w:sz w:val="24"/>
          <w:lang w:val="en-IE"/>
        </w:rPr>
        <w:t xml:space="preserve"> hydrogen infrastructure targets from the hydrogen plan: 100 hydrogen stations by 2023 and 400 by 2028. This assessment considers as conservat</w:t>
      </w:r>
      <w:r>
        <w:rPr>
          <w:rFonts w:ascii="Times New Roman" w:eastAsia="Calibri" w:hAnsi="Times New Roman" w:cs="Times New Roman"/>
          <w:noProof/>
          <w:sz w:val="24"/>
          <w:lang w:val="en-IE"/>
        </w:rPr>
        <w:t>ive target for 2025 at least 100 stations and at least 400 stations for 2030. The FR NPF contained a target of 30 hydrogen refuelling stations for 2025, and therefore the new considered target represents a significant increase of 233%.</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hydrogen refuelling infrastructure targets is 20% for 2025 and 5% for 2030. </w:t>
      </w:r>
      <w:r>
        <w:rPr>
          <w:rFonts w:ascii="Times New Roman" w:hAnsi="Times New Roman" w:cs="Times New Roman"/>
          <w:noProof/>
          <w:color w:val="000000" w:themeColor="text1"/>
          <w:sz w:val="24"/>
          <w:shd w:val="clear" w:color="auto" w:fill="FFFFFF"/>
          <w:lang w:val="en-IE"/>
        </w:rPr>
        <w:t>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obtained by France from 2016 until 2030 for hydrogen refuelling infrastructure deployment </w:t>
      </w:r>
      <w:r>
        <w:rPr>
          <w:rFonts w:ascii="Times New Roman" w:hAnsi="Times New Roman" w:cs="Times New Roman"/>
          <w:iCs/>
          <w:noProof/>
          <w:sz w:val="24"/>
          <w:lang w:val="en-IE"/>
        </w:rPr>
        <w:t>i</w:t>
      </w:r>
      <w:r>
        <w:rPr>
          <w:rFonts w:ascii="Times New Roman" w:hAnsi="Times New Roman" w:cs="Times New Roman"/>
          <w:iCs/>
          <w:noProof/>
          <w:sz w:val="24"/>
          <w:lang w:val="en-IE"/>
        </w:rPr>
        <w:t xml:space="preserve">s 2.31% of the overall planned deployment during the period 2016-2030.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FR NIR and the assumptions described above, the following table shows the ratio between vehicles and refuelling points (i.e. sufficiency index) for the pair hydrogen</w:t>
      </w:r>
      <w:r>
        <w:rPr>
          <w:rFonts w:ascii="Times New Roman" w:hAnsi="Times New Roman" w:cs="Times New Roman"/>
          <w:noProof/>
          <w:sz w:val="24"/>
          <w:lang w:val="en-IE"/>
        </w:rPr>
        <w:t>/road.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083810" cy="387985"/>
            <wp:effectExtent l="0" t="0" r="2540"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83810" cy="387985"/>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0"/>
          <w:szCs w:val="18"/>
          <w:lang w:val="en-IE"/>
        </w:rPr>
      </w:pPr>
      <w:r>
        <w:rPr>
          <w:rFonts w:ascii="Times New Roman" w:hAnsi="Times New Roman" w:cs="Times New Roman"/>
          <w:noProof/>
          <w:sz w:val="20"/>
          <w:szCs w:val="18"/>
          <w:lang w:val="en-IE"/>
        </w:rPr>
        <w:t>Legend:</w:t>
      </w:r>
      <w:r>
        <w:rPr>
          <w:rFonts w:ascii="Times New Roman" w:hAnsi="Times New Roman" w:cs="Times New Roman"/>
          <w:noProof/>
          <w:sz w:val="24"/>
          <w:lang w:val="en-IE"/>
        </w:rPr>
        <w:t xml:space="preserve"> *</w:t>
      </w:r>
      <w:r>
        <w:rPr>
          <w:rFonts w:ascii="Times New Roman" w:hAnsi="Times New Roman" w:cs="Times New Roman"/>
          <w:noProof/>
          <w:sz w:val="20"/>
          <w:szCs w:val="18"/>
          <w:lang w:val="en-IE"/>
        </w:rPr>
        <w:t xml:space="preserve"> calculated using values provided in the NPF; ** calculated using values from EAFO and “VIG'HY l'observatoire de l'hydrogène” website (</w:t>
      </w:r>
      <w:hyperlink r:id="rId95" w:history="1">
        <w:r>
          <w:rPr>
            <w:rStyle w:val="Hyperlink"/>
            <w:rFonts w:ascii="Times New Roman" w:hAnsi="Times New Roman" w:cs="Times New Roman"/>
            <w:noProof/>
            <w:sz w:val="20"/>
            <w:szCs w:val="18"/>
            <w:lang w:val="en-IE"/>
          </w:rPr>
          <w:t>https://www.vighy-afhypac.org/</w:t>
        </w:r>
      </w:hyperlink>
      <w:r>
        <w:rPr>
          <w:rFonts w:ascii="Times New Roman" w:hAnsi="Times New Roman" w:cs="Times New Roman"/>
          <w:noProof/>
          <w:sz w:val="20"/>
          <w:szCs w:val="18"/>
          <w:lang w:val="en-IE"/>
        </w:rPr>
        <w:t xml:space="preserve">); *** calculated using </w:t>
      </w:r>
      <w:r>
        <w:rPr>
          <w:rFonts w:ascii="Times New Roman" w:hAnsi="Times New Roman" w:cs="Times New Roman"/>
          <w:noProof/>
          <w:sz w:val="20"/>
          <w:szCs w:val="18"/>
          <w:lang w:val="en-IE"/>
        </w:rPr>
        <w:t>AFI targets provided by the Energy Transition Hydrogen Deployment Plan for 2023.</w:t>
      </w:r>
    </w:p>
    <w:p w:rsidR="003C43BF" w:rsidRDefault="003C43BF">
      <w:pPr>
        <w:jc w:val="both"/>
        <w:rPr>
          <w:rFonts w:ascii="Times New Roman" w:hAnsi="Times New Roman" w:cs="Times New Roman"/>
          <w:noProof/>
          <w:sz w:val="20"/>
          <w:szCs w:val="18"/>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Vehicles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FR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Infrastructure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FR NIR.</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LPG</w:t>
      </w:r>
    </w:p>
    <w:p w:rsidR="003C43BF" w:rsidRDefault="006C3212">
      <w:pPr>
        <w:pStyle w:val="Heading6"/>
        <w:numPr>
          <w:ilvl w:val="0"/>
          <w:numId w:val="0"/>
        </w:numPr>
        <w:rPr>
          <w:rFonts w:ascii="Times New Roman" w:hAnsi="Times New Roman" w:cs="Times New Roman"/>
          <w:noProof/>
          <w:color w:val="000000" w:themeColor="text1"/>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For 2018, the French NIR does not </w:t>
      </w:r>
      <w:r>
        <w:rPr>
          <w:rFonts w:ascii="Times New Roman" w:eastAsia="Calibri" w:hAnsi="Times New Roman" w:cs="Times New Roman"/>
          <w:noProof/>
          <w:sz w:val="24"/>
          <w:lang w:val="en-IE"/>
        </w:rPr>
        <w:t>provide quantitative information on the LPG fleet in use</w:t>
      </w:r>
      <w:r>
        <w:rPr>
          <w:rFonts w:ascii="Times New Roman" w:eastAsia="Calibri" w:hAnsi="Times New Roman" w:cs="Times New Roman"/>
          <w:noProof/>
          <w:sz w:val="24"/>
          <w:vertAlign w:val="superscript"/>
          <w:lang w:val="en-IE"/>
        </w:rPr>
        <w:footnoteReference w:id="42"/>
      </w:r>
      <w:r>
        <w:rPr>
          <w:rFonts w:ascii="Times New Roman" w:eastAsia="Calibri" w:hAnsi="Times New Roman" w:cs="Times New Roman"/>
          <w:noProof/>
          <w:sz w:val="24"/>
          <w:lang w:val="en-IE"/>
        </w:rPr>
        <w:t>. According to EAFO, France recorded 156,323 LPG vehicles in use in 2018, of which 142,105 were passenger cars and 14,218 LCVs. The French NIR considers that in the next decade the situation will rem</w:t>
      </w:r>
      <w:r>
        <w:rPr>
          <w:rFonts w:ascii="Times New Roman" w:eastAsia="Calibri" w:hAnsi="Times New Roman" w:cs="Times New Roman"/>
          <w:noProof/>
          <w:sz w:val="24"/>
          <w:lang w:val="en-IE"/>
        </w:rPr>
        <w:t>ain constant and provides an estimate of 150,000 vehicles (all passenger cars) for the whole period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_Ref53948345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5.10.3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eastAsia="Calibri" w:hAnsi="Times New Roman" w:cs="Times New Roman"/>
          <w:noProof/>
          <w:sz w:val="24"/>
          <w:lang w:val="en-IE"/>
        </w:rPr>
        <w:t xml:space="preserve">). </w:t>
      </w:r>
    </w:p>
    <w:p w:rsidR="003C43BF" w:rsidRDefault="006C3212">
      <w:pPr>
        <w:tabs>
          <w:tab w:val="left" w:pos="360"/>
        </w:tabs>
        <w:jc w:val="both"/>
        <w:rPr>
          <w:rFonts w:ascii="Times New Roman" w:hAnsi="Times New Roman" w:cs="Times New Roman"/>
          <w:noProof/>
          <w:sz w:val="24"/>
          <w:lang w:val="en-IE"/>
        </w:rPr>
      </w:pPr>
      <w:r>
        <w:rPr>
          <w:rFonts w:ascii="Times New Roman" w:eastAsia="Calibri" w:hAnsi="Times New Roman" w:cs="Times New Roman"/>
          <w:noProof/>
          <w:sz w:val="24"/>
          <w:lang w:val="en-IE"/>
        </w:rPr>
        <w:t>Because the French NIR provided</w:t>
      </w:r>
      <w:r>
        <w:rPr>
          <w:rFonts w:ascii="Times New Roman" w:hAnsi="Times New Roman" w:cs="Times New Roman"/>
          <w:noProof/>
          <w:sz w:val="24"/>
          <w:lang w:val="en-IE"/>
        </w:rPr>
        <w:t xml:space="preserve"> decreasing estimates for </w:t>
      </w:r>
      <w:r>
        <w:rPr>
          <w:rFonts w:ascii="Times New Roman" w:hAnsi="Times New Roman" w:cs="Times New Roman"/>
          <w:iCs/>
          <w:noProof/>
          <w:sz w:val="24"/>
          <w:lang w:val="en-IE"/>
        </w:rPr>
        <w:t>LPG vehicles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tabs>
          <w:tab w:val="left" w:pos="360"/>
        </w:tabs>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For the period 2016-2018, the French NIR provides the same value stating that </w:t>
      </w:r>
      <w:r>
        <w:rPr>
          <w:rFonts w:ascii="Times New Roman" w:hAnsi="Times New Roman" w:cs="Times New Roman"/>
          <w:noProof/>
          <w:sz w:val="24"/>
          <w:lang w:val="en-IE"/>
        </w:rPr>
        <w:t>LPG is sold in almost 1,700 refuelling stations. The NIR considers</w:t>
      </w:r>
      <w:r>
        <w:rPr>
          <w:rFonts w:ascii="Times New Roman" w:hAnsi="Times New Roman" w:cs="Times New Roman"/>
          <w:noProof/>
          <w:sz w:val="24"/>
          <w:lang w:val="en-IE"/>
        </w:rPr>
        <w:t xml:space="preserve"> that “</w:t>
      </w:r>
      <w:r>
        <w:rPr>
          <w:rFonts w:ascii="Times New Roman" w:hAnsi="Times New Roman" w:cs="Times New Roman"/>
          <w:i/>
          <w:noProof/>
          <w:sz w:val="24"/>
          <w:lang w:val="en-IE"/>
        </w:rPr>
        <w:t>LPG is the alternative fuel that currently has the densest coverage in terms of stations, which are capable of supplying 10 times more vehicles than the current vehicle fleet</w:t>
      </w:r>
      <w:r>
        <w:rPr>
          <w:rFonts w:ascii="Times New Roman" w:eastAsia="Calibri" w:hAnsi="Times New Roman" w:cs="Times New Roman"/>
          <w:noProof/>
          <w:sz w:val="24"/>
          <w:lang w:val="en-IE"/>
        </w:rPr>
        <w:t>”.</w:t>
      </w:r>
    </w:p>
    <w:p w:rsidR="003C43BF" w:rsidRDefault="006C3212">
      <w:pPr>
        <w:tabs>
          <w:tab w:val="left" w:pos="360"/>
        </w:tabs>
        <w:jc w:val="both"/>
        <w:rPr>
          <w:rFonts w:ascii="Times New Roman" w:hAnsi="Times New Roman" w:cs="Times New Roman"/>
          <w:noProof/>
          <w:sz w:val="24"/>
          <w:lang w:val="en-IE"/>
        </w:rPr>
      </w:pPr>
      <w:r>
        <w:rPr>
          <w:rFonts w:ascii="Times New Roman" w:eastAsia="Calibri" w:hAnsi="Times New Roman" w:cs="Times New Roman"/>
          <w:noProof/>
          <w:sz w:val="24"/>
          <w:lang w:val="en-IE"/>
        </w:rPr>
        <w:t>Because the French</w:t>
      </w:r>
      <w:r>
        <w:rPr>
          <w:rFonts w:ascii="Times New Roman" w:hAnsi="Times New Roman" w:cs="Times New Roman"/>
          <w:noProof/>
          <w:sz w:val="24"/>
          <w:lang w:val="en-IE"/>
        </w:rPr>
        <w:t xml:space="preserve"> NIR did not provide targets for </w:t>
      </w:r>
      <w:r>
        <w:rPr>
          <w:rFonts w:ascii="Times New Roman" w:hAnsi="Times New Roman" w:cs="Times New Roman"/>
          <w:iCs/>
          <w:noProof/>
          <w:sz w:val="24"/>
          <w:lang w:val="en-IE"/>
        </w:rPr>
        <w:t>publicly accessible L</w:t>
      </w:r>
      <w:r>
        <w:rPr>
          <w:rFonts w:ascii="Times New Roman" w:hAnsi="Times New Roman" w:cs="Times New Roman"/>
          <w:iCs/>
          <w:noProof/>
          <w:sz w:val="24"/>
          <w:lang w:val="en-IE"/>
        </w:rPr>
        <w:t>PG refuelling infrastructure</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FR NIR, NPF and EAFO, the following table shows the ratio between vehicles and publicly accessible refuelling points (i.e. sufficiency index) for the </w:t>
      </w:r>
      <w:r>
        <w:rPr>
          <w:rFonts w:ascii="Times New Roman" w:hAnsi="Times New Roman" w:cs="Times New Roman"/>
          <w:noProof/>
          <w:sz w:val="24"/>
          <w:lang w:val="en-IE"/>
        </w:rPr>
        <w:t xml:space="preserve">pair LPG/road. The sufficiency index for 2020, 2025 and 2030 could not be computed as the targets of infrastructure were not indicated.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083810" cy="387985"/>
            <wp:effectExtent l="0" t="0" r="2540" b="0"/>
            <wp:docPr id="7212" name="Picture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83810" cy="387985"/>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0"/>
          <w:szCs w:val="18"/>
          <w:lang w:val="en-IE"/>
        </w:rPr>
      </w:pPr>
      <w:r>
        <w:rPr>
          <w:rFonts w:ascii="Times New Roman" w:hAnsi="Times New Roman" w:cs="Times New Roman"/>
          <w:noProof/>
          <w:sz w:val="20"/>
          <w:szCs w:val="18"/>
          <w:lang w:val="en-IE"/>
        </w:rPr>
        <w:t>Legend:</w:t>
      </w:r>
      <w:r>
        <w:rPr>
          <w:rFonts w:ascii="Times New Roman" w:hAnsi="Times New Roman" w:cs="Times New Roman"/>
          <w:noProof/>
          <w:sz w:val="24"/>
          <w:lang w:val="en-IE"/>
        </w:rPr>
        <w:t xml:space="preserve"> *</w:t>
      </w:r>
      <w:r>
        <w:rPr>
          <w:rFonts w:ascii="Times New Roman" w:hAnsi="Times New Roman" w:cs="Times New Roman"/>
          <w:noProof/>
          <w:sz w:val="20"/>
          <w:szCs w:val="18"/>
          <w:lang w:val="en-IE"/>
        </w:rPr>
        <w:t xml:space="preserve"> calculated using AFV values provided in the NPF; ** calculated using AFV values from EAFO</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Rail transport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Electricity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French NIR.</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Hydrogen</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French NIR mentions as an AFI deployment measure the plans of SNCF </w:t>
      </w:r>
      <w:r>
        <w:rPr>
          <w:rFonts w:ascii="Times New Roman" w:hAnsi="Times New Roman" w:cs="Times New Roman"/>
          <w:noProof/>
          <w:color w:val="000000" w:themeColor="text1"/>
          <w:sz w:val="24"/>
          <w:szCs w:val="24"/>
          <w:lang w:val="en-IE"/>
        </w:rPr>
        <w:t>(</w:t>
      </w:r>
      <w:r>
        <w:rPr>
          <w:rFonts w:ascii="Times New Roman" w:hAnsi="Times New Roman" w:cs="Times New Roman"/>
          <w:noProof/>
          <w:sz w:val="24"/>
          <w:szCs w:val="24"/>
        </w:rPr>
        <w:t>Société Nationale des Chemins de fer Français)</w:t>
      </w:r>
      <w:r>
        <w:rPr>
          <w:rFonts w:ascii="Times New Roman" w:hAnsi="Times New Roman" w:cs="Times New Roman"/>
          <w:noProof/>
          <w:color w:val="000000" w:themeColor="text1"/>
          <w:sz w:val="24"/>
          <w:lang w:val="en-IE"/>
        </w:rPr>
        <w:t xml:space="preserve"> to bring 15 regional hydrogen-powered trains into service on non-el</w:t>
      </w:r>
      <w:r>
        <w:rPr>
          <w:rFonts w:ascii="Times New Roman" w:hAnsi="Times New Roman" w:cs="Times New Roman"/>
          <w:noProof/>
          <w:color w:val="000000" w:themeColor="text1"/>
          <w:sz w:val="24"/>
          <w:lang w:val="en-IE"/>
        </w:rPr>
        <w:t>ectrified lines that are currently covered by diesel trains. This alternative is considered less costly than electrification work and the first trains should come into service in 2022. It is mentioned that the regions will be involved in financing these tr</w:t>
      </w:r>
      <w:r>
        <w:rPr>
          <w:rFonts w:ascii="Times New Roman" w:hAnsi="Times New Roman" w:cs="Times New Roman"/>
          <w:noProof/>
          <w:color w:val="000000" w:themeColor="text1"/>
          <w:sz w:val="24"/>
          <w:lang w:val="en-IE"/>
        </w:rPr>
        <w:t>ains and the State could support the project through the Hydrogen Plan.</w:t>
      </w:r>
    </w:p>
    <w:p w:rsidR="003C43BF" w:rsidRDefault="003C43BF">
      <w:pPr>
        <w:jc w:val="both"/>
        <w:rPr>
          <w:rFonts w:ascii="Times New Roman" w:hAnsi="Times New Roman" w:cs="Times New Roman"/>
          <w:noProof/>
          <w:color w:val="000000" w:themeColor="text1"/>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Vessels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French NIR.</w:t>
      </w:r>
    </w:p>
    <w:p w:rsidR="003C43BF" w:rsidRDefault="006C3212">
      <w:pPr>
        <w:pStyle w:val="Heading6"/>
        <w:numPr>
          <w:ilvl w:val="0"/>
          <w:numId w:val="0"/>
        </w:numPr>
        <w:rPr>
          <w:rFonts w:ascii="Times New Roman" w:hAnsi="Times New Roman" w:cs="Times New Roman"/>
          <w:noProof/>
          <w:color w:val="2E74B5" w:themeColor="accent1" w:themeShade="B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No quantitative information aggregated at national level regarding the shore-side electricity supply points in the maritime ports is provided in the FR NIR. The French NPF contained data on the 2016 situation and a list of additional targeted ports to prov</w:t>
      </w:r>
      <w:r>
        <w:rPr>
          <w:rFonts w:ascii="Times New Roman" w:hAnsi="Times New Roman" w:cs="Times New Roman"/>
          <w:noProof/>
          <w:sz w:val="24"/>
          <w:lang w:val="en-IE"/>
        </w:rPr>
        <w:t xml:space="preserve">ide SSE supply in the future. However, the French NIR noted that the </w:t>
      </w:r>
      <w:r>
        <w:rPr>
          <w:rFonts w:ascii="Times New Roman" w:hAnsi="Times New Roman" w:cs="Times New Roman"/>
          <w:bCs/>
          <w:noProof/>
          <w:sz w:val="24"/>
          <w:lang w:val="en-IE"/>
        </w:rPr>
        <w:t>port of Marseille</w:t>
      </w:r>
      <w:r>
        <w:rPr>
          <w:rFonts w:ascii="Times New Roman" w:hAnsi="Times New Roman" w:cs="Times New Roman"/>
          <w:noProof/>
          <w:sz w:val="24"/>
          <w:lang w:val="en-IE"/>
        </w:rPr>
        <w:t xml:space="preserve"> has three existing supply points for five ferries operating between Corsica and the French mainland. For the future, it is mentioned that the South region recently annou</w:t>
      </w:r>
      <w:r>
        <w:rPr>
          <w:rFonts w:ascii="Times New Roman" w:hAnsi="Times New Roman" w:cs="Times New Roman"/>
          <w:noProof/>
          <w:sz w:val="24"/>
          <w:lang w:val="en-IE"/>
        </w:rPr>
        <w:t>nced its new ‘zero-fume stopovers’ electrification scheme, which should result in all ferry quays being connected by 2023 and the installation of a SSE supply for cruise ships in Marseille port by 2025. The FR NIR presents as well the intention of Dunkirk’</w:t>
      </w:r>
      <w:r>
        <w:rPr>
          <w:rFonts w:ascii="Times New Roman" w:hAnsi="Times New Roman" w:cs="Times New Roman"/>
          <w:noProof/>
          <w:sz w:val="24"/>
          <w:lang w:val="en-IE"/>
        </w:rPr>
        <w:t xml:space="preserve">s Grand Port Maritime to equip its container terminal with an 8 MW SSE supply point by the end of 2019 that should be able to cater for 7 vessels initially; depending on the needs’ evolution 2 additional supply points could be installed.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Similarly to the NPF, information is not available in the French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FR NIR presents only information on the current situation without providing details regarding future targets. It mentions that all ports with LNG tanker terminals (Mar</w:t>
      </w:r>
      <w:r>
        <w:rPr>
          <w:rFonts w:ascii="Times New Roman" w:hAnsi="Times New Roman" w:cs="Times New Roman"/>
          <w:noProof/>
          <w:sz w:val="24"/>
          <w:lang w:val="en-IE"/>
        </w:rPr>
        <w:t>seille-Fos, Dunkirk, and Nantes-Saint Nazaire) and the port of Le Havre (not having a terminal) currently offer LNG bunkering services by truck. The FR NPF had included a target of seven ports to provide LNG refuelling services by 2025.</w:t>
      </w:r>
    </w:p>
    <w:p w:rsidR="003C43BF" w:rsidRDefault="006C3212">
      <w:pPr>
        <w:tabs>
          <w:tab w:val="left" w:pos="360"/>
        </w:tabs>
        <w:jc w:val="both"/>
        <w:rPr>
          <w:rFonts w:ascii="Times New Roman" w:hAnsi="Times New Roman" w:cs="Times New Roman"/>
          <w:noProof/>
          <w:color w:val="000000" w:themeColor="text1"/>
          <w:sz w:val="24"/>
          <w:shd w:val="clear" w:color="auto" w:fill="FFFFFF"/>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LNG refuelling infrastructure targets in maritime ports is 57.14% for 2025.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 by France for LNG refuelling infrastructure deployment in maritime ports from 201</w:t>
      </w:r>
      <w:r>
        <w:rPr>
          <w:rFonts w:ascii="Times New Roman" w:hAnsi="Times New Roman" w:cs="Times New Roman"/>
          <w:noProof/>
          <w:sz w:val="24"/>
          <w:lang w:val="en-IE"/>
        </w:rPr>
        <w:t>6 until 2018 versus the period 2016-2030 could not be computed because of the lack of the 2030 target</w:t>
      </w:r>
      <w:r>
        <w:rPr>
          <w:rFonts w:ascii="Times New Roman" w:hAnsi="Times New Roman" w:cs="Times New Roman"/>
          <w:noProof/>
          <w:color w:val="000000" w:themeColor="text1"/>
          <w:sz w:val="24"/>
          <w:shd w:val="clear" w:color="auto" w:fill="FFFFFF"/>
          <w:lang w:val="en-IE"/>
        </w:rPr>
        <w:t>.</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Waterborne transport (inland)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Vessels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French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eastAsiaTheme="majorEastAsia" w:hAnsi="Times New Roman" w:cs="Times New Roman"/>
          <w:iCs/>
          <w:noProof/>
          <w:sz w:val="24"/>
          <w:lang w:val="en-IE"/>
        </w:rPr>
      </w:pPr>
      <w:r>
        <w:rPr>
          <w:rFonts w:ascii="Times New Roman" w:hAnsi="Times New Roman" w:cs="Times New Roman"/>
          <w:noProof/>
          <w:sz w:val="24"/>
          <w:lang w:val="en-IE"/>
        </w:rPr>
        <w:t>The FR NIR does not provide quantitati</w:t>
      </w:r>
      <w:r>
        <w:rPr>
          <w:rFonts w:ascii="Times New Roman" w:hAnsi="Times New Roman" w:cs="Times New Roman"/>
          <w:noProof/>
          <w:sz w:val="24"/>
          <w:lang w:val="en-IE"/>
        </w:rPr>
        <w:t>ve targets aggregated at national level regarding the shore-side electricity supply points in the inland ports. The French NPF contained data on the 2016 situation and a list of additional targeted inland ports to provide SSE supply by 2025. However, the F</w:t>
      </w:r>
      <w:r>
        <w:rPr>
          <w:rFonts w:ascii="Times New Roman" w:hAnsi="Times New Roman" w:cs="Times New Roman"/>
          <w:noProof/>
          <w:sz w:val="24"/>
          <w:lang w:val="en-IE"/>
        </w:rPr>
        <w:t>rench NIR notes that some waterways not included in the NPF targets offer or are installing SSE supply points. Vienne and Arles (on Rhône river) are provided as examples, having two high-power and seven medium-power SSE supply points. In total, the NIR men</w:t>
      </w:r>
      <w:r>
        <w:rPr>
          <w:rFonts w:ascii="Times New Roman" w:hAnsi="Times New Roman" w:cs="Times New Roman"/>
          <w:noProof/>
          <w:sz w:val="24"/>
          <w:lang w:val="en-IE"/>
        </w:rPr>
        <w:t>tions that the French inland waterway network had at least 110 SSE supply points for inland waterway vessels in 2019 (including 17 around the Seine basin and 91 in the Nord-Pas-de-Calais region). Investments are mentioned for the Seine basin for installing</w:t>
      </w:r>
      <w:r>
        <w:rPr>
          <w:rFonts w:ascii="Times New Roman" w:hAnsi="Times New Roman" w:cs="Times New Roman"/>
          <w:noProof/>
          <w:sz w:val="24"/>
          <w:lang w:val="en-IE"/>
        </w:rPr>
        <w:t xml:space="preserve"> nine SSE supply points, each accommodating two vessels.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LNG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contrast to the FR NPF that had provided a target of three inland ports to offer LNG refuelling supply in 2030, the FR NIR does not include any information on this topic.</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French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 (for stationary airplanes)</w:t>
      </w:r>
    </w:p>
    <w:p w:rsidR="003C43BF" w:rsidRDefault="006C3212">
      <w:pPr>
        <w:jc w:val="both"/>
        <w:rPr>
          <w:rStyle w:val="Emphasis"/>
          <w:rFonts w:ascii="Times New Roman" w:eastAsiaTheme="majorEastAsia" w:hAnsi="Times New Roman" w:cs="Times New Roman"/>
          <w:i w:val="0"/>
          <w:noProof/>
          <w:sz w:val="24"/>
          <w:lang w:val="en-IE"/>
        </w:rPr>
      </w:pPr>
      <w:r>
        <w:rPr>
          <w:rFonts w:ascii="Times New Roman" w:hAnsi="Times New Roman" w:cs="Times New Roman"/>
          <w:noProof/>
          <w:sz w:val="24"/>
          <w:lang w:val="en-IE"/>
        </w:rPr>
        <w:t xml:space="preserve">No specific quantitative information was provided in the FR NIR on the electricity supply points in airports for stationary airplanes. The NIR </w:t>
      </w:r>
      <w:r>
        <w:rPr>
          <w:rFonts w:ascii="Times New Roman" w:hAnsi="Times New Roman" w:cs="Times New Roman"/>
          <w:noProof/>
          <w:sz w:val="24"/>
          <w:lang w:val="en-IE"/>
        </w:rPr>
        <w:t xml:space="preserve">mentions that </w:t>
      </w:r>
      <w:r>
        <w:rPr>
          <w:rStyle w:val="Emphasis"/>
          <w:rFonts w:ascii="Times New Roman" w:hAnsi="Times New Roman" w:cs="Times New Roman"/>
          <w:noProof/>
          <w:sz w:val="24"/>
          <w:lang w:val="en-IE"/>
        </w:rPr>
        <w:t>11 main airports in France have pledged to reduce their fossil fuel consumption; their plans are expected to result in a 20% cut in emissions from aircraft on the ground by 2025 compared to the 2010 reference year. These 11 airports have incl</w:t>
      </w:r>
      <w:r>
        <w:rPr>
          <w:rStyle w:val="Emphasis"/>
          <w:rFonts w:ascii="Times New Roman" w:hAnsi="Times New Roman" w:cs="Times New Roman"/>
          <w:noProof/>
          <w:sz w:val="24"/>
          <w:lang w:val="en-IE"/>
        </w:rPr>
        <w:t xml:space="preserve">uded objectives on the electrification of aircraft stands in their action plans according to the FR NIR.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Biofuels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FR NIR mentions that a roadmap setting out the government’s aims in terms of deployment of biofuels for aviation is under preparation by</w:t>
      </w:r>
      <w:r>
        <w:rPr>
          <w:rFonts w:ascii="Times New Roman" w:hAnsi="Times New Roman" w:cs="Times New Roman"/>
          <w:noProof/>
          <w:sz w:val="24"/>
          <w:lang w:val="en-IE"/>
        </w:rPr>
        <w:t xml:space="preserve"> several working groups including several stakeholders. Sustainable aviation fuels will be deployed in France by adding them to conventional fuels, with targets of 5% by 2030 and 50% by 2050.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Airplanes </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No information on flights / airplanes powered by bio</w:t>
      </w:r>
      <w:r>
        <w:rPr>
          <w:rFonts w:ascii="Times New Roman" w:hAnsi="Times New Roman" w:cs="Times New Roman"/>
          <w:noProof/>
          <w:sz w:val="24"/>
          <w:lang w:val="en-IE"/>
        </w:rPr>
        <w:t>fuels is provided in the French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FR NIR mentions that “</w:t>
      </w:r>
      <w:r>
        <w:rPr>
          <w:rFonts w:ascii="Times New Roman" w:hAnsi="Times New Roman" w:cs="Times New Roman"/>
          <w:i/>
          <w:noProof/>
          <w:sz w:val="24"/>
          <w:lang w:val="en-IE"/>
        </w:rPr>
        <w:t xml:space="preserve">as aviation biofuels are ‘drop-in’ (i.e. fully miscible with fossil fuels), their distribution at airport hubs will use existing logistics in order to limit their costs and </w:t>
      </w:r>
      <w:r>
        <w:rPr>
          <w:rFonts w:ascii="Times New Roman" w:hAnsi="Times New Roman" w:cs="Times New Roman"/>
          <w:i/>
          <w:noProof/>
          <w:sz w:val="24"/>
          <w:lang w:val="en-IE"/>
        </w:rPr>
        <w:t>carbon footprint</w:t>
      </w:r>
      <w:r>
        <w:rPr>
          <w:rFonts w:ascii="Times New Roman" w:hAnsi="Times New Roman" w:cs="Times New Roman"/>
          <w:noProof/>
          <w:sz w:val="24"/>
          <w:lang w:val="en-IE"/>
        </w:rPr>
        <w:t>”. As a next step, a demonstration project involving the use of pipelines to supply biofuels to airports is indicated.</w:t>
      </w:r>
    </w:p>
    <w:p w:rsidR="003C43BF" w:rsidRDefault="003C43BF">
      <w:pPr>
        <w:jc w:val="both"/>
        <w:rPr>
          <w:rFonts w:ascii="Times New Roman" w:hAnsi="Times New Roman" w:cs="Times New Roman"/>
          <w:noProof/>
          <w:sz w:val="24"/>
          <w:highlight w:val="yellow"/>
          <w:lang w:val="en-IE"/>
        </w:rPr>
      </w:pPr>
    </w:p>
    <w:p w:rsidR="003C43BF" w:rsidRDefault="006C3212">
      <w:pPr>
        <w:pStyle w:val="Heading3"/>
        <w:spacing w:after="160"/>
        <w:ind w:left="720"/>
        <w:rPr>
          <w:rFonts w:ascii="Times New Roman" w:hAnsi="Times New Roman" w:cs="Times New Roman"/>
          <w:noProof/>
          <w:sz w:val="24"/>
          <w:lang w:val="en-IE"/>
        </w:rPr>
      </w:pPr>
      <w:bookmarkStart w:id="265" w:name="_Toc55301855"/>
      <w:bookmarkStart w:id="266" w:name="_Toc56944174"/>
      <w:r>
        <w:rPr>
          <w:rFonts w:ascii="Times New Roman" w:hAnsi="Times New Roman" w:cs="Times New Roman"/>
          <w:noProof/>
          <w:sz w:val="24"/>
          <w:lang w:val="en-IE"/>
        </w:rPr>
        <w:t>Measures assessment</w:t>
      </w:r>
      <w:bookmarkEnd w:id="265"/>
      <w:bookmarkEnd w:id="266"/>
      <w:r>
        <w:rPr>
          <w:rFonts w:ascii="Times New Roman" w:hAnsi="Times New Roman" w:cs="Times New Roman"/>
          <w:noProof/>
          <w:sz w:val="24"/>
          <w:lang w:val="en-IE"/>
        </w:rPr>
        <w:t xml:space="preserve"> </w:t>
      </w:r>
    </w:p>
    <w:p w:rsidR="003C43BF" w:rsidRDefault="006C3212">
      <w:pPr>
        <w:pStyle w:val="Text2"/>
        <w:spacing w:after="160"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Similarly to the NPF, a large portfolio of measures for the deployment of alternative fuels in tran</w:t>
      </w:r>
      <w:r>
        <w:rPr>
          <w:rFonts w:ascii="Times New Roman" w:hAnsi="Times New Roman" w:cs="Times New Roman"/>
          <w:noProof/>
          <w:sz w:val="24"/>
          <w:lang w:val="en-IE"/>
        </w:rPr>
        <w:t>sport is mentioned in the French NIR. The measures presented in the NIR cover a wide variety of types, several alternative fuels and all transport modes (with a focus on road). The policy direction in France is to encourage the move away from fossil fuelle</w:t>
      </w:r>
      <w:r>
        <w:rPr>
          <w:rFonts w:ascii="Times New Roman" w:hAnsi="Times New Roman" w:cs="Times New Roman"/>
          <w:noProof/>
          <w:sz w:val="24"/>
          <w:lang w:val="en-IE"/>
        </w:rPr>
        <w:t xml:space="preserve">d vehicles to AFV (especially zero-emission mobility) and the following documents support the development of alternative fuels strategy: </w:t>
      </w:r>
    </w:p>
    <w:p w:rsidR="003C43BF" w:rsidRDefault="006C3212">
      <w:pPr>
        <w:pStyle w:val="Text2"/>
        <w:numPr>
          <w:ilvl w:val="0"/>
          <w:numId w:val="98"/>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the National Low-Carbon Strategy (</w:t>
      </w:r>
      <w:r>
        <w:rPr>
          <w:rFonts w:ascii="Times New Roman" w:hAnsi="Times New Roman" w:cs="Times New Roman"/>
          <w:i/>
          <w:iCs/>
          <w:noProof/>
          <w:sz w:val="24"/>
          <w:lang w:val="en-IE"/>
        </w:rPr>
        <w:t>Stratégie Nationale Bas-Carbone</w:t>
      </w:r>
      <w:r>
        <w:rPr>
          <w:rFonts w:ascii="Times New Roman" w:hAnsi="Times New Roman" w:cs="Times New Roman"/>
          <w:noProof/>
          <w:sz w:val="24"/>
          <w:lang w:val="en-IE"/>
        </w:rPr>
        <w:t xml:space="preserve"> – SNBC) setting the strategic guidelines for impleme</w:t>
      </w:r>
      <w:r>
        <w:rPr>
          <w:rFonts w:ascii="Times New Roman" w:hAnsi="Times New Roman" w:cs="Times New Roman"/>
          <w:noProof/>
          <w:sz w:val="24"/>
          <w:lang w:val="en-IE"/>
        </w:rPr>
        <w:t>nting the transition to a low-carbon and sustainable economy</w:t>
      </w:r>
    </w:p>
    <w:p w:rsidR="003C43BF" w:rsidRDefault="006C3212">
      <w:pPr>
        <w:pStyle w:val="ListParagraph"/>
        <w:numPr>
          <w:ilvl w:val="0"/>
          <w:numId w:val="98"/>
        </w:numPr>
        <w:spacing w:after="120" w:line="264" w:lineRule="auto"/>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the Multiannual Energy Plan (</w:t>
      </w:r>
      <w:r>
        <w:rPr>
          <w:rFonts w:ascii="Times New Roman" w:hAnsi="Times New Roman" w:cs="Times New Roman"/>
          <w:i/>
          <w:iCs/>
          <w:noProof/>
          <w:sz w:val="24"/>
          <w:lang w:val="en-IE"/>
        </w:rPr>
        <w:t>Programmation pluriannuelle de l’énergie</w:t>
      </w:r>
      <w:r>
        <w:rPr>
          <w:rFonts w:ascii="Times New Roman" w:hAnsi="Times New Roman" w:cs="Times New Roman"/>
          <w:noProof/>
          <w:sz w:val="24"/>
          <w:lang w:val="en-IE"/>
        </w:rPr>
        <w:t xml:space="preserve"> – PPE), the strategic document for French energy policy, establishing two main priorities: reducing energy consumption, parti</w:t>
      </w:r>
      <w:r>
        <w:rPr>
          <w:rFonts w:ascii="Times New Roman" w:hAnsi="Times New Roman" w:cs="Times New Roman"/>
          <w:noProof/>
          <w:sz w:val="24"/>
          <w:lang w:val="en-IE"/>
        </w:rPr>
        <w:t>cularly of fossil fuels, and developing renewable energy. In the transport sector, „</w:t>
      </w:r>
      <w:r>
        <w:rPr>
          <w:rFonts w:ascii="Times New Roman" w:hAnsi="Times New Roman" w:cs="Times New Roman"/>
          <w:i/>
          <w:noProof/>
          <w:sz w:val="24"/>
          <w:lang w:val="en-IE"/>
        </w:rPr>
        <w:t>the PPE draft revision (PPE2) will set targets for reducing energy consumption and developing electric or plug-in hybrid electric vehicles and for the development of biogas</w:t>
      </w:r>
      <w:r>
        <w:rPr>
          <w:rFonts w:ascii="Times New Roman" w:hAnsi="Times New Roman" w:cs="Times New Roman"/>
          <w:i/>
          <w:noProof/>
          <w:sz w:val="24"/>
          <w:lang w:val="en-IE"/>
        </w:rPr>
        <w:t xml:space="preserve"> and hydrogen”</w:t>
      </w:r>
      <w:r>
        <w:rPr>
          <w:rFonts w:ascii="Times New Roman" w:hAnsi="Times New Roman" w:cs="Times New Roman"/>
          <w:noProof/>
          <w:sz w:val="24"/>
          <w:lang w:val="en-IE"/>
        </w:rPr>
        <w:t xml:space="preserve">. </w:t>
      </w:r>
    </w:p>
    <w:p w:rsidR="003C43BF" w:rsidRDefault="006C3212">
      <w:pPr>
        <w:pStyle w:val="Text2"/>
        <w:numPr>
          <w:ilvl w:val="0"/>
          <w:numId w:val="98"/>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the Clean Mobility Development Strategy (</w:t>
      </w:r>
      <w:r>
        <w:rPr>
          <w:rFonts w:ascii="Times New Roman" w:hAnsi="Times New Roman" w:cs="Times New Roman"/>
          <w:i/>
          <w:iCs/>
          <w:noProof/>
          <w:sz w:val="24"/>
          <w:lang w:val="en-IE"/>
        </w:rPr>
        <w:t>Stratégie de développement de la mobilité propre</w:t>
      </w:r>
      <w:r>
        <w:rPr>
          <w:rFonts w:ascii="Times New Roman" w:hAnsi="Times New Roman" w:cs="Times New Roman"/>
          <w:noProof/>
          <w:sz w:val="24"/>
          <w:lang w:val="en-IE"/>
        </w:rPr>
        <w:t xml:space="preserve"> – SDMP), appended to the Multiannual Energy Programme, laying down the guidelines for the decarbonisation of transport. The SDMP2 proposal</w:t>
      </w:r>
      <w:r>
        <w:rPr>
          <w:rStyle w:val="FootnoteReference"/>
          <w:rFonts w:ascii="Times New Roman" w:hAnsi="Times New Roman" w:cs="Times New Roman"/>
          <w:noProof/>
          <w:sz w:val="24"/>
          <w:lang w:val="en-IE"/>
        </w:rPr>
        <w:footnoteReference w:id="43"/>
      </w:r>
      <w:r>
        <w:rPr>
          <w:rFonts w:ascii="Times New Roman" w:hAnsi="Times New Roman" w:cs="Times New Roman"/>
          <w:noProof/>
          <w:sz w:val="24"/>
          <w:lang w:val="en-IE"/>
        </w:rPr>
        <w:t xml:space="preserve"> appended to the PPE draft revision (PPE2) is setting new objectives for 2023 and 2028 (the first SDMP set objectives for 2016-2018).</w:t>
      </w:r>
    </w:p>
    <w:p w:rsidR="003C43BF" w:rsidRDefault="006C3212">
      <w:pPr>
        <w:pStyle w:val="ListParagraph"/>
        <w:numPr>
          <w:ilvl w:val="0"/>
          <w:numId w:val="98"/>
        </w:numPr>
        <w:spacing w:after="160" w:line="259" w:lineRule="auto"/>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The Mobility Framework Act (</w:t>
      </w:r>
      <w:r>
        <w:rPr>
          <w:rFonts w:ascii="Times New Roman" w:hAnsi="Times New Roman" w:cs="Times New Roman"/>
          <w:i/>
          <w:iCs/>
          <w:noProof/>
          <w:sz w:val="24"/>
          <w:lang w:val="en-IE"/>
        </w:rPr>
        <w:t>Loi d’Orientation des Mobilités</w:t>
      </w:r>
      <w:r>
        <w:rPr>
          <w:rFonts w:ascii="Times New Roman" w:hAnsi="Times New Roman" w:cs="Times New Roman"/>
          <w:noProof/>
          <w:sz w:val="24"/>
          <w:lang w:val="en-IE"/>
        </w:rPr>
        <w:t xml:space="preserve"> – LOM</w:t>
      </w:r>
      <w:r>
        <w:rPr>
          <w:rStyle w:val="FootnoteReference"/>
          <w:rFonts w:ascii="Times New Roman" w:hAnsi="Times New Roman" w:cs="Times New Roman"/>
          <w:noProof/>
          <w:sz w:val="24"/>
          <w:lang w:val="en-IE"/>
        </w:rPr>
        <w:footnoteReference w:id="44"/>
      </w:r>
      <w:r>
        <w:rPr>
          <w:rFonts w:ascii="Times New Roman" w:hAnsi="Times New Roman" w:cs="Times New Roman"/>
          <w:noProof/>
          <w:sz w:val="24"/>
          <w:lang w:val="en-IE"/>
        </w:rPr>
        <w:t>), providing a set of support measures for the developme</w:t>
      </w:r>
      <w:r>
        <w:rPr>
          <w:rFonts w:ascii="Times New Roman" w:hAnsi="Times New Roman" w:cs="Times New Roman"/>
          <w:noProof/>
          <w:sz w:val="24"/>
          <w:lang w:val="en-IE"/>
        </w:rPr>
        <w:t xml:space="preserve">nt of the least polluting transport modes and promoting the transition to clean vehicles.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French NIR mentions 23 legal measures, of which 13 in place (where 10 represent the continuation of measures presented in the NPF) and 10 in proc</w:t>
      </w:r>
      <w:r>
        <w:rPr>
          <w:rFonts w:ascii="Times New Roman" w:hAnsi="Times New Roman" w:cs="Times New Roman"/>
          <w:noProof/>
          <w:sz w:val="24"/>
          <w:lang w:val="en-IE"/>
        </w:rPr>
        <w:t>ess of adoption. This fact highlights that the legal framework for alternative fuels is changing and improving in order to speed up the deployment of the related vehicles and infrastructure. The overall level of ambition of the legal measure set is clearly</w:t>
      </w:r>
      <w:r>
        <w:rPr>
          <w:rFonts w:ascii="Times New Roman" w:hAnsi="Times New Roman" w:cs="Times New Roman"/>
          <w:noProof/>
          <w:sz w:val="24"/>
          <w:lang w:val="en-IE"/>
        </w:rPr>
        <w:t xml:space="preserve"> increased in the NIR compared to the NPF. The majority of legal measures refers specifically to infrastructure, and the most numerous cluster is electricity/road that contains 14 measures. Other pairs that include dedicated legal measures are hydrogen/roa</w:t>
      </w:r>
      <w:r>
        <w:rPr>
          <w:rFonts w:ascii="Times New Roman" w:hAnsi="Times New Roman" w:cs="Times New Roman"/>
          <w:noProof/>
          <w:sz w:val="24"/>
          <w:lang w:val="en-IE"/>
        </w:rPr>
        <w:t>d, electricity/water (maritime+inland), LNG/water (maritime+inland) and electricity/air. Considering all the legal measures, they appear, if fully implemented, to be fit to support the realisation of the AFV/AFI objectives as described in the NPF and NIR.</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tabs>
          <w:tab w:val="left" w:pos="291"/>
          <w:tab w:val="right" w:leader="dot" w:pos="9040"/>
        </w:tabs>
        <w:jc w:val="both"/>
        <w:rPr>
          <w:rFonts w:ascii="Times New Roman" w:hAnsi="Times New Roman" w:cs="Times New Roman"/>
          <w:b/>
          <w:noProof/>
          <w:sz w:val="24"/>
          <w:lang w:val="en-IE"/>
        </w:rPr>
      </w:pPr>
      <w:r>
        <w:rPr>
          <w:rFonts w:ascii="Times New Roman" w:hAnsi="Times New Roman" w:cs="Times New Roman"/>
          <w:noProof/>
          <w:sz w:val="24"/>
          <w:lang w:val="en-IE"/>
        </w:rPr>
        <w:t>There are 18 Legislative &amp; Regulatory measures listed and described in detail in the French NIR. Eight of them are in place representing extensions of those described in the NPF, and two among these were amended in the last period.</w:t>
      </w:r>
      <w:r>
        <w:rPr>
          <w:rFonts w:ascii="Times New Roman" w:hAnsi="Times New Roman" w:cs="Times New Roman"/>
          <w:noProof/>
          <w:sz w:val="24"/>
          <w:lang w:val="en-IE"/>
        </w:rPr>
        <w:t xml:space="preserve"> These eight measures notified in NPF were based mainly on measures derived from the Law No 2015-992 (Act on the Energy Transition for Green Growth, </w:t>
      </w:r>
      <w:r>
        <w:rPr>
          <w:rFonts w:ascii="Times New Roman" w:hAnsi="Times New Roman" w:cs="Times New Roman"/>
          <w:i/>
          <w:iCs/>
          <w:noProof/>
          <w:sz w:val="24"/>
          <w:lang w:val="en-IE"/>
        </w:rPr>
        <w:t>Loi relative à la transition énergétique pour la croissance verte</w:t>
      </w:r>
      <w:r>
        <w:rPr>
          <w:rFonts w:ascii="Times New Roman" w:hAnsi="Times New Roman" w:cs="Times New Roman"/>
          <w:noProof/>
          <w:sz w:val="24"/>
          <w:lang w:val="en-IE"/>
        </w:rPr>
        <w:t xml:space="preserve"> – LTECV). The remaining ten measures in t</w:t>
      </w:r>
      <w:r>
        <w:rPr>
          <w:rFonts w:ascii="Times New Roman" w:hAnsi="Times New Roman" w:cs="Times New Roman"/>
          <w:noProof/>
          <w:sz w:val="24"/>
          <w:lang w:val="en-IE"/>
        </w:rPr>
        <w:t>he process of adoption are the expression of the intention to overhaul the French legal framework and are based on the provisions of the Mobility Framework Act (</w:t>
      </w:r>
      <w:r>
        <w:rPr>
          <w:rFonts w:ascii="Times New Roman" w:hAnsi="Times New Roman" w:cs="Times New Roman"/>
          <w:i/>
          <w:iCs/>
          <w:noProof/>
          <w:sz w:val="24"/>
          <w:lang w:val="en-IE"/>
        </w:rPr>
        <w:t>Loi d’Orientation des Mobilités</w:t>
      </w:r>
      <w:r>
        <w:rPr>
          <w:rFonts w:ascii="Times New Roman" w:hAnsi="Times New Roman" w:cs="Times New Roman"/>
          <w:noProof/>
          <w:sz w:val="24"/>
          <w:lang w:val="en-IE"/>
        </w:rPr>
        <w:t xml:space="preserve"> – LOM) that contains a “</w:t>
      </w:r>
      <w:r>
        <w:rPr>
          <w:rFonts w:ascii="Times New Roman" w:hAnsi="Times New Roman" w:cs="Times New Roman"/>
          <w:i/>
          <w:noProof/>
          <w:sz w:val="24"/>
          <w:lang w:val="en-IE"/>
        </w:rPr>
        <w:t>set of support measures for the develop</w:t>
      </w:r>
      <w:r>
        <w:rPr>
          <w:rFonts w:ascii="Times New Roman" w:hAnsi="Times New Roman" w:cs="Times New Roman"/>
          <w:i/>
          <w:noProof/>
          <w:sz w:val="24"/>
          <w:lang w:val="en-IE"/>
        </w:rPr>
        <w:t>ment of the least polluting transport modes and promotes the transition to clean vehicles</w:t>
      </w:r>
      <w:r>
        <w:rPr>
          <w:rFonts w:ascii="Times New Roman" w:hAnsi="Times New Roman" w:cs="Times New Roman"/>
          <w:noProof/>
          <w:sz w:val="24"/>
          <w:lang w:val="en-IE"/>
        </w:rPr>
        <w:t>”. The LOM is aimed at supporting alternative transport systems and fuels: it schedules numerous support measures for the deployment of alternative fuels, by extending</w:t>
      </w:r>
      <w:r>
        <w:rPr>
          <w:rFonts w:ascii="Times New Roman" w:hAnsi="Times New Roman" w:cs="Times New Roman"/>
          <w:noProof/>
          <w:sz w:val="24"/>
          <w:lang w:val="en-IE"/>
        </w:rPr>
        <w:t xml:space="preserve"> or widening existing schemes (e.g. the change of Restricted Traffic Areas to Low-Emission Zones, the strengthening of the right to install recharging points) or by creating new ones based on lessons learned (e.g. reservation of spaces for electric boats i</w:t>
      </w:r>
      <w:r>
        <w:rPr>
          <w:rFonts w:ascii="Times New Roman" w:hAnsi="Times New Roman" w:cs="Times New Roman"/>
          <w:noProof/>
          <w:sz w:val="24"/>
          <w:lang w:val="en-IE"/>
        </w:rPr>
        <w:t>n marinas from 2022, authorisation of the reservation of lanes and parking spaces for ultra-low emission vehicles). It also transposes several EU Directives that pave the way for the market entry of alternative fuels vehicles (e.g. AFI Directive, Clean Veh</w:t>
      </w:r>
      <w:r>
        <w:rPr>
          <w:rFonts w:ascii="Times New Roman" w:hAnsi="Times New Roman" w:cs="Times New Roman"/>
          <w:noProof/>
          <w:sz w:val="24"/>
          <w:lang w:val="en-IE"/>
        </w:rPr>
        <w:t>icle Directive, Energy Performance of Buildings Directive). The LOM also sets decarbonisation targets for the land transport sector aiming at full decarbonisation in 2050 and at banning the sale of new fossil fuel passenger cars and LCVs from 2040.</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w:t>
      </w:r>
      <w:r>
        <w:rPr>
          <w:rFonts w:ascii="Times New Roman" w:hAnsi="Times New Roman" w:cs="Times New Roman"/>
          <w:noProof/>
          <w:sz w:val="24"/>
          <w:lang w:val="en-IE"/>
        </w:rPr>
        <w:t>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French NIR presents five administrative measures, all in place in 2019. Three measures are continuations of NPF measures. The transport modes covered by these measures are road, water-inland and air. Four measures regard electricity as alternat</w:t>
      </w:r>
      <w:r>
        <w:rPr>
          <w:rFonts w:ascii="Times New Roman" w:hAnsi="Times New Roman" w:cs="Times New Roman"/>
          <w:noProof/>
          <w:sz w:val="24"/>
          <w:lang w:val="en-IE"/>
        </w:rPr>
        <w:t>ive fuel and infrastructure (e.g. setting the conditions for organising the public recharging service at service areas on the concessionary motorway network, specifications relating to the shore-side connection of inland waterway vessels, regulations on th</w:t>
      </w:r>
      <w:r>
        <w:rPr>
          <w:rFonts w:ascii="Times New Roman" w:hAnsi="Times New Roman" w:cs="Times New Roman"/>
          <w:noProof/>
          <w:sz w:val="24"/>
          <w:lang w:val="en-IE"/>
        </w:rPr>
        <w:t>e use of means to supply aircraft with power and air-conditioning/heating during stopovers at the aerodromes of Paris-Charles-de-Gaulle, Paris-Orly and Paris-Le Bourget). The decree on air quality certificates is also listed as an administrative measure, w</w:t>
      </w:r>
      <w:r>
        <w:rPr>
          <w:rFonts w:ascii="Times New Roman" w:hAnsi="Times New Roman" w:cs="Times New Roman"/>
          <w:noProof/>
          <w:sz w:val="24"/>
          <w:lang w:val="en-IE"/>
        </w:rPr>
        <w:t>ith the purpose of the certificates being described as allowing users of the least polluting vehicles to enjoy traffic benefits.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Policy measures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significant FR NIR policy measure portfolio proves the high level French involvement in fostering alternati</w:t>
      </w:r>
      <w:r>
        <w:rPr>
          <w:rFonts w:ascii="Times New Roman" w:hAnsi="Times New Roman" w:cs="Times New Roman"/>
          <w:noProof/>
          <w:sz w:val="24"/>
          <w:lang w:val="en-IE"/>
        </w:rPr>
        <w:t>ve fuels in transport that is continuously improving in the last years. The French NIR reports 18 measures for ensuring national objectives, 2 for public transport and 2 for private recharging infrastructure. The majority of these measures represent financ</w:t>
      </w:r>
      <w:r>
        <w:rPr>
          <w:rFonts w:ascii="Times New Roman" w:hAnsi="Times New Roman" w:cs="Times New Roman"/>
          <w:noProof/>
          <w:sz w:val="24"/>
          <w:lang w:val="en-IE"/>
        </w:rPr>
        <w:t xml:space="preserve">ial incentives addressing electricity and hydrogen, and were in place in 2019. Eleven </w:t>
      </w:r>
      <w:r>
        <w:rPr>
          <w:rFonts w:ascii="Times New Roman" w:hAnsi="Times New Roman" w:cs="Times New Roman"/>
          <w:noProof/>
          <w:color w:val="000000" w:themeColor="text1"/>
          <w:sz w:val="24"/>
          <w:lang w:val="en-IE"/>
        </w:rPr>
        <w:t>measures appear only in the NIR</w:t>
      </w:r>
      <w:r>
        <w:rPr>
          <w:rFonts w:ascii="Times New Roman" w:hAnsi="Times New Roman" w:cs="Times New Roman"/>
          <w:noProof/>
          <w:sz w:val="24"/>
          <w:lang w:val="en-IE"/>
        </w:rPr>
        <w:t>; of the remaining 11 measures, which are common to the NIR and NPF, 7 were improved in the NIR, therefore the overall level of ambition in</w:t>
      </w:r>
      <w:r>
        <w:rPr>
          <w:rFonts w:ascii="Times New Roman" w:hAnsi="Times New Roman" w:cs="Times New Roman"/>
          <w:noProof/>
          <w:sz w:val="24"/>
          <w:lang w:val="en-IE"/>
        </w:rPr>
        <w:t>creased.</w:t>
      </w:r>
    </w:p>
    <w:p w:rsidR="003C43BF" w:rsidRDefault="003C43BF">
      <w:pPr>
        <w:jc w:val="both"/>
        <w:rPr>
          <w:rFonts w:ascii="Times New Roman" w:hAnsi="Times New Roman" w:cs="Times New Roman"/>
          <w:noProof/>
          <w:sz w:val="24"/>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FR NIR comprises a set of 14 policy measures meant to support the achievement of the French AF objectives related to road transport (5 measures appear only in the NIR, 9 are common to the NIR and NPF). They cover all aspects of alternative fuels deploy</w:t>
      </w:r>
      <w:r>
        <w:rPr>
          <w:rFonts w:ascii="Times New Roman" w:hAnsi="Times New Roman" w:cs="Times New Roman"/>
          <w:noProof/>
          <w:sz w:val="24"/>
          <w:lang w:val="en-IE"/>
        </w:rPr>
        <w:t xml:space="preserve">ment: AF, AFV and AFI. The majority (12) is represented by financial incentives (sometimes with different conditions depending on the AF). </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Within the financial measures in place, the French NIR includes: </w:t>
      </w:r>
    </w:p>
    <w:p w:rsidR="003C43BF" w:rsidRDefault="006C3212">
      <w:pPr>
        <w:pStyle w:val="ListParagraph"/>
        <w:numPr>
          <w:ilvl w:val="0"/>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purchase subsidies – bonus (in place since 2008) -</w:t>
      </w:r>
      <w:r>
        <w:rPr>
          <w:rFonts w:ascii="Times New Roman" w:hAnsi="Times New Roman" w:cs="Times New Roman"/>
          <w:noProof/>
          <w:color w:val="000000" w:themeColor="text1"/>
          <w:sz w:val="24"/>
          <w:lang w:val="en-IE"/>
        </w:rPr>
        <w:t xml:space="preserve"> in 2018, grants of €6,000 (maximum 27% of the vehicle price) for the individuals or legal persons purchasing a new zero emission passenger car or LCV (previously PHEV were covered), other allowances existing for some M2, N2 or L-category vehicles and for </w:t>
      </w:r>
      <w:r>
        <w:rPr>
          <w:rFonts w:ascii="Times New Roman" w:hAnsi="Times New Roman" w:cs="Times New Roman"/>
          <w:noProof/>
          <w:color w:val="000000" w:themeColor="text1"/>
          <w:sz w:val="24"/>
          <w:lang w:val="en-IE"/>
        </w:rPr>
        <w:t xml:space="preserve">electric bicycles. A plan of limiting the subsidy only to vehicle with a price inferior to a threshold is mentioned for 2020. </w:t>
      </w:r>
    </w:p>
    <w:p w:rsidR="003C43BF" w:rsidRDefault="006C3212">
      <w:pPr>
        <w:pStyle w:val="ListParagraph"/>
        <w:numPr>
          <w:ilvl w:val="0"/>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scrappage scheme</w:t>
      </w:r>
      <w:r>
        <w:rPr>
          <w:rFonts w:ascii="Times New Roman" w:hAnsi="Times New Roman" w:cs="Times New Roman"/>
          <w:noProof/>
          <w:sz w:val="24"/>
          <w:lang w:val="en-IE"/>
        </w:rPr>
        <w:t xml:space="preserve"> </w:t>
      </w:r>
      <w:r>
        <w:rPr>
          <w:rFonts w:ascii="Times New Roman" w:hAnsi="Times New Roman" w:cs="Times New Roman"/>
          <w:noProof/>
          <w:color w:val="000000" w:themeColor="text1"/>
          <w:sz w:val="24"/>
          <w:lang w:val="en-IE"/>
        </w:rPr>
        <w:t xml:space="preserve">(in place since 2015 and set to continue at least until 2022) - payment of an allowance for purchasing a new or </w:t>
      </w:r>
      <w:r>
        <w:rPr>
          <w:rFonts w:ascii="Times New Roman" w:hAnsi="Times New Roman" w:cs="Times New Roman"/>
          <w:noProof/>
          <w:color w:val="000000" w:themeColor="text1"/>
          <w:sz w:val="24"/>
          <w:lang w:val="en-IE"/>
        </w:rPr>
        <w:t>used passenger car or LCV (or an electric 2</w:t>
      </w:r>
      <w:r>
        <w:rPr>
          <w:rFonts w:ascii="Times New Roman" w:hAnsi="Times New Roman" w:cs="Times New Roman"/>
          <w:noProof/>
          <w:color w:val="000000" w:themeColor="text1"/>
          <w:sz w:val="24"/>
          <w:lang w:val="en-IE"/>
        </w:rPr>
        <w:noBreakHyphen/>
        <w:t xml:space="preserve"> or 3</w:t>
      </w:r>
      <w:r>
        <w:rPr>
          <w:rFonts w:ascii="Times New Roman" w:hAnsi="Times New Roman" w:cs="Times New Roman"/>
          <w:noProof/>
          <w:color w:val="000000" w:themeColor="text1"/>
          <w:sz w:val="24"/>
          <w:lang w:val="en-IE"/>
        </w:rPr>
        <w:noBreakHyphen/>
        <w:t>wheel vehicle or quadricycle that does not use lead batteries) if this is accompanied by the removal from circulation of a diesel passenger car or LCV registered before 2001 or a petrol passenger car or LCV</w:t>
      </w:r>
      <w:r>
        <w:rPr>
          <w:rFonts w:ascii="Times New Roman" w:hAnsi="Times New Roman" w:cs="Times New Roman"/>
          <w:noProof/>
          <w:color w:val="000000" w:themeColor="text1"/>
          <w:sz w:val="24"/>
          <w:lang w:val="en-IE"/>
        </w:rPr>
        <w:t xml:space="preserve"> registered before 1997. The allowance scale ranges from €1,500 to €5,000 depending on the emissions of the replacement vehicle and the household’s income.</w:t>
      </w:r>
    </w:p>
    <w:p w:rsidR="003C43BF" w:rsidRDefault="006C3212">
      <w:pPr>
        <w:pStyle w:val="ListParagraph"/>
        <w:numPr>
          <w:ilvl w:val="0"/>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tax related incentives </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tax on the registration of the most polluting vehicles (malus) - staggered </w:t>
      </w:r>
      <w:r>
        <w:rPr>
          <w:rFonts w:ascii="Times New Roman" w:hAnsi="Times New Roman" w:cs="Times New Roman"/>
          <w:noProof/>
          <w:color w:val="000000" w:themeColor="text1"/>
          <w:sz w:val="24"/>
          <w:lang w:val="en-IE"/>
        </w:rPr>
        <w:t>additional tax that depends on the amount by which vehicles exceed an emission threshold that regularly changes to take account of developments in the market for passenger cars and LCVs and in the decarbonisation targets of this segment</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accelerated depreci</w:t>
      </w:r>
      <w:r>
        <w:rPr>
          <w:rFonts w:ascii="Times New Roman" w:hAnsi="Times New Roman" w:cs="Times New Roman"/>
          <w:noProof/>
          <w:color w:val="000000" w:themeColor="text1"/>
          <w:sz w:val="24"/>
          <w:lang w:val="en-IE"/>
        </w:rPr>
        <w:t>ation for HCVs using natural gas, ethanol, electricity or hydrogen</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increase in the depreciation ceiling for low-emission passenger cars (emitting less than 60 gCO</w:t>
      </w:r>
      <w:r>
        <w:rPr>
          <w:rFonts w:ascii="Times New Roman" w:hAnsi="Times New Roman" w:cs="Times New Roman"/>
          <w:noProof/>
          <w:color w:val="000000" w:themeColor="text1"/>
          <w:sz w:val="24"/>
          <w:vertAlign w:val="subscript"/>
          <w:lang w:val="en-IE"/>
        </w:rPr>
        <w:t>2</w:t>
      </w:r>
      <w:r>
        <w:rPr>
          <w:rFonts w:ascii="Times New Roman" w:hAnsi="Times New Roman" w:cs="Times New Roman"/>
          <w:noProof/>
          <w:color w:val="000000" w:themeColor="text1"/>
          <w:sz w:val="24"/>
          <w:lang w:val="en-IE"/>
        </w:rPr>
        <w:t>/km)</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company vehicle tax reduction (since 2016) – calculated based on the value of CO</w:t>
      </w:r>
      <w:r>
        <w:rPr>
          <w:rFonts w:ascii="Times New Roman" w:hAnsi="Times New Roman" w:cs="Times New Roman"/>
          <w:noProof/>
          <w:color w:val="000000" w:themeColor="text1"/>
          <w:sz w:val="24"/>
          <w:vertAlign w:val="subscript"/>
          <w:lang w:val="en-IE"/>
        </w:rPr>
        <w:t>2</w:t>
      </w:r>
      <w:r>
        <w:rPr>
          <w:rFonts w:ascii="Times New Roman" w:hAnsi="Times New Roman" w:cs="Times New Roman"/>
          <w:noProof/>
          <w:color w:val="000000" w:themeColor="text1"/>
          <w:sz w:val="24"/>
          <w:lang w:val="en-IE"/>
        </w:rPr>
        <w:t xml:space="preserve"> emissi</w:t>
      </w:r>
      <w:r>
        <w:rPr>
          <w:rFonts w:ascii="Times New Roman" w:hAnsi="Times New Roman" w:cs="Times New Roman"/>
          <w:noProof/>
          <w:color w:val="000000" w:themeColor="text1"/>
          <w:sz w:val="24"/>
          <w:lang w:val="en-IE"/>
        </w:rPr>
        <w:t>ons and air pollutant emissions</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regional taxes on registration certificates – some regions provide an exemption (50% or 100%) to low-emissions vehicles powered by CNG, LPG, electricity and E85 </w:t>
      </w:r>
    </w:p>
    <w:p w:rsidR="003C43BF" w:rsidRDefault="006C3212">
      <w:pPr>
        <w:pStyle w:val="ListParagraph"/>
        <w:numPr>
          <w:ilvl w:val="1"/>
          <w:numId w:val="47"/>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benefit in kind – 50% reduction (with a maximum of €1,800 per </w:t>
      </w:r>
      <w:r>
        <w:rPr>
          <w:rFonts w:ascii="Times New Roman" w:hAnsi="Times New Roman" w:cs="Times New Roman"/>
          <w:noProof/>
          <w:color w:val="000000" w:themeColor="text1"/>
          <w:sz w:val="24"/>
          <w:lang w:val="en-IE"/>
        </w:rPr>
        <w:t>year) for electric vehicles</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Two other types of measures reported in the FR NIR regard a free parking incentive (green disk) for AFV in place since 2008 and the launch of an educational information website on EVs</w:t>
      </w:r>
      <w:r>
        <w:rPr>
          <w:rStyle w:val="FootnoteReference"/>
          <w:rFonts w:ascii="Times New Roman" w:hAnsi="Times New Roman" w:cs="Times New Roman"/>
          <w:noProof/>
          <w:color w:val="000000" w:themeColor="text1"/>
          <w:sz w:val="24"/>
          <w:lang w:val="en-IE"/>
        </w:rPr>
        <w:footnoteReference w:id="45"/>
      </w:r>
      <w:r>
        <w:rPr>
          <w:rFonts w:ascii="Times New Roman" w:hAnsi="Times New Roman" w:cs="Times New Roman"/>
          <w:noProof/>
          <w:color w:val="000000" w:themeColor="text1"/>
          <w:sz w:val="24"/>
          <w:lang w:val="en-IE"/>
        </w:rPr>
        <w:t xml:space="preserve"> in 2019.</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w:t>
      </w:r>
    </w:p>
    <w:p w:rsidR="003C43BF" w:rsidRDefault="006C3212">
      <w:pPr>
        <w:spacing w:after="0"/>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 xml:space="preserve">Two foreseen </w:t>
      </w:r>
      <w:r>
        <w:rPr>
          <w:rFonts w:ascii="Times New Roman" w:hAnsi="Times New Roman" w:cs="Times New Roman"/>
          <w:noProof/>
          <w:sz w:val="24"/>
          <w:lang w:val="en-IE"/>
        </w:rPr>
        <w:t xml:space="preserve">financial </w:t>
      </w:r>
      <w:r>
        <w:rPr>
          <w:rFonts w:ascii="Times New Roman" w:hAnsi="Times New Roman" w:cs="Times New Roman"/>
          <w:noProof/>
          <w:color w:val="000000" w:themeColor="text1"/>
          <w:sz w:val="24"/>
          <w:lang w:val="en-IE"/>
        </w:rPr>
        <w:t>measures refer to waterborne transport:</w:t>
      </w:r>
    </w:p>
    <w:p w:rsidR="003C43BF" w:rsidRDefault="006C3212">
      <w:pPr>
        <w:pStyle w:val="ListParagraph"/>
        <w:numPr>
          <w:ilvl w:val="0"/>
          <w:numId w:val="47"/>
        </w:numPr>
        <w:spacing w:after="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accelerated depreciation for vessels using LNG</w:t>
      </w:r>
    </w:p>
    <w:p w:rsidR="003C43BF" w:rsidRDefault="006C3212">
      <w:pPr>
        <w:pStyle w:val="ListParagraph"/>
        <w:numPr>
          <w:ilvl w:val="0"/>
          <w:numId w:val="47"/>
        </w:numPr>
        <w:spacing w:after="160" w:line="240" w:lineRule="auto"/>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application of a preferential</w:t>
      </w:r>
      <w:r>
        <w:rPr>
          <w:rFonts w:ascii="Times New Roman" w:hAnsi="Times New Roman" w:cs="Times New Roman"/>
          <w:noProof/>
          <w:sz w:val="24"/>
          <w:lang w:val="en-IE"/>
        </w:rPr>
        <w:t xml:space="preserve"> rate of domestic final electricity consumption tax to increase the attractiveness of shore-side connections.</w:t>
      </w:r>
    </w:p>
    <w:p w:rsidR="003C43BF" w:rsidRDefault="003C43BF">
      <w:pPr>
        <w:spacing w:line="240" w:lineRule="auto"/>
        <w:jc w:val="both"/>
        <w:rPr>
          <w:rFonts w:ascii="Times New Roman" w:hAnsi="Times New Roman" w:cs="Times New Roman"/>
          <w:noProof/>
          <w:sz w:val="24"/>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w:t>
      </w:r>
      <w:r>
        <w:rPr>
          <w:rFonts w:ascii="Times New Roman" w:hAnsi="Times New Roman" w:cs="Times New Roman"/>
          <w:noProof/>
          <w:sz w:val="24"/>
          <w:lang w:val="en-IE"/>
        </w:rPr>
        <w:t>romote AFI in public transport services</w:t>
      </w:r>
    </w:p>
    <w:p w:rsidR="003C43BF" w:rsidRDefault="006C3212">
      <w:pPr>
        <w:pStyle w:val="Heading6"/>
        <w:numPr>
          <w:ilvl w:val="0"/>
          <w:numId w:val="0"/>
        </w:numPr>
        <w:spacing w:before="0"/>
        <w:rPr>
          <w:rFonts w:ascii="Times New Roman" w:hAnsi="Times New Roman" w:cs="Times New Roman"/>
          <w:noProof/>
          <w:sz w:val="24"/>
          <w:lang w:val="en-IE"/>
        </w:rPr>
      </w:pPr>
      <w:r>
        <w:rPr>
          <w:rFonts w:ascii="Times New Roman" w:hAnsi="Times New Roman" w:cs="Times New Roman"/>
          <w:noProof/>
          <w:sz w:val="24"/>
          <w:lang w:val="en-IE"/>
        </w:rPr>
        <w:t xml:space="preserve">Buses </w:t>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The French NIR lists two measures promoting electricity in public transport services: </w:t>
      </w:r>
    </w:p>
    <w:p w:rsidR="003C43BF" w:rsidRDefault="006C3212">
      <w:pPr>
        <w:pStyle w:val="ListParagraph"/>
        <w:numPr>
          <w:ilvl w:val="0"/>
          <w:numId w:val="9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Moebus programme that aims to support the purchase of electric buses and the installation of dedicated recharging </w:t>
      </w:r>
      <w:r>
        <w:rPr>
          <w:rFonts w:ascii="Times New Roman" w:hAnsi="Times New Roman" w:cs="Times New Roman"/>
          <w:noProof/>
          <w:sz w:val="24"/>
          <w:lang w:val="en-IE"/>
        </w:rPr>
        <w:t>points</w:t>
      </w:r>
    </w:p>
    <w:p w:rsidR="003C43BF" w:rsidRDefault="006C3212">
      <w:pPr>
        <w:pStyle w:val="ListParagraph"/>
        <w:numPr>
          <w:ilvl w:val="0"/>
          <w:numId w:val="94"/>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partial coverage of the costs of connecting recharging points intended for public transport vehicles (existing but planned to improve with the new LOM law). </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 xml:space="preserve">Measures that can promote the deployment of private electro-mobility infrastructure </w:t>
      </w:r>
    </w:p>
    <w:p w:rsidR="003C43BF" w:rsidRDefault="006C3212">
      <w:pPr>
        <w:jc w:val="both"/>
        <w:rPr>
          <w:rFonts w:ascii="Times New Roman" w:eastAsiaTheme="majorEastAsia" w:hAnsi="Times New Roman" w:cs="Times New Roman"/>
          <w:iCs/>
          <w:noProof/>
          <w:color w:val="000000" w:themeColor="text1"/>
          <w:sz w:val="24"/>
          <w:lang w:val="en-IE"/>
        </w:rPr>
      </w:pPr>
      <w:r>
        <w:rPr>
          <w:rFonts w:ascii="Times New Roman" w:eastAsiaTheme="majorEastAsia" w:hAnsi="Times New Roman" w:cs="Times New Roman"/>
          <w:iCs/>
          <w:noProof/>
          <w:color w:val="000000" w:themeColor="text1"/>
          <w:sz w:val="24"/>
          <w:lang w:val="en-IE"/>
        </w:rPr>
        <w:t>Th</w:t>
      </w:r>
      <w:r>
        <w:rPr>
          <w:rFonts w:ascii="Times New Roman" w:eastAsiaTheme="majorEastAsia" w:hAnsi="Times New Roman" w:cs="Times New Roman"/>
          <w:iCs/>
          <w:noProof/>
          <w:color w:val="000000" w:themeColor="text1"/>
          <w:sz w:val="24"/>
          <w:lang w:val="en-IE"/>
        </w:rPr>
        <w:t>e FR NIR lists two existing measures to promote private recharging infrastructure:</w:t>
      </w:r>
    </w:p>
    <w:p w:rsidR="003C43BF" w:rsidRDefault="006C3212">
      <w:pPr>
        <w:pStyle w:val="ListParagraph"/>
        <w:numPr>
          <w:ilvl w:val="0"/>
          <w:numId w:val="95"/>
        </w:numPr>
        <w:spacing w:after="160" w:line="259" w:lineRule="auto"/>
        <w:ind w:left="426" w:hanging="426"/>
        <w:jc w:val="both"/>
        <w:rPr>
          <w:rFonts w:ascii="Times New Roman" w:eastAsiaTheme="majorEastAsia" w:hAnsi="Times New Roman" w:cs="Times New Roman"/>
          <w:iCs/>
          <w:noProof/>
          <w:color w:val="000000" w:themeColor="text1"/>
          <w:sz w:val="24"/>
          <w:lang w:val="en-IE"/>
        </w:rPr>
      </w:pPr>
      <w:r>
        <w:rPr>
          <w:rFonts w:ascii="Times New Roman" w:eastAsiaTheme="majorEastAsia" w:hAnsi="Times New Roman" w:cs="Times New Roman"/>
          <w:iCs/>
          <w:noProof/>
          <w:color w:val="000000" w:themeColor="text1"/>
          <w:sz w:val="24"/>
          <w:lang w:val="en-IE"/>
        </w:rPr>
        <w:t xml:space="preserve">energy transition tax credit for the deployment of recharging points in private homes covering 30% of the cost of one home recharging point, excluding installation costs (planned to evolve in 2020 with the introduction of a fixed amount subsidy of </w:t>
      </w:r>
      <w:r>
        <w:rPr>
          <w:rFonts w:ascii="Times New Roman" w:hAnsi="Times New Roman" w:cs="Times New Roman"/>
          <w:noProof/>
          <w:color w:val="000000" w:themeColor="text1"/>
          <w:sz w:val="24"/>
          <w:lang w:val="en-IE"/>
        </w:rPr>
        <w:t>€300 per</w:t>
      </w:r>
      <w:r>
        <w:rPr>
          <w:rFonts w:ascii="Times New Roman" w:hAnsi="Times New Roman" w:cs="Times New Roman"/>
          <w:noProof/>
          <w:color w:val="000000" w:themeColor="text1"/>
          <w:sz w:val="24"/>
          <w:lang w:val="en-IE"/>
        </w:rPr>
        <w:t xml:space="preserve"> recharging point)</w:t>
      </w:r>
    </w:p>
    <w:p w:rsidR="003C43BF" w:rsidRDefault="006C3212">
      <w:pPr>
        <w:pStyle w:val="ListParagraph"/>
        <w:numPr>
          <w:ilvl w:val="0"/>
          <w:numId w:val="95"/>
        </w:numPr>
        <w:spacing w:after="160" w:line="259" w:lineRule="auto"/>
        <w:ind w:left="426" w:hanging="426"/>
        <w:jc w:val="both"/>
        <w:rPr>
          <w:rFonts w:ascii="Times New Roman" w:eastAsiaTheme="majorEastAsia" w:hAnsi="Times New Roman" w:cs="Times New Roman"/>
          <w:iCs/>
          <w:noProof/>
          <w:color w:val="000000" w:themeColor="text1"/>
          <w:sz w:val="24"/>
          <w:lang w:val="en-IE"/>
        </w:rPr>
      </w:pPr>
      <w:r>
        <w:rPr>
          <w:rFonts w:ascii="Times New Roman" w:eastAsiaTheme="majorEastAsia" w:hAnsi="Times New Roman" w:cs="Times New Roman"/>
          <w:iCs/>
          <w:noProof/>
          <w:color w:val="000000" w:themeColor="text1"/>
          <w:sz w:val="24"/>
          <w:lang w:val="en-IE"/>
        </w:rPr>
        <w:t>the programme of Aid for the Development of Electric Vehicles through New Recharging Infrastructure (Aide au Développement du Véhicule Électrique grâce à de Nouvelles Infrastructures de Recharge – ADVENIR), launched in 2016 and supported</w:t>
      </w:r>
      <w:r>
        <w:rPr>
          <w:rFonts w:ascii="Times New Roman" w:eastAsiaTheme="majorEastAsia" w:hAnsi="Times New Roman" w:cs="Times New Roman"/>
          <w:iCs/>
          <w:noProof/>
          <w:color w:val="000000" w:themeColor="text1"/>
          <w:sz w:val="24"/>
          <w:lang w:val="en-IE"/>
        </w:rPr>
        <w:t xml:space="preserve"> by the system of energy savings certificates through which France funds part of the energy transition. Its aim is to facilitate the installation and partial financing of new intelligent recharging points outside public roads and multi-family buildings (ma</w:t>
      </w:r>
      <w:r>
        <w:rPr>
          <w:rFonts w:ascii="Times New Roman" w:eastAsiaTheme="majorEastAsia" w:hAnsi="Times New Roman" w:cs="Times New Roman"/>
          <w:iCs/>
          <w:noProof/>
          <w:color w:val="000000" w:themeColor="text1"/>
          <w:sz w:val="24"/>
          <w:lang w:val="en-IE"/>
        </w:rPr>
        <w:t>inly within the multi-family buildings and public enterprises and institutions).</w:t>
      </w:r>
    </w:p>
    <w:p w:rsidR="003C43BF" w:rsidRDefault="006C3212">
      <w:pPr>
        <w:pStyle w:val="ListParagraph"/>
        <w:numPr>
          <w:ilvl w:val="1"/>
          <w:numId w:val="95"/>
        </w:numPr>
        <w:spacing w:after="160" w:line="259" w:lineRule="auto"/>
        <w:ind w:left="851" w:hanging="425"/>
        <w:jc w:val="both"/>
        <w:rPr>
          <w:rFonts w:ascii="Times New Roman" w:eastAsiaTheme="majorEastAsia" w:hAnsi="Times New Roman" w:cs="Times New Roman"/>
          <w:iCs/>
          <w:noProof/>
          <w:color w:val="000000" w:themeColor="text1"/>
          <w:sz w:val="24"/>
          <w:lang w:val="en-IE"/>
        </w:rPr>
      </w:pPr>
      <w:r>
        <w:rPr>
          <w:rFonts w:ascii="Times New Roman" w:eastAsiaTheme="majorEastAsia" w:hAnsi="Times New Roman" w:cs="Times New Roman"/>
          <w:iCs/>
          <w:noProof/>
          <w:color w:val="000000" w:themeColor="text1"/>
          <w:sz w:val="24"/>
          <w:lang w:val="en-IE"/>
        </w:rPr>
        <w:t>The first phase of the programme had a target of 12,000 recharging points being installed before the end of 2018 and the aid for the purchase of the point and its installation</w:t>
      </w:r>
      <w:r>
        <w:rPr>
          <w:rFonts w:ascii="Times New Roman" w:eastAsiaTheme="majorEastAsia" w:hAnsi="Times New Roman" w:cs="Times New Roman"/>
          <w:iCs/>
          <w:noProof/>
          <w:color w:val="000000" w:themeColor="text1"/>
          <w:sz w:val="24"/>
          <w:lang w:val="en-IE"/>
        </w:rPr>
        <w:t xml:space="preserve"> amounted to 50% of the cost for individuals and 40% for enterprises, with a variable ceiling between €600 and €1,500, plus €360 in the case of an energy management device being also installed. </w:t>
      </w:r>
    </w:p>
    <w:p w:rsidR="003C43BF" w:rsidRDefault="006C3212">
      <w:pPr>
        <w:pStyle w:val="ListParagraph"/>
        <w:numPr>
          <w:ilvl w:val="1"/>
          <w:numId w:val="95"/>
        </w:numPr>
        <w:spacing w:after="160" w:line="259" w:lineRule="auto"/>
        <w:ind w:left="851" w:hanging="425"/>
        <w:jc w:val="both"/>
        <w:rPr>
          <w:rFonts w:ascii="Times New Roman" w:eastAsiaTheme="majorEastAsia" w:hAnsi="Times New Roman" w:cs="Times New Roman"/>
          <w:iCs/>
          <w:noProof/>
          <w:color w:val="000000" w:themeColor="text1"/>
          <w:sz w:val="24"/>
          <w:lang w:val="en-IE"/>
        </w:rPr>
      </w:pPr>
      <w:r>
        <w:rPr>
          <w:rFonts w:ascii="Times New Roman" w:eastAsiaTheme="majorEastAsia" w:hAnsi="Times New Roman" w:cs="Times New Roman"/>
          <w:iCs/>
          <w:noProof/>
          <w:color w:val="000000" w:themeColor="text1"/>
          <w:sz w:val="24"/>
          <w:lang w:val="en-IE"/>
        </w:rPr>
        <w:t xml:space="preserve">A new phase was launched in 2019, extending the programme to </w:t>
      </w:r>
      <w:r>
        <w:rPr>
          <w:rFonts w:ascii="Times New Roman" w:eastAsiaTheme="majorEastAsia" w:hAnsi="Times New Roman" w:cs="Times New Roman"/>
          <w:iCs/>
          <w:noProof/>
          <w:color w:val="000000" w:themeColor="text1"/>
          <w:sz w:val="24"/>
          <w:lang w:val="en-IE"/>
        </w:rPr>
        <w:t xml:space="preserve">on-road publicly accessible recharging points with ceilings between €600 and €1,860. In addition, a new scheme will fund 50% of the cost of installing a collective recharging infrastructure in the car parks of the first 3,000 jointly-owned properties that </w:t>
      </w:r>
      <w:r>
        <w:rPr>
          <w:rFonts w:ascii="Times New Roman" w:eastAsiaTheme="majorEastAsia" w:hAnsi="Times New Roman" w:cs="Times New Roman"/>
          <w:iCs/>
          <w:noProof/>
          <w:color w:val="000000" w:themeColor="text1"/>
          <w:sz w:val="24"/>
          <w:lang w:val="en-IE"/>
        </w:rPr>
        <w:t xml:space="preserve">submit an application. The funding will be directed to encourage the establishment of bidirectional recharging points and on-demand programmes (recharging points installed as part of an on-demand programme will receive a bonus of €300).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Deployment and man</w:t>
      </w:r>
      <w:r>
        <w:rPr>
          <w:rFonts w:ascii="Times New Roman" w:hAnsi="Times New Roman" w:cs="Times New Roman"/>
          <w:noProof/>
          <w:sz w:val="24"/>
          <w:lang w:val="en-IE"/>
        </w:rPr>
        <w:t xml:space="preserve">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sz w:val="24"/>
          <w:lang w:val="en-IE"/>
        </w:rPr>
      </w:pPr>
      <w:r>
        <w:rPr>
          <w:rFonts w:ascii="Times New Roman" w:eastAsiaTheme="majorEastAsia" w:hAnsi="Times New Roman" w:cs="Times New Roman"/>
          <w:iCs/>
          <w:noProof/>
          <w:sz w:val="24"/>
          <w:lang w:val="en-IE"/>
        </w:rPr>
        <w:t>The French NIR presents eight measures</w:t>
      </w:r>
      <w:r>
        <w:rPr>
          <w:rFonts w:ascii="Times New Roman" w:hAnsi="Times New Roman" w:cs="Times New Roman"/>
          <w:noProof/>
          <w:sz w:val="24"/>
          <w:lang w:val="en-IE"/>
        </w:rPr>
        <w:t xml:space="preserve"> fostering AFI: one in place in the period 2016-2018, four existing in 2019 and three in process of adoption. They cover electricity, natural gas including biomethane, and hydrogen. </w:t>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Five measures represent calls for projects supporting the deployment of infrastructure for road transport:</w:t>
      </w:r>
    </w:p>
    <w:p w:rsidR="003C43BF" w:rsidRDefault="006C3212">
      <w:pPr>
        <w:pStyle w:val="ListParagraph"/>
        <w:numPr>
          <w:ilvl w:val="0"/>
          <w:numId w:val="9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electricity – two calls “Vehicles and Transport of the Future” (funding 21,241 recharging points through estimated subsidies of 64.7 million € betwe</w:t>
      </w:r>
      <w:r>
        <w:rPr>
          <w:rFonts w:ascii="Times New Roman" w:hAnsi="Times New Roman" w:cs="Times New Roman"/>
          <w:noProof/>
          <w:sz w:val="24"/>
          <w:lang w:val="en-IE"/>
        </w:rPr>
        <w:t xml:space="preserve">en 2013 and 2017) and “Recharging infrastructure in non-interconnected areas” (in 2019, funding 13 projects with 3.3 million €) within the “Investing for the Future” programme </w:t>
      </w:r>
    </w:p>
    <w:p w:rsidR="003C43BF" w:rsidRDefault="006C3212">
      <w:pPr>
        <w:pStyle w:val="ListParagraph"/>
        <w:numPr>
          <w:ilvl w:val="0"/>
          <w:numId w:val="9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natural gas – two calls “Integrated natural gas mobility solutions” (8 projects</w:t>
      </w:r>
      <w:r>
        <w:rPr>
          <w:rFonts w:ascii="Times New Roman" w:hAnsi="Times New Roman" w:cs="Times New Roman"/>
          <w:noProof/>
          <w:sz w:val="24"/>
          <w:lang w:val="en-IE"/>
        </w:rPr>
        <w:t xml:space="preserve"> submitted in 2017 involving over 381 million € of investment, including 30 million € paid by the State, to install 100 stations on the TEN</w:t>
      </w:r>
      <w:r>
        <w:rPr>
          <w:rFonts w:ascii="Times New Roman" w:hAnsi="Times New Roman" w:cs="Times New Roman"/>
          <w:noProof/>
          <w:sz w:val="24"/>
          <w:lang w:val="en-IE"/>
        </w:rPr>
        <w:noBreakHyphen/>
        <w:t>T network and to purchase 2,100 HCVs between 2018 and 2022) and “Natural gas and biogas in white areas” (funding the</w:t>
      </w:r>
      <w:r>
        <w:rPr>
          <w:rFonts w:ascii="Times New Roman" w:hAnsi="Times New Roman" w:cs="Times New Roman"/>
          <w:noProof/>
          <w:sz w:val="24"/>
          <w:lang w:val="en-IE"/>
        </w:rPr>
        <w:t xml:space="preserve"> installation of 19 stations and the purchase of 470 vehicles with an estimated support paid of 4.2 million €) </w:t>
      </w:r>
    </w:p>
    <w:p w:rsidR="003C43BF" w:rsidRDefault="006C3212">
      <w:pPr>
        <w:pStyle w:val="ListParagraph"/>
        <w:numPr>
          <w:ilvl w:val="0"/>
          <w:numId w:val="9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hydrogen – “Hydrogen mobility ecosystems” call launched in 2019 (funding 11 projects with 35.5 million € to develop ecosystems bringing together</w:t>
      </w:r>
      <w:r>
        <w:rPr>
          <w:rFonts w:ascii="Times New Roman" w:hAnsi="Times New Roman" w:cs="Times New Roman"/>
          <w:noProof/>
          <w:sz w:val="24"/>
          <w:lang w:val="en-IE"/>
        </w:rPr>
        <w:t xml:space="preserve"> renewable hydrogen production, distribution and use for the purpose of mobility in a given territory; opening of 35 stations is expected; a second phase is expected in 2020).</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Another mentioned measure refers to the deployment of 15 regional hydrogen-power</w:t>
      </w:r>
      <w:r>
        <w:rPr>
          <w:rFonts w:ascii="Times New Roman" w:hAnsi="Times New Roman" w:cs="Times New Roman"/>
          <w:noProof/>
          <w:sz w:val="24"/>
          <w:lang w:val="en-IE"/>
        </w:rPr>
        <w:t>ed trains on non-electrified lines that are currently covered by diesel trains, with the first trains expected to come into service in 2022.</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waterborne maritime transport, the “Zero Fumes Stopover” plan announced by the southern region aims, in </w:t>
      </w:r>
      <w:r>
        <w:rPr>
          <w:rFonts w:ascii="Times New Roman" w:hAnsi="Times New Roman" w:cs="Times New Roman"/>
          <w:noProof/>
          <w:sz w:val="24"/>
          <w:lang w:val="en-IE"/>
        </w:rPr>
        <w:t xml:space="preserve">the medium term, to drastically reduce GHG and pollutant emissions from vessels moored in the ports of Marseille, Nice and Toulon. The metropolitan areas of Toulon and Marseille have already announced a target for the electrification of all docks by 2023. </w:t>
      </w:r>
      <w:r>
        <w:rPr>
          <w:rFonts w:ascii="Times New Roman" w:hAnsi="Times New Roman" w:cs="Times New Roman"/>
          <w:noProof/>
          <w:sz w:val="24"/>
          <w:lang w:val="en-IE"/>
        </w:rPr>
        <w:t>The plan should also allow the installation of a power supply for cruise ships in Marseille by 2025. In the port of Nice, the plan will support the purchase of power supply equipment using fuel cells. The committed regional budget of 30 million € is expect</w:t>
      </w:r>
      <w:r>
        <w:rPr>
          <w:rFonts w:ascii="Times New Roman" w:hAnsi="Times New Roman" w:cs="Times New Roman"/>
          <w:noProof/>
          <w:sz w:val="24"/>
          <w:lang w:val="en-IE"/>
        </w:rPr>
        <w:t>ed to be topped up by the State, the “Investing for the Future” programme managed by ADEME and European funds.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jc w:val="both"/>
        <w:rPr>
          <w:rFonts w:ascii="Times New Roman" w:eastAsiaTheme="majorEastAsia" w:hAnsi="Times New Roman" w:cs="Times New Roman"/>
          <w:i/>
          <w:iCs/>
          <w:noProof/>
          <w:color w:val="0070C0"/>
          <w:sz w:val="24"/>
          <w:lang w:val="en-IE"/>
        </w:rPr>
      </w:pPr>
      <w:r>
        <w:rPr>
          <w:rFonts w:ascii="Times New Roman" w:eastAsiaTheme="majorEastAsia" w:hAnsi="Times New Roman" w:cs="Times New Roman"/>
          <w:iCs/>
          <w:noProof/>
          <w:sz w:val="24"/>
          <w:lang w:val="en-IE"/>
        </w:rPr>
        <w:t xml:space="preserve">The French NIR noted the participation in the European Battery Alliance which is a programme </w:t>
      </w:r>
      <w:r>
        <w:rPr>
          <w:rFonts w:ascii="Times New Roman" w:eastAsiaTheme="majorEastAsia" w:hAnsi="Times New Roman" w:cs="Times New Roman"/>
          <w:iCs/>
          <w:noProof/>
          <w:sz w:val="24"/>
          <w:lang w:val="en-IE"/>
        </w:rPr>
        <w:t>of research, development and industrialisation of fourth generation rechargeable lithium electrochemical cells and batteries built around those cells. In February 2019, 700 million € of State aid were announced to be released for the launch of the programm</w:t>
      </w:r>
      <w:r>
        <w:rPr>
          <w:rFonts w:ascii="Times New Roman" w:eastAsiaTheme="majorEastAsia" w:hAnsi="Times New Roman" w:cs="Times New Roman"/>
          <w:iCs/>
          <w:noProof/>
          <w:sz w:val="24"/>
          <w:lang w:val="en-IE"/>
        </w:rPr>
        <w:t>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French NIR.</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Quantitative assessment of Policy and Deployment &amp; Manufacturing measures </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_Ref53948406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5.10.4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w:t>
      </w:r>
      <w:r>
        <w:rPr>
          <w:rFonts w:ascii="Times New Roman" w:hAnsi="Times New Roman" w:cs="Times New Roman"/>
          <w:iCs/>
          <w:noProof/>
          <w:color w:val="000000" w:themeColor="text1"/>
          <w:sz w:val="24"/>
          <w:lang w:val="en-IE"/>
        </w:rPr>
        <w:t>bed in Section 2.2</w:t>
      </w:r>
      <w:r>
        <w:rPr>
          <w:rFonts w:ascii="Times New Roman" w:hAnsi="Times New Roman" w:cs="Times New Roman"/>
          <w:noProof/>
          <w:sz w:val="24"/>
          <w:lang w:val="en-IE"/>
        </w:rPr>
        <w:t>. Among the clusters of measures identified in the French NIR, six clusters contain dedicated measures (electricity/road, CNG/road, LNG /road</w:t>
      </w:r>
      <w:r>
        <w:rPr>
          <w:rStyle w:val="FootnoteReference"/>
          <w:rFonts w:ascii="Times New Roman" w:hAnsi="Times New Roman" w:cs="Times New Roman"/>
          <w:noProof/>
          <w:sz w:val="24"/>
          <w:lang w:val="en-IE"/>
        </w:rPr>
        <w:footnoteReference w:id="46"/>
      </w:r>
      <w:r>
        <w:rPr>
          <w:rFonts w:ascii="Times New Roman" w:hAnsi="Times New Roman" w:cs="Times New Roman"/>
          <w:noProof/>
          <w:sz w:val="24"/>
          <w:lang w:val="en-IE"/>
        </w:rPr>
        <w:t>, LNG/water-inland, hydrogen/road and hydrogen/rail) while the other five contain general measur</w:t>
      </w:r>
      <w:r>
        <w:rPr>
          <w:rFonts w:ascii="Times New Roman" w:hAnsi="Times New Roman" w:cs="Times New Roman"/>
          <w:noProof/>
          <w:sz w:val="24"/>
          <w:lang w:val="en-IE"/>
        </w:rPr>
        <w:t xml:space="preserve">es addressing combinations of several alternative fuels. </w:t>
      </w:r>
      <w:r>
        <w:rPr>
          <w:rFonts w:ascii="Times New Roman" w:hAnsi="Times New Roman" w:cs="Times New Roman"/>
          <w:noProof/>
          <w:color w:val="000000" w:themeColor="text1"/>
          <w:sz w:val="24"/>
          <w:lang w:val="en-IE"/>
        </w:rPr>
        <w:t xml:space="preserve">For all remaining pairs of AF and transport mode, there are either no measures or the pair is not applicable to France. </w:t>
      </w:r>
    </w:p>
    <w:p w:rsidR="003C43BF" w:rsidRDefault="003C43BF">
      <w:pPr>
        <w:jc w:val="both"/>
        <w:rPr>
          <w:rFonts w:ascii="Times New Roman" w:hAnsi="Times New Roman" w:cs="Times New Roman"/>
          <w:i/>
          <w:noProof/>
          <w:sz w:val="20"/>
          <w:szCs w:val="18"/>
          <w:lang w:val="en-IE"/>
        </w:rPr>
      </w:pPr>
    </w:p>
    <w:p w:rsidR="003C43BF" w:rsidRDefault="003C43BF">
      <w:pPr>
        <w:jc w:val="both"/>
        <w:rPr>
          <w:rFonts w:ascii="Times New Roman" w:hAnsi="Times New Roman" w:cs="Times New Roman"/>
          <w:i/>
          <w:noProof/>
          <w:sz w:val="20"/>
          <w:szCs w:val="18"/>
          <w:lang w:val="en-IE"/>
        </w:rPr>
      </w:pPr>
    </w:p>
    <w:p w:rsidR="003C43BF" w:rsidRDefault="003C43BF">
      <w:pPr>
        <w:jc w:val="both"/>
        <w:rPr>
          <w:rFonts w:ascii="Times New Roman" w:hAnsi="Times New Roman" w:cs="Times New Roman"/>
          <w:i/>
          <w:noProof/>
          <w:sz w:val="20"/>
          <w:szCs w:val="18"/>
          <w:lang w:val="en-IE"/>
        </w:rPr>
      </w:pPr>
    </w:p>
    <w:p w:rsidR="003C43BF" w:rsidRDefault="006C3212">
      <w:pPr>
        <w:rPr>
          <w:rFonts w:ascii="Times New Roman" w:hAnsi="Times New Roman" w:cs="Times New Roman"/>
          <w:i/>
          <w:noProof/>
          <w:sz w:val="20"/>
          <w:szCs w:val="18"/>
          <w:lang w:val="en-IE"/>
        </w:rPr>
      </w:pPr>
      <w:r>
        <w:rPr>
          <w:rFonts w:ascii="Times New Roman" w:hAnsi="Times New Roman" w:cs="Times New Roman"/>
          <w:i/>
          <w:noProof/>
          <w:sz w:val="20"/>
          <w:szCs w:val="18"/>
          <w:lang w:val="en-IE"/>
        </w:rPr>
        <w:br w:type="page"/>
      </w:r>
    </w:p>
    <w:p w:rsidR="003C43BF" w:rsidRDefault="006C3212">
      <w:pPr>
        <w:jc w:val="both"/>
        <w:rPr>
          <w:rFonts w:ascii="Times New Roman" w:hAnsi="Times New Roman" w:cs="Times New Roman"/>
          <w:noProof/>
          <w:sz w:val="24"/>
          <w:lang w:val="en-IE"/>
        </w:rPr>
      </w:pPr>
      <w:bookmarkStart w:id="267" w:name="_Ref53948406"/>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5.10.4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67"/>
      <w:r>
        <w:rPr>
          <w:rFonts w:ascii="Times New Roman" w:hAnsi="Times New Roman" w:cs="Times New Roman"/>
          <w:i/>
          <w:noProof/>
          <w:sz w:val="20"/>
          <w:szCs w:val="18"/>
          <w:lang w:val="en-IE"/>
        </w:rPr>
        <w:t xml:space="preserve"> Quantitative assessment of Policy and Deployment &amp; Manufacturing support measures</w:t>
      </w:r>
    </w:p>
    <w:p w:rsidR="003C43BF" w:rsidRDefault="006C3212">
      <w:pPr>
        <w:pStyle w:val="Caption"/>
        <w:spacing w:after="160" w:line="259" w:lineRule="auto"/>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2804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4235" cy="2804160"/>
                    </a:xfrm>
                    <a:prstGeom prst="rect">
                      <a:avLst/>
                    </a:prstGeom>
                    <a:noFill/>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w:t>
      </w:r>
      <w:r>
        <w:rPr>
          <w:rFonts w:ascii="Times New Roman" w:eastAsia="Calibri" w:hAnsi="Times New Roman" w:cs="Times New Roman"/>
          <w:noProof/>
          <w:sz w:val="20"/>
          <w:szCs w:val="18"/>
          <w:lang w:val="en-IE"/>
        </w:rPr>
        <w:t>’; ‘=’ means ‘comparable’; ‘-‘ means ‘lower’.</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In line with the overall focus in promoting zero-emission mobility reported in the NIR for the recent years, the most numerous cluster is the electricity/road followed by hydrogen/road. The electricity/road clu</w:t>
      </w:r>
      <w:r>
        <w:rPr>
          <w:rFonts w:ascii="Times New Roman" w:hAnsi="Times New Roman" w:cs="Times New Roman"/>
          <w:noProof/>
          <w:color w:val="000000" w:themeColor="text1"/>
          <w:sz w:val="24"/>
          <w:lang w:val="en-IE"/>
        </w:rPr>
        <w:t xml:space="preserve">ster contains a comprehensive set of 23 NIR measures, displaying a high overall score and showing an increased level of ambition compared with the NPF. </w:t>
      </w:r>
      <w:r>
        <w:rPr>
          <w:rFonts w:ascii="Times New Roman" w:eastAsiaTheme="majorEastAsia" w:hAnsi="Times New Roman" w:cs="Times New Roman"/>
          <w:iCs/>
          <w:noProof/>
          <w:sz w:val="24"/>
          <w:lang w:val="en-IE"/>
        </w:rPr>
        <w:t>This cluster contains several measures assuring subsidies and tax reductions/exemptions for electric veh</w:t>
      </w:r>
      <w:r>
        <w:rPr>
          <w:rFonts w:ascii="Times New Roman" w:eastAsiaTheme="majorEastAsia" w:hAnsi="Times New Roman" w:cs="Times New Roman"/>
          <w:iCs/>
          <w:noProof/>
          <w:sz w:val="24"/>
          <w:lang w:val="en-IE"/>
        </w:rPr>
        <w:t xml:space="preserve">icles (especially BEVs) and a significant support for the deployment of recharging points (public and private) with the majority of them improving compared with the NPF situation. </w:t>
      </w:r>
      <w:r>
        <w:rPr>
          <w:rFonts w:ascii="Times New Roman" w:hAnsi="Times New Roman" w:cs="Times New Roman"/>
          <w:noProof/>
          <w:color w:val="000000" w:themeColor="text1"/>
          <w:sz w:val="24"/>
          <w:lang w:val="en-IE"/>
        </w:rPr>
        <w:t>The hydrogen/road cluster is formed by a comprehensive set of 13 NIR measure</w:t>
      </w:r>
      <w:r>
        <w:rPr>
          <w:rFonts w:ascii="Times New Roman" w:hAnsi="Times New Roman" w:cs="Times New Roman"/>
          <w:noProof/>
          <w:color w:val="000000" w:themeColor="text1"/>
          <w:sz w:val="24"/>
          <w:lang w:val="en-IE"/>
        </w:rPr>
        <w:t>s, displaying a medium overall score and showing an increased level of ambition compared with the NPF. The newly introduced measures originate in the 2018 Energy Transition Hydrogen Deployment plan.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terms of expected impact of these measures to support </w:t>
      </w:r>
      <w:r>
        <w:rPr>
          <w:rFonts w:ascii="Times New Roman" w:hAnsi="Times New Roman" w:cs="Times New Roman"/>
          <w:noProof/>
          <w:sz w:val="24"/>
          <w:lang w:val="en-IE"/>
        </w:rPr>
        <w:t>the realisation of the AFV/AFI objectives as presented in the NPF and revised in the NIR, in some cases, the partial or total lack of future targets and estimates is making difficult putting this assessment into perspective. Based on a comparative analysis</w:t>
      </w:r>
      <w:r>
        <w:rPr>
          <w:rFonts w:ascii="Times New Roman" w:hAnsi="Times New Roman" w:cs="Times New Roman"/>
          <w:noProof/>
          <w:sz w:val="24"/>
          <w:lang w:val="en-IE"/>
        </w:rPr>
        <w:t xml:space="preserve"> with the measures presented in the other NIRs, it seems reasonable to assume that the pairs electricity/road should have a high impact, the measures for the pairs CNG/road, LNG /road, hydrogen/road and electricity/water-maritime should have a medium impac</w:t>
      </w:r>
      <w:r>
        <w:rPr>
          <w:rFonts w:ascii="Times New Roman" w:hAnsi="Times New Roman" w:cs="Times New Roman"/>
          <w:noProof/>
          <w:sz w:val="24"/>
          <w:lang w:val="en-IE"/>
        </w:rPr>
        <w:t>t, all the other pairs should have a low impact. Compared to the NPF, the level of ambition of the Policy and Deployment &amp; Manufacturing support measures has increased for all identified pairs with the exception of LPG/road.</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w:t>
      </w:r>
      <w:r>
        <w:rPr>
          <w:rFonts w:ascii="Times New Roman" w:hAnsi="Times New Roman" w:cs="Times New Roman"/>
          <w:noProof/>
          <w:sz w:val="24"/>
          <w:lang w:val="en-IE"/>
        </w:rPr>
        <w:t>ment &amp; Demonstration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This section contains three measures related to the “Investing for the Future programme”.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first measure presents the Phases I &amp; II of the programme concerning “Vehicles and Transport of the Future” and contributed with several tens of millions of euro to the funding between 2011 and 2017 of various innovative projects aiming to launch produ</w:t>
      </w:r>
      <w:r>
        <w:rPr>
          <w:rFonts w:ascii="Times New Roman" w:hAnsi="Times New Roman" w:cs="Times New Roman"/>
          <w:noProof/>
          <w:sz w:val="24"/>
          <w:lang w:val="en-IE"/>
        </w:rPr>
        <w:t xml:space="preserve">cts on the market in the short term.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other two measures are related to the Phase III of the programme. </w:t>
      </w:r>
    </w:p>
    <w:p w:rsidR="003C43BF" w:rsidRDefault="006C3212">
      <w:pPr>
        <w:pStyle w:val="ListParagraph"/>
        <w:numPr>
          <w:ilvl w:val="0"/>
          <w:numId w:val="97"/>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The “Transport and Sustainable Mobility” section aims to support projects developed by enterprises based in the national territory and deploying te</w:t>
      </w:r>
      <w:r>
        <w:rPr>
          <w:rFonts w:ascii="Times New Roman" w:hAnsi="Times New Roman" w:cs="Times New Roman"/>
          <w:noProof/>
          <w:sz w:val="24"/>
          <w:lang w:val="en-IE"/>
        </w:rPr>
        <w:t xml:space="preserve">chnologies resulting from the work of public research laboratories on several priorities, among which “Cleaner and more efficient vehicles” and “Maritime and inland waterway transport”. </w:t>
      </w:r>
    </w:p>
    <w:p w:rsidR="003C43BF" w:rsidRDefault="006C3212">
      <w:pPr>
        <w:pStyle w:val="ListParagraph"/>
        <w:numPr>
          <w:ilvl w:val="0"/>
          <w:numId w:val="97"/>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Innovation competition enabling repayable advances and subsidies of 1</w:t>
      </w:r>
      <w:r>
        <w:rPr>
          <w:rFonts w:ascii="Times New Roman" w:hAnsi="Times New Roman" w:cs="Times New Roman"/>
          <w:noProof/>
          <w:sz w:val="24"/>
          <w:lang w:val="en-IE"/>
        </w:rPr>
        <w:t>.7 million € to be granted to various innovative projects proposed by several SMEs ad start-ups engaged in developing innovative prototypes, in particular in the field of transport and sustainable mobility. Some of these innovations directly involve altern</w:t>
      </w:r>
      <w:r>
        <w:rPr>
          <w:rFonts w:ascii="Times New Roman" w:hAnsi="Times New Roman" w:cs="Times New Roman"/>
          <w:noProof/>
          <w:sz w:val="24"/>
          <w:lang w:val="en-IE"/>
        </w:rPr>
        <w:t xml:space="preserve">ative fuels, such as rectification blocks for charging batteries, heat exchangers for cooling batteries and small hydrogen stations, magnetic charging systems or foils for electric boats. </w:t>
      </w:r>
    </w:p>
    <w:p w:rsidR="003C43BF" w:rsidRDefault="003C43BF">
      <w:pPr>
        <w:jc w:val="both"/>
        <w:rPr>
          <w:rFonts w:ascii="Times New Roman" w:hAnsi="Times New Roman" w:cs="Times New Roman"/>
          <w:noProof/>
          <w:sz w:val="24"/>
          <w:lang w:val="en-IE"/>
        </w:rPr>
      </w:pPr>
    </w:p>
    <w:p w:rsidR="003C43BF" w:rsidRDefault="006C3212">
      <w:pPr>
        <w:pStyle w:val="Heading3"/>
        <w:spacing w:after="160"/>
        <w:ind w:left="720"/>
        <w:rPr>
          <w:rFonts w:ascii="Times New Roman" w:hAnsi="Times New Roman" w:cs="Times New Roman"/>
          <w:noProof/>
          <w:sz w:val="24"/>
          <w:lang w:val="en-IE"/>
        </w:rPr>
      </w:pPr>
      <w:bookmarkStart w:id="268" w:name="_Toc55301856"/>
      <w:bookmarkStart w:id="269" w:name="_Toc56944175"/>
      <w:r>
        <w:rPr>
          <w:rFonts w:ascii="Times New Roman" w:hAnsi="Times New Roman" w:cs="Times New Roman"/>
          <w:noProof/>
          <w:sz w:val="24"/>
          <w:lang w:val="en-IE"/>
        </w:rPr>
        <w:t>Additional information on alternative fuels infrastructure develop</w:t>
      </w:r>
      <w:r>
        <w:rPr>
          <w:rFonts w:ascii="Times New Roman" w:hAnsi="Times New Roman" w:cs="Times New Roman"/>
          <w:noProof/>
          <w:sz w:val="24"/>
          <w:lang w:val="en-IE"/>
        </w:rPr>
        <w:t>ments</w:t>
      </w:r>
      <w:bookmarkEnd w:id="268"/>
      <w:bookmarkEnd w:id="269"/>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French NIR contains some information on the changes in fuels use in the transport sector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_Ref53948434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5.10.5</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Electricity and natural gas are foreseen to increase progressively in percentage use during the next decade while LPG present an almost constant trend. No data were provided for the waterbor</w:t>
      </w:r>
      <w:r>
        <w:rPr>
          <w:rFonts w:ascii="Times New Roman" w:hAnsi="Times New Roman" w:cs="Times New Roman"/>
          <w:noProof/>
          <w:sz w:val="24"/>
          <w:lang w:val="en-IE"/>
        </w:rPr>
        <w:t>ne transport mode.</w:t>
      </w:r>
    </w:p>
    <w:p w:rsidR="003C43BF" w:rsidRDefault="006C3212">
      <w:pPr>
        <w:pStyle w:val="Caption"/>
        <w:rPr>
          <w:rFonts w:ascii="Times New Roman" w:hAnsi="Times New Roman" w:cs="Times New Roman"/>
          <w:b w:val="0"/>
          <w:i/>
          <w:noProof/>
          <w:sz w:val="20"/>
          <w:szCs w:val="18"/>
          <w:lang w:val="en-IE"/>
        </w:rPr>
      </w:pPr>
      <w:bookmarkStart w:id="270" w:name="_Ref53948434"/>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5.10.5</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270"/>
      <w:r>
        <w:rPr>
          <w:rFonts w:ascii="Times New Roman" w:hAnsi="Times New Roman" w:cs="Times New Roman"/>
          <w:b w:val="0"/>
          <w:i/>
          <w:noProof/>
          <w:sz w:val="20"/>
          <w:szCs w:val="18"/>
          <w:lang w:val="en-IE"/>
        </w:rPr>
        <w:t xml:space="preserve"> Changes in fuel use in transport sector (2016-2030)</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822315" cy="1313180"/>
            <wp:effectExtent l="0" t="0" r="6985" b="1270"/>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22315" cy="1313180"/>
                    </a:xfrm>
                    <a:prstGeom prst="rect">
                      <a:avLst/>
                    </a:prstGeom>
                    <a:noFill/>
                    <a:ln>
                      <a:noFill/>
                    </a:ln>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spacing w:after="160"/>
        <w:ind w:left="720"/>
        <w:rPr>
          <w:rFonts w:ascii="Times New Roman" w:hAnsi="Times New Roman" w:cs="Times New Roman"/>
          <w:noProof/>
          <w:sz w:val="24"/>
          <w:lang w:val="en-IE"/>
        </w:rPr>
      </w:pPr>
      <w:bookmarkStart w:id="271" w:name="_Toc55301857"/>
      <w:bookmarkStart w:id="272" w:name="_Toc56944176"/>
      <w:r>
        <w:rPr>
          <w:rFonts w:ascii="Times New Roman" w:hAnsi="Times New Roman" w:cs="Times New Roman"/>
          <w:noProof/>
          <w:sz w:val="24"/>
          <w:lang w:val="en-IE"/>
        </w:rPr>
        <w:t>Summary of the assessment</w:t>
      </w:r>
      <w:bookmarkEnd w:id="271"/>
      <w:bookmarkEnd w:id="272"/>
      <w:r>
        <w:rPr>
          <w:rFonts w:ascii="Times New Roman" w:hAnsi="Times New Roman" w:cs="Times New Roman"/>
          <w:noProof/>
          <w:sz w:val="24"/>
          <w:lang w:val="en-IE"/>
        </w:rPr>
        <w:t xml:space="preserve"> </w:t>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Tabular overview</w:t>
      </w:r>
    </w:p>
    <w:p w:rsidR="003C43BF" w:rsidRDefault="006C3212">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5.10.6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tabs>
          <w:tab w:val="left" w:pos="966"/>
        </w:tabs>
        <w:jc w:val="both"/>
        <w:rPr>
          <w:rFonts w:ascii="Times New Roman" w:hAnsi="Times New Roman" w:cs="Times New Roman"/>
          <w:noProof/>
          <w:szCs w:val="20"/>
          <w:lang w:val="en-IE"/>
        </w:rPr>
      </w:pPr>
      <w:r>
        <w:rPr>
          <w:rFonts w:ascii="Times New Roman" w:hAnsi="Times New Roman" w:cs="Times New Roman"/>
          <w:noProof/>
          <w:szCs w:val="20"/>
          <w:lang w:eastAsia="en-GB"/>
        </w:rPr>
        <w:drawing>
          <wp:inline distT="0" distB="0" distL="0" distR="0">
            <wp:extent cx="5944235" cy="448119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4235" cy="4481195"/>
                    </a:xfrm>
                    <a:prstGeom prst="rect">
                      <a:avLst/>
                    </a:prstGeom>
                    <a:noFill/>
                  </pic:spPr>
                </pic:pic>
              </a:graphicData>
            </a:graphic>
          </wp:inline>
        </w:drawing>
      </w:r>
    </w:p>
    <w:p w:rsidR="003C43BF" w:rsidRDefault="006C3212">
      <w:pPr>
        <w:jc w:val="both"/>
        <w:rPr>
          <w:rFonts w:ascii="Times New Roman" w:hAnsi="Times New Roman" w:cs="Times New Roman"/>
          <w:noProof/>
          <w:sz w:val="20"/>
          <w:szCs w:val="18"/>
          <w:lang w:val="en-IE"/>
        </w:rPr>
      </w:pPr>
      <w:r>
        <w:rPr>
          <w:rFonts w:ascii="Times New Roman" w:hAnsi="Times New Roman" w:cs="Times New Roman"/>
          <w:noProof/>
          <w:sz w:val="24"/>
          <w:lang w:eastAsia="en-GB"/>
        </w:rPr>
        <w:drawing>
          <wp:inline distT="0" distB="0" distL="0" distR="0">
            <wp:extent cx="3630304" cy="437362"/>
            <wp:effectExtent l="0" t="0" r="0"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jc w:val="both"/>
        <w:rPr>
          <w:rFonts w:ascii="Times New Roman" w:hAnsi="Times New Roman" w:cs="Times New Roman"/>
          <w:noProof/>
          <w:color w:val="000000" w:themeColor="text1"/>
          <w:sz w:val="20"/>
          <w:szCs w:val="18"/>
          <w:lang w:val="en-IE"/>
        </w:rPr>
      </w:pPr>
      <w:r>
        <w:rPr>
          <w:rFonts w:ascii="Times New Roman" w:hAnsi="Times New Roman" w:cs="Times New Roman"/>
          <w:noProof/>
          <w:sz w:val="20"/>
          <w:szCs w:val="18"/>
          <w:lang w:val="en-IE"/>
        </w:rPr>
        <w:t xml:space="preserve"> </w:t>
      </w:r>
      <w:r>
        <w:rPr>
          <w:rFonts w:ascii="Times New Roman" w:hAnsi="Times New Roman" w:cs="Times New Roman"/>
          <w:noProof/>
          <w:color w:val="000000" w:themeColor="text1"/>
          <w:sz w:val="20"/>
          <w:szCs w:val="18"/>
          <w:vertAlign w:val="superscript"/>
          <w:lang w:val="en-IE"/>
        </w:rPr>
        <w:t>(1)</w:t>
      </w:r>
      <w:r>
        <w:rPr>
          <w:rFonts w:ascii="Times New Roman" w:hAnsi="Times New Roman" w:cs="Times New Roman"/>
          <w:noProof/>
          <w:color w:val="000000" w:themeColor="text1"/>
          <w:sz w:val="20"/>
          <w:szCs w:val="18"/>
          <w:lang w:val="en-IE"/>
        </w:rPr>
        <w:t xml:space="preserve"> data from EAFO since the FR NIR did not provide this information; </w:t>
      </w:r>
      <w:r>
        <w:rPr>
          <w:rFonts w:ascii="Times New Roman" w:hAnsi="Times New Roman" w:cs="Times New Roman"/>
          <w:noProof/>
          <w:color w:val="000000" w:themeColor="text1"/>
          <w:sz w:val="20"/>
          <w:szCs w:val="18"/>
          <w:vertAlign w:val="superscript"/>
          <w:lang w:val="en-IE"/>
        </w:rPr>
        <w:t>(2)</w:t>
      </w:r>
      <w:r>
        <w:rPr>
          <w:rFonts w:ascii="Times New Roman" w:hAnsi="Times New Roman" w:cs="Times New Roman"/>
          <w:noProof/>
          <w:color w:val="000000" w:themeColor="text1"/>
          <w:sz w:val="20"/>
          <w:szCs w:val="18"/>
          <w:lang w:val="en-IE"/>
        </w:rPr>
        <w:t xml:space="preserve"> natural gas (CNG+LNG) vehicles; </w:t>
      </w:r>
      <w:r>
        <w:rPr>
          <w:rFonts w:ascii="Times New Roman" w:hAnsi="Times New Roman" w:cs="Times New Roman"/>
          <w:noProof/>
          <w:color w:val="000000" w:themeColor="text1"/>
          <w:sz w:val="20"/>
          <w:szCs w:val="18"/>
          <w:vertAlign w:val="superscript"/>
          <w:lang w:val="en-IE"/>
        </w:rPr>
        <w:t>(3)</w:t>
      </w:r>
      <w:r>
        <w:rPr>
          <w:rFonts w:ascii="Times New Roman" w:hAnsi="Times New Roman" w:cs="Times New Roman"/>
          <w:noProof/>
          <w:color w:val="000000" w:themeColor="text1"/>
          <w:sz w:val="20"/>
          <w:szCs w:val="18"/>
          <w:lang w:val="en-IE"/>
        </w:rPr>
        <w:t xml:space="preserve"> data from “VIG'HY l'observatoire de l'hydrogène” (https://www.vighy-afhypac.org/) since the FR NIR did not provide this information;</w:t>
      </w:r>
      <w:r>
        <w:rPr>
          <w:rFonts w:ascii="Times New Roman" w:hAnsi="Times New Roman" w:cs="Times New Roman"/>
          <w:noProof/>
          <w:color w:val="000000" w:themeColor="text1"/>
          <w:sz w:val="20"/>
          <w:szCs w:val="18"/>
          <w:vertAlign w:val="superscript"/>
          <w:lang w:val="en-IE"/>
        </w:rPr>
        <w:t xml:space="preserve"> (4)</w:t>
      </w:r>
      <w:r>
        <w:rPr>
          <w:rFonts w:ascii="Times New Roman" w:hAnsi="Times New Roman" w:cs="Times New Roman"/>
          <w:noProof/>
          <w:color w:val="000000" w:themeColor="text1"/>
          <w:sz w:val="20"/>
          <w:szCs w:val="18"/>
          <w:lang w:val="en-IE"/>
        </w:rPr>
        <w:t xml:space="preserve"> at least the value indicated since this SDMP2 target refers to 2028; </w:t>
      </w:r>
      <w:r>
        <w:rPr>
          <w:rFonts w:ascii="Times New Roman" w:hAnsi="Times New Roman" w:cs="Times New Roman"/>
          <w:noProof/>
          <w:color w:val="000000" w:themeColor="text1"/>
          <w:sz w:val="20"/>
          <w:szCs w:val="18"/>
          <w:vertAlign w:val="superscript"/>
          <w:lang w:val="en-IE"/>
        </w:rPr>
        <w:t>(5)</w:t>
      </w:r>
      <w:r>
        <w:rPr>
          <w:rFonts w:ascii="Times New Roman" w:hAnsi="Times New Roman" w:cs="Times New Roman"/>
          <w:noProof/>
          <w:color w:val="000000" w:themeColor="text1"/>
          <w:sz w:val="20"/>
          <w:szCs w:val="18"/>
          <w:lang w:val="en-IE"/>
        </w:rPr>
        <w:t xml:space="preserve"> targets from the FR NPF.</w:t>
      </w:r>
    </w:p>
    <w:p w:rsidR="003C43BF" w:rsidRDefault="003C43BF">
      <w:pPr>
        <w:jc w:val="both"/>
        <w:rPr>
          <w:rFonts w:ascii="Times New Roman" w:hAnsi="Times New Roman" w:cs="Times New Roman"/>
          <w:noProof/>
          <w:color w:val="000000" w:themeColor="text1"/>
          <w:sz w:val="20"/>
          <w:szCs w:val="18"/>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eastAsia="en-IE"/>
        </w:rPr>
        <w:t>T</w:t>
      </w:r>
      <w:r>
        <w:rPr>
          <w:rFonts w:ascii="Times New Roman" w:hAnsi="Times New Roman" w:cs="Times New Roman"/>
          <w:noProof/>
          <w:sz w:val="24"/>
          <w:lang w:val="en-IE"/>
        </w:rPr>
        <w:t>he checklist shows</w:t>
      </w:r>
      <w:r>
        <w:rPr>
          <w:rFonts w:ascii="Times New Roman" w:hAnsi="Times New Roman" w:cs="Times New Roman"/>
          <w:noProof/>
          <w:sz w:val="24"/>
          <w:lang w:val="en-IE"/>
        </w:rPr>
        <w:t xml:space="preserve"> that most of the requirements of Annex I from the Directive are covered by the French NIR. However, the </w:t>
      </w:r>
      <w:r>
        <w:rPr>
          <w:rFonts w:ascii="Times New Roman" w:hAnsi="Times New Roman" w:cs="Times New Roman"/>
          <w:noProof/>
          <w:color w:val="000000" w:themeColor="text1"/>
          <w:sz w:val="24"/>
          <w:lang w:val="en-IE"/>
        </w:rPr>
        <w:t xml:space="preserve">quantitative information provided on </w:t>
      </w:r>
      <w:r>
        <w:rPr>
          <w:rFonts w:ascii="Times New Roman" w:hAnsi="Times New Roman" w:cs="Times New Roman"/>
          <w:noProof/>
          <w:sz w:val="24"/>
          <w:lang w:val="en-IE"/>
        </w:rPr>
        <w:t>future AFI and AFV objectives is not adequate in several cases: either lacking or provided for different years tha</w:t>
      </w:r>
      <w:r>
        <w:rPr>
          <w:rFonts w:ascii="Times New Roman" w:hAnsi="Times New Roman" w:cs="Times New Roman"/>
          <w:noProof/>
          <w:sz w:val="24"/>
          <w:lang w:val="en-IE"/>
        </w:rPr>
        <w:t>n the years required by the Directive (2020, 2025 and 2030), or provided for merged sets of alternative fuels (CNG and LNG treated in common as natural gas).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the combination of AF/AFV/AFI with transport mode, electricity and hydrogen are well </w:t>
      </w:r>
      <w:r>
        <w:rPr>
          <w:rFonts w:ascii="Times New Roman" w:hAnsi="Times New Roman" w:cs="Times New Roman"/>
          <w:noProof/>
          <w:sz w:val="24"/>
          <w:lang w:val="en-IE"/>
        </w:rPr>
        <w:t>covered, while natural gas (including biomethane), biofuels and LPG are partially covered for road transport; hydrogen is partially covered for rail transport; shore-side electricity supply and LNG are partially covered for waterborne transport; electricit</w:t>
      </w:r>
      <w:r>
        <w:rPr>
          <w:rFonts w:ascii="Times New Roman" w:hAnsi="Times New Roman" w:cs="Times New Roman"/>
          <w:noProof/>
          <w:sz w:val="24"/>
          <w:lang w:val="en-IE"/>
        </w:rPr>
        <w:t>y supply for stationary airplanes is partially covered for air transport; all the other combinations are absent.</w:t>
      </w:r>
    </w:p>
    <w:p w:rsidR="003C43BF" w:rsidRDefault="006C3212">
      <w:pPr>
        <w:jc w:val="both"/>
        <w:rPr>
          <w:rFonts w:ascii="Times New Roman" w:hAnsi="Times New Roman" w:cs="Times New Roman"/>
          <w:noProof/>
          <w:szCs w:val="20"/>
          <w:lang w:val="en-IE"/>
        </w:rPr>
      </w:pPr>
      <w:r>
        <w:rPr>
          <w:rFonts w:ascii="Times New Roman" w:hAnsi="Times New Roman" w:cs="Times New Roman"/>
          <w:noProof/>
          <w:sz w:val="24"/>
          <w:lang w:val="en-IE"/>
        </w:rPr>
        <w:t>The main outcomes of the technical assessment of the French NIR on vehicles/vessels estimates and infrastructure targets can be summarised as f</w:t>
      </w:r>
      <w:r>
        <w:rPr>
          <w:rFonts w:ascii="Times New Roman" w:hAnsi="Times New Roman" w:cs="Times New Roman"/>
          <w:noProof/>
          <w:sz w:val="24"/>
          <w:lang w:val="en-IE"/>
        </w:rPr>
        <w:t xml:space="preserve">ollows: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Road transport </w:t>
      </w:r>
    </w:p>
    <w:p w:rsidR="003C43BF" w:rsidRDefault="006C3212">
      <w:pPr>
        <w:pStyle w:val="Text1"/>
        <w:numPr>
          <w:ilvl w:val="0"/>
          <w:numId w:val="29"/>
        </w:numPr>
        <w:tabs>
          <w:tab w:val="left" w:pos="720"/>
        </w:tabs>
        <w:spacing w:after="0" w:line="259" w:lineRule="auto"/>
        <w:ind w:left="284" w:hanging="284"/>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France recorded a total of 200,250 electric vehicles and 24,800 publicly accessible recharging points in 2018.</w:t>
      </w:r>
      <w:r>
        <w:rPr>
          <w:rFonts w:ascii="Times New Roman" w:hAnsi="Times New Roman" w:cs="Times New Roman"/>
          <w:noProof/>
          <w:color w:val="000000" w:themeColor="text1"/>
          <w:sz w:val="24"/>
          <w:lang w:val="en-IE"/>
        </w:rPr>
        <w:t xml:space="preserve"> Compared to the NPF, the FR NIR presents a lower estimate for 2020 (</w:t>
      </w:r>
      <w:r>
        <w:rPr>
          <w:rFonts w:ascii="Times New Roman" w:hAnsi="Times New Roman" w:cs="Times New Roman"/>
          <w:noProof/>
          <w:sz w:val="24"/>
          <w:lang w:val="en-IE"/>
        </w:rPr>
        <w:t>-35.78%) but provides new estimates fo</w:t>
      </w:r>
      <w:r>
        <w:rPr>
          <w:rFonts w:ascii="Times New Roman" w:hAnsi="Times New Roman" w:cs="Times New Roman"/>
          <w:noProof/>
          <w:sz w:val="24"/>
          <w:lang w:val="en-IE"/>
        </w:rPr>
        <w:t xml:space="preserve">r 2025 and 2030. </w:t>
      </w:r>
      <w:r>
        <w:rPr>
          <w:rFonts w:ascii="Times New Roman" w:hAnsi="Times New Roman" w:cs="Times New Roman"/>
          <w:noProof/>
          <w:color w:val="000000" w:themeColor="text1"/>
          <w:sz w:val="24"/>
          <w:lang w:val="en-IE"/>
        </w:rPr>
        <w:t xml:space="preserve">The situation foreseen in 2030 </w:t>
      </w:r>
      <w:r>
        <w:rPr>
          <w:rFonts w:ascii="Times New Roman" w:hAnsi="Times New Roman" w:cs="Times New Roman"/>
          <w:noProof/>
          <w:sz w:val="24"/>
          <w:lang w:val="en-IE"/>
        </w:rPr>
        <w:t xml:space="preserve">is of 6,929,700 EVs in use (of which 6,200,000 passenger cars, 710,000 LCVs, 12,000 HCVs and 7,700 buses and coaches). </w:t>
      </w:r>
      <w:r>
        <w:rPr>
          <w:rFonts w:ascii="Times New Roman" w:hAnsi="Times New Roman" w:cs="Times New Roman"/>
          <w:noProof/>
          <w:color w:val="000000" w:themeColor="text1"/>
          <w:sz w:val="24"/>
          <w:lang w:val="en-IE"/>
        </w:rPr>
        <w:t xml:space="preserve">Instead, the </w:t>
      </w:r>
      <w:r>
        <w:rPr>
          <w:rFonts w:ascii="Times New Roman" w:hAnsi="Times New Roman" w:cs="Times New Roman"/>
          <w:noProof/>
          <w:sz w:val="24"/>
          <w:lang w:val="en-IE"/>
        </w:rPr>
        <w:t>FR NIR does not specifically provide infrastructure targets for 2020/2025/20</w:t>
      </w:r>
      <w:r>
        <w:rPr>
          <w:rFonts w:ascii="Times New Roman" w:hAnsi="Times New Roman" w:cs="Times New Roman"/>
          <w:noProof/>
          <w:sz w:val="24"/>
          <w:lang w:val="en-IE"/>
        </w:rPr>
        <w:t xml:space="preserve">30 but mentions a 2022 target set by the national government of 100,000 recharging points. The NPF had mentioned the target of 35,000 recharging points. </w:t>
      </w:r>
      <w:r>
        <w:rPr>
          <w:rFonts w:ascii="Times New Roman" w:hAnsi="Times New Roman" w:cs="Times New Roman"/>
          <w:noProof/>
          <w:color w:val="000000" w:themeColor="text1"/>
          <w:sz w:val="24"/>
          <w:lang w:val="en-IE"/>
        </w:rPr>
        <w:t xml:space="preserve">The progress in 2018, calculated according to the assessment technology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lang w:val="en-IE"/>
        </w:rPr>
        <w:t>, is ad</w:t>
      </w:r>
      <w:r>
        <w:rPr>
          <w:rFonts w:ascii="Times New Roman" w:hAnsi="Times New Roman" w:cs="Times New Roman"/>
          <w:noProof/>
          <w:color w:val="000000" w:themeColor="text1"/>
          <w:sz w:val="24"/>
          <w:lang w:val="en-IE"/>
        </w:rPr>
        <w:t>equate both for EVs and recharging infrastructure. The</w:t>
      </w:r>
      <w:r>
        <w:rPr>
          <w:rFonts w:ascii="Times New Roman" w:hAnsi="Times New Roman" w:cs="Times New Roman"/>
          <w:noProof/>
          <w:sz w:val="24"/>
          <w:lang w:val="en-IE"/>
        </w:rPr>
        <w:t xml:space="preserve"> ratio AFV to publicly accessible AFI is adequate for the period 2016-2018 but is foreseen to increase above 10 in 2020, becoming thus inadequate. </w:t>
      </w:r>
    </w:p>
    <w:p w:rsidR="003C43BF" w:rsidRDefault="006C3212">
      <w:pPr>
        <w:pStyle w:val="ListParagraph"/>
        <w:numPr>
          <w:ilvl w:val="0"/>
          <w:numId w:val="99"/>
        </w:numPr>
        <w:tabs>
          <w:tab w:val="left" w:pos="284"/>
        </w:tabs>
        <w:spacing w:after="160" w:line="259" w:lineRule="auto"/>
        <w:ind w:left="284" w:hanging="284"/>
        <w:jc w:val="both"/>
        <w:rPr>
          <w:rFonts w:ascii="Times New Roman" w:eastAsiaTheme="majorEastAsia" w:hAnsi="Times New Roman" w:cs="Times New Roman"/>
          <w:b/>
          <w:iCs/>
          <w:noProof/>
          <w:color w:val="000000" w:themeColor="text1"/>
          <w:szCs w:val="20"/>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w:t>
      </w:r>
      <w:r>
        <w:rPr>
          <w:rFonts w:ascii="Times New Roman" w:hAnsi="Times New Roman" w:cs="Times New Roman"/>
          <w:noProof/>
          <w:color w:val="000000" w:themeColor="text1"/>
          <w:sz w:val="24"/>
          <w:lang w:val="en-IE"/>
        </w:rPr>
        <w:t>Similarly to the NPF, the French NIR does not di</w:t>
      </w:r>
      <w:r>
        <w:rPr>
          <w:rFonts w:ascii="Times New Roman" w:hAnsi="Times New Roman" w:cs="Times New Roman"/>
          <w:noProof/>
          <w:color w:val="000000" w:themeColor="text1"/>
          <w:sz w:val="24"/>
          <w:lang w:val="en-IE"/>
        </w:rPr>
        <w:t xml:space="preserve">fferentiate between CNG and LNG vehicles, presenting data for natural gas vehicles. According to EAFO, there were 15,306 natural gas vehicles in 2018 in France. In contrast to the NPF where </w:t>
      </w:r>
      <w:r>
        <w:rPr>
          <w:rFonts w:ascii="Times New Roman" w:hAnsi="Times New Roman" w:cs="Times New Roman"/>
          <w:iCs/>
          <w:noProof/>
          <w:color w:val="000000" w:themeColor="text1"/>
          <w:sz w:val="24"/>
          <w:lang w:val="en-IE"/>
        </w:rPr>
        <w:t>natural gas vehicle estimates were absent, the FR NIR presents all</w:t>
      </w:r>
      <w:r>
        <w:rPr>
          <w:rFonts w:ascii="Times New Roman" w:hAnsi="Times New Roman" w:cs="Times New Roman"/>
          <w:iCs/>
          <w:noProof/>
          <w:color w:val="000000" w:themeColor="text1"/>
          <w:sz w:val="24"/>
          <w:lang w:val="en-IE"/>
        </w:rPr>
        <w:t xml:space="preserve"> the required vehicle estimates for the next decade: 11,600 for 2020, 97,800 for 2025 and 207,700 for 2030. The foreseen composition of the natural gas fleet in 2030 is 129,000 LCVs, 70,000 HCVs and 8,700 buses and coaches. The 2018 progress towards reachi</w:t>
      </w:r>
      <w:r>
        <w:rPr>
          <w:rFonts w:ascii="Times New Roman" w:hAnsi="Times New Roman" w:cs="Times New Roman"/>
          <w:iCs/>
          <w:noProof/>
          <w:color w:val="000000" w:themeColor="text1"/>
          <w:sz w:val="24"/>
          <w:lang w:val="en-IE"/>
        </w:rPr>
        <w:t xml:space="preserve">ng the envisaged natural gas vehicle estimates results to be slow. </w:t>
      </w:r>
      <w:r>
        <w:rPr>
          <w:rFonts w:ascii="Times New Roman" w:hAnsi="Times New Roman" w:cs="Times New Roman"/>
          <w:noProof/>
          <w:sz w:val="24"/>
          <w:lang w:val="en-IE"/>
        </w:rPr>
        <w:t>According to EAFO, there were 61 CNG refuelling points in France at the end of 2018. As targets for the next decade, the FR NIR mentions only the Clean Mobility Development Strategy 2 propo</w:t>
      </w:r>
      <w:r>
        <w:rPr>
          <w:rFonts w:ascii="Times New Roman" w:hAnsi="Times New Roman" w:cs="Times New Roman"/>
          <w:noProof/>
          <w:sz w:val="24"/>
          <w:lang w:val="en-IE"/>
        </w:rPr>
        <w:t xml:space="preserve">sal’s targets (at least 121 CNG stations by 2023 and 285 by 2028). The FR NPF contained targets of 79 CNG refuelling stations for 2020 and of 116 for 2025. </w:t>
      </w:r>
      <w:r>
        <w:rPr>
          <w:rFonts w:ascii="Times New Roman" w:hAnsi="Times New Roman" w:cs="Times New Roman"/>
          <w:iCs/>
          <w:noProof/>
          <w:color w:val="000000" w:themeColor="text1"/>
          <w:sz w:val="24"/>
          <w:lang w:val="en-IE"/>
        </w:rPr>
        <w:t>The 2018 progress towards reaching the envisaged CNG refuelling infrastructure targets results to be</w:t>
      </w:r>
      <w:r>
        <w:rPr>
          <w:rFonts w:ascii="Times New Roman" w:hAnsi="Times New Roman" w:cs="Times New Roman"/>
          <w:iCs/>
          <w:noProof/>
          <w:color w:val="000000" w:themeColor="text1"/>
          <w:sz w:val="24"/>
          <w:lang w:val="en-IE"/>
        </w:rPr>
        <w:t xml:space="preserve"> adequate. The sufficiency index for the CNG/road pair </w:t>
      </w:r>
      <w:r>
        <w:rPr>
          <w:rFonts w:ascii="Times New Roman" w:hAnsi="Times New Roman" w:cs="Times New Roman"/>
          <w:noProof/>
          <w:color w:val="000000" w:themeColor="text1"/>
          <w:sz w:val="24"/>
          <w:lang w:val="en-IE"/>
        </w:rPr>
        <w:t>cannot be computed since the FR NIR provides only information on natural gas vehicles (CNG+LNG).</w:t>
      </w:r>
    </w:p>
    <w:p w:rsidR="003C43BF" w:rsidRDefault="006C3212">
      <w:pPr>
        <w:pStyle w:val="ListParagraph"/>
        <w:numPr>
          <w:ilvl w:val="0"/>
          <w:numId w:val="99"/>
        </w:numPr>
        <w:tabs>
          <w:tab w:val="left" w:pos="284"/>
        </w:tabs>
        <w:spacing w:after="160" w:line="259" w:lineRule="auto"/>
        <w:ind w:left="284" w:hanging="284"/>
        <w:jc w:val="both"/>
        <w:rPr>
          <w:rFonts w:ascii="Times New Roman" w:eastAsiaTheme="majorEastAsia" w:hAnsi="Times New Roman" w:cs="Times New Roman"/>
          <w:iCs/>
          <w:noProof/>
          <w:szCs w:val="20"/>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w:t>
      </w:r>
      <w:r>
        <w:rPr>
          <w:rFonts w:ascii="Times New Roman" w:hAnsi="Times New Roman" w:cs="Times New Roman"/>
          <w:noProof/>
          <w:color w:val="000000" w:themeColor="text1"/>
          <w:sz w:val="24"/>
          <w:lang w:val="en-IE"/>
        </w:rPr>
        <w:t xml:space="preserve">Similarly to the NPF, the French NIR does not differentiate between CNG and LNG vehicles, presenting data for natural gas vehicles. According to EAFO, there were 20 LNG refuelling points in France at the end of 2018. As targets for the next decade, the FR </w:t>
      </w:r>
      <w:r>
        <w:rPr>
          <w:rFonts w:ascii="Times New Roman" w:hAnsi="Times New Roman" w:cs="Times New Roman"/>
          <w:noProof/>
          <w:color w:val="000000" w:themeColor="text1"/>
          <w:sz w:val="24"/>
          <w:lang w:val="en-IE"/>
        </w:rPr>
        <w:t xml:space="preserve">NIR mentions only the </w:t>
      </w:r>
      <w:r>
        <w:rPr>
          <w:rFonts w:ascii="Times New Roman" w:hAnsi="Times New Roman" w:cs="Times New Roman"/>
          <w:noProof/>
          <w:sz w:val="24"/>
          <w:lang w:val="en-IE"/>
        </w:rPr>
        <w:t xml:space="preserve">Clean Mobility </w:t>
      </w:r>
      <w:r>
        <w:rPr>
          <w:rFonts w:ascii="Times New Roman" w:hAnsi="Times New Roman" w:cs="Times New Roman"/>
          <w:noProof/>
          <w:color w:val="000000" w:themeColor="text1"/>
          <w:sz w:val="24"/>
          <w:lang w:val="en-IE"/>
        </w:rPr>
        <w:t>Development</w:t>
      </w:r>
      <w:r>
        <w:rPr>
          <w:rFonts w:ascii="Times New Roman" w:hAnsi="Times New Roman" w:cs="Times New Roman"/>
          <w:noProof/>
          <w:sz w:val="24"/>
          <w:lang w:val="en-IE"/>
        </w:rPr>
        <w:t xml:space="preserve"> Strategy </w:t>
      </w:r>
      <w:r>
        <w:rPr>
          <w:rFonts w:ascii="Times New Roman" w:hAnsi="Times New Roman" w:cs="Times New Roman"/>
          <w:noProof/>
          <w:color w:val="000000" w:themeColor="text1"/>
          <w:sz w:val="24"/>
          <w:lang w:val="en-IE"/>
        </w:rPr>
        <w:t>proposal’s LNG infrastructure targets (at least 17 LNG stations by 2023 and 41 by 2028). The FR NPF contained a target of 25 LNG refuelling stations for 2025</w:t>
      </w:r>
      <w:r>
        <w:rPr>
          <w:rFonts w:ascii="Times New Roman" w:hAnsi="Times New Roman" w:cs="Times New Roman"/>
          <w:noProof/>
          <w:sz w:val="24"/>
          <w:lang w:val="en-IE"/>
        </w:rPr>
        <w:t>.</w:t>
      </w:r>
    </w:p>
    <w:p w:rsidR="003C43BF" w:rsidRDefault="006C3212">
      <w:pPr>
        <w:pStyle w:val="ListParagraph"/>
        <w:numPr>
          <w:ilvl w:val="0"/>
          <w:numId w:val="99"/>
        </w:numPr>
        <w:tabs>
          <w:tab w:val="left" w:pos="284"/>
        </w:tabs>
        <w:spacing w:after="160" w:line="259" w:lineRule="auto"/>
        <w:ind w:left="284" w:hanging="284"/>
        <w:jc w:val="both"/>
        <w:rPr>
          <w:rFonts w:ascii="Times New Roman" w:eastAsiaTheme="majorEastAsia" w:hAnsi="Times New Roman" w:cs="Times New Roman"/>
          <w:b/>
          <w:noProof/>
          <w:szCs w:val="20"/>
          <w:lang w:val="en-IE"/>
        </w:rPr>
      </w:pPr>
      <w:r>
        <w:rPr>
          <w:rFonts w:ascii="Times New Roman" w:hAnsi="Times New Roman" w:cs="Times New Roman"/>
          <w:b/>
          <w:noProof/>
          <w:sz w:val="24"/>
          <w:lang w:val="en-IE"/>
        </w:rPr>
        <w:t xml:space="preserve">Hydrogen </w:t>
      </w:r>
      <w:r>
        <w:rPr>
          <w:rFonts w:ascii="Times New Roman" w:hAnsi="Times New Roman" w:cs="Times New Roman"/>
          <w:noProof/>
          <w:sz w:val="24"/>
          <w:lang w:val="en-IE"/>
        </w:rPr>
        <w:t>– According to EAFO, there wer</w:t>
      </w:r>
      <w:r>
        <w:rPr>
          <w:rFonts w:ascii="Times New Roman" w:hAnsi="Times New Roman" w:cs="Times New Roman"/>
          <w:noProof/>
          <w:sz w:val="24"/>
          <w:lang w:val="en-IE"/>
        </w:rPr>
        <w:t xml:space="preserve">e 351 hydrogen-powered vehicles in use in France at the end of 2018. The FR NIR provides estimates of 235 vehicles (220 LCVs, 15 HDVs) by 2020 and 9,050 vehicles (8,700 LCVs, 350 HDVs) by 2025 while the FR NPF did not include any estimates. </w:t>
      </w:r>
      <w:r>
        <w:rPr>
          <w:rFonts w:ascii="Times New Roman" w:eastAsia="Calibri" w:hAnsi="Times New Roman" w:cs="Times New Roman"/>
          <w:noProof/>
          <w:sz w:val="24"/>
          <w:lang w:val="en-IE"/>
        </w:rPr>
        <w:t>According to “V</w:t>
      </w:r>
      <w:r>
        <w:rPr>
          <w:rFonts w:ascii="Times New Roman" w:eastAsia="Calibri" w:hAnsi="Times New Roman" w:cs="Times New Roman"/>
          <w:noProof/>
          <w:sz w:val="24"/>
          <w:lang w:val="en-IE"/>
        </w:rPr>
        <w:t>IG'HY l'observatoire de l'hydrogène”</w:t>
      </w:r>
      <w:r>
        <w:rPr>
          <w:rFonts w:ascii="Times New Roman" w:eastAsia="Calibri" w:hAnsi="Times New Roman" w:cs="Times New Roman"/>
          <w:noProof/>
          <w:sz w:val="24"/>
          <w:vertAlign w:val="superscript"/>
          <w:lang w:val="en-IE"/>
        </w:rPr>
        <w:footnoteReference w:id="47"/>
      </w:r>
      <w:r>
        <w:rPr>
          <w:rFonts w:ascii="Times New Roman" w:eastAsia="Calibri" w:hAnsi="Times New Roman" w:cs="Times New Roman"/>
          <w:noProof/>
          <w:sz w:val="24"/>
          <w:lang w:val="en-IE"/>
        </w:rPr>
        <w:t>, there were 20 public hydrogen refuelling points in France at the end of 2018. As targets for the next decade, the FR NIR mentions only the total</w:t>
      </w:r>
      <w:r>
        <w:rPr>
          <w:rFonts w:ascii="Times New Roman" w:eastAsia="Calibri" w:hAnsi="Times New Roman" w:cs="Times New Roman"/>
          <w:noProof/>
          <w:sz w:val="24"/>
          <w:vertAlign w:val="superscript"/>
          <w:lang w:val="en-IE"/>
        </w:rPr>
        <w:footnoteReference w:id="48"/>
      </w:r>
      <w:r>
        <w:rPr>
          <w:rFonts w:ascii="Times New Roman" w:eastAsia="Calibri" w:hAnsi="Times New Roman" w:cs="Times New Roman"/>
          <w:noProof/>
          <w:sz w:val="24"/>
          <w:lang w:val="en-IE"/>
        </w:rPr>
        <w:t xml:space="preserve"> hydrogen infrastructure targets from the </w:t>
      </w:r>
      <w:r>
        <w:rPr>
          <w:rFonts w:ascii="Times New Roman" w:hAnsi="Times New Roman" w:cs="Times New Roman"/>
          <w:noProof/>
          <w:sz w:val="24"/>
          <w:lang w:val="en-IE"/>
        </w:rPr>
        <w:t>Energy Transition Hydrogen Dep</w:t>
      </w:r>
      <w:r>
        <w:rPr>
          <w:rFonts w:ascii="Times New Roman" w:hAnsi="Times New Roman" w:cs="Times New Roman"/>
          <w:noProof/>
          <w:sz w:val="24"/>
          <w:lang w:val="en-IE"/>
        </w:rPr>
        <w:t>loyment Plan</w:t>
      </w:r>
      <w:r>
        <w:rPr>
          <w:rFonts w:ascii="Times New Roman" w:eastAsia="Calibri" w:hAnsi="Times New Roman" w:cs="Times New Roman"/>
          <w:noProof/>
          <w:sz w:val="24"/>
          <w:lang w:val="en-IE"/>
        </w:rPr>
        <w:t>: 100 hydrogen stations by 2023 and 400 by 2028. The foreseen evolution represents a significant increase compared to the FR NPF target of 30 hydrogen refuelling stations for 2025.</w:t>
      </w:r>
    </w:p>
    <w:p w:rsidR="003C43BF" w:rsidRDefault="006C3212">
      <w:pPr>
        <w:pStyle w:val="ListParagraph"/>
        <w:numPr>
          <w:ilvl w:val="0"/>
          <w:numId w:val="99"/>
        </w:numPr>
        <w:tabs>
          <w:tab w:val="left" w:pos="284"/>
        </w:tabs>
        <w:spacing w:after="160" w:line="259" w:lineRule="auto"/>
        <w:ind w:left="284" w:hanging="284"/>
        <w:jc w:val="both"/>
        <w:rPr>
          <w:rFonts w:ascii="Times New Roman" w:eastAsiaTheme="majorEastAsia" w:hAnsi="Times New Roman" w:cs="Times New Roman"/>
          <w:iCs/>
          <w:noProof/>
          <w:szCs w:val="20"/>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Information is not available in the FR NIR.</w:t>
      </w:r>
    </w:p>
    <w:p w:rsidR="003C43BF" w:rsidRDefault="006C3212">
      <w:pPr>
        <w:pStyle w:val="ListParagraph"/>
        <w:numPr>
          <w:ilvl w:val="0"/>
          <w:numId w:val="99"/>
        </w:numPr>
        <w:tabs>
          <w:tab w:val="left" w:pos="284"/>
        </w:tabs>
        <w:spacing w:after="160" w:line="259" w:lineRule="auto"/>
        <w:ind w:left="284" w:hanging="284"/>
        <w:jc w:val="both"/>
        <w:rPr>
          <w:rFonts w:ascii="Times New Roman" w:hAnsi="Times New Roman" w:cs="Times New Roman"/>
          <w:noProof/>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xml:space="preserve">– </w:t>
      </w:r>
      <w:r>
        <w:rPr>
          <w:rFonts w:ascii="Times New Roman" w:eastAsia="Calibri" w:hAnsi="Times New Roman" w:cs="Times New Roman"/>
          <w:noProof/>
          <w:sz w:val="24"/>
          <w:lang w:val="en-IE"/>
        </w:rPr>
        <w:t>According to EAFO, France recorded 156,323 LPG vehicles in use in 2018. The French NIR considers that in the next decade the situation will remain constant, estimating 150,000 vehicles (all passenger cars) to be in use. Regarding infrastructure, the French</w:t>
      </w:r>
      <w:r>
        <w:rPr>
          <w:rFonts w:ascii="Times New Roman" w:eastAsia="Calibri" w:hAnsi="Times New Roman" w:cs="Times New Roman"/>
          <w:noProof/>
          <w:sz w:val="24"/>
          <w:lang w:val="en-IE"/>
        </w:rPr>
        <w:t xml:space="preserve"> NIR provides the same value for the period 2016-2018 stating that </w:t>
      </w:r>
      <w:r>
        <w:rPr>
          <w:rFonts w:ascii="Times New Roman" w:hAnsi="Times New Roman" w:cs="Times New Roman"/>
          <w:noProof/>
          <w:sz w:val="24"/>
          <w:lang w:val="en-IE"/>
        </w:rPr>
        <w:t xml:space="preserve">LPG is sold in almost 1,700 refuelling stations. The NIR mentions that the current number of LPG refuelling points is capable of supplying 10 times more vehicles than the existing fleet.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w:t>
      </w:r>
      <w:r>
        <w:rPr>
          <w:rFonts w:ascii="Times New Roman" w:hAnsi="Times New Roman" w:cs="Times New Roman"/>
          <w:noProof/>
          <w:sz w:val="24"/>
          <w:lang w:val="en-IE"/>
        </w:rPr>
        <w:t>ail transport</w:t>
      </w:r>
    </w:p>
    <w:p w:rsidR="003C43BF" w:rsidRDefault="006C3212">
      <w:pPr>
        <w:pStyle w:val="ListParagraph"/>
        <w:numPr>
          <w:ilvl w:val="0"/>
          <w:numId w:val="99"/>
        </w:numPr>
        <w:tabs>
          <w:tab w:val="left" w:pos="284"/>
        </w:tabs>
        <w:spacing w:after="160" w:line="259" w:lineRule="auto"/>
        <w:ind w:left="284" w:hanging="284"/>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Information is not available in the French NIR.</w:t>
      </w:r>
    </w:p>
    <w:p w:rsidR="003C43BF" w:rsidRDefault="006C3212">
      <w:pPr>
        <w:pStyle w:val="ListParagraph"/>
        <w:numPr>
          <w:ilvl w:val="0"/>
          <w:numId w:val="99"/>
        </w:numPr>
        <w:tabs>
          <w:tab w:val="left" w:pos="284"/>
        </w:tabs>
        <w:spacing w:after="160" w:line="259" w:lineRule="auto"/>
        <w:ind w:left="284" w:hanging="284"/>
        <w:jc w:val="both"/>
        <w:rPr>
          <w:rFonts w:ascii="Times New Roman" w:hAnsi="Times New Roman" w:cs="Times New Roman"/>
          <w:noProof/>
          <w:sz w:val="24"/>
          <w:lang w:val="en-IE"/>
        </w:rPr>
      </w:pPr>
      <w:r>
        <w:rPr>
          <w:rFonts w:ascii="Times New Roman" w:hAnsi="Times New Roman" w:cs="Times New Roman"/>
          <w:b/>
          <w:noProof/>
          <w:sz w:val="24"/>
          <w:lang w:val="en-IE"/>
        </w:rPr>
        <w:t xml:space="preserve">Hydrogen </w:t>
      </w:r>
      <w:r>
        <w:rPr>
          <w:rFonts w:ascii="Times New Roman" w:hAnsi="Times New Roman" w:cs="Times New Roman"/>
          <w:noProof/>
          <w:sz w:val="24"/>
          <w:lang w:val="en-IE"/>
        </w:rPr>
        <w:t xml:space="preserve">- Through the Hydrogen Plan, the State will support the regions in funding the deployment of 15 </w:t>
      </w:r>
      <w:r>
        <w:rPr>
          <w:rFonts w:ascii="Times New Roman" w:hAnsi="Times New Roman" w:cs="Times New Roman"/>
          <w:noProof/>
          <w:color w:val="000000" w:themeColor="text1"/>
          <w:sz w:val="24"/>
          <w:lang w:val="en-IE"/>
        </w:rPr>
        <w:t>hydrogen-powered trains foreseen to replace diesel trains functioning on no</w:t>
      </w:r>
      <w:r>
        <w:rPr>
          <w:rFonts w:ascii="Times New Roman" w:hAnsi="Times New Roman" w:cs="Times New Roman"/>
          <w:noProof/>
          <w:color w:val="000000" w:themeColor="text1"/>
          <w:sz w:val="24"/>
          <w:lang w:val="en-IE"/>
        </w:rPr>
        <w:t>n-electrified lines. This alternative is considered less costly than electrification work and the first trains should come into service in 2022.</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100"/>
        </w:numPr>
        <w:spacing w:after="160" w:line="259" w:lineRule="auto"/>
        <w:ind w:left="284" w:hanging="284"/>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French NIR notes that the </w:t>
      </w:r>
      <w:r>
        <w:rPr>
          <w:rFonts w:ascii="Times New Roman" w:hAnsi="Times New Roman" w:cs="Times New Roman"/>
          <w:bCs/>
          <w:noProof/>
          <w:sz w:val="24"/>
          <w:lang w:val="en-IE"/>
        </w:rPr>
        <w:t>port of Marseille</w:t>
      </w:r>
      <w:r>
        <w:rPr>
          <w:rFonts w:ascii="Times New Roman" w:hAnsi="Times New Roman" w:cs="Times New Roman"/>
          <w:noProof/>
          <w:sz w:val="24"/>
          <w:lang w:val="en-IE"/>
        </w:rPr>
        <w:t xml:space="preserve"> has three existing supply points for five ferries operating between Corsica and the French mainland. For the future, a few projects are mentioned, like the South region’s recent ‘zero-fume stopovers’ electrification scheme for all ferry quays by 2023 and </w:t>
      </w:r>
      <w:r>
        <w:rPr>
          <w:rFonts w:ascii="Times New Roman" w:hAnsi="Times New Roman" w:cs="Times New Roman"/>
          <w:noProof/>
          <w:sz w:val="24"/>
          <w:lang w:val="en-IE"/>
        </w:rPr>
        <w:t xml:space="preserve">for a supply for cruise ships in Marseille port by 2025, as well as the intention of Dunkirk’s Grand Port Maritime to equip its container terminal with an 8 MW SSE supply point by the end of 2019 (to be supplemented by 2 other supply points if needed). </w:t>
      </w:r>
    </w:p>
    <w:p w:rsidR="003C43BF" w:rsidRDefault="006C3212">
      <w:pPr>
        <w:pStyle w:val="ListParagraph"/>
        <w:numPr>
          <w:ilvl w:val="0"/>
          <w:numId w:val="100"/>
        </w:numPr>
        <w:spacing w:after="160" w:line="259" w:lineRule="auto"/>
        <w:ind w:left="284" w:hanging="284"/>
        <w:jc w:val="both"/>
        <w:rPr>
          <w:rFonts w:ascii="Times New Roman" w:hAnsi="Times New Roman" w:cs="Times New Roman"/>
          <w:noProof/>
          <w:sz w:val="24"/>
          <w:lang w:val="en-IE"/>
        </w:rPr>
      </w:pPr>
      <w:r>
        <w:rPr>
          <w:rFonts w:ascii="Times New Roman" w:hAnsi="Times New Roman" w:cs="Times New Roman"/>
          <w:b/>
          <w:noProof/>
          <w:sz w:val="24"/>
          <w:lang w:val="en-IE"/>
        </w:rPr>
        <w:t>LN</w:t>
      </w:r>
      <w:r>
        <w:rPr>
          <w:rFonts w:ascii="Times New Roman" w:hAnsi="Times New Roman" w:cs="Times New Roman"/>
          <w:b/>
          <w:noProof/>
          <w:sz w:val="24"/>
          <w:lang w:val="en-IE"/>
        </w:rPr>
        <w:t>G</w:t>
      </w:r>
      <w:r>
        <w:rPr>
          <w:rFonts w:ascii="Times New Roman" w:hAnsi="Times New Roman" w:cs="Times New Roman"/>
          <w:noProof/>
          <w:sz w:val="24"/>
          <w:lang w:val="en-IE"/>
        </w:rPr>
        <w:t xml:space="preserve"> - Similarly to the NPF, no information is provided in the French NIR regarding LNG seagoing ships. As for LNG supply in the maritime ports, the FR NIR presents only information on the current situation without providing details on future targets. It ment</w:t>
      </w:r>
      <w:r>
        <w:rPr>
          <w:rFonts w:ascii="Times New Roman" w:hAnsi="Times New Roman" w:cs="Times New Roman"/>
          <w:noProof/>
          <w:sz w:val="24"/>
          <w:lang w:val="en-IE"/>
        </w:rPr>
        <w:t>ions that all ports with LNG tanker terminals (Marseille-Fos, Dunkirk, and Nantes-Saint Nazaire) and the port of Le Havre (not having a terminal) currently offer LNG bunkering services by truck. The FR NPF had included a target of seven ports to provide LN</w:t>
      </w:r>
      <w:r>
        <w:rPr>
          <w:rFonts w:ascii="Times New Roman" w:hAnsi="Times New Roman" w:cs="Times New Roman"/>
          <w:noProof/>
          <w:sz w:val="24"/>
          <w:lang w:val="en-IE"/>
        </w:rPr>
        <w:t>G refuelling services by 2025.</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rsidR="003C43BF" w:rsidRDefault="006C3212">
      <w:pPr>
        <w:pStyle w:val="ListParagraph"/>
        <w:numPr>
          <w:ilvl w:val="0"/>
          <w:numId w:val="101"/>
        </w:numPr>
        <w:spacing w:after="160" w:line="259" w:lineRule="auto"/>
        <w:ind w:left="284" w:hanging="284"/>
        <w:jc w:val="both"/>
        <w:rPr>
          <w:rFonts w:ascii="Times New Roman" w:eastAsiaTheme="majorEastAsia" w:hAnsi="Times New Roman" w:cs="Times New Roman"/>
          <w:iCs/>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French NIR notes that some waterways, not included in the NPF targets, now offer or are installing SSE supply points. Vienne and Arles (on Rhône river) are provided as examples,</w:t>
      </w:r>
      <w:r>
        <w:rPr>
          <w:rFonts w:ascii="Times New Roman" w:hAnsi="Times New Roman" w:cs="Times New Roman"/>
          <w:noProof/>
          <w:sz w:val="24"/>
          <w:lang w:val="en-IE"/>
        </w:rPr>
        <w:t xml:space="preserve"> having two high-power and seven medium-power SSE supply points. The French inland waterway network had at least 110 SSE supply points in 2019 (including 17 around the Seine basin and 91 in the Nord-Pas-de-Calais region). For the future, investments are fo</w:t>
      </w:r>
      <w:r>
        <w:rPr>
          <w:rFonts w:ascii="Times New Roman" w:hAnsi="Times New Roman" w:cs="Times New Roman"/>
          <w:noProof/>
          <w:sz w:val="24"/>
          <w:lang w:val="en-IE"/>
        </w:rPr>
        <w:t>reseen for the Seine basin for installing nine SSE supply points, each accommodating two vessels.</w:t>
      </w:r>
    </w:p>
    <w:p w:rsidR="003C43BF" w:rsidRDefault="006C3212">
      <w:pPr>
        <w:pStyle w:val="ListParagraph"/>
        <w:numPr>
          <w:ilvl w:val="0"/>
          <w:numId w:val="100"/>
        </w:numPr>
        <w:spacing w:after="160" w:line="259" w:lineRule="auto"/>
        <w:ind w:left="284" w:hanging="284"/>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The FR NIR does not include any information on LNG refuelling supply while the FR NPF had provided a target of three inland ports offering LNG by 2030.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99"/>
        </w:numPr>
        <w:tabs>
          <w:tab w:val="left" w:pos="284"/>
        </w:tabs>
        <w:spacing w:after="160" w:line="259" w:lineRule="auto"/>
        <w:ind w:left="284" w:hanging="284"/>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NIR only mentions that 11 main airports in France have pledged to reduce their fossil fuel consumption and that a 20% cut in emissions from aircraft on the ground by 2025 compared to the 2010 reference year is expected.</w:t>
      </w:r>
    </w:p>
    <w:p w:rsidR="003C43BF" w:rsidRDefault="006C3212">
      <w:pPr>
        <w:pStyle w:val="ListParagraph"/>
        <w:numPr>
          <w:ilvl w:val="0"/>
          <w:numId w:val="99"/>
        </w:numPr>
        <w:spacing w:after="160" w:line="259" w:lineRule="auto"/>
        <w:ind w:left="284" w:hanging="284"/>
        <w:jc w:val="both"/>
        <w:rPr>
          <w:rFonts w:ascii="Times New Roman" w:hAnsi="Times New Roman" w:cs="Times New Roman"/>
          <w:b/>
          <w:noProof/>
          <w:sz w:val="24"/>
          <w:lang w:val="en-IE"/>
        </w:rPr>
      </w:pPr>
      <w:r>
        <w:rPr>
          <w:rFonts w:ascii="Times New Roman" w:hAnsi="Times New Roman" w:cs="Times New Roman"/>
          <w:b/>
          <w:noProof/>
          <w:sz w:val="24"/>
          <w:lang w:val="en-IE"/>
        </w:rPr>
        <w:t>Biof</w:t>
      </w:r>
      <w:r>
        <w:rPr>
          <w:rFonts w:ascii="Times New Roman" w:hAnsi="Times New Roman" w:cs="Times New Roman"/>
          <w:b/>
          <w:noProof/>
          <w:sz w:val="24"/>
          <w:lang w:val="en-IE"/>
        </w:rPr>
        <w:t>uels</w:t>
      </w:r>
      <w:r>
        <w:rPr>
          <w:rFonts w:ascii="Times New Roman" w:hAnsi="Times New Roman" w:cs="Times New Roman"/>
          <w:noProof/>
          <w:sz w:val="24"/>
          <w:lang w:val="en-IE"/>
        </w:rPr>
        <w:t xml:space="preserve"> -</w:t>
      </w:r>
      <w:r>
        <w:rPr>
          <w:rFonts w:ascii="Times New Roman" w:hAnsi="Times New Roman" w:cs="Times New Roman"/>
          <w:b/>
          <w:noProof/>
          <w:sz w:val="24"/>
          <w:lang w:val="en-IE"/>
        </w:rPr>
        <w:t xml:space="preserve"> </w:t>
      </w:r>
      <w:r>
        <w:rPr>
          <w:rFonts w:ascii="Times New Roman" w:hAnsi="Times New Roman" w:cs="Times New Roman"/>
          <w:noProof/>
          <w:sz w:val="24"/>
          <w:lang w:val="en-IE"/>
        </w:rPr>
        <w:t xml:space="preserve">The FR NIR mentions that a roadmap for the deployment of biofuels for aviation is under preparation. Sustainable aviation fuels will be deployed in France by adding them to conventional fuels, with targets of 5% by 2030 and 50% by 2050. As aviation </w:t>
      </w:r>
      <w:r>
        <w:rPr>
          <w:rFonts w:ascii="Times New Roman" w:hAnsi="Times New Roman" w:cs="Times New Roman"/>
          <w:noProof/>
          <w:sz w:val="24"/>
          <w:lang w:val="en-IE"/>
        </w:rPr>
        <w:t xml:space="preserve">biofuels are ‘drop-in’, their distribution at airport hubs will use existing logistics in order to limit their costs and carbon footprint.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the </w:t>
      </w:r>
      <w:r>
        <w:rPr>
          <w:rFonts w:ascii="Times New Roman" w:hAnsi="Times New Roman" w:cs="Times New Roman"/>
          <w:b/>
          <w:noProof/>
          <w:sz w:val="24"/>
          <w:lang w:val="en-IE"/>
        </w:rPr>
        <w:t>measures</w:t>
      </w:r>
      <w:r>
        <w:rPr>
          <w:rFonts w:ascii="Times New Roman" w:hAnsi="Times New Roman" w:cs="Times New Roman"/>
          <w:noProof/>
          <w:sz w:val="24"/>
          <w:lang w:val="en-IE"/>
        </w:rPr>
        <w:t>, the French NIR, similarly to the NPF, reports a solid policy package, consisting in 57 measu</w:t>
      </w:r>
      <w:r>
        <w:rPr>
          <w:rFonts w:ascii="Times New Roman" w:hAnsi="Times New Roman" w:cs="Times New Roman"/>
          <w:noProof/>
          <w:sz w:val="24"/>
          <w:lang w:val="en-IE"/>
        </w:rPr>
        <w:t xml:space="preserve">res. The great majority of measures expresses an increase of ambition compared to the NPF, focusing more on zero-emission mobility. They cover a wide variety of types, several alternative fuels and all transport modes (with a focus on road).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legal fra</w:t>
      </w:r>
      <w:r>
        <w:rPr>
          <w:rFonts w:ascii="Times New Roman" w:hAnsi="Times New Roman" w:cs="Times New Roman"/>
          <w:noProof/>
          <w:sz w:val="24"/>
          <w:lang w:val="en-IE"/>
        </w:rPr>
        <w:t xml:space="preserve">mework for alternative fuels is changing and improving in order to speed up the deployment of the related vehicles and infrastructure. The majority of legal measures refers specifically to infrastructure, and the most numerous cluster is electricity/road. </w:t>
      </w:r>
      <w:r>
        <w:rPr>
          <w:rFonts w:ascii="Times New Roman" w:hAnsi="Times New Roman" w:cs="Times New Roman"/>
          <w:noProof/>
          <w:sz w:val="24"/>
          <w:lang w:val="en-IE"/>
        </w:rPr>
        <w:t xml:space="preserve">Considering all the legal measures, they appear, if fully implemented, to be fit to support the realisation of the AFV/AFI objectives as described in the NPF and revised in the NIR. </w:t>
      </w:r>
    </w:p>
    <w:p w:rsidR="003C43BF" w:rsidRDefault="006C3212">
      <w:pPr>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As for the Policy and Deployment &amp; Manufacturing support measures, </w:t>
      </w:r>
      <w:r>
        <w:rPr>
          <w:rFonts w:ascii="Times New Roman" w:hAnsi="Times New Roman" w:cs="Times New Roman"/>
          <w:noProof/>
          <w:sz w:val="24"/>
          <w:lang w:val="en-IE"/>
        </w:rPr>
        <w:t>they c</w:t>
      </w:r>
      <w:r>
        <w:rPr>
          <w:rFonts w:ascii="Times New Roman" w:hAnsi="Times New Roman" w:cs="Times New Roman"/>
          <w:noProof/>
          <w:sz w:val="24"/>
          <w:lang w:val="en-IE"/>
        </w:rPr>
        <w:t xml:space="preserve">over all aspects of alternative fuels deployment: AF, AFV and AFI. The majority of the policy measures represent financial incentives (e.g. purchase incentives, scrappage scheme, different tax related incentives) and are in place in 2019. </w:t>
      </w:r>
      <w:r>
        <w:rPr>
          <w:rFonts w:ascii="Times New Roman" w:hAnsi="Times New Roman" w:cs="Times New Roman"/>
          <w:noProof/>
          <w:color w:val="000000" w:themeColor="text1"/>
          <w:sz w:val="24"/>
          <w:lang w:val="en-IE"/>
        </w:rPr>
        <w:t xml:space="preserve">In line with the </w:t>
      </w:r>
      <w:r>
        <w:rPr>
          <w:rFonts w:ascii="Times New Roman" w:hAnsi="Times New Roman" w:cs="Times New Roman"/>
          <w:noProof/>
          <w:color w:val="000000" w:themeColor="text1"/>
          <w:sz w:val="24"/>
          <w:lang w:val="en-IE"/>
        </w:rPr>
        <w:t>overall focus in promoting zero-emission mobility reported in the NIR for the recent years, the most numerous clusters are the electricity/road and hydrogen/road. The electricity/road cluster contains a comprehensive set of 23 NIR measures, displaying a hi</w:t>
      </w:r>
      <w:r>
        <w:rPr>
          <w:rFonts w:ascii="Times New Roman" w:hAnsi="Times New Roman" w:cs="Times New Roman"/>
          <w:noProof/>
          <w:color w:val="000000" w:themeColor="text1"/>
          <w:sz w:val="24"/>
          <w:lang w:val="en-IE"/>
        </w:rPr>
        <w:t>gh overall score and showing an increased level of ambition compared with the NPF. The hydrogen/road cluster is formed by a comprehensive set of 13 NIR measures, displaying a medium overall score and showing an increased level of ambition compared with the</w:t>
      </w:r>
      <w:r>
        <w:rPr>
          <w:rFonts w:ascii="Times New Roman" w:hAnsi="Times New Roman" w:cs="Times New Roman"/>
          <w:noProof/>
          <w:color w:val="000000" w:themeColor="text1"/>
          <w:sz w:val="24"/>
          <w:lang w:val="en-IE"/>
        </w:rPr>
        <w:t xml:space="preserve"> NPF. The newly introduced measures originate in the 2018 Energy Transition Hydrogen Deployment plan. </w:t>
      </w:r>
      <w:r>
        <w:rPr>
          <w:rFonts w:ascii="Times New Roman" w:hAnsi="Times New Roman" w:cs="Times New Roman"/>
          <w:noProof/>
          <w:sz w:val="24"/>
          <w:lang w:val="en-IE"/>
        </w:rPr>
        <w:t xml:space="preserve">In terms of expected impact of the </w:t>
      </w:r>
      <w:r>
        <w:rPr>
          <w:rFonts w:ascii="Times New Roman" w:hAnsi="Times New Roman" w:cs="Times New Roman"/>
          <w:noProof/>
          <w:color w:val="000000" w:themeColor="text1"/>
          <w:sz w:val="24"/>
          <w:lang w:val="en-IE"/>
        </w:rPr>
        <w:t>Policy and Deployment &amp; Manufacturing measures</w:t>
      </w:r>
      <w:r>
        <w:rPr>
          <w:rFonts w:ascii="Times New Roman" w:hAnsi="Times New Roman" w:cs="Times New Roman"/>
          <w:noProof/>
          <w:sz w:val="24"/>
          <w:lang w:val="en-IE"/>
        </w:rPr>
        <w:t xml:space="preserve"> to support the realisation of the AFV/AFI objectives as presented in the</w:t>
      </w:r>
      <w:r>
        <w:rPr>
          <w:rFonts w:ascii="Times New Roman" w:hAnsi="Times New Roman" w:cs="Times New Roman"/>
          <w:noProof/>
          <w:sz w:val="24"/>
          <w:lang w:val="en-IE"/>
        </w:rPr>
        <w:t xml:space="preserve"> NPF and revised in the NIR, the measures for the pairs electricity/road results to have a high impact, the measures for the pairs CNG/road, LNG /road, hydrogen/road and electricity/water-maritime result to have a medium impact and all the other pairs resu</w:t>
      </w:r>
      <w:r>
        <w:rPr>
          <w:rFonts w:ascii="Times New Roman" w:hAnsi="Times New Roman" w:cs="Times New Roman"/>
          <w:noProof/>
          <w:sz w:val="24"/>
          <w:lang w:val="en-IE"/>
        </w:rPr>
        <w:t>lt to have a low impact. Compared to the NPF, the level of ambition of the Policy and Deployment &amp; Manufacturing support measures has increased for all identified pairs with the exception of LPG/road.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Research, Technological Development &amp; Demonstration</w:t>
      </w:r>
      <w:r>
        <w:rPr>
          <w:rFonts w:ascii="Times New Roman" w:hAnsi="Times New Roman" w:cs="Times New Roman"/>
          <w:noProof/>
          <w:sz w:val="24"/>
          <w:lang w:val="en-IE"/>
        </w:rPr>
        <w:t xml:space="preserve"> section contains general information on three main initiatives all being part of the “Investing for the Future programme”: the “Vehicles and Transport of the Future” phase, the “Transport and Sustainable Mobility” section and an innovation competition for</w:t>
      </w:r>
      <w:r>
        <w:rPr>
          <w:rFonts w:ascii="Times New Roman" w:hAnsi="Times New Roman" w:cs="Times New Roman"/>
          <w:noProof/>
          <w:sz w:val="24"/>
          <w:lang w:val="en-IE"/>
        </w:rPr>
        <w:t xml:space="preserve"> prototypes.</w:t>
      </w:r>
    </w:p>
    <w:p w:rsidR="003C43BF" w:rsidRDefault="003C43BF">
      <w:pPr>
        <w:rPr>
          <w:rFonts w:ascii="Times New Roman" w:hAnsi="Times New Roman" w:cs="Times New Roman"/>
          <w:noProof/>
          <w:sz w:val="24"/>
          <w:lang w:val="en-IE"/>
        </w:rPr>
      </w:pPr>
    </w:p>
    <w:p w:rsidR="003C43BF" w:rsidRDefault="006C3212">
      <w:pPr>
        <w:pStyle w:val="Heading3"/>
        <w:rPr>
          <w:rFonts w:ascii="Times New Roman" w:hAnsi="Times New Roman" w:cs="Times New Roman"/>
          <w:noProof/>
          <w:sz w:val="24"/>
          <w:szCs w:val="24"/>
          <w:lang w:val="en-IE"/>
        </w:rPr>
      </w:pPr>
      <w:bookmarkStart w:id="273" w:name="_Toc56944177"/>
      <w:r>
        <w:rPr>
          <w:rFonts w:ascii="Times New Roman" w:hAnsi="Times New Roman" w:cs="Times New Roman"/>
          <w:noProof/>
          <w:sz w:val="24"/>
          <w:szCs w:val="24"/>
          <w:lang w:val="en-IE"/>
        </w:rPr>
        <w:t>Final remarks</w:t>
      </w:r>
      <w:bookmarkEnd w:id="273"/>
      <w:r>
        <w:rPr>
          <w:rFonts w:ascii="Times New Roman" w:hAnsi="Times New Roman" w:cs="Times New Roman"/>
          <w:noProof/>
          <w:sz w:val="24"/>
          <w:szCs w:val="24"/>
          <w:lang w:val="en-IE"/>
        </w:rPr>
        <w:t xml:space="preserve">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French NIR provides a comprehensive report on the efforts to implement the Directive. The NIR is largely in line with the provisions of Annex I to the Directive. However, due a lack of some data this assessment draws on information taken from the Frenc</w:t>
      </w:r>
      <w:r>
        <w:rPr>
          <w:rFonts w:ascii="Times New Roman" w:hAnsi="Times New Roman" w:cs="Times New Roman"/>
          <w:noProof/>
          <w:sz w:val="24"/>
          <w:szCs w:val="24"/>
          <w:lang w:val="en-IE"/>
        </w:rPr>
        <w:t>h Clean Mobility Development Strategy for 2023 and 2028 targets. Moreover, the French NIR only estimates the number of nature gas vehicles, without distinguishing between CNG and LNG. Some clarifications on the numerical data provided in the NIR will be re</w:t>
      </w:r>
      <w:r>
        <w:rPr>
          <w:rFonts w:ascii="Times New Roman" w:hAnsi="Times New Roman" w:cs="Times New Roman"/>
          <w:noProof/>
          <w:sz w:val="24"/>
          <w:szCs w:val="24"/>
          <w:lang w:val="en-IE"/>
        </w:rPr>
        <w:t>levant. A significant number of measures are being implemented in France to promote alternative fuels in all transport mode, but with a special focus on electro-mobility. Further detail on measures promoting fuels uptake in other modes of transport would b</w:t>
      </w:r>
      <w:r>
        <w:rPr>
          <w:rFonts w:ascii="Times New Roman" w:hAnsi="Times New Roman" w:cs="Times New Roman"/>
          <w:noProof/>
          <w:sz w:val="24"/>
          <w:szCs w:val="24"/>
          <w:lang w:val="en-IE"/>
        </w:rPr>
        <w:t xml:space="preserve">e beneficial.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With regard to electricity, the NIR estimates that approximately 6,930,000 electric vehicles could be on the roads by 2030, representing about 14% of the fleet by that time. Taking into account the current situation and expected trend develo</w:t>
      </w:r>
      <w:r>
        <w:rPr>
          <w:rFonts w:ascii="Times New Roman" w:hAnsi="Times New Roman" w:cs="Times New Roman"/>
          <w:noProof/>
          <w:sz w:val="24"/>
          <w:szCs w:val="24"/>
          <w:lang w:val="en-IE"/>
        </w:rPr>
        <w:t>pment, this level of ambition appears to be broadly consistent with the pace of deployment of electric vehicles considered necessary to complete the full transition to carbon neutrality by 2050. The NIR plans for 100,000 publicly accessible recharging poin</w:t>
      </w:r>
      <w:r>
        <w:rPr>
          <w:rFonts w:ascii="Times New Roman" w:hAnsi="Times New Roman" w:cs="Times New Roman"/>
          <w:noProof/>
          <w:sz w:val="24"/>
          <w:szCs w:val="24"/>
          <w:lang w:val="en-IE"/>
        </w:rPr>
        <w:t xml:space="preserve">ts (target of 2022) for a fleet of some 2,234,000 electric vehicles by 2025. However, no estimates are provided for recharging points in 2030. Information on charging efficiency is provided. The NIR reports that shore-side </w:t>
      </w:r>
      <w:r>
        <w:rPr>
          <w:rFonts w:ascii="Times New Roman" w:hAnsi="Times New Roman" w:cs="Times New Roman"/>
          <w:noProof/>
          <w:color w:val="222222"/>
          <w:sz w:val="24"/>
          <w:lang w:val="en-IE"/>
        </w:rPr>
        <w:t>electricity</w:t>
      </w:r>
      <w:r>
        <w:rPr>
          <w:rFonts w:ascii="Times New Roman" w:hAnsi="Times New Roman" w:cs="Times New Roman"/>
          <w:noProof/>
          <w:sz w:val="24"/>
          <w:szCs w:val="24"/>
          <w:lang w:val="en-IE"/>
        </w:rPr>
        <w:t xml:space="preserve"> supply is supplied in</w:t>
      </w:r>
      <w:r>
        <w:rPr>
          <w:rFonts w:ascii="Times New Roman" w:hAnsi="Times New Roman" w:cs="Times New Roman"/>
          <w:noProof/>
          <w:sz w:val="24"/>
          <w:szCs w:val="24"/>
          <w:lang w:val="en-IE"/>
        </w:rPr>
        <w:t xml:space="preserve"> certain maritime and inland ports but it lacks aggregated data at national level. There is hence a lack of consistent information to assess whether all ports of the TEN-T Core Network will be equipped with these facilities at a certain point in time, or n</w:t>
      </w:r>
      <w:r>
        <w:rPr>
          <w:rFonts w:ascii="Times New Roman" w:hAnsi="Times New Roman" w:cs="Times New Roman"/>
          <w:noProof/>
          <w:sz w:val="24"/>
          <w:szCs w:val="24"/>
          <w:lang w:val="en-IE"/>
        </w:rPr>
        <w:t xml:space="preserve">ot. Further information should be provided in future reporting on the electricity supply in airports to stationary aircraft and on the further electrification of railways.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Regarding hydrogen for transport, the NIR reports a small fleet of 351 FCHVs and 20</w:t>
      </w:r>
      <w:r>
        <w:rPr>
          <w:rFonts w:ascii="Times New Roman" w:hAnsi="Times New Roman" w:cs="Times New Roman"/>
          <w:noProof/>
          <w:sz w:val="24"/>
          <w:szCs w:val="24"/>
          <w:lang w:val="en-IE"/>
        </w:rPr>
        <w:t xml:space="preserve"> hydrogen refuelling stations in 2018. According to the French Clean Mobility Development Strategy for 2023 and 2028, 100 hydrogen refuelling stations and about 9,000 FCHVs are estimated by 2025 and a more ambitious target of 400 hydrogen-refuelling points</w:t>
      </w:r>
      <w:r>
        <w:rPr>
          <w:rFonts w:ascii="Times New Roman" w:hAnsi="Times New Roman" w:cs="Times New Roman"/>
          <w:noProof/>
          <w:sz w:val="24"/>
          <w:szCs w:val="24"/>
          <w:lang w:val="en-IE"/>
        </w:rPr>
        <w:t xml:space="preserve"> is estimated by 2028. The number of refuelling stations seem to be sufficient considering the length of the TEN-T Core Network, provided that the refuelling stations are widely distributed along the network. SNCF plans to put into service 15 hydrogen powe</w:t>
      </w:r>
      <w:r>
        <w:rPr>
          <w:rFonts w:ascii="Times New Roman" w:hAnsi="Times New Roman" w:cs="Times New Roman"/>
          <w:noProof/>
          <w:sz w:val="24"/>
          <w:szCs w:val="24"/>
          <w:lang w:val="en-IE"/>
        </w:rPr>
        <w:t>r trains on non-electrified lines.</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In terms of natural gas for transport, the NIR expects 285 CNG refuelling points by 2028. Further, 41 LNG refuelling points are estimated by 2028. These numbers seem sufficient taking into the length of the French TEN-T C</w:t>
      </w:r>
      <w:r>
        <w:rPr>
          <w:rFonts w:ascii="Times New Roman" w:hAnsi="Times New Roman" w:cs="Times New Roman"/>
          <w:noProof/>
          <w:sz w:val="24"/>
          <w:szCs w:val="24"/>
          <w:lang w:val="en-IE"/>
        </w:rPr>
        <w:t>ore Network, provided that the refuelling stations are widely distributed along the network. The NIR targets a fleet of 207,700 CNG and LNG vehicles by 2028. The basic infrastructure in place seems largely sufficient. All ports with LNG tanker terminals (M</w:t>
      </w:r>
      <w:r>
        <w:rPr>
          <w:rFonts w:ascii="Times New Roman" w:hAnsi="Times New Roman" w:cs="Times New Roman"/>
          <w:noProof/>
          <w:sz w:val="24"/>
          <w:szCs w:val="24"/>
          <w:lang w:val="en-IE"/>
        </w:rPr>
        <w:t xml:space="preserve">arseille-Fos, Dunkirk, and Nantes-Saint Nazaire) and the port of Le Havre (not having a terminal) currently offer LNG bunkering by truck, but no estimates are provided for the future nor for inland ports.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As for LPG, a fleet of around 150,000 will remain </w:t>
      </w:r>
      <w:r>
        <w:rPr>
          <w:rFonts w:ascii="Times New Roman" w:hAnsi="Times New Roman" w:cs="Times New Roman"/>
          <w:noProof/>
          <w:sz w:val="24"/>
          <w:szCs w:val="24"/>
          <w:lang w:val="en-IE"/>
        </w:rPr>
        <w:t>stable over the next decade. A network of 1,700 refuelling stations already exists. No future estimates are provided in the NIR.</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A roadmap for the deployment of biofuels for aviation is under preparation. France intends to deploy sustainable aviation fuels</w:t>
      </w:r>
      <w:r>
        <w:rPr>
          <w:rFonts w:ascii="Times New Roman" w:hAnsi="Times New Roman" w:cs="Times New Roman"/>
          <w:noProof/>
          <w:sz w:val="24"/>
          <w:szCs w:val="24"/>
          <w:lang w:val="en-IE"/>
        </w:rPr>
        <w:t xml:space="preserve"> by mandating blending with kerosene at a rate of 5% by 2030 and 50% by 2050.</w:t>
      </w:r>
    </w:p>
    <w:p w:rsidR="003C43BF" w:rsidRDefault="003C43BF">
      <w:pPr>
        <w:rPr>
          <w:rFonts w:ascii="Times New Roman" w:hAnsi="Times New Roman" w:cs="Times New Roman"/>
          <w:b/>
          <w:noProof/>
          <w:color w:val="0070C0"/>
          <w:sz w:val="24"/>
          <w:szCs w:val="24"/>
          <w:lang w:val="en-IE"/>
        </w:rPr>
      </w:pPr>
    </w:p>
    <w:p w:rsidR="003C43BF" w:rsidRDefault="006C3212">
      <w:pPr>
        <w:rPr>
          <w:rFonts w:ascii="Times New Roman" w:hAnsi="Times New Roman" w:cs="Times New Roman"/>
          <w:b/>
          <w:noProof/>
          <w:color w:val="0070C0"/>
          <w:sz w:val="24"/>
          <w:szCs w:val="24"/>
          <w:lang w:val="en-IE"/>
        </w:rPr>
      </w:pPr>
      <w:r>
        <w:rPr>
          <w:rFonts w:ascii="Times New Roman" w:hAnsi="Times New Roman" w:cs="Times New Roman"/>
          <w:b/>
          <w:noProof/>
          <w:color w:val="0070C0"/>
          <w:sz w:val="24"/>
          <w:szCs w:val="24"/>
          <w:lang w:val="en-IE"/>
        </w:rPr>
        <w:br w:type="page"/>
      </w:r>
    </w:p>
    <w:p w:rsidR="003C43BF" w:rsidRDefault="006C3212">
      <w:pPr>
        <w:pStyle w:val="Heading3"/>
        <w:ind w:left="720"/>
        <w:rPr>
          <w:rFonts w:ascii="Times New Roman" w:hAnsi="Times New Roman" w:cs="Times New Roman"/>
          <w:noProof/>
          <w:sz w:val="24"/>
          <w:lang w:val="en-IE"/>
        </w:rPr>
      </w:pPr>
      <w:bookmarkStart w:id="274" w:name="_Toc55301860"/>
      <w:bookmarkStart w:id="275" w:name="_Toc56944178"/>
      <w:r>
        <w:rPr>
          <w:rFonts w:ascii="Times New Roman" w:hAnsi="Times New Roman" w:cs="Times New Roman"/>
          <w:noProof/>
          <w:sz w:val="24"/>
          <w:lang w:val="en-IE"/>
        </w:rPr>
        <w:t>ANNEX - Description of the Member State</w:t>
      </w:r>
      <w:bookmarkEnd w:id="274"/>
      <w:bookmarkEnd w:id="275"/>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On a surface area of </w:t>
      </w:r>
      <w:r>
        <w:rPr>
          <w:rFonts w:ascii="Times New Roman" w:eastAsia="Times New Roman" w:hAnsi="Times New Roman" w:cs="Times New Roman"/>
          <w:noProof/>
          <w:color w:val="000000"/>
          <w:sz w:val="24"/>
          <w:lang w:val="en-IE"/>
        </w:rPr>
        <w:t xml:space="preserve">633,100 </w:t>
      </w:r>
      <w:r>
        <w:rPr>
          <w:rFonts w:ascii="Times New Roman" w:hAnsi="Times New Roman" w:cs="Times New Roman"/>
          <w:noProof/>
          <w:sz w:val="24"/>
          <w:lang w:val="en-IE"/>
        </w:rPr>
        <w:t xml:space="preserve">km², France has a population of 66.926 million people in 2018, which makes up for a population density of </w:t>
      </w:r>
      <w:r>
        <w:rPr>
          <w:rFonts w:ascii="Times New Roman" w:hAnsi="Times New Roman" w:cs="Times New Roman"/>
          <w:noProof/>
          <w:sz w:val="24"/>
          <w:lang w:val="en-IE"/>
        </w:rPr>
        <w:t>106 inhabitants/km².</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t>
      </w:r>
      <w:r>
        <w:rPr>
          <w:rFonts w:ascii="Times New Roman" w:hAnsi="Times New Roman" w:cs="Times New Roman"/>
          <w:noProof/>
          <w:sz w:val="24"/>
          <w:lang w:val="en-IE"/>
        </w:rPr>
        <w:tab/>
        <w:t xml:space="preserve">69 urban agglomerations &gt; 50,000 inhabitants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France achieves a per capita gross domestic product at market prices of €34,980, which represents a per capita gross domestic product in </w:t>
      </w:r>
      <w:r>
        <w:rPr>
          <w:rFonts w:ascii="Times New Roman" w:hAnsi="Times New Roman" w:cs="Times New Roman"/>
          <w:noProof/>
          <w:sz w:val="24"/>
          <w:lang w:val="en-IE"/>
        </w:rPr>
        <w:t>purchasing power standards of 104 if expressed in relation to the EU-28 average set to equal 100.</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length of the road TEN-T Core Network in France is 5,283 km. The total road network length is 398,605 km, of which 11,671 km </w:t>
      </w:r>
      <w:r>
        <w:rPr>
          <w:rFonts w:ascii="Times New Roman" w:hAnsi="Times New Roman" w:cs="Times New Roman"/>
          <w:noProof/>
          <w:sz w:val="24"/>
          <w:lang w:val="en-IE"/>
        </w:rPr>
        <w:t>are motorways.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following lengths of the TEN-T Road Corridors are present in France: 13% (767 km) of the Mediterranean Corridor, 36% (1,583 km) of the Atlantic Corridor, 38% (1,611 km) of the North Sea –Mediterranean Corridor, 0.4% (18 km) of the Rhine </w:t>
      </w:r>
      <w:r>
        <w:rPr>
          <w:rFonts w:ascii="Times New Roman" w:hAnsi="Times New Roman" w:cs="Times New Roman"/>
          <w:noProof/>
          <w:sz w:val="24"/>
          <w:lang w:val="en-IE"/>
        </w:rPr>
        <w:t>- Danube Corridor.</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Through the TEN-T Road Corridors, France is connected with the following Member States:</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Germany (through the Rhine - Danube Corridor)</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England (through the North Sea -Mediterranean Corridor)</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Belgium (through the North Sea - Mediterr</w:t>
      </w:r>
      <w:r>
        <w:rPr>
          <w:rFonts w:ascii="Times New Roman" w:hAnsi="Times New Roman" w:cs="Times New Roman"/>
          <w:noProof/>
          <w:sz w:val="24"/>
          <w:lang w:val="en-IE"/>
        </w:rPr>
        <w:t xml:space="preserve">anean Corridor) </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 Luxembourg (through the North Sea - Mediterranean Corridor) </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 Spain (through the Mediterranean and the Atlantic Corridor) </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Italy (through the Mediterranean Corridor)</w:t>
      </w:r>
    </w:p>
    <w:p w:rsidR="003C43BF" w:rsidRDefault="003C43BF">
      <w:pPr>
        <w:spacing w:after="0" w:line="240" w:lineRule="auto"/>
        <w:jc w:val="both"/>
        <w:rPr>
          <w:rFonts w:ascii="Times New Roman" w:hAnsi="Times New Roman" w:cs="Times New Roman"/>
          <w:i/>
          <w:noProof/>
          <w:sz w:val="24"/>
          <w:lang w:val="en-IE"/>
        </w:rPr>
      </w:pP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At the end of 2018, France </w:t>
      </w:r>
      <w:r>
        <w:rPr>
          <w:rFonts w:ascii="Times New Roman" w:hAnsi="Times New Roman" w:cs="Times New Roman"/>
          <w:noProof/>
          <w:sz w:val="24"/>
          <w:lang w:val="en-IE"/>
        </w:rPr>
        <w:t>accounts for 41,895,886 registered road vehicles of which 32,034,000 are categorized as passenger cars, 6,179,771 as light goods vehicles, 547,604 as heavy goods vehicles and 100,511 as buses and coaches. The motorisation rate is 479 passenger cars per 1,0</w:t>
      </w:r>
      <w:r>
        <w:rPr>
          <w:rFonts w:ascii="Times New Roman" w:hAnsi="Times New Roman" w:cs="Times New Roman"/>
          <w:noProof/>
          <w:sz w:val="24"/>
          <w:lang w:val="en-IE"/>
        </w:rPr>
        <w:t>00 inhabitants.</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spacing w:after="0" w:line="240" w:lineRule="auto"/>
        <w:ind w:left="708" w:hanging="708"/>
        <w:jc w:val="both"/>
        <w:rPr>
          <w:rFonts w:ascii="Times New Roman" w:hAnsi="Times New Roman" w:cs="Times New Roman"/>
          <w:noProof/>
          <w:sz w:val="24"/>
          <w:lang w:val="fr-BE"/>
        </w:rPr>
      </w:pPr>
      <w:r>
        <w:rPr>
          <w:rFonts w:ascii="Times New Roman" w:hAnsi="Times New Roman" w:cs="Times New Roman"/>
          <w:noProof/>
          <w:sz w:val="24"/>
          <w:lang w:val="fr-BE"/>
        </w:rPr>
        <w:t>•</w:t>
      </w:r>
      <w:r>
        <w:rPr>
          <w:rFonts w:ascii="Times New Roman" w:hAnsi="Times New Roman" w:cs="Times New Roman"/>
          <w:noProof/>
          <w:sz w:val="24"/>
          <w:lang w:val="fr-BE"/>
        </w:rPr>
        <w:tab/>
        <w:t>8 maritime ports in the TEN-T Core Network (Bordeaux, Calais, Dunkerque, Le Havre, Marseille, Marseille-Fos-sur-Mer, Nantes Saint-Nazaire, Rouen)</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w:t>
      </w:r>
      <w:r>
        <w:rPr>
          <w:rFonts w:ascii="Times New Roman" w:hAnsi="Times New Roman" w:cs="Times New Roman"/>
          <w:noProof/>
          <w:sz w:val="24"/>
          <w:lang w:val="en-IE"/>
        </w:rPr>
        <w:tab/>
        <w:t>19 maritime ports in the TEN-T Comprehensive Ne</w:t>
      </w:r>
      <w:r>
        <w:rPr>
          <w:rFonts w:ascii="Times New Roman" w:hAnsi="Times New Roman" w:cs="Times New Roman"/>
          <w:noProof/>
          <w:sz w:val="24"/>
          <w:lang w:val="en-IE"/>
        </w:rPr>
        <w:t>twork</w:t>
      </w:r>
    </w:p>
    <w:p w:rsidR="003C43BF" w:rsidRDefault="006C3212">
      <w:pPr>
        <w:pStyle w:val="ListParagraph"/>
        <w:numPr>
          <w:ilvl w:val="0"/>
          <w:numId w:val="93"/>
        </w:numPr>
        <w:spacing w:after="0" w:line="240" w:lineRule="auto"/>
        <w:ind w:left="709" w:hanging="720"/>
        <w:jc w:val="both"/>
        <w:rPr>
          <w:rFonts w:ascii="Times New Roman" w:hAnsi="Times New Roman" w:cs="Times New Roman"/>
          <w:noProof/>
          <w:sz w:val="24"/>
          <w:lang w:val="fr-BE"/>
        </w:rPr>
      </w:pPr>
      <w:r>
        <w:rPr>
          <w:rFonts w:ascii="Times New Roman" w:hAnsi="Times New Roman" w:cs="Times New Roman"/>
          <w:noProof/>
          <w:sz w:val="24"/>
          <w:lang w:val="fr-BE"/>
        </w:rPr>
        <w:t>11 inland ports in the TEN-T Core Network (Chalon-sur-Saône, Dunkerque, Le Havre, Lille, Lyon, Marseille-Fos-sur-Mer, Metz, Mulhouse-Ottmarsheim, Paris, Rouen, Strasbourg</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w:t>
      </w:r>
      <w:r>
        <w:rPr>
          <w:rFonts w:ascii="Times New Roman" w:hAnsi="Times New Roman" w:cs="Times New Roman"/>
          <w:noProof/>
          <w:sz w:val="24"/>
          <w:lang w:val="en-IE"/>
        </w:rPr>
        <w:tab/>
        <w:t>10 inland ports in the TEN-T Comprehensive Network</w:t>
      </w:r>
    </w:p>
    <w:p w:rsidR="003C43BF" w:rsidRDefault="003C43BF">
      <w:pPr>
        <w:spacing w:after="0" w:line="240" w:lineRule="auto"/>
        <w:jc w:val="both"/>
        <w:rPr>
          <w:rFonts w:ascii="Times New Roman" w:hAnsi="Times New Roman" w:cs="Times New Roman"/>
          <w:noProof/>
          <w:sz w:val="24"/>
          <w:lang w:val="en-IE"/>
        </w:rPr>
      </w:pP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Number of airports in the</w:t>
      </w:r>
      <w:r>
        <w:rPr>
          <w:rFonts w:ascii="Times New Roman" w:hAnsi="Times New Roman" w:cs="Times New Roman"/>
          <w:i/>
          <w:noProof/>
          <w:sz w:val="24"/>
          <w:lang w:val="en-IE"/>
        </w:rPr>
        <w:t xml:space="preserve"> TEN-T Core Network </w:t>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w:t>
      </w:r>
      <w:r>
        <w:rPr>
          <w:rFonts w:ascii="Times New Roman" w:hAnsi="Times New Roman" w:cs="Times New Roman"/>
          <w:noProof/>
          <w:sz w:val="24"/>
          <w:lang w:val="en-IE"/>
        </w:rPr>
        <w:tab/>
        <w:t xml:space="preserve">8 airports in the TEN-T Core Network </w:t>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w:t>
      </w:r>
      <w:r>
        <w:rPr>
          <w:rFonts w:ascii="Times New Roman" w:hAnsi="Times New Roman" w:cs="Times New Roman"/>
          <w:noProof/>
          <w:sz w:val="24"/>
          <w:lang w:val="en-IE"/>
        </w:rPr>
        <w:tab/>
        <w:t>19 airports in the TEN-T Comprehensive Network</w:t>
      </w:r>
    </w:p>
    <w:p w:rsidR="003C43BF" w:rsidRDefault="003C43BF">
      <w:pPr>
        <w:spacing w:after="0"/>
        <w:jc w:val="both"/>
        <w:rPr>
          <w:rFonts w:ascii="Times New Roman" w:hAnsi="Times New Roman" w:cs="Times New Roman"/>
          <w:noProof/>
          <w:sz w:val="24"/>
          <w:lang w:val="en-IE"/>
        </w:rPr>
      </w:pPr>
    </w:p>
    <w:p w:rsidR="003C43BF" w:rsidRDefault="006C3212">
      <w:pPr>
        <w:rPr>
          <w:rFonts w:ascii="Times New Roman" w:hAnsi="Times New Roman" w:cs="Times New Roman"/>
          <w:b/>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276" w:name="_Toc55301861"/>
      <w:bookmarkStart w:id="277" w:name="_Toc55301862"/>
      <w:bookmarkStart w:id="278" w:name="_Toc55301863"/>
      <w:bookmarkStart w:id="279" w:name="_Toc55301864"/>
      <w:bookmarkStart w:id="280" w:name="_Toc55301865"/>
      <w:bookmarkStart w:id="281" w:name="_Toc55301866"/>
      <w:bookmarkStart w:id="282" w:name="_Toc56944179"/>
      <w:bookmarkEnd w:id="276"/>
      <w:bookmarkEnd w:id="277"/>
      <w:bookmarkEnd w:id="278"/>
      <w:bookmarkEnd w:id="279"/>
      <w:bookmarkEnd w:id="280"/>
      <w:r>
        <w:rPr>
          <w:rFonts w:ascii="Times New Roman" w:hAnsi="Times New Roman" w:cs="Times New Roman"/>
          <w:noProof/>
          <w:sz w:val="24"/>
          <w:lang w:val="en-IE"/>
        </w:rPr>
        <w:t>Croatia (HR)</w:t>
      </w:r>
      <w:bookmarkEnd w:id="281"/>
      <w:bookmarkEnd w:id="282"/>
    </w:p>
    <w:p w:rsidR="003C43BF" w:rsidRDefault="006C3212">
      <w:pPr>
        <w:pStyle w:val="Heading3"/>
        <w:ind w:left="720"/>
        <w:rPr>
          <w:rFonts w:ascii="Times New Roman" w:hAnsi="Times New Roman" w:cs="Times New Roman"/>
          <w:noProof/>
          <w:sz w:val="24"/>
          <w:lang w:val="en-IE"/>
        </w:rPr>
      </w:pPr>
      <w:bookmarkStart w:id="283" w:name="_Toc55301867"/>
      <w:bookmarkStart w:id="284" w:name="_Toc56944180"/>
      <w:r>
        <w:rPr>
          <w:rFonts w:ascii="Times New Roman" w:hAnsi="Times New Roman" w:cs="Times New Roman"/>
          <w:noProof/>
          <w:sz w:val="24"/>
          <w:lang w:val="en-IE"/>
        </w:rPr>
        <w:t xml:space="preserve">Main messages from the </w:t>
      </w:r>
      <w:bookmarkEnd w:id="283"/>
      <w:bookmarkEnd w:id="284"/>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its original assessment of the Croatian NPF the Commission concluded: </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The Croatian NPF addresses most of the requirements of Article 3. It contains a comprehensive discussion of the current state, but a somewhat limited discussion of future scenarios for most alternative fuels in the transport sector. For all fuels and some </w:t>
      </w:r>
      <w:r>
        <w:rPr>
          <w:rFonts w:ascii="Times New Roman" w:hAnsi="Times New Roman" w:cs="Times New Roman"/>
          <w:i/>
          <w:noProof/>
          <w:color w:val="000000" w:themeColor="text1"/>
          <w:sz w:val="24"/>
          <w:lang w:val="en-IE"/>
        </w:rPr>
        <w:t>modes, it establishes targets as required by Article 3 of the Directive. The NPF does not contain concrete measures to encourage and facilitate the deployment of recharging points not accessible to the public.</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NPF does not contain vehicle estimates for</w:t>
      </w:r>
      <w:r>
        <w:rPr>
          <w:rFonts w:ascii="Times New Roman" w:hAnsi="Times New Roman" w:cs="Times New Roman"/>
          <w:i/>
          <w:noProof/>
          <w:color w:val="000000" w:themeColor="text1"/>
          <w:sz w:val="24"/>
          <w:lang w:val="en-IE"/>
        </w:rPr>
        <w:t xml:space="preserve"> the future deployment of EVs. The given recharging points target and especially high power recharging infrastructure seems to cover the needs of electric vehicles in terms of number of publicly accessible recharging points as well as minimum coverage requ</w:t>
      </w:r>
      <w:r>
        <w:rPr>
          <w:rFonts w:ascii="Times New Roman" w:hAnsi="Times New Roman" w:cs="Times New Roman"/>
          <w:i/>
          <w:noProof/>
          <w:color w:val="000000" w:themeColor="text1"/>
          <w:sz w:val="24"/>
          <w:lang w:val="en-IE"/>
        </w:rPr>
        <w:t>irements in Croatia in 2020. The NPF does neither consider electricity supply for stationary airplanes nor shore-side electricity.</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NPF does not contain vehicle estimates for the future deployment of CNG vehicles. Croatia currently has a sufficient netw</w:t>
      </w:r>
      <w:r>
        <w:rPr>
          <w:rFonts w:ascii="Times New Roman" w:hAnsi="Times New Roman" w:cs="Times New Roman"/>
          <w:i/>
          <w:noProof/>
          <w:color w:val="000000" w:themeColor="text1"/>
          <w:sz w:val="24"/>
          <w:lang w:val="en-IE"/>
        </w:rPr>
        <w:t>ork of CNG refuelling points when compared to CNG vehicles, but it does not meet the minimum coverage requirements. Regarding the 2025 minimum coverage target in terms of distance requirements, the existing measure for the deployment of CNG refuelling poin</w:t>
      </w:r>
      <w:r>
        <w:rPr>
          <w:rFonts w:ascii="Times New Roman" w:hAnsi="Times New Roman" w:cs="Times New Roman"/>
          <w:i/>
          <w:noProof/>
          <w:color w:val="000000" w:themeColor="text1"/>
          <w:sz w:val="24"/>
          <w:lang w:val="en-IE"/>
        </w:rPr>
        <w:t xml:space="preserve">ts seems sufficient. Croatia already counts a high number of CNG buses and future promotion of CNG vehicles for public transport is foreseen. </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Croatian NPF plans two LNG refuelling points for heavy-duty vehicles in road transport until 2025 and seven u</w:t>
      </w:r>
      <w:r>
        <w:rPr>
          <w:rFonts w:ascii="Times New Roman" w:hAnsi="Times New Roman" w:cs="Times New Roman"/>
          <w:i/>
          <w:noProof/>
          <w:color w:val="000000" w:themeColor="text1"/>
          <w:sz w:val="24"/>
          <w:lang w:val="en-IE"/>
        </w:rPr>
        <w:t xml:space="preserve">ntil 2030. Moreover, the NPF plans one LNG refuelling point in maritime transport in 2025 and seven until 2030. Furthermore, two LNG refuelling points for inland waterways are planned until 2030. It is not specifically stated in the NPF whether the inland </w:t>
      </w:r>
      <w:r>
        <w:rPr>
          <w:rFonts w:ascii="Times New Roman" w:hAnsi="Times New Roman" w:cs="Times New Roman"/>
          <w:i/>
          <w:noProof/>
          <w:color w:val="000000" w:themeColor="text1"/>
          <w:sz w:val="24"/>
          <w:lang w:val="en-IE"/>
        </w:rPr>
        <w:t>waterways and maritime LNG refuelling points will be accessible for LNG heavy-duty vehicles. In case they are accessible, Croatia would meet the minimum distance requirement of one LNG refuelling point every 400 km on the road TEN-T Core Network in 2025.</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NPF does not consider hydrogen for transport.</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Croatian NPF contains a list of measures with a low impact score on overcoming deployment barriers in electro-mobility, CNG and LNG vehicles and infrastructure deployment. Only measures concerning elect</w:t>
      </w:r>
      <w:r>
        <w:rPr>
          <w:rFonts w:ascii="Times New Roman" w:hAnsi="Times New Roman" w:cs="Times New Roman"/>
          <w:i/>
          <w:noProof/>
          <w:color w:val="000000" w:themeColor="text1"/>
          <w:sz w:val="24"/>
          <w:lang w:val="en-IE"/>
        </w:rPr>
        <w:t xml:space="preserve">ro-mobility are considered comprehensive. Most of the existing or planned measures end in 2018 or earlier, with no prolongation explicitly stated. The majority of measures stated in the NPF could not be assessed due to the limited information provided. </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Cr</w:t>
      </w:r>
      <w:r>
        <w:rPr>
          <w:rFonts w:ascii="Times New Roman" w:hAnsi="Times New Roman" w:cs="Times New Roman"/>
          <w:i/>
          <w:noProof/>
          <w:color w:val="000000" w:themeColor="text1"/>
          <w:sz w:val="24"/>
          <w:lang w:val="en-IE"/>
        </w:rPr>
        <w:t>oatia considered local authorities and stakeholders’ interest, and coordinated the NPF with the local authorities. Moreover, Croatia cooperated with many Member States in projects concerning electro-mobility and LNG infrastructure deployment.</w:t>
      </w:r>
    </w:p>
    <w:p w:rsidR="003C43BF" w:rsidRDefault="006C3212">
      <w:pPr>
        <w:pStyle w:val="Heading3"/>
        <w:ind w:left="720"/>
        <w:rPr>
          <w:rFonts w:ascii="Times New Roman" w:hAnsi="Times New Roman" w:cs="Times New Roman"/>
          <w:noProof/>
          <w:color w:val="000000" w:themeColor="text1"/>
          <w:sz w:val="24"/>
          <w:lang w:val="en-IE"/>
        </w:rPr>
      </w:pPr>
      <w:bookmarkStart w:id="285" w:name="_Toc55301868"/>
      <w:bookmarkStart w:id="286" w:name="_Toc56944181"/>
      <w:r>
        <w:rPr>
          <w:rFonts w:ascii="Times New Roman" w:hAnsi="Times New Roman" w:cs="Times New Roman"/>
          <w:noProof/>
          <w:sz w:val="24"/>
          <w:lang w:val="en-IE"/>
        </w:rPr>
        <w:t>Overview of r</w:t>
      </w:r>
      <w:r>
        <w:rPr>
          <w:rFonts w:ascii="Times New Roman" w:hAnsi="Times New Roman" w:cs="Times New Roman"/>
          <w:noProof/>
          <w:sz w:val="24"/>
          <w:lang w:val="en-IE"/>
        </w:rPr>
        <w:t>equirements’ fulfilment from Annex I of the Directive</w:t>
      </w:r>
      <w:bookmarkEnd w:id="285"/>
      <w:bookmarkEnd w:id="286"/>
      <w:r>
        <w:rPr>
          <w:rFonts w:ascii="Times New Roman" w:hAnsi="Times New Roman" w:cs="Times New Roman"/>
          <w:noProof/>
          <w:color w:val="000000" w:themeColor="text1"/>
          <w:sz w:val="24"/>
          <w:lang w:val="en-IE"/>
        </w:rPr>
        <w:tab/>
      </w:r>
    </w:p>
    <w:p w:rsidR="003C43BF" w:rsidRDefault="006C3212">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5.11.2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01310" cy="8150860"/>
            <wp:effectExtent l="0" t="0" r="8890" b="254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1310" cy="8150860"/>
                    </a:xfrm>
                    <a:prstGeom prst="rect">
                      <a:avLst/>
                    </a:prstGeom>
                    <a:noFill/>
                  </pic:spPr>
                </pic:pic>
              </a:graphicData>
            </a:graphic>
          </wp:inline>
        </w:drawing>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checklist shows the requirements of Annex I from the Directive that are covered </w:t>
      </w:r>
      <w:r>
        <w:rPr>
          <w:rFonts w:ascii="Times New Roman" w:hAnsi="Times New Roman" w:cs="Times New Roman"/>
          <w:noProof/>
          <w:sz w:val="24"/>
          <w:lang w:val="en-IE"/>
        </w:rPr>
        <w:t>in the Croatian NIR</w:t>
      </w:r>
      <w:r>
        <w:rPr>
          <w:rFonts w:ascii="Times New Roman" w:hAnsi="Times New Roman" w:cs="Times New Roman"/>
          <w:noProof/>
          <w:color w:val="000000" w:themeColor="text1"/>
          <w:sz w:val="24"/>
          <w:lang w:val="en-IE"/>
        </w:rPr>
        <w:t>.</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HR NIR does not provide AF vehicle estimates for 2020, 2025 and 2030, and presents AFI targets only for electricity/road, CNG/road, hydrogen/road and only for 2020. Electricity is partially covered also for waterborne transport, both maritime and inlan</w:t>
      </w:r>
      <w:r>
        <w:rPr>
          <w:rFonts w:ascii="Times New Roman" w:hAnsi="Times New Roman" w:cs="Times New Roman"/>
          <w:noProof/>
          <w:sz w:val="24"/>
          <w:lang w:val="en-IE"/>
        </w:rPr>
        <w:t xml:space="preserve">d. Other combinations AF/transport mode, are either just mentioned or not reported at all. </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Croatian NIR reports a long list of legal initiatives, but provide assessable information only on around 33 measures. </w:t>
      </w:r>
      <w:r>
        <w:rPr>
          <w:rFonts w:ascii="Times New Roman" w:hAnsi="Times New Roman" w:cs="Times New Roman"/>
          <w:iCs/>
          <w:noProof/>
          <w:sz w:val="24"/>
          <w:lang w:val="en-IE"/>
        </w:rPr>
        <w:t>Under the Policy and Deployment &amp; Manufact</w:t>
      </w:r>
      <w:r>
        <w:rPr>
          <w:rFonts w:ascii="Times New Roman" w:hAnsi="Times New Roman" w:cs="Times New Roman"/>
          <w:iCs/>
          <w:noProof/>
          <w:sz w:val="24"/>
          <w:lang w:val="en-IE"/>
        </w:rPr>
        <w:t>uring sections it was possible to identify seven AF/transport mode clusters of measures, of which five were assessable.</w:t>
      </w:r>
    </w:p>
    <w:p w:rsidR="003C43BF" w:rsidRDefault="003C43BF">
      <w:pPr>
        <w:pStyle w:val="Text1"/>
        <w:tabs>
          <w:tab w:val="left" w:pos="720"/>
        </w:tabs>
        <w:ind w:left="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287" w:name="_Toc55301869"/>
      <w:bookmarkStart w:id="288" w:name="_Toc56944182"/>
      <w:r>
        <w:rPr>
          <w:rFonts w:ascii="Times New Roman" w:hAnsi="Times New Roman" w:cs="Times New Roman"/>
          <w:noProof/>
          <w:sz w:val="24"/>
          <w:lang w:val="en-IE"/>
        </w:rPr>
        <w:t>Quantitative assessment: Vehicles and infrastructure</w:t>
      </w:r>
      <w:bookmarkEnd w:id="287"/>
      <w:bookmarkEnd w:id="288"/>
      <w:r>
        <w:rPr>
          <w:rFonts w:ascii="Times New Roman" w:hAnsi="Times New Roman" w:cs="Times New Roman"/>
          <w:noProof/>
          <w:sz w:val="24"/>
          <w:lang w:val="en-IE"/>
        </w:rPr>
        <w:t xml:space="preserve"> </w:t>
      </w:r>
    </w:p>
    <w:p w:rsidR="003C43BF" w:rsidRDefault="006C3212">
      <w:pPr>
        <w:pStyle w:val="Caption"/>
        <w:keepNext/>
        <w:jc w:val="both"/>
        <w:rPr>
          <w:rFonts w:ascii="Times New Roman" w:hAnsi="Times New Roman" w:cs="Times New Roman"/>
          <w:b w:val="0"/>
          <w:i/>
          <w:noProof/>
          <w:sz w:val="20"/>
          <w:szCs w:val="18"/>
          <w:lang w:val="en-IE"/>
        </w:rPr>
      </w:pPr>
      <w:bookmarkStart w:id="289" w:name="_Ref52819381"/>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5.11.3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289"/>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 xml:space="preserve">National AFV estimates and AFI targets established in the NIR at the horizon 2020, 2025 and 2030 and their comparison with the NPF situation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3600" cy="653849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6538491"/>
                    </a:xfrm>
                    <a:prstGeom prst="rect">
                      <a:avLst/>
                    </a:prstGeom>
                    <a:noFill/>
                    <a:ln>
                      <a:noFill/>
                    </a:ln>
                  </pic:spPr>
                </pic:pic>
              </a:graphicData>
            </a:graphic>
          </wp:inline>
        </w:drawing>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3630304" cy="437362"/>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r>
        <w:rPr>
          <w:rFonts w:ascii="Times New Roman" w:hAnsi="Times New Roman" w:cs="Times New Roman"/>
          <w:noProof/>
          <w:color w:val="000000" w:themeColor="text1"/>
          <w:sz w:val="24"/>
          <w:lang w:val="en-IE"/>
        </w:rPr>
        <w:br/>
      </w:r>
    </w:p>
    <w:p w:rsidR="003C43BF" w:rsidRDefault="003C43BF">
      <w:pPr>
        <w:pStyle w:val="Text1"/>
        <w:tabs>
          <w:tab w:val="left" w:pos="720"/>
        </w:tabs>
        <w:ind w:left="0"/>
        <w:jc w:val="both"/>
        <w:rPr>
          <w:rFonts w:ascii="Times New Roman" w:hAnsi="Times New Roman" w:cs="Times New Roman"/>
          <w:noProof/>
          <w:color w:val="000000" w:themeColor="text1"/>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Bdr>
          <w:top w:val="single" w:sz="4" w:space="1" w:color="auto"/>
          <w:left w:val="single" w:sz="4" w:space="4" w:color="auto"/>
          <w:bottom w:val="single" w:sz="4" w:space="1" w:color="auto"/>
          <w:right w:val="single" w:sz="4" w:space="4" w:color="auto"/>
        </w:pBdr>
        <w:jc w:val="both"/>
        <w:rPr>
          <w:rFonts w:ascii="Times New Roman" w:hAnsi="Times New Roman" w:cs="Times New Roman"/>
          <w:bCs/>
          <w:noProof/>
          <w:sz w:val="24"/>
          <w:lang w:val="en-IE"/>
        </w:rPr>
      </w:pPr>
      <w:r>
        <w:rPr>
          <w:rFonts w:ascii="Times New Roman" w:hAnsi="Times New Roman" w:cs="Times New Roman"/>
          <w:bCs/>
          <w:noProof/>
          <w:sz w:val="24"/>
          <w:lang w:val="en-IE"/>
        </w:rPr>
        <w:t>The Croatian NIR provides no vehicle estimates for the next decade and, concerning infrastruc</w:t>
      </w:r>
      <w:r>
        <w:rPr>
          <w:rFonts w:ascii="Times New Roman" w:hAnsi="Times New Roman" w:cs="Times New Roman"/>
          <w:bCs/>
          <w:noProof/>
          <w:sz w:val="24"/>
          <w:lang w:val="en-IE"/>
        </w:rPr>
        <w:t>ture, it presents quantitative AFI targets for electricity CNG, LNG and hydrogen only for the year 2020.</w:t>
      </w:r>
      <w:r>
        <w:rPr>
          <w:rFonts w:ascii="Times New Roman" w:hAnsi="Times New Roman" w:cs="Times New Roman"/>
          <w:noProof/>
          <w:sz w:val="24"/>
          <w:lang w:val="en-IE"/>
        </w:rPr>
        <w:t xml:space="preserve"> </w:t>
      </w:r>
    </w:p>
    <w:p w:rsidR="003C43BF" w:rsidRDefault="006C3212">
      <w:pPr>
        <w:pBdr>
          <w:top w:val="single" w:sz="4" w:space="1" w:color="auto"/>
          <w:left w:val="single" w:sz="4" w:space="4" w:color="auto"/>
          <w:bottom w:val="single" w:sz="4" w:space="1" w:color="auto"/>
          <w:right w:val="single" w:sz="4" w:space="4" w:color="auto"/>
        </w:pBdr>
        <w:jc w:val="both"/>
        <w:rPr>
          <w:rStyle w:val="Heading4Char"/>
          <w:rFonts w:ascii="Times New Roman" w:hAnsi="Times New Roman" w:cs="Times New Roman"/>
          <w:i/>
          <w:iCs/>
          <w:noProof/>
          <w:sz w:val="24"/>
          <w:lang w:val="en-IE"/>
        </w:rPr>
      </w:pPr>
      <w:r>
        <w:rPr>
          <w:rFonts w:ascii="Times New Roman" w:hAnsi="Times New Roman" w:cs="Times New Roman"/>
          <w:noProof/>
          <w:sz w:val="24"/>
          <w:lang w:val="en-IE"/>
        </w:rPr>
        <w:t>The HR NIR states that Croatia had set aside a dedicated budget until 2030 in order to reach the minimum share of AF vehicles, which is 1% of all vehicles registered. This includes vehicles powered by electricity, CNG/CBG, LNG/LBG and hydrogen, and the fun</w:t>
      </w:r>
      <w:r>
        <w:rPr>
          <w:rFonts w:ascii="Times New Roman" w:hAnsi="Times New Roman" w:cs="Times New Roman"/>
          <w:noProof/>
          <w:sz w:val="24"/>
          <w:lang w:val="en-IE"/>
        </w:rPr>
        <w:t xml:space="preserve">ds to reach the goal will be distributed by co-financing mechanisms.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Croatia recorded 792 battery-electric and plug-in hybrid electric vehicles in use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_Ref52819381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5.11.3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693 were passenger cars, 96 LCVs and 3 battery-electric buses and coaches. There are no electric HCVs recorded in Croatia in 2018. Similarly to the NPF, the Croatian NIR does not pr</w:t>
      </w:r>
      <w:r>
        <w:rPr>
          <w:rFonts w:ascii="Times New Roman" w:hAnsi="Times New Roman" w:cs="Times New Roman"/>
          <w:noProof/>
          <w:sz w:val="24"/>
          <w:lang w:val="en-IE"/>
        </w:rPr>
        <w:t>ovide EV estimates for any vehicle category for 2020, 2025 or 2030. The EV numbers available for 2016, 2017 and 2018 show a moderate positive trend in the new EVs in the national fleet mix, however, still very low compared to the overall fleet, with only 0</w:t>
      </w:r>
      <w:r>
        <w:rPr>
          <w:rFonts w:ascii="Times New Roman" w:hAnsi="Times New Roman" w:cs="Times New Roman"/>
          <w:noProof/>
          <w:sz w:val="24"/>
          <w:lang w:val="en-IE"/>
        </w:rPr>
        <w:t xml:space="preserve">.04% in 2018.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the NIR did not provide future vehicle estimates,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Croatia recorded 315 public recharging points in 2018 (Table 2), of which 45 normal power (≤22kW) and 270 high power</w:t>
      </w:r>
      <w:r>
        <w:rPr>
          <w:rFonts w:ascii="Times New Roman" w:hAnsi="Times New Roman" w:cs="Times New Roman"/>
          <w:noProof/>
          <w:sz w:val="24"/>
          <w:lang w:val="en-IE"/>
        </w:rPr>
        <w:t xml:space="preserve"> (&gt;22kW) recharging points (&gt;22kW). This is more than the NPF target of 296 for 2020. The new NIR target of 515 publicly accessible recharging points for 2020 is almost 74% higher than the NPF target. While the NPF had set targets for both 2025 and 2030, w</w:t>
      </w:r>
      <w:r>
        <w:rPr>
          <w:rFonts w:ascii="Times New Roman" w:hAnsi="Times New Roman" w:cs="Times New Roman"/>
          <w:noProof/>
          <w:sz w:val="24"/>
          <w:lang w:val="en-IE"/>
        </w:rPr>
        <w:t>hich were 602 and 806 public recharging points respectively, the NIR does not state 2025 and 2030 targets.</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public recharging infrastructure targets is 61.17% for 2020. According to the assessment methodology described in Section 2.1, the 2018 situation corresponds to a </w:t>
      </w:r>
      <w:r>
        <w:rPr>
          <w:rFonts w:ascii="Times New Roman" w:hAnsi="Times New Roman" w:cs="Times New Roman"/>
          <w:b/>
          <w:i/>
          <w:iCs/>
          <w:noProof/>
          <w:sz w:val="24"/>
          <w:lang w:val="en-IE"/>
        </w:rPr>
        <w:t>fast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w:t>
      </w:r>
      <w:r>
        <w:rPr>
          <w:rFonts w:ascii="Times New Roman" w:hAnsi="Times New Roman" w:cs="Times New Roman"/>
          <w:b/>
          <w:i/>
          <w:iCs/>
          <w:noProof/>
          <w:color w:val="000000" w:themeColor="text1"/>
          <w:sz w:val="24"/>
          <w:lang w:val="en-IE"/>
        </w:rPr>
        <w:t>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Croatia is equal to</w:t>
      </w:r>
      <w:r>
        <w:rPr>
          <w:rFonts w:ascii="Times New Roman" w:hAnsi="Times New Roman" w:cs="Times New Roman"/>
          <w:iCs/>
          <w:noProof/>
          <w:sz w:val="24"/>
          <w:lang w:val="en-IE"/>
        </w:rPr>
        <w:t xml:space="preserve"> 54%.</w:t>
      </w:r>
    </w:p>
    <w:p w:rsidR="003C43BF" w:rsidRDefault="006C3212">
      <w:pPr>
        <w:pStyle w:val="Heading6"/>
        <w:numPr>
          <w:ilvl w:val="0"/>
          <w:numId w:val="0"/>
        </w:numPr>
        <w:rPr>
          <w:rFonts w:ascii="Times New Roman" w:hAnsi="Times New Roman" w:cs="Times New Roman"/>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HR NIR, the following table shows the ratio between vehicles and publicly accessible re</w:t>
      </w:r>
      <w:r>
        <w:rPr>
          <w:rFonts w:ascii="Times New Roman" w:hAnsi="Times New Roman" w:cs="Times New Roman"/>
          <w:noProof/>
          <w:sz w:val="24"/>
          <w:lang w:val="en-IE"/>
        </w:rPr>
        <w:t>charging points (i.e. sufficiency index) for the pair electricity/road. Since there are no estimates provided for the future, the sufficiency index could only be computed for the 2016 - 2018 period. It is considered adequate since it is inferior to the thr</w:t>
      </w:r>
      <w:r>
        <w:rPr>
          <w:rFonts w:ascii="Times New Roman" w:hAnsi="Times New Roman" w:cs="Times New Roman"/>
          <w:noProof/>
          <w:sz w:val="24"/>
          <w:lang w:val="en-IE"/>
        </w:rPr>
        <w:t>eshold value of 10.</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97450" cy="495300"/>
            <wp:effectExtent l="0" t="0" r="0" b="0"/>
            <wp:docPr id="20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97450" cy="495300"/>
                    </a:xfrm>
                    <a:prstGeom prst="rect">
                      <a:avLst/>
                    </a:prstGeom>
                    <a:noFill/>
                    <a:ln>
                      <a:noFill/>
                    </a:ln>
                  </pic:spPr>
                </pic:pic>
              </a:graphicData>
            </a:graphic>
          </wp:inline>
        </w:drawing>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HR NIR.</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Croatia reported 338 CNG vehicles in use in 2018, of which 133 were passenger cars, 96 LCVs, 9 HCVs and 100 buses and coaches. As in the NPF, there are no estimates in the HR NIR for 2020, 2025 and 2030 on CNG vehicles. For this reason,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Croatian NIR indicates that two publicly accessible CNG refuelling points were in use in 2018. The NPF had CNG AFI targets for 2020 and 2025, while the HR NIR shows only the 2020 target (three public</w:t>
      </w:r>
      <w:r>
        <w:rPr>
          <w:rFonts w:ascii="Times New Roman" w:hAnsi="Times New Roman" w:cs="Times New Roman"/>
          <w:noProof/>
          <w:sz w:val="24"/>
          <w:lang w:val="en-IE"/>
        </w:rPr>
        <w:t xml:space="preserve">ly accessible CNG refuelling points for 2020, which is nearly 77%% lower than in the NPF, plus two private) but no targets for 2025 or 2030, thus reflecting a decreased ambition. </w:t>
      </w:r>
    </w:p>
    <w:p w:rsidR="003C43BF" w:rsidRDefault="006C3212">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future public CNG refuelling infrastructure targets i</w:t>
      </w:r>
      <w:r>
        <w:rPr>
          <w:rFonts w:ascii="Times New Roman" w:hAnsi="Times New Roman" w:cs="Times New Roman"/>
          <w:iCs/>
          <w:noProof/>
          <w:sz w:val="24"/>
          <w:lang w:val="en-IE"/>
        </w:rPr>
        <w:t xml:space="preserve">s 66.67% for 2020. According to the assessment methodology described in Section 2.1, the 2018 level of </w:t>
      </w:r>
      <w:r>
        <w:rPr>
          <w:rFonts w:ascii="Times New Roman" w:hAnsi="Times New Roman" w:cs="Times New Roman"/>
          <w:b/>
          <w:i/>
          <w:iCs/>
          <w:noProof/>
          <w:sz w:val="24"/>
          <w:lang w:val="en-IE"/>
        </w:rPr>
        <w:t xml:space="preserve">progress </w:t>
      </w:r>
      <w:r>
        <w:rPr>
          <w:rFonts w:ascii="Times New Roman" w:hAnsi="Times New Roman" w:cs="Times New Roman"/>
          <w:iCs/>
          <w:noProof/>
          <w:sz w:val="24"/>
          <w:lang w:val="en-IE"/>
        </w:rPr>
        <w:t xml:space="preserve">cannot be evaluated, because the future 2020 target is only one unit above the number of CNG refuelling points in 2016. The calculated </w:t>
      </w:r>
      <w:r>
        <w:rPr>
          <w:rFonts w:ascii="Times New Roman" w:hAnsi="Times New Roman" w:cs="Times New Roman"/>
          <w:b/>
          <w:i/>
          <w:iCs/>
          <w:noProof/>
          <w:color w:val="000000" w:themeColor="text1"/>
          <w:sz w:val="24"/>
          <w:lang w:val="en-IE"/>
        </w:rPr>
        <w:t>average a</w:t>
      </w:r>
      <w:r>
        <w:rPr>
          <w:rFonts w:ascii="Times New Roman" w:hAnsi="Times New Roman" w:cs="Times New Roman"/>
          <w:b/>
          <w:i/>
          <w:iCs/>
          <w:noProof/>
          <w:color w:val="000000" w:themeColor="text1"/>
          <w:sz w:val="24"/>
          <w:lang w:val="en-IE"/>
        </w:rPr>
        <w:t>nnual growth rate</w:t>
      </w:r>
      <w:r>
        <w:rPr>
          <w:rFonts w:ascii="Times New Roman" w:hAnsi="Times New Roman" w:cs="Times New Roman"/>
          <w:iCs/>
          <w:noProof/>
          <w:color w:val="000000" w:themeColor="text1"/>
          <w:sz w:val="24"/>
          <w:lang w:val="en-IE"/>
        </w:rPr>
        <w:t xml:space="preserve"> corresponding to the period 2016-2020 for publicly accessible CNG refuelling infrastructure evolution planned by Croatia is equal to</w:t>
      </w:r>
      <w:r>
        <w:rPr>
          <w:rFonts w:ascii="Times New Roman" w:hAnsi="Times New Roman" w:cs="Times New Roman"/>
          <w:iCs/>
          <w:noProof/>
          <w:sz w:val="24"/>
          <w:lang w:val="en-IE"/>
        </w:rPr>
        <w:t xml:space="preserve"> 11%.</w:t>
      </w:r>
      <w:r>
        <w:rPr>
          <w:rFonts w:ascii="Times New Roman" w:hAnsi="Times New Roman" w:cs="Times New Roman"/>
          <w:noProof/>
          <w:sz w:val="28"/>
          <w:szCs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Croatian NIR, the following table shows the ratio between vehicles and publicly </w:t>
      </w:r>
      <w:r>
        <w:rPr>
          <w:rFonts w:ascii="Times New Roman" w:hAnsi="Times New Roman" w:cs="Times New Roman"/>
          <w:noProof/>
          <w:sz w:val="24"/>
          <w:lang w:val="en-IE"/>
        </w:rPr>
        <w:t>accessible refuelling points (i.e. sufficiency index) for the pair CNG/road. Since there are no estimates provided for the future, only 2016-2018 sufficiency index can be calculated, and it is considered adequate since it is inferior to the indicative valu</w:t>
      </w:r>
      <w:r>
        <w:rPr>
          <w:rFonts w:ascii="Times New Roman" w:hAnsi="Times New Roman" w:cs="Times New Roman"/>
          <w:noProof/>
          <w:sz w:val="24"/>
          <w:lang w:val="en-IE"/>
        </w:rPr>
        <w:t>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97450" cy="387350"/>
            <wp:effectExtent l="0" t="0" r="0" b="0"/>
            <wp:docPr id="2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97450" cy="387350"/>
                    </a:xfrm>
                    <a:prstGeom prst="rect">
                      <a:avLst/>
                    </a:prstGeom>
                    <a:noFill/>
                    <a:ln>
                      <a:noFill/>
                    </a:ln>
                  </pic:spPr>
                </pic:pic>
              </a:graphicData>
            </a:graphic>
          </wp:inline>
        </w:drawing>
      </w:r>
    </w:p>
    <w:p w:rsidR="003C43BF" w:rsidRDefault="003C43BF">
      <w:pPr>
        <w:tabs>
          <w:tab w:val="left" w:pos="360"/>
        </w:tabs>
        <w:spacing w:after="120" w:line="240" w:lineRule="auto"/>
        <w:jc w:val="both"/>
        <w:rPr>
          <w:rFonts w:ascii="Times New Roman" w:hAnsi="Times New Roman" w:cs="Times New Roman"/>
          <w:noProof/>
          <w:color w:val="000000" w:themeColor="text1"/>
          <w:sz w:val="28"/>
          <w:szCs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Croatian NPF, there is no information provided about LNG vehicles in the Croatian NIR.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Croatian NIR provides no information about 2016 to 2018 public refuelling points but presents a target of one LNG refuelling station for 2020. This represents a different scenario compared to the NPF that had not provided a target for 2020, but had pro</w:t>
      </w:r>
      <w:r>
        <w:rPr>
          <w:rFonts w:ascii="Times New Roman" w:hAnsi="Times New Roman" w:cs="Times New Roman"/>
          <w:noProof/>
          <w:sz w:val="24"/>
          <w:lang w:val="en-IE"/>
        </w:rPr>
        <w:t xml:space="preserve">vided targets for 2025 and 2030, of two and seven LNG refuelling points respectively, with a possibility of increasing facilities if a higher demand was present.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at the end of 2018 there are no road LNG refuelling points deployed</w:t>
      </w:r>
      <w:r>
        <w:rPr>
          <w:rFonts w:ascii="Times New Roman" w:hAnsi="Times New Roman" w:cs="Times New Roman"/>
          <w:noProof/>
          <w:sz w:val="24"/>
          <w:lang w:val="en-IE"/>
        </w:rPr>
        <w:t xml:space="preserve">, the 2018 </w:t>
      </w:r>
      <w:r>
        <w:rPr>
          <w:rFonts w:ascii="Times New Roman" w:hAnsi="Times New Roman" w:cs="Times New Roman"/>
          <w:b/>
          <w:i/>
          <w:iCs/>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iCs/>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there are no LNG vehicles in the HR NIR, either recorded or estimated, it is not possible to compute the sufficiency index.</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There were no hydrogen vehicles recorded in Croatia in</w:t>
      </w:r>
      <w:r>
        <w:rPr>
          <w:rFonts w:ascii="Times New Roman" w:hAnsi="Times New Roman" w:cs="Times New Roman"/>
          <w:noProof/>
          <w:sz w:val="24"/>
          <w:lang w:val="en-IE"/>
        </w:rPr>
        <w:t xml:space="preserve"> 2018. The Croatian NIR mentions that for 2030 all AF vehicles will reach at least 1% of the total fleet, including vehicles running on hydrogen. In relation to this goal, the Croatian NIR clarifies that no concrete actions have yet been taken specifically</w:t>
      </w:r>
      <w:r>
        <w:rPr>
          <w:rFonts w:ascii="Times New Roman" w:hAnsi="Times New Roman" w:cs="Times New Roman"/>
          <w:noProof/>
          <w:sz w:val="24"/>
          <w:lang w:val="en-IE"/>
        </w:rPr>
        <w:t xml:space="preserve"> on hydrogen vehicles. For this reason,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bCs/>
          <w:noProof/>
          <w:sz w:val="24"/>
          <w:lang w:val="en-IE"/>
        </w:rPr>
        <w:t>The Croatian NIR reports one publicly accessible hydrogen refuelling point in use in 2018. The target for 2020 is equal to two, while no 2025 or</w:t>
      </w:r>
      <w:r>
        <w:rPr>
          <w:rFonts w:ascii="Times New Roman" w:hAnsi="Times New Roman" w:cs="Times New Roman"/>
          <w:bCs/>
          <w:noProof/>
          <w:sz w:val="24"/>
          <w:lang w:val="en-IE"/>
        </w:rPr>
        <w:t xml:space="preserve"> 2030 targets are provided. The NPF had not provided targets for 2020 or 2025, however it had provided a target for 2030, which could have been 1 or 2, depending on the demand. </w:t>
      </w:r>
    </w:p>
    <w:p w:rsidR="003C43BF" w:rsidRDefault="006C3212">
      <w:pPr>
        <w:tabs>
          <w:tab w:val="left" w:pos="360"/>
        </w:tabs>
        <w:spacing w:after="120"/>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publicly accessible hydrogen refuelling infrastructure targets is 50% for 2020. </w:t>
      </w:r>
      <w:r>
        <w:rPr>
          <w:rFonts w:ascii="Times New Roman" w:hAnsi="Times New Roman" w:cs="Times New Roman"/>
          <w:noProof/>
          <w:color w:val="000000" w:themeColor="text1"/>
          <w:sz w:val="24"/>
          <w:shd w:val="clear" w:color="auto" w:fill="FFFFFF"/>
          <w:lang w:val="en-IE"/>
        </w:rPr>
        <w:t>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obtained by Croatia for publicly accessible hydrogen refuelling infrastructure deployme</w:t>
      </w:r>
      <w:r>
        <w:rPr>
          <w:rFonts w:ascii="Times New Roman" w:hAnsi="Times New Roman" w:cs="Times New Roman"/>
          <w:noProof/>
          <w:color w:val="000000" w:themeColor="text1"/>
          <w:sz w:val="24"/>
          <w:shd w:val="clear" w:color="auto" w:fill="FFFFFF"/>
          <w:lang w:val="en-IE"/>
        </w:rPr>
        <w:t>nt from 2016 until 2018 versus the period 2016-2030 could not be computed because the 2030 target is not provided.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there are no hydrogen vehicles in the HR NIR, either recorded or estimated, it was not possible to compute the sufficiency index.</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creation of a plan to develop the market for biofuels until 2030 affecting both AFI and AFV has been announced, and a significant effort in the research of third generation biofuels is noted.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Croa</w:t>
      </w:r>
      <w:r>
        <w:rPr>
          <w:rFonts w:ascii="Times New Roman" w:hAnsi="Times New Roman" w:cs="Times New Roman"/>
          <w:noProof/>
          <w:sz w:val="24"/>
          <w:lang w:val="en-IE"/>
        </w:rPr>
        <w:t xml:space="preserve">tian NIR.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Croatian NIR.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Croatia reported 61,558 LPG vehicles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_Ref52819381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5.11.3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60,527 were passenger cars and 1,031 LCVs. There are not future estimates for the LPG vehicles. The HR NIR does not mention LPG as a desirable AF in the national fuel mix by the yea</w:t>
      </w:r>
      <w:r>
        <w:rPr>
          <w:rFonts w:ascii="Times New Roman" w:hAnsi="Times New Roman" w:cs="Times New Roman"/>
          <w:noProof/>
          <w:sz w:val="24"/>
          <w:lang w:val="en-IE"/>
        </w:rPr>
        <w:t>r 2030.</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Due to the lack of future estimates, the 2018 </w:t>
      </w:r>
      <w:r>
        <w:rPr>
          <w:rFonts w:ascii="Times New Roman" w:hAnsi="Times New Roman" w:cs="Times New Roman"/>
          <w:b/>
          <w:i/>
          <w:noProof/>
          <w:sz w:val="24"/>
          <w:lang w:val="en-IE"/>
        </w:rPr>
        <w:t xml:space="preserve">progress </w:t>
      </w:r>
      <w:r>
        <w:rPr>
          <w:rFonts w:ascii="Times New Roman" w:hAnsi="Times New Roman" w:cs="Times New Roman"/>
          <w:noProof/>
          <w:sz w:val="24"/>
          <w:lang w:val="en-IE"/>
        </w:rPr>
        <w:t xml:space="preserve">and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Croatia reported 557 publicly accessible LPG refuelling points in use in 2018. No future targets are provided in terms of publicly accessible LPG refuelling points and, therefore, the 2018 </w:t>
      </w:r>
      <w:r>
        <w:rPr>
          <w:rFonts w:ascii="Times New Roman" w:hAnsi="Times New Roman" w:cs="Times New Roman"/>
          <w:b/>
          <w:i/>
          <w:noProof/>
          <w:sz w:val="24"/>
          <w:lang w:val="en-IE"/>
        </w:rPr>
        <w:t xml:space="preserve">progress </w:t>
      </w:r>
      <w:r>
        <w:rPr>
          <w:rFonts w:ascii="Times New Roman" w:hAnsi="Times New Roman" w:cs="Times New Roman"/>
          <w:noProof/>
          <w:sz w:val="24"/>
          <w:lang w:val="en-IE"/>
        </w:rPr>
        <w:t xml:space="preserve">and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could not be computed. The HR NIR does not </w:t>
      </w:r>
      <w:r>
        <w:rPr>
          <w:rFonts w:ascii="Times New Roman" w:hAnsi="Times New Roman" w:cs="Times New Roman"/>
          <w:noProof/>
          <w:sz w:val="24"/>
          <w:lang w:val="en-IE"/>
        </w:rPr>
        <w:t xml:space="preserve">mention LPG as a desirable AF in the national fuel mix by 2030.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HR NIR, the following table shows the ratio between vehicles and </w:t>
      </w:r>
      <w:r>
        <w:rPr>
          <w:rFonts w:ascii="Times New Roman" w:hAnsi="Times New Roman" w:cs="Times New Roman"/>
          <w:iCs/>
          <w:noProof/>
          <w:color w:val="000000" w:themeColor="text1"/>
          <w:sz w:val="24"/>
          <w:lang w:val="en-IE"/>
        </w:rPr>
        <w:t>publicly accessible refuelling points</w:t>
      </w:r>
      <w:r>
        <w:rPr>
          <w:rFonts w:ascii="Times New Roman" w:hAnsi="Times New Roman" w:cs="Times New Roman"/>
          <w:noProof/>
          <w:sz w:val="24"/>
          <w:lang w:val="en-IE"/>
        </w:rPr>
        <w:t xml:space="preserve"> (i.e. sufficiency index) for the pair LPG/road. The sufficiency index</w:t>
      </w:r>
      <w:r>
        <w:rPr>
          <w:rFonts w:ascii="Times New Roman" w:hAnsi="Times New Roman" w:cs="Times New Roman"/>
          <w:noProof/>
          <w:sz w:val="24"/>
          <w:lang w:val="en-IE"/>
        </w:rPr>
        <w:t xml:space="preserve"> could only be computed for 2018.</w:t>
      </w:r>
    </w:p>
    <w:tbl>
      <w:tblPr>
        <w:tblW w:w="7800" w:type="dxa"/>
        <w:tblLook w:val="04A0" w:firstRow="1" w:lastRow="0" w:firstColumn="1" w:lastColumn="0" w:noHBand="0" w:noVBand="1"/>
      </w:tblPr>
      <w:tblGrid>
        <w:gridCol w:w="764"/>
        <w:gridCol w:w="1342"/>
        <w:gridCol w:w="963"/>
        <w:gridCol w:w="944"/>
        <w:gridCol w:w="955"/>
        <w:gridCol w:w="944"/>
        <w:gridCol w:w="944"/>
        <w:gridCol w:w="944"/>
      </w:tblGrid>
      <w:tr w:rsidR="003C43BF">
        <w:trPr>
          <w:trHeight w:val="300"/>
        </w:trPr>
        <w:tc>
          <w:tcPr>
            <w:tcW w:w="20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Sufficiency Index</w:t>
            </w:r>
          </w:p>
        </w:tc>
        <w:tc>
          <w:tcPr>
            <w:tcW w:w="98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2016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2017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2018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2025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2030</w:t>
            </w:r>
          </w:p>
        </w:tc>
      </w:tr>
      <w:tr w:rsidR="003C43BF">
        <w:trPr>
          <w:trHeight w:val="300"/>
        </w:trPr>
        <w:tc>
          <w:tcPr>
            <w:tcW w:w="638" w:type="dxa"/>
            <w:tcBorders>
              <w:top w:val="nil"/>
              <w:left w:val="single" w:sz="8" w:space="0" w:color="auto"/>
              <w:bottom w:val="single" w:sz="8" w:space="0" w:color="auto"/>
              <w:right w:val="single" w:sz="8" w:space="0" w:color="auto"/>
            </w:tcBorders>
            <w:shd w:val="clear" w:color="auto" w:fill="auto"/>
            <w:noWrap/>
            <w:vAlign w:val="bottom"/>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Road</w:t>
            </w:r>
          </w:p>
        </w:tc>
        <w:tc>
          <w:tcPr>
            <w:tcW w:w="1382"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LPG</w:t>
            </w:r>
          </w:p>
        </w:tc>
        <w:tc>
          <w:tcPr>
            <w:tcW w:w="98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110.52</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 </w:t>
            </w:r>
          </w:p>
        </w:tc>
      </w:tr>
    </w:tbl>
    <w:p w:rsidR="003C43BF" w:rsidRDefault="003C43BF">
      <w:pPr>
        <w:tabs>
          <w:tab w:val="left" w:pos="360"/>
        </w:tabs>
        <w:spacing w:after="120" w:line="240" w:lineRule="auto"/>
        <w:jc w:val="both"/>
        <w:rPr>
          <w:rFonts w:ascii="Times New Roman" w:hAnsi="Times New Roman" w:cs="Times New Roman"/>
          <w:noProof/>
          <w:color w:val="000000" w:themeColor="text1"/>
          <w:sz w:val="28"/>
          <w:szCs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Croatian NIR.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Croatian NIR. </w:t>
      </w:r>
    </w:p>
    <w:p w:rsidR="003C43BF" w:rsidRDefault="003C43BF">
      <w:pPr>
        <w:tabs>
          <w:tab w:val="left" w:pos="360"/>
        </w:tabs>
        <w:jc w:val="both"/>
        <w:rPr>
          <w:rFonts w:ascii="Times New Roman" w:hAnsi="Times New Roman" w:cs="Times New Roman"/>
          <w:noProof/>
          <w:color w:val="000000" w:themeColor="text1"/>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No specific AF vessels estimates are provided for the future years, however a dedicated measure implies the conversion of obsolete fossil fuel vessels to different AF </w:t>
      </w:r>
      <w:r>
        <w:rPr>
          <w:rFonts w:ascii="Times New Roman" w:hAnsi="Times New Roman" w:cs="Times New Roman"/>
          <w:noProof/>
          <w:sz w:val="24"/>
          <w:lang w:val="en-IE"/>
        </w:rPr>
        <w:t>propulsion systems both in maritime and inland waterways by 2030.</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HR NIR reported one electric seagoing ship in 2018. Similarly to the NPF, the NIR does not provide any specific numerical estimates for the next decade.</w:t>
      </w:r>
    </w:p>
    <w:p w:rsidR="003C43BF" w:rsidRDefault="003C43BF">
      <w:pPr>
        <w:jc w:val="both"/>
        <w:rPr>
          <w:rFonts w:ascii="Times New Roman" w:hAnsi="Times New Roman" w:cs="Times New Roman"/>
          <w:noProof/>
          <w:sz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w:t>
      </w:r>
      <w:r>
        <w:rPr>
          <w:rStyle w:val="Heading4Char"/>
          <w:rFonts w:ascii="Times New Roman" w:hAnsi="Times New Roman" w:cs="Times New Roman"/>
          <w:noProof/>
          <w:sz w:val="24"/>
          <w:lang w:val="en-IE"/>
        </w:rPr>
        <w:t>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Croatian NIR. The NPF had provided a target of three shore-sided electricity supplies for seagoing ships in maritime ports by 2025, but this is absent in the HR NIR.</w:t>
      </w:r>
    </w:p>
    <w:p w:rsidR="003C43BF" w:rsidRDefault="003C43BF">
      <w:pPr>
        <w:tabs>
          <w:tab w:val="left" w:pos="360"/>
        </w:tabs>
        <w:jc w:val="both"/>
        <w:rPr>
          <w:rFonts w:ascii="Times New Roman" w:hAnsi="Times New Roman" w:cs="Times New Roman"/>
          <w:iCs/>
          <w:noProof/>
          <w:color w:val="000000" w:themeColor="text1"/>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Cr</w:t>
      </w:r>
      <w:r>
        <w:rPr>
          <w:rFonts w:ascii="Times New Roman" w:hAnsi="Times New Roman" w:cs="Times New Roman"/>
          <w:noProof/>
          <w:sz w:val="24"/>
          <w:lang w:val="en-IE"/>
        </w:rPr>
        <w:t xml:space="preserve">oatian NIR.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The Croatian NIR explains that the LNG terminal mentioned earlier under the road/LNG section and targeted for 2020, will be used by both maritime and road transport. The NPF had presented a target of one refuelling point for 2025 and seven for 2030, but th</w:t>
      </w:r>
      <w:r>
        <w:rPr>
          <w:rFonts w:ascii="Times New Roman" w:hAnsi="Times New Roman" w:cs="Times New Roman"/>
          <w:noProof/>
          <w:sz w:val="24"/>
          <w:lang w:val="en-IE"/>
        </w:rPr>
        <w:t xml:space="preserve">e NIR does not provide confirmation of this plan. </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As already mentioned in Section 5.11.3.3, the HR NIR mentions a dedicated measure concerning the conversion of obsolete fossil fuel vessels to different AF propul</w:t>
      </w:r>
      <w:r>
        <w:rPr>
          <w:rFonts w:ascii="Times New Roman" w:hAnsi="Times New Roman" w:cs="Times New Roman"/>
          <w:noProof/>
          <w:sz w:val="24"/>
          <w:lang w:val="en-IE"/>
        </w:rPr>
        <w:t>sion systems both in maritime and inland waterways by 2030.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Croatia reported two electric vessels in 2018, used for touristic purposes in inland waterborne transport. No specific estimates are provided for the future years.</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HR NI</w:t>
      </w:r>
      <w:r>
        <w:rPr>
          <w:rFonts w:ascii="Times New Roman" w:hAnsi="Times New Roman" w:cs="Times New Roman"/>
          <w:noProof/>
          <w:sz w:val="24"/>
          <w:lang w:val="en-IE"/>
        </w:rPr>
        <w:t>R does not state any current numbers or future targets regarding shore-side electricity supply. The NPF had reported two shore-side electricity supplies in inland ports in 2016, and a target of four for 2020, bur these numbers have not been confirmed in th</w:t>
      </w:r>
      <w:r>
        <w:rPr>
          <w:rFonts w:ascii="Times New Roman" w:hAnsi="Times New Roman" w:cs="Times New Roman"/>
          <w:noProof/>
          <w:sz w:val="24"/>
          <w:lang w:val="en-IE"/>
        </w:rPr>
        <w:t xml:space="preserve">e HR NIR.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Croatian NIR.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The NPF had presented a target of two refuelling points for 2030, but the NIR does not provide confirmation of this plan. </w:t>
      </w:r>
    </w:p>
    <w:p w:rsidR="003C43BF" w:rsidRDefault="003C43BF">
      <w:pPr>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r>
        <w:rPr>
          <w:rStyle w:val="Heading4Char"/>
          <w:rFonts w:ascii="Times New Roman" w:hAnsi="Times New Roman" w:cs="Times New Roman"/>
          <w:i/>
          <w:iCs/>
          <w:noProof/>
          <w:sz w:val="24"/>
          <w:lang w:val="en-IE"/>
        </w:rPr>
        <w:t xml:space="preserve">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No specific information on electric airplanes/infrastructure was found in the Croatian NIR.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Croatian NIR does not provide specific information related to the use of biofuels in aviation.</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290" w:name="_Toc55301870"/>
      <w:bookmarkStart w:id="291" w:name="_Toc56944183"/>
      <w:r>
        <w:rPr>
          <w:rFonts w:ascii="Times New Roman" w:hAnsi="Times New Roman" w:cs="Times New Roman"/>
          <w:noProof/>
          <w:sz w:val="24"/>
          <w:lang w:val="en-IE"/>
        </w:rPr>
        <w:t>Measures assessment</w:t>
      </w:r>
      <w:bookmarkEnd w:id="290"/>
      <w:bookmarkEnd w:id="291"/>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Croatian NIR provides a portf</w:t>
      </w:r>
      <w:r>
        <w:rPr>
          <w:rFonts w:ascii="Times New Roman" w:hAnsi="Times New Roman" w:cs="Times New Roman"/>
          <w:noProof/>
          <w:sz w:val="24"/>
          <w:lang w:val="en-IE"/>
        </w:rPr>
        <w:t xml:space="preserve">olio of measures with a long list of legal initiatives, addressing different modes of transport and all the major alternative fuels to a certain degree. </w:t>
      </w:r>
      <w:r>
        <w:rPr>
          <w:rFonts w:ascii="Times New Roman" w:hAnsi="Times New Roman" w:cs="Times New Roman"/>
          <w:iCs/>
          <w:noProof/>
          <w:sz w:val="24"/>
          <w:lang w:val="en-IE"/>
        </w:rPr>
        <w:t xml:space="preserve">They cover a wide variety of combinations AF/transport mode, however they mostly focus on electricity </w:t>
      </w:r>
      <w:r>
        <w:rPr>
          <w:rFonts w:ascii="Times New Roman" w:hAnsi="Times New Roman" w:cs="Times New Roman"/>
          <w:iCs/>
          <w:noProof/>
          <w:sz w:val="24"/>
          <w:lang w:val="en-IE"/>
        </w:rPr>
        <w:t>and road transport. Noteworthy is the special attention of RTD&amp;D measures towards advanced biofuels.</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Croatian NIR provides information on the national legal framework for the deployment of alternative fuels infrastructure by listing th</w:t>
      </w:r>
      <w:r>
        <w:rPr>
          <w:rFonts w:ascii="Times New Roman" w:hAnsi="Times New Roman" w:cs="Times New Roman"/>
          <w:noProof/>
          <w:sz w:val="24"/>
          <w:lang w:val="en-IE"/>
        </w:rPr>
        <w:t>e relevant existing legislation elements (16 legal acts, 71 implementing regulations) and by mentioning seven strategic documents (national plans and strategies). Additionally, the HR NIR goes in details regarding three areas in which future legislation is</w:t>
      </w:r>
      <w:r>
        <w:rPr>
          <w:rFonts w:ascii="Times New Roman" w:hAnsi="Times New Roman" w:cs="Times New Roman"/>
          <w:noProof/>
          <w:sz w:val="24"/>
          <w:lang w:val="en-IE"/>
        </w:rPr>
        <w:t xml:space="preserve"> foreseen (described in the next section) and five administrative measures. The three legislative &amp; regulatory measures were also covered by the NPF, however the NIR provides an updated version and continuation of them, increasing their level of ambition.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three legal measures described in details in the Croatian NIR belong to the legislative &amp; regulatory category and cover different transport modes. One measure addresses the overall integration of renewable energy sources in th</w:t>
      </w:r>
      <w:r>
        <w:rPr>
          <w:rFonts w:ascii="Times New Roman" w:hAnsi="Times New Roman" w:cs="Times New Roman"/>
          <w:noProof/>
          <w:sz w:val="24"/>
          <w:lang w:val="en-IE"/>
        </w:rPr>
        <w:t>e 10-year national energy and climate plan, with the RES reaching the share of 13.2% in the overall Croatian transportation final energy consumption by 2030, following the legal restrictions laid down in the plan.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second legal measure aims at legislati</w:t>
      </w:r>
      <w:r>
        <w:rPr>
          <w:rFonts w:ascii="Times New Roman" w:hAnsi="Times New Roman" w:cs="Times New Roman"/>
          <w:noProof/>
          <w:sz w:val="24"/>
          <w:lang w:val="en-IE"/>
        </w:rPr>
        <w:t>ve adjustments to increase the development of AFI and to promote the deployment of clean and energy efficient vehicles in all transport modes. In particular, for road transport, it aims to achieve a share of energy efficient purchased vehicles of 37% light</w:t>
      </w:r>
      <w:r>
        <w:rPr>
          <w:rFonts w:ascii="Times New Roman" w:hAnsi="Times New Roman" w:cs="Times New Roman"/>
          <w:noProof/>
          <w:sz w:val="24"/>
          <w:lang w:val="en-IE"/>
        </w:rPr>
        <w:t xml:space="preserve"> commercial vehicles, 13% heavy commercial vehicles and 65% buses, achieved under the sustainable procurement act at a national level. The HR NIR mentions the intention to transpose in national legislation parts of several EU Directives (i.e. Directive 201</w:t>
      </w:r>
      <w:r>
        <w:rPr>
          <w:rFonts w:ascii="Times New Roman" w:hAnsi="Times New Roman" w:cs="Times New Roman"/>
          <w:noProof/>
          <w:sz w:val="24"/>
          <w:lang w:val="en-IE"/>
        </w:rPr>
        <w:t>8/2001/EU on the promotion of the use of energy from renewable sources, Directive 2019/1161/EU on the promotion of clean and energy-efficient road transport vehicles, Directive 2018/844/EU amending the Energy Performance of Buildings Directive).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third </w:t>
      </w:r>
      <w:r>
        <w:rPr>
          <w:rFonts w:ascii="Times New Roman" w:hAnsi="Times New Roman" w:cs="Times New Roman"/>
          <w:noProof/>
          <w:sz w:val="24"/>
          <w:lang w:val="en-IE"/>
        </w:rPr>
        <w:t>measure aims at providing an action plan that lays down a policy for the promotion and use of biofuels in Croatia: assessment of the current situation, long-term objectives, targeted biofuels market and further measures to promote production and use of bio</w:t>
      </w:r>
      <w:r>
        <w:rPr>
          <w:rFonts w:ascii="Times New Roman" w:hAnsi="Times New Roman" w:cs="Times New Roman"/>
          <w:noProof/>
          <w:sz w:val="24"/>
          <w:lang w:val="en-IE"/>
        </w:rPr>
        <w:t>fuels until 2020.</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Croatian NIR contains five administrative measures, all applicable at national level. Out of these five measures, three measures are related to road transport and two concern a combination of different modes. Mostly, th</w:t>
      </w:r>
      <w:r>
        <w:rPr>
          <w:rFonts w:ascii="Times New Roman" w:hAnsi="Times New Roman" w:cs="Times New Roman"/>
          <w:noProof/>
          <w:sz w:val="24"/>
          <w:lang w:val="en-IE"/>
        </w:rPr>
        <w:t>ey are addressing the compliance with relevant EU and international standards and producing different plans and acts for classifications of the AFV performances. It is important to note that one measure is currently existing and four measures are either pl</w:t>
      </w:r>
      <w:r>
        <w:rPr>
          <w:rFonts w:ascii="Times New Roman" w:hAnsi="Times New Roman" w:cs="Times New Roman"/>
          <w:noProof/>
          <w:sz w:val="24"/>
          <w:lang w:val="en-IE"/>
        </w:rPr>
        <w:t xml:space="preserve">anned or in the process of adoption. These four measures address directly the AFs and AFVs, while the one measure currently existing is not directly related, as it deals with the training of truck drivers on eco-driving. </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Croatian NIR</w:t>
      </w:r>
      <w:r>
        <w:rPr>
          <w:rFonts w:ascii="Times New Roman" w:hAnsi="Times New Roman" w:cs="Times New Roman"/>
          <w:noProof/>
          <w:sz w:val="24"/>
          <w:lang w:val="en-IE"/>
        </w:rPr>
        <w:t xml:space="preserve"> reports 19 policy measures intended to foster alternative fuels in Croatia. This is an improvement compared to the NPF, which contained nine policy measures. Most policy measures in the Croatian NIR are financial incentives.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w:t>
      </w:r>
      <w:r>
        <w:rPr>
          <w:rFonts w:ascii="Times New Roman" w:hAnsi="Times New Roman" w:cs="Times New Roman"/>
          <w:noProof/>
          <w:sz w:val="24"/>
          <w:lang w:val="en-IE"/>
        </w:rPr>
        <w:t>rgets and objectives</w:t>
      </w:r>
      <w:r>
        <w:rPr>
          <w:rFonts w:ascii="Times New Roman" w:hAnsi="Times New Roman" w:cs="Times New Roman"/>
          <w:noProof/>
          <w:sz w:val="24"/>
          <w:lang w:val="en-IE"/>
        </w:rPr>
        <w:br/>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All the 19 policy measures in the Croatian NIR are measures that aim to ensure national targets and objectives.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Nine measures target AFVs, two target AFI, two target AFs and the rest target combinations of AF/transport modes. Road tr</w:t>
      </w:r>
      <w:r>
        <w:rPr>
          <w:rFonts w:ascii="Times New Roman" w:hAnsi="Times New Roman" w:cs="Times New Roman"/>
          <w:noProof/>
          <w:sz w:val="24"/>
          <w:lang w:val="en-IE"/>
        </w:rPr>
        <w:t>ansport is the most covered, and to a lesser extent waterborne transport inland and other combinations. One of the most significant measures to directly incentivise the purchase of EVs and the construction of recharging infrastructure saw a considerable in</w:t>
      </w:r>
      <w:r>
        <w:rPr>
          <w:rFonts w:ascii="Times New Roman" w:hAnsi="Times New Roman" w:cs="Times New Roman"/>
          <w:noProof/>
          <w:sz w:val="24"/>
          <w:lang w:val="en-IE"/>
        </w:rPr>
        <w:t xml:space="preserve">crease of budget, compared to the same measure in the NPF, which shows a positive ambition towards electrification of road vehicles.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Some measures from the NPF appear to be implemented in the NIR. They include purchasing of a smaller amount of AFVs and in</w:t>
      </w:r>
      <w:r>
        <w:rPr>
          <w:rFonts w:ascii="Times New Roman" w:hAnsi="Times New Roman" w:cs="Times New Roman"/>
          <w:noProof/>
          <w:sz w:val="24"/>
          <w:lang w:val="en-IE"/>
        </w:rPr>
        <w:t>stalling AFIs in national parks, nature parks, small islands etc. When assessed as single measures they do not significantly contribute to the overall target achievement, but are in themselves an indicator of good ambition and positive trend towards electr</w:t>
      </w:r>
      <w:r>
        <w:rPr>
          <w:rFonts w:ascii="Times New Roman" w:hAnsi="Times New Roman" w:cs="Times New Roman"/>
          <w:noProof/>
          <w:sz w:val="24"/>
          <w:lang w:val="en-IE"/>
        </w:rPr>
        <w:t>o-mobility in touristic areas and areas of specific nature reserves.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Out of the 19 measures, two measures listed in the Croatian NIR can be seen as exceptions as they do not directly address AFI or AFV, but are rather indirect measures that aim to promote different modes of transport, increase fluidity of traffic by better </w:t>
      </w:r>
      <w:r>
        <w:rPr>
          <w:rFonts w:ascii="Times New Roman" w:hAnsi="Times New Roman" w:cs="Times New Roman"/>
          <w:noProof/>
          <w:sz w:val="24"/>
          <w:lang w:val="en-IE"/>
        </w:rPr>
        <w:t xml:space="preserve">optimising ICT solutions and an incentive programme for combined goods transport in order to decrease GHG, fuel consumption and increase safety. </w:t>
      </w:r>
    </w:p>
    <w:p w:rsidR="003C43BF" w:rsidRDefault="003C43BF">
      <w:pPr>
        <w:jc w:val="both"/>
        <w:rPr>
          <w:rFonts w:ascii="Times New Roman" w:hAnsi="Times New Roman" w:cs="Times New Roman"/>
          <w:noProof/>
          <w:sz w:val="24"/>
          <w:lang w:val="en-IE"/>
        </w:rPr>
      </w:pPr>
    </w:p>
    <w:p w:rsidR="003C43BF" w:rsidRDefault="003C43BF">
      <w:pPr>
        <w:jc w:val="both"/>
        <w:rPr>
          <w:rFonts w:ascii="Times New Roman" w:hAnsi="Times New Roman" w:cs="Times New Roman"/>
          <w:noProof/>
          <w:sz w:val="24"/>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Croatian NIR does not list any measure to pro</w:t>
      </w:r>
      <w:r>
        <w:rPr>
          <w:rFonts w:ascii="Times New Roman" w:hAnsi="Times New Roman" w:cs="Times New Roman"/>
          <w:noProof/>
          <w:sz w:val="24"/>
          <w:lang w:val="en-IE"/>
        </w:rPr>
        <w:t>mote AFI in public transport services.</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Croatian NIR does not list any measure to promote the deployment of private electro-mobility infrastructure.</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Deployment and manu</w:t>
      </w:r>
      <w:r>
        <w:rPr>
          <w:rFonts w:ascii="Times New Roman" w:hAnsi="Times New Roman" w:cs="Times New Roman"/>
          <w:noProof/>
          <w:sz w:val="24"/>
          <w:lang w:val="en-IE"/>
        </w:rPr>
        <w:t xml:space="preserve">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Croatian NIR lists five measures to support the deployment and manufacturing of alternative fuels. All these five measures are listed under a specific cluster in the NIR, which started the implementation in 2017 with </w:t>
      </w:r>
      <w:r>
        <w:rPr>
          <w:rFonts w:ascii="Times New Roman" w:hAnsi="Times New Roman" w:cs="Times New Roman"/>
          <w:noProof/>
          <w:sz w:val="24"/>
          <w:lang w:val="en-IE"/>
        </w:rPr>
        <w:t>a dedicated budget of approximately €663,000 and aims at the deployment of AFI for electricity. They are related to the construction of fast recharging stations/points at the following localities: municipality of Pisarovina, municipality of Radoboj, town o</w:t>
      </w:r>
      <w:r>
        <w:rPr>
          <w:rFonts w:ascii="Times New Roman" w:hAnsi="Times New Roman" w:cs="Times New Roman"/>
          <w:noProof/>
          <w:sz w:val="24"/>
          <w:lang w:val="en-IE"/>
        </w:rPr>
        <w:t xml:space="preserve">f Rab, island of Ugljan and the city of Zagreb. Since no end year was provided, it is fair to assume the construction of these stations has been finalised and the stations are in use. These measures are present only in NIR and this is considered to show a </w:t>
      </w:r>
      <w:r>
        <w:rPr>
          <w:rFonts w:ascii="Times New Roman" w:hAnsi="Times New Roman" w:cs="Times New Roman"/>
          <w:noProof/>
          <w:sz w:val="24"/>
          <w:lang w:val="en-IE"/>
        </w:rPr>
        <w:t>positive ambition towards electro-mobility in small, medium and large cities, along with the availability of publicly recharging stations on the remote islands of Ugljan and Rab.</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Croatian NIR does not consider any other alternative fuel besides electri</w:t>
      </w:r>
      <w:r>
        <w:rPr>
          <w:rFonts w:ascii="Times New Roman" w:hAnsi="Times New Roman" w:cs="Times New Roman"/>
          <w:noProof/>
          <w:sz w:val="24"/>
          <w:lang w:val="en-IE"/>
        </w:rPr>
        <w:t xml:space="preserve">city in this section.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tabs>
          <w:tab w:val="left" w:pos="360"/>
        </w:tabs>
        <w:jc w:val="both"/>
        <w:rPr>
          <w:rFonts w:ascii="Times New Roman" w:hAnsi="Times New Roman" w:cs="Times New Roman"/>
          <w:i/>
          <w:noProof/>
          <w:color w:val="7030A0"/>
          <w:sz w:val="24"/>
          <w:lang w:val="en-IE"/>
        </w:rPr>
      </w:pPr>
      <w:r>
        <w:rPr>
          <w:rFonts w:ascii="Times New Roman" w:hAnsi="Times New Roman" w:cs="Times New Roman"/>
          <w:noProof/>
          <w:sz w:val="24"/>
          <w:lang w:val="en-IE"/>
        </w:rPr>
        <w:t>No measures regarding the support of manufacturing plants for AF technologies are present in the Croatian NIR.</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 xml:space="preserve">Consideration of any particular needs during the initial phase of the </w:t>
      </w:r>
      <w:r>
        <w:rPr>
          <w:rFonts w:ascii="Times New Roman" w:hAnsi="Times New Roman" w:cs="Times New Roman"/>
          <w:noProof/>
          <w:sz w:val="24"/>
          <w:lang w:val="en-IE"/>
        </w:rPr>
        <w:t>deployment of alternative fuels infrastructures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Croatian NIR highlights the need for financial incentives in the initial phase of AFI deployment. It is clear from the NIR that a dedicated measure and budget mark the necessary first step for the develop</w:t>
      </w:r>
      <w:r>
        <w:rPr>
          <w:rFonts w:ascii="Times New Roman" w:hAnsi="Times New Roman" w:cs="Times New Roman"/>
          <w:noProof/>
          <w:sz w:val="24"/>
          <w:lang w:val="en-IE"/>
        </w:rPr>
        <w:t xml:space="preserve">ment of the market, foreseeing the co-financing of the AFI construction in order to reach at least the minimum coverage criteria laid down by the main text of the Directive. The measure is set to last from 2019 until 2030 with a budget of approximately 49 </w:t>
      </w:r>
      <w:r>
        <w:rPr>
          <w:rFonts w:ascii="Times New Roman" w:hAnsi="Times New Roman" w:cs="Times New Roman"/>
          <w:noProof/>
          <w:sz w:val="24"/>
          <w:lang w:val="en-IE"/>
        </w:rPr>
        <w:t>million € in that period.</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_Ref52819458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5.11.4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overview of the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xml:space="preserve"> In total, seven clusters of measures were identified, of which five resulted asse</w:t>
      </w:r>
      <w:r>
        <w:rPr>
          <w:rFonts w:ascii="Times New Roman" w:hAnsi="Times New Roman" w:cs="Times New Roman"/>
          <w:noProof/>
          <w:sz w:val="24"/>
          <w:lang w:val="en-IE"/>
        </w:rPr>
        <w:t xml:space="preserve">ssable. No clusters of measures have emerged for LNG for inland waterborne transport, nor for rail or air transport.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All the five assessable clusters of measures get a high overall score, but only the one for the pair electricity/road results to be compre</w:t>
      </w:r>
      <w:r>
        <w:rPr>
          <w:rFonts w:ascii="Times New Roman" w:hAnsi="Times New Roman" w:cs="Times New Roman"/>
          <w:noProof/>
          <w:sz w:val="24"/>
          <w:lang w:val="en-IE"/>
        </w:rPr>
        <w:t>hensive. The clusters for the pairs electricity /water (both maritime and inland) are not assessable.</w:t>
      </w:r>
      <w:r>
        <w:rPr>
          <w:rFonts w:ascii="Times New Roman" w:hAnsi="Times New Roman" w:cs="Times New Roman"/>
          <w:i/>
          <w:iCs/>
          <w:noProof/>
          <w:sz w:val="24"/>
          <w:lang w:val="en-IE"/>
        </w:rPr>
        <w:t xml:space="preserve"> </w:t>
      </w:r>
      <w:r>
        <w:rPr>
          <w:rFonts w:ascii="Times New Roman" w:hAnsi="Times New Roman" w:cs="Times New Roman"/>
          <w:iCs/>
          <w:noProof/>
          <w:sz w:val="24"/>
          <w:lang w:val="en-IE"/>
        </w:rPr>
        <w:t>In terms of expected impact of these measures to support the realisation of the AFV/AFI objectives as presented in the NPF and revised in the NIR, the par</w:t>
      </w:r>
      <w:r>
        <w:rPr>
          <w:rFonts w:ascii="Times New Roman" w:hAnsi="Times New Roman" w:cs="Times New Roman"/>
          <w:iCs/>
          <w:noProof/>
          <w:sz w:val="24"/>
          <w:lang w:val="en-IE"/>
        </w:rPr>
        <w:t xml:space="preserve">tial or total lack of future targets and estimates does not allow putting this assessment into perspective. Based on the impact seen during the implementation period, for the future it can be said that the measures for the pair electricity/road might have </w:t>
      </w:r>
      <w:r>
        <w:rPr>
          <w:rFonts w:ascii="Times New Roman" w:hAnsi="Times New Roman" w:cs="Times New Roman"/>
          <w:iCs/>
          <w:noProof/>
          <w:sz w:val="24"/>
          <w:lang w:val="en-IE"/>
        </w:rPr>
        <w:t>a high impact, those for the pairs CNG/road, LNG/road, LNG/water-maritime and hydrogen/road might have a medium impact.</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Compared to the NPF, the level of ambition of the Policy and Deployment &amp; Manufacturing support measures has generally increased for all</w:t>
      </w:r>
      <w:r>
        <w:rPr>
          <w:rFonts w:ascii="Times New Roman" w:hAnsi="Times New Roman" w:cs="Times New Roman"/>
          <w:noProof/>
          <w:sz w:val="24"/>
          <w:lang w:val="en-IE"/>
        </w:rPr>
        <w:t xml:space="preserve"> the identified clusters. </w:t>
      </w:r>
    </w:p>
    <w:p w:rsidR="003C43BF" w:rsidRDefault="006C3212">
      <w:pPr>
        <w:jc w:val="both"/>
        <w:rPr>
          <w:rFonts w:ascii="Times New Roman" w:hAnsi="Times New Roman" w:cs="Times New Roman"/>
          <w:noProof/>
          <w:sz w:val="24"/>
          <w:lang w:val="en-IE"/>
        </w:rPr>
      </w:pPr>
      <w:bookmarkStart w:id="292" w:name="_Ref52819458"/>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5.11.4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92"/>
      <w:r>
        <w:rPr>
          <w:rFonts w:ascii="Times New Roman" w:hAnsi="Times New Roman" w:cs="Times New Roman"/>
          <w:i/>
          <w:noProof/>
          <w:sz w:val="20"/>
          <w:szCs w:val="18"/>
          <w:lang w:val="en-IE"/>
        </w:rPr>
        <w:t xml:space="preserve"> Quantitative assessment of Policy and Deployment &amp; Manufacturing support measures</w:t>
      </w:r>
    </w:p>
    <w:p w:rsidR="003C43BF" w:rsidRDefault="006C3212">
      <w:pPr>
        <w:pStyle w:val="Caption"/>
        <w:jc w:val="both"/>
        <w:rPr>
          <w:rFonts w:ascii="Times New Roman" w:eastAsia="Calibri" w:hAnsi="Times New Roman" w:cs="Times New Roman"/>
          <w:noProof/>
          <w:sz w:val="24"/>
          <w:lang w:val="en-IE"/>
        </w:rPr>
      </w:pPr>
      <w:r>
        <w:rPr>
          <w:rFonts w:ascii="Times New Roman" w:eastAsia="Calibri" w:hAnsi="Times New Roman" w:cs="Times New Roman"/>
          <w:b w:val="0"/>
          <w:noProof/>
          <w:sz w:val="20"/>
          <w:lang w:eastAsia="en-GB"/>
        </w:rPr>
        <w:drawing>
          <wp:inline distT="0" distB="0" distL="0" distR="0">
            <wp:extent cx="5627370" cy="2072640"/>
            <wp:effectExtent l="0" t="0" r="0" b="381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27370" cy="2072640"/>
                    </a:xfrm>
                    <a:prstGeom prst="rect">
                      <a:avLst/>
                    </a:prstGeom>
                    <a:noFill/>
                  </pic:spPr>
                </pic:pic>
              </a:graphicData>
            </a:graphic>
          </wp:inline>
        </w:drawing>
      </w:r>
      <w:r>
        <w:rPr>
          <w:rFonts w:ascii="Times New Roman" w:eastAsia="Calibri" w:hAnsi="Times New Roman" w:cs="Times New Roman"/>
          <w:b w:val="0"/>
          <w:noProof/>
          <w:sz w:val="20"/>
          <w:lang w:val="en-IE"/>
        </w:rPr>
        <w:t xml:space="preserve">Legend: Score and Impact: H = high; M = medium; L = low; X = not assessable. </w:t>
      </w:r>
      <w:r>
        <w:rPr>
          <w:rFonts w:ascii="Times New Roman" w:eastAsia="Calibri" w:hAnsi="Times New Roman" w:cs="Times New Roman"/>
          <w:b w:val="0"/>
          <w:noProof/>
          <w:sz w:val="20"/>
          <w:lang w:val="en-IE"/>
        </w:rPr>
        <w:t>Comprehensiveness: C = comprehensive; N = Not comprehensive. Ambition level: ‘+’ means ‘higher’; ‘=’ means ‘comparable’.</w:t>
      </w:r>
    </w:p>
    <w:p w:rsidR="003C43BF" w:rsidRDefault="003C43BF">
      <w:pPr>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Croatian NIR lists four RTD&amp;D measures/projects. Since all of the measures are</w:t>
      </w:r>
      <w:r>
        <w:rPr>
          <w:rFonts w:ascii="Times New Roman" w:hAnsi="Times New Roman" w:cs="Times New Roman"/>
          <w:noProof/>
          <w:sz w:val="24"/>
          <w:lang w:val="en-IE"/>
        </w:rPr>
        <w:t xml:space="preserve"> newly introduced in the NIR, it is not possible to compare the nature of the projects with the three RTD&amp;D projects that were presented in the NPF. Out of these four new RTD&amp;D projects, three are targeting biofuels production while the other is a promotio</w:t>
      </w:r>
      <w:r>
        <w:rPr>
          <w:rFonts w:ascii="Times New Roman" w:hAnsi="Times New Roman" w:cs="Times New Roman"/>
          <w:noProof/>
          <w:sz w:val="24"/>
          <w:lang w:val="en-IE"/>
        </w:rPr>
        <w:t>nal research project/campaign concerning solar powered vehicles. Two RTD&amp;D measures are already in place with dedicated staff and budget. Both are addressing advanced biofuels (third generation biofuels) production in Croatia: one research project investig</w:t>
      </w:r>
      <w:r>
        <w:rPr>
          <w:rFonts w:ascii="Times New Roman" w:hAnsi="Times New Roman" w:cs="Times New Roman"/>
          <w:noProof/>
          <w:sz w:val="24"/>
          <w:lang w:val="en-IE"/>
        </w:rPr>
        <w:t>ates the potential of Adriatic algae in third generation biofuel production, while the second one is broader and targets to produce 3.5% of advanced biofuels in transport from domestic feedstock by the year 2030. Finally, the third measure is planned to st</w:t>
      </w:r>
      <w:r>
        <w:rPr>
          <w:rFonts w:ascii="Times New Roman" w:hAnsi="Times New Roman" w:cs="Times New Roman"/>
          <w:noProof/>
          <w:sz w:val="24"/>
          <w:lang w:val="en-IE"/>
        </w:rPr>
        <w:t>art in 2021 and aims to develop the market for advanced biofuels and to put in place the corresponding legal acts. The end result of this final measure is to set up a model for promoting and developing the market for biofuels in transport and designing fun</w:t>
      </w:r>
      <w:r>
        <w:rPr>
          <w:rFonts w:ascii="Times New Roman" w:hAnsi="Times New Roman" w:cs="Times New Roman"/>
          <w:noProof/>
          <w:sz w:val="24"/>
          <w:lang w:val="en-IE"/>
        </w:rPr>
        <w:t>ding instruments for projects regarding biofuels.</w:t>
      </w:r>
    </w:p>
    <w:p w:rsidR="003C43BF" w:rsidRDefault="003C43BF">
      <w:pPr>
        <w:tabs>
          <w:tab w:val="left" w:pos="360"/>
        </w:tabs>
        <w:jc w:val="both"/>
        <w:rPr>
          <w:rFonts w:ascii="Times New Roman" w:hAnsi="Times New Roman" w:cs="Times New Roman"/>
          <w:b/>
          <w:noProof/>
          <w:sz w:val="24"/>
          <w:lang w:val="en-IE"/>
        </w:rPr>
      </w:pPr>
    </w:p>
    <w:p w:rsidR="003C43BF" w:rsidRDefault="006C3212">
      <w:pPr>
        <w:pStyle w:val="Heading3"/>
        <w:ind w:left="720"/>
        <w:rPr>
          <w:rFonts w:ascii="Times New Roman" w:hAnsi="Times New Roman" w:cs="Times New Roman"/>
          <w:noProof/>
          <w:sz w:val="24"/>
          <w:lang w:val="en-IE"/>
        </w:rPr>
      </w:pPr>
      <w:bookmarkStart w:id="293" w:name="_Toc55301871"/>
      <w:bookmarkStart w:id="294" w:name="_Toc56944184"/>
      <w:r>
        <w:rPr>
          <w:rFonts w:ascii="Times New Roman" w:hAnsi="Times New Roman" w:cs="Times New Roman"/>
          <w:noProof/>
          <w:sz w:val="24"/>
          <w:lang w:val="en-IE"/>
        </w:rPr>
        <w:t>Additional information on alternative fuels infrastructure developments</w:t>
      </w:r>
      <w:bookmarkEnd w:id="293"/>
      <w:bookmarkEnd w:id="294"/>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Croatian NIR provided (partial) information suggesting that, until 2018, the percentage of the AFs in the total national fuel mix</w:t>
      </w:r>
      <w:r>
        <w:rPr>
          <w:rFonts w:ascii="Times New Roman" w:hAnsi="Times New Roman" w:cs="Times New Roman"/>
          <w:noProof/>
          <w:sz w:val="24"/>
          <w:lang w:val="en-IE"/>
        </w:rPr>
        <w:t xml:space="preserve"> was 3.10%. The NIR does not provide past or future data on electricity, biofuels or hydrogen. The NIR estimates that CNG in road transport will grow from 0.10% in 2018 to 1% in 2025 and then to 3% in 2030. LNG for road use will increase from 0% in 2018 to</w:t>
      </w:r>
      <w:r>
        <w:rPr>
          <w:rFonts w:ascii="Times New Roman" w:hAnsi="Times New Roman" w:cs="Times New Roman"/>
          <w:noProof/>
          <w:sz w:val="24"/>
          <w:lang w:val="en-IE"/>
        </w:rPr>
        <w:t xml:space="preserve"> 0.1% in 2020, to 1.5% in 2025, and up to 5% in 2030. Unlike CNG and LNG, the NIR foresees for LPG a constant share 3% from 2018 until 2030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_Ref52819480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5.11.5</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3C43BF" w:rsidRDefault="006C3212">
      <w:pPr>
        <w:pStyle w:val="Caption"/>
        <w:rPr>
          <w:rFonts w:ascii="Times New Roman" w:hAnsi="Times New Roman" w:cs="Times New Roman"/>
          <w:b w:val="0"/>
          <w:i/>
          <w:noProof/>
          <w:sz w:val="20"/>
          <w:szCs w:val="18"/>
          <w:lang w:val="en-IE"/>
        </w:rPr>
      </w:pPr>
      <w:bookmarkStart w:id="295" w:name="_Ref52819480"/>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5.11.5</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295"/>
      <w:r>
        <w:rPr>
          <w:rFonts w:ascii="Times New Roman" w:hAnsi="Times New Roman" w:cs="Times New Roman"/>
          <w:b w:val="0"/>
          <w:i/>
          <w:noProof/>
          <w:sz w:val="20"/>
          <w:szCs w:val="18"/>
          <w:lang w:val="en-IE"/>
        </w:rPr>
        <w:t xml:space="preserve"> Changes in fuel use in transport sector (2016-2030)</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823585" cy="1877695"/>
            <wp:effectExtent l="0" t="0" r="5715" b="8255"/>
            <wp:docPr id="2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23585" cy="1877695"/>
                    </a:xfrm>
                    <a:prstGeom prst="rect">
                      <a:avLst/>
                    </a:prstGeom>
                    <a:noFill/>
                    <a:ln>
                      <a:noFill/>
                    </a:ln>
                  </pic:spPr>
                </pic:pic>
              </a:graphicData>
            </a:graphic>
          </wp:inline>
        </w:drawing>
      </w:r>
    </w:p>
    <w:p w:rsidR="003C43BF" w:rsidRDefault="003C43BF">
      <w:pPr>
        <w:jc w:val="both"/>
        <w:rPr>
          <w:rFonts w:ascii="Times New Roman" w:hAnsi="Times New Roman" w:cs="Times New Roman"/>
          <w:noProof/>
          <w:sz w:val="20"/>
          <w:lang w:val="en-IE"/>
        </w:rPr>
      </w:pPr>
    </w:p>
    <w:p w:rsidR="003C43BF" w:rsidRDefault="006C3212">
      <w:pPr>
        <w:pStyle w:val="Heading3"/>
        <w:ind w:left="720"/>
        <w:rPr>
          <w:rFonts w:ascii="Times New Roman" w:hAnsi="Times New Roman" w:cs="Times New Roman"/>
          <w:noProof/>
          <w:sz w:val="24"/>
          <w:lang w:val="en-IE"/>
        </w:rPr>
      </w:pPr>
      <w:bookmarkStart w:id="296" w:name="_Toc55301872"/>
      <w:bookmarkStart w:id="297" w:name="_Toc56944185"/>
      <w:r>
        <w:rPr>
          <w:rFonts w:ascii="Times New Roman" w:hAnsi="Times New Roman" w:cs="Times New Roman"/>
          <w:noProof/>
          <w:sz w:val="24"/>
          <w:lang w:val="en-IE"/>
        </w:rPr>
        <w:t>Summary of the assessment</w:t>
      </w:r>
      <w:bookmarkEnd w:id="296"/>
      <w:bookmarkEnd w:id="297"/>
      <w:r>
        <w:rPr>
          <w:rFonts w:ascii="Times New Roman" w:hAnsi="Times New Roman" w:cs="Times New Roman"/>
          <w:noProof/>
          <w:sz w:val="24"/>
          <w:lang w:val="en-IE"/>
        </w:rPr>
        <w:tab/>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5.11.6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3724910"/>
            <wp:effectExtent l="0" t="0" r="0" b="889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4235" cy="3724910"/>
                    </a:xfrm>
                    <a:prstGeom prst="rect">
                      <a:avLst/>
                    </a:prstGeom>
                    <a:noFill/>
                  </pic:spPr>
                </pic:pic>
              </a:graphicData>
            </a:graphic>
          </wp:inline>
        </w:drawing>
      </w:r>
    </w:p>
    <w:p w:rsidR="003C43BF" w:rsidRDefault="006C3212">
      <w:pPr>
        <w:rPr>
          <w:rFonts w:ascii="Times New Roman" w:hAnsi="Times New Roman" w:cs="Times New Roman"/>
          <w:b/>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Croatian NIR contains a sufficient description of the policy direction towards the introduction of alternative fuels in Croatia. The NIR however completely lacks the estimation of the number of AFVs for 2020, 2025 an</w:t>
      </w:r>
      <w:r>
        <w:rPr>
          <w:rFonts w:ascii="Times New Roman" w:hAnsi="Times New Roman" w:cs="Times New Roman"/>
          <w:noProof/>
          <w:sz w:val="24"/>
          <w:lang w:val="en-IE"/>
        </w:rPr>
        <w:t>d 2030, similarly to the NPF. It does establish the 2020 targets for the AFI in detail for the majority of AFs, but it does not provide any targets for 2025 and 2030, unlike the NPF report that indeed had provided targets for the majority of AFs in 2020, 2</w:t>
      </w:r>
      <w:r>
        <w:rPr>
          <w:rFonts w:ascii="Times New Roman" w:hAnsi="Times New Roman" w:cs="Times New Roman"/>
          <w:noProof/>
          <w:sz w:val="24"/>
          <w:lang w:val="en-IE"/>
        </w:rPr>
        <w:t xml:space="preserve">025 and in 2030. Most of the measures address electricity in detail, with other AFs being covered in a 10-year plan, except LPG. The plan is rather generic, but it contains budget description and the authorities responsible for enforcing the deployment of </w:t>
      </w:r>
      <w:r>
        <w:rPr>
          <w:rFonts w:ascii="Times New Roman" w:hAnsi="Times New Roman" w:cs="Times New Roman"/>
          <w:noProof/>
          <w:sz w:val="24"/>
          <w:lang w:val="en-IE"/>
        </w:rPr>
        <w:t xml:space="preserve">AFs, signalling a positive ambition towards the achievement of the national plan. </w:t>
      </w:r>
    </w:p>
    <w:p w:rsidR="003C43BF" w:rsidRDefault="006C3212">
      <w:pPr>
        <w:spacing w:after="24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Croatian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ListParagraph"/>
        <w:numPr>
          <w:ilvl w:val="0"/>
          <w:numId w:val="44"/>
        </w:numPr>
        <w:tabs>
          <w:tab w:val="left" w:pos="360"/>
          <w:tab w:val="left" w:pos="720"/>
        </w:tabs>
        <w:spacing w:after="0" w:line="259" w:lineRule="auto"/>
        <w:ind w:left="360" w:hanging="426"/>
        <w:jc w:val="both"/>
        <w:rPr>
          <w:rFonts w:ascii="Times New Roman" w:hAnsi="Times New Roman" w:cs="Times New Roman"/>
          <w:noProof/>
          <w:sz w:val="24"/>
          <w:lang w:val="en-IE"/>
        </w:rPr>
      </w:pPr>
      <w:r>
        <w:rPr>
          <w:rFonts w:ascii="Times New Roman" w:hAnsi="Times New Roman" w:cs="Times New Roman"/>
          <w:b/>
          <w:noProof/>
          <w:sz w:val="24"/>
          <w:lang w:val="en-IE"/>
        </w:rPr>
        <w:t>Elec</w:t>
      </w:r>
      <w:r>
        <w:rPr>
          <w:rFonts w:ascii="Times New Roman" w:hAnsi="Times New Roman" w:cs="Times New Roman"/>
          <w:b/>
          <w:noProof/>
          <w:sz w:val="24"/>
          <w:lang w:val="en-IE"/>
        </w:rPr>
        <w:t>tricity</w:t>
      </w:r>
      <w:r>
        <w:rPr>
          <w:rFonts w:ascii="Times New Roman" w:hAnsi="Times New Roman" w:cs="Times New Roman"/>
          <w:noProof/>
          <w:sz w:val="24"/>
          <w:lang w:val="en-IE"/>
        </w:rPr>
        <w:t xml:space="preserve"> – Croatia recorded 792 battery-electric and plug-in hybrid electric vehicles in use in 2018, of which 693 were passenger cars, 96 LCVs and 3 battery-electric buses and coaches. There were no electric HCVs recorded in Croatia in 2018. The Croatian N</w:t>
      </w:r>
      <w:r>
        <w:rPr>
          <w:rFonts w:ascii="Times New Roman" w:hAnsi="Times New Roman" w:cs="Times New Roman"/>
          <w:noProof/>
          <w:sz w:val="24"/>
          <w:lang w:val="en-IE"/>
        </w:rPr>
        <w:t>IR does not estimate the EVs for any vehicle category for 2020, 2025 or 2030, thus the progress and attainment could not be computed. Croatia recorded 315 publicly accessible recharging points in 2018, out of which 45 were normal power (≤22kW) and 270 high</w:t>
      </w:r>
      <w:r>
        <w:rPr>
          <w:rFonts w:ascii="Times New Roman" w:hAnsi="Times New Roman" w:cs="Times New Roman"/>
          <w:noProof/>
          <w:sz w:val="24"/>
          <w:lang w:val="en-IE"/>
        </w:rPr>
        <w:t xml:space="preserve"> power points (&gt;22kW). The NPF had set targets for 2020, 2025 and 2030, but the NIR does not mention any 2025 and 2030 targets. As for 2020, the NIR target of 515 for publicly accessible recharging points is 74% higher than the NPF target of 296 recharging</w:t>
      </w:r>
      <w:r>
        <w:rPr>
          <w:rFonts w:ascii="Times New Roman" w:hAnsi="Times New Roman" w:cs="Times New Roman"/>
          <w:noProof/>
          <w:sz w:val="24"/>
          <w:lang w:val="en-IE"/>
        </w:rPr>
        <w:t xml:space="preserve"> points. The 2018 progress for AFI was fast, the sufficiency index in 2018 was adequate.</w:t>
      </w:r>
    </w:p>
    <w:p w:rsidR="003C43BF" w:rsidRDefault="006C3212">
      <w:pPr>
        <w:pStyle w:val="ListParagraph"/>
        <w:numPr>
          <w:ilvl w:val="0"/>
          <w:numId w:val="44"/>
        </w:numPr>
        <w:tabs>
          <w:tab w:val="left" w:pos="360"/>
          <w:tab w:val="left" w:pos="720"/>
        </w:tabs>
        <w:spacing w:after="0" w:line="259" w:lineRule="auto"/>
        <w:ind w:left="360" w:hanging="426"/>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Croatia reported 338 CNG vehicles were in use in 2018, out of which 133 were passenger cars, 96 LCVs, 9 HCVs and 100 buses and coaches. There are no estimates in</w:t>
      </w:r>
      <w:r>
        <w:rPr>
          <w:rFonts w:ascii="Times New Roman" w:hAnsi="Times New Roman" w:cs="Times New Roman"/>
          <w:noProof/>
          <w:sz w:val="24"/>
          <w:lang w:val="en-IE"/>
        </w:rPr>
        <w:t xml:space="preserve"> the NPF nor in the NIR for 2020, 2025 and 2030 of CNG vehicles. The Croatian NIR indicates that two publicly accessible CNG refuelling points were in use in 2018. It also reports a target of three CNG publicly accessible refuelling points for 2020, but no</w:t>
      </w:r>
      <w:r>
        <w:rPr>
          <w:rFonts w:ascii="Times New Roman" w:hAnsi="Times New Roman" w:cs="Times New Roman"/>
          <w:noProof/>
          <w:sz w:val="24"/>
          <w:lang w:val="en-IE"/>
        </w:rPr>
        <w:t xml:space="preserve"> targets for 2025 or 2030. The NPF had CNG AFI targets for 2020 and 2025, while the HR NIR shows only the 2020 target, which is 77 % lower than in the NPF, thus reflecting a decreased ambition. </w:t>
      </w:r>
    </w:p>
    <w:p w:rsidR="003C43BF" w:rsidRDefault="006C3212">
      <w:pPr>
        <w:pStyle w:val="ListParagraph"/>
        <w:numPr>
          <w:ilvl w:val="0"/>
          <w:numId w:val="44"/>
        </w:numPr>
        <w:tabs>
          <w:tab w:val="left" w:pos="360"/>
          <w:tab w:val="left" w:pos="720"/>
        </w:tabs>
        <w:spacing w:after="0" w:line="259" w:lineRule="auto"/>
        <w:ind w:left="360" w:hanging="426"/>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Like in the NPF, there is no information about LNG vehi</w:t>
      </w:r>
      <w:r>
        <w:rPr>
          <w:rFonts w:ascii="Times New Roman" w:hAnsi="Times New Roman" w:cs="Times New Roman"/>
          <w:noProof/>
          <w:sz w:val="24"/>
          <w:lang w:val="en-IE"/>
        </w:rPr>
        <w:t>cles in the HR NIR, which also provides no information about 2016 to 2018 AFI, but does provide the target for 2020, which is one LNG refuelling station. The NPF target for 2020 had not been provided, however the 2025 target was of two LNG refuelling point</w:t>
      </w:r>
      <w:r>
        <w:rPr>
          <w:rFonts w:ascii="Times New Roman" w:hAnsi="Times New Roman" w:cs="Times New Roman"/>
          <w:noProof/>
          <w:sz w:val="24"/>
          <w:lang w:val="en-IE"/>
        </w:rPr>
        <w:t xml:space="preserve">s and the 2030 target was of seven refuelling points. </w:t>
      </w:r>
    </w:p>
    <w:p w:rsidR="003C43BF" w:rsidRDefault="006C3212">
      <w:pPr>
        <w:pStyle w:val="ListParagraph"/>
        <w:numPr>
          <w:ilvl w:val="0"/>
          <w:numId w:val="34"/>
        </w:numPr>
        <w:tabs>
          <w:tab w:val="left" w:pos="360"/>
          <w:tab w:val="left" w:pos="720"/>
        </w:tabs>
        <w:spacing w:before="120" w:after="24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Croatian NIR does not report any information on existing or future hydrogen vehicles; it only mentions that, as a part of a global 2030 target, all AFVs will reach 1% of the total fleet, including vehicles running on hydrogen. </w:t>
      </w:r>
      <w:r>
        <w:rPr>
          <w:rFonts w:ascii="Times New Roman" w:hAnsi="Times New Roman" w:cs="Times New Roman"/>
          <w:bCs/>
          <w:noProof/>
          <w:sz w:val="24"/>
          <w:lang w:val="en-IE"/>
        </w:rPr>
        <w:t>The HR NIR informs tha</w:t>
      </w:r>
      <w:r>
        <w:rPr>
          <w:rFonts w:ascii="Times New Roman" w:hAnsi="Times New Roman" w:cs="Times New Roman"/>
          <w:bCs/>
          <w:noProof/>
          <w:sz w:val="24"/>
          <w:lang w:val="en-IE"/>
        </w:rPr>
        <w:t xml:space="preserve">t there was one hydrogen publicly accessible refuelling point in use in 2018. The target for 2020 is equal to two, while no 2025 or 2030 targets are provided. The NPF had no targets for 2020 nor 2025 publicly accessible hydrogen refuelling points, however </w:t>
      </w:r>
      <w:r>
        <w:rPr>
          <w:rFonts w:ascii="Times New Roman" w:hAnsi="Times New Roman" w:cs="Times New Roman"/>
          <w:bCs/>
          <w:noProof/>
          <w:sz w:val="24"/>
          <w:lang w:val="en-IE"/>
        </w:rPr>
        <w:t xml:space="preserve">it did provide a tentative target for 2030 which was stated to be one or two, depending on the demand. </w:t>
      </w:r>
    </w:p>
    <w:p w:rsidR="003C43BF" w:rsidRDefault="006C3212">
      <w:pPr>
        <w:pStyle w:val="ListParagraph"/>
        <w:numPr>
          <w:ilvl w:val="0"/>
          <w:numId w:val="34"/>
        </w:numPr>
        <w:tabs>
          <w:tab w:val="left" w:pos="360"/>
          <w:tab w:val="left" w:pos="720"/>
        </w:tabs>
        <w:spacing w:before="120" w:after="24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Croatian NIR only mentions that, as a part of a global 2030 target, all AFVs will reach 1% of the total fleet, including vehicles running</w:t>
      </w:r>
      <w:r>
        <w:rPr>
          <w:rFonts w:ascii="Times New Roman" w:hAnsi="Times New Roman" w:cs="Times New Roman"/>
          <w:noProof/>
          <w:sz w:val="24"/>
          <w:lang w:val="en-IE"/>
        </w:rPr>
        <w:t xml:space="preserve"> on biofuels, but it is not specified which biofuels and in what amount. The preparation of a plan to develop the market for biofuels is envisaged until 2030, and will affect both the AFI and AFV.</w:t>
      </w:r>
    </w:p>
    <w:p w:rsidR="003C43BF" w:rsidRDefault="006C3212">
      <w:pPr>
        <w:pStyle w:val="ListParagraph"/>
        <w:numPr>
          <w:ilvl w:val="0"/>
          <w:numId w:val="34"/>
        </w:numPr>
        <w:tabs>
          <w:tab w:val="left" w:pos="360"/>
          <w:tab w:val="left" w:pos="720"/>
        </w:tabs>
        <w:spacing w:before="120" w:after="120" w:line="240" w:lineRule="auto"/>
        <w:ind w:left="357" w:hanging="357"/>
        <w:jc w:val="both"/>
        <w:rPr>
          <w:rFonts w:ascii="Times New Roman" w:hAnsi="Times New Roman" w:cs="Times New Roman"/>
          <w:noProof/>
          <w:sz w:val="28"/>
          <w:szCs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xml:space="preserve">– Croatia reported 61,558 LPG road vehicles in use in </w:t>
      </w:r>
      <w:r>
        <w:rPr>
          <w:rFonts w:ascii="Times New Roman" w:hAnsi="Times New Roman" w:cs="Times New Roman"/>
          <w:noProof/>
          <w:sz w:val="24"/>
          <w:lang w:val="en-IE"/>
        </w:rPr>
        <w:t>2018, of which 60,527 were passenger cars, and 1,031 LCVs. No future estimates for the LPG vehicles are reported in the HR NIR. Croatia reported 557 publicly accessible LPG refuelling points in use in 2018. No future targets are provided in terms of public</w:t>
      </w:r>
      <w:r>
        <w:rPr>
          <w:rFonts w:ascii="Times New Roman" w:hAnsi="Times New Roman" w:cs="Times New Roman"/>
          <w:noProof/>
          <w:sz w:val="24"/>
          <w:lang w:val="en-IE"/>
        </w:rPr>
        <w:t>ly accessible LPG refuelling points.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34"/>
        </w:numPr>
        <w:tabs>
          <w:tab w:val="left" w:pos="966"/>
        </w:tabs>
        <w:spacing w:after="120" w:line="240" w:lineRule="auto"/>
        <w:ind w:left="357" w:hanging="357"/>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HR NIR does not address rail electrification.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 (maritime and inland waterway)</w:t>
      </w:r>
    </w:p>
    <w:p w:rsidR="003C43BF" w:rsidRDefault="006C3212">
      <w:pPr>
        <w:pStyle w:val="ListParagraph"/>
        <w:numPr>
          <w:ilvl w:val="0"/>
          <w:numId w:val="34"/>
        </w:numPr>
        <w:tabs>
          <w:tab w:val="left" w:pos="360"/>
          <w:tab w:val="left" w:pos="966"/>
        </w:tabs>
        <w:spacing w:after="120" w:line="240" w:lineRule="auto"/>
        <w:ind w:left="357" w:hanging="357"/>
        <w:jc w:val="both"/>
        <w:rPr>
          <w:rFonts w:ascii="Times New Roman" w:hAnsi="Times New Roman" w:cs="Times New Roman"/>
          <w:noProof/>
          <w:color w:val="000000" w:themeColor="text1"/>
          <w:sz w:val="28"/>
          <w:szCs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Croatia reported three electric vessels in service in 2018, used for touri</w:t>
      </w:r>
      <w:r>
        <w:rPr>
          <w:rFonts w:ascii="Times New Roman" w:hAnsi="Times New Roman" w:cs="Times New Roman"/>
          <w:noProof/>
          <w:sz w:val="24"/>
          <w:lang w:val="en-IE"/>
        </w:rPr>
        <w:t>stic purposes. No specific targets are provided for the future years, however a dedicated measure implies the conversion of obsolete fossil fuel vessels to different AF propulsion systems both in maritime and inland waterways by 2030, including electricity</w:t>
      </w:r>
      <w:r>
        <w:rPr>
          <w:rFonts w:ascii="Times New Roman" w:hAnsi="Times New Roman" w:cs="Times New Roman"/>
          <w:noProof/>
          <w:sz w:val="24"/>
          <w:lang w:val="en-IE"/>
        </w:rPr>
        <w:t>. The Croatian NIR does not provide any information on shore-side electricity supply. The NPF had reported two shore-sided electricity supplies in 2016 in inland ports, and for 2020 a target of four supplies in inland ports and of three shore-sided electri</w:t>
      </w:r>
      <w:r>
        <w:rPr>
          <w:rFonts w:ascii="Times New Roman" w:hAnsi="Times New Roman" w:cs="Times New Roman"/>
          <w:noProof/>
          <w:sz w:val="24"/>
          <w:lang w:val="en-IE"/>
        </w:rPr>
        <w:t xml:space="preserve">city supplies in maritime ports. </w:t>
      </w:r>
    </w:p>
    <w:p w:rsidR="003C43BF" w:rsidRDefault="006C3212">
      <w:pPr>
        <w:pStyle w:val="ListParagraph"/>
        <w:numPr>
          <w:ilvl w:val="0"/>
          <w:numId w:val="34"/>
        </w:numPr>
        <w:tabs>
          <w:tab w:val="left" w:pos="360"/>
          <w:tab w:val="left" w:pos="966"/>
        </w:tabs>
        <w:spacing w:after="120" w:line="240" w:lineRule="auto"/>
        <w:ind w:left="357" w:hanging="357"/>
        <w:jc w:val="both"/>
        <w:rPr>
          <w:rFonts w:ascii="Times New Roman" w:hAnsi="Times New Roman" w:cs="Times New Roman"/>
          <w:noProof/>
          <w:color w:val="000000" w:themeColor="text1"/>
          <w:sz w:val="28"/>
          <w:szCs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Croatian NIR does not provide any LNG vessel estimate. It presents a target of one LNG terminal that will be used by maritime and road transport from 2020. While the NPF had presented a target of one maritime ref</w:t>
      </w:r>
      <w:r>
        <w:rPr>
          <w:rFonts w:ascii="Times New Roman" w:hAnsi="Times New Roman" w:cs="Times New Roman"/>
          <w:noProof/>
          <w:sz w:val="24"/>
          <w:lang w:val="en-IE"/>
        </w:rPr>
        <w:t xml:space="preserve">uelling point for 2025, and of seven refuelling points in maritime ports and two in inland ports in 2030, the NIR does not provide any targets in that aspect.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45"/>
        </w:numPr>
        <w:tabs>
          <w:tab w:val="left" w:pos="0"/>
        </w:tabs>
        <w:spacing w:after="160" w:line="259" w:lineRule="auto"/>
        <w:ind w:left="426" w:hanging="426"/>
        <w:jc w:val="both"/>
        <w:rPr>
          <w:rFonts w:ascii="Times New Roman" w:hAnsi="Times New Roman" w:cs="Times New Roman"/>
          <w:noProof/>
          <w:sz w:val="24"/>
          <w:lang w:val="en-IE"/>
        </w:rPr>
      </w:pPr>
      <w:r>
        <w:rPr>
          <w:rFonts w:ascii="Times New Roman" w:hAnsi="Times New Roman" w:cs="Times New Roman"/>
          <w:b/>
          <w:noProof/>
          <w:sz w:val="24"/>
          <w:lang w:val="en-IE"/>
        </w:rPr>
        <w:t xml:space="preserve">Electricity/Biofuels </w:t>
      </w:r>
      <w:r>
        <w:rPr>
          <w:rFonts w:ascii="Times New Roman" w:hAnsi="Times New Roman" w:cs="Times New Roman"/>
          <w:noProof/>
          <w:sz w:val="24"/>
          <w:lang w:val="en-IE"/>
        </w:rPr>
        <w:t>- The Croatian NIR does not specifically provide targets.</w:t>
      </w:r>
    </w:p>
    <w:p w:rsidR="003C43BF" w:rsidRDefault="003C43BF">
      <w:pPr>
        <w:pStyle w:val="ListParagraph"/>
        <w:spacing w:after="120" w:line="240" w:lineRule="auto"/>
        <w:ind w:left="357"/>
        <w:jc w:val="both"/>
        <w:rPr>
          <w:rFonts w:ascii="Times New Roman" w:hAnsi="Times New Roman" w:cs="Times New Roman"/>
          <w:noProof/>
          <w:sz w:val="28"/>
          <w:szCs w:val="24"/>
          <w:lang w:val="en-IE"/>
        </w:rPr>
      </w:pPr>
    </w:p>
    <w:p w:rsidR="003C43BF" w:rsidRDefault="006C3212">
      <w:pPr>
        <w:pStyle w:val="Text1"/>
        <w:tabs>
          <w:tab w:val="left" w:pos="720"/>
        </w:tabs>
        <w:spacing w:after="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Croatian NIR provides a </w:t>
      </w:r>
      <w:r>
        <w:rPr>
          <w:rFonts w:ascii="Times New Roman" w:hAnsi="Times New Roman" w:cs="Times New Roman"/>
          <w:noProof/>
          <w:sz w:val="24"/>
          <w:lang w:val="en-IE"/>
        </w:rPr>
        <w:t xml:space="preserve">list of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related to road transport and all the major alternative fuels (to a certain degree), </w:t>
      </w:r>
      <w:r>
        <w:rPr>
          <w:rFonts w:ascii="Times New Roman" w:hAnsi="Times New Roman" w:cs="Times New Roman"/>
          <w:iCs/>
          <w:noProof/>
          <w:sz w:val="24"/>
          <w:lang w:val="en-IE"/>
        </w:rPr>
        <w:t>however mostly focusing on electricity and road transport</w:t>
      </w:r>
      <w:r>
        <w:rPr>
          <w:rFonts w:ascii="Times New Roman" w:hAnsi="Times New Roman" w:cs="Times New Roman"/>
          <w:noProof/>
          <w:color w:val="000000" w:themeColor="text1"/>
          <w:sz w:val="24"/>
          <w:lang w:val="en-IE"/>
        </w:rPr>
        <w:t>. Waterborne transport (both maritime and inland) is also covered. Th</w:t>
      </w:r>
      <w:r>
        <w:rPr>
          <w:rFonts w:ascii="Times New Roman" w:hAnsi="Times New Roman" w:cs="Times New Roman"/>
          <w:noProof/>
          <w:color w:val="000000" w:themeColor="text1"/>
          <w:sz w:val="24"/>
          <w:lang w:val="en-IE"/>
        </w:rPr>
        <w:t>e portfolio consists of a total of 33 assessable measures addressing several, but not all, provisions of the Annex 1 of the Directive. A significant number of the measures in place target either AFV public procurement, national co-funding scheme for electr</w:t>
      </w:r>
      <w:r>
        <w:rPr>
          <w:rFonts w:ascii="Times New Roman" w:hAnsi="Times New Roman" w:cs="Times New Roman"/>
          <w:noProof/>
          <w:color w:val="000000" w:themeColor="text1"/>
          <w:sz w:val="24"/>
          <w:lang w:val="en-IE"/>
        </w:rPr>
        <w:t xml:space="preserve">icity, or recharging infrastructure deployment. Furthermore, the Croatian government emphasises two general measures with dedicated budget addressing the deployment of AFI and AFV until 2030. These measures provide significant budget and aim to reach 2030 </w:t>
      </w:r>
      <w:r>
        <w:rPr>
          <w:rFonts w:ascii="Times New Roman" w:hAnsi="Times New Roman" w:cs="Times New Roman"/>
          <w:noProof/>
          <w:color w:val="000000" w:themeColor="text1"/>
          <w:sz w:val="24"/>
          <w:lang w:val="en-IE"/>
        </w:rPr>
        <w:t xml:space="preserve">target set by the Croatian energy and climate plan. Concerning the Policy and Deployment &amp; Manufacturing measures, seven clusters were identified, of which five were assessable. </w:t>
      </w:r>
      <w:r>
        <w:rPr>
          <w:rFonts w:ascii="Times New Roman" w:hAnsi="Times New Roman" w:cs="Times New Roman"/>
          <w:iCs/>
          <w:noProof/>
          <w:sz w:val="24"/>
          <w:lang w:val="en-IE"/>
        </w:rPr>
        <w:t>In terms of expected impact of these measures to support the realisation of th</w:t>
      </w:r>
      <w:r>
        <w:rPr>
          <w:rFonts w:ascii="Times New Roman" w:hAnsi="Times New Roman" w:cs="Times New Roman"/>
          <w:iCs/>
          <w:noProof/>
          <w:sz w:val="24"/>
          <w:lang w:val="en-IE"/>
        </w:rPr>
        <w:t>e AFV/AFI objectives as presented in the NPF and revised in the NIR, the partial or total lack of future targets and estimates does not allow putting this assessment into perspective. Based on the impact seen during the implementation period, it can be sai</w:t>
      </w:r>
      <w:r>
        <w:rPr>
          <w:rFonts w:ascii="Times New Roman" w:hAnsi="Times New Roman" w:cs="Times New Roman"/>
          <w:iCs/>
          <w:noProof/>
          <w:sz w:val="24"/>
          <w:lang w:val="en-IE"/>
        </w:rPr>
        <w:t>d that future measures for the pair electricity/road might have a high impact, those for the pairs CNG/road, LNG/road, LNG/water-maritime and hydrogen/road might have a medium impact.</w:t>
      </w:r>
    </w:p>
    <w:p w:rsidR="003C43BF" w:rsidRDefault="006C3212">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There are four RTD&amp;D measures addressing the research for AFs, in partic</w:t>
      </w:r>
      <w:r>
        <w:rPr>
          <w:rFonts w:ascii="Times New Roman" w:hAnsi="Times New Roman" w:cs="Times New Roman"/>
          <w:noProof/>
          <w:sz w:val="24"/>
          <w:lang w:val="en-IE"/>
        </w:rPr>
        <w:t xml:space="preserve">ular advanced biofuels production in Croatia, showing a positive ambition towards a national target of 3.5% biofuels production from the domestic feedstock. </w:t>
      </w:r>
    </w:p>
    <w:p w:rsidR="003C43BF" w:rsidRDefault="003C43BF">
      <w:pPr>
        <w:rPr>
          <w:rFonts w:ascii="Times New Roman" w:hAnsi="Times New Roman" w:cs="Times New Roman"/>
          <w:b/>
          <w:noProof/>
          <w:color w:val="0070C0"/>
          <w:sz w:val="24"/>
          <w:szCs w:val="24"/>
          <w:lang w:val="en-IE"/>
        </w:rPr>
      </w:pPr>
    </w:p>
    <w:p w:rsidR="003C43BF" w:rsidRDefault="006C3212">
      <w:pPr>
        <w:pStyle w:val="Heading3"/>
        <w:rPr>
          <w:rFonts w:ascii="Times New Roman" w:hAnsi="Times New Roman" w:cs="Times New Roman"/>
          <w:noProof/>
          <w:sz w:val="24"/>
          <w:lang w:val="en-IE"/>
        </w:rPr>
      </w:pPr>
      <w:bookmarkStart w:id="298" w:name="_Toc56944186"/>
      <w:r>
        <w:rPr>
          <w:rFonts w:ascii="Times New Roman" w:hAnsi="Times New Roman" w:cs="Times New Roman"/>
          <w:noProof/>
          <w:sz w:val="24"/>
          <w:lang w:val="en-IE"/>
        </w:rPr>
        <w:t>Final remarks</w:t>
      </w:r>
      <w:bookmarkEnd w:id="298"/>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Croatian NIR provides a rather limited report on the efforts to implement the </w:t>
      </w:r>
      <w:r>
        <w:rPr>
          <w:rFonts w:ascii="Times New Roman" w:hAnsi="Times New Roman" w:cs="Times New Roman"/>
          <w:noProof/>
          <w:sz w:val="24"/>
          <w:lang w:val="en-IE"/>
        </w:rPr>
        <w:t>Directive. It partially meets the requirements of Annex I to the Directive and lacks information regarding vehicles and vessel estimates while providing infrastructure targets for road transport with regard to electricity, natural gas and hydrogen for 2020</w:t>
      </w:r>
      <w:r>
        <w:rPr>
          <w:rFonts w:ascii="Times New Roman" w:hAnsi="Times New Roman" w:cs="Times New Roman"/>
          <w:noProof/>
          <w:sz w:val="24"/>
          <w:lang w:val="en-IE"/>
        </w:rPr>
        <w:t>. In terms of measures, the Croatian NIR provides a rather comprehensive portfolio related to road transports, however mostly focusing on electricity. Waterborne maritime transport is also covered, but in a more discrete manner, while waterborne inland tra</w:t>
      </w:r>
      <w:r>
        <w:rPr>
          <w:rFonts w:ascii="Times New Roman" w:hAnsi="Times New Roman" w:cs="Times New Roman"/>
          <w:noProof/>
          <w:sz w:val="24"/>
          <w:lang w:val="en-IE"/>
        </w:rPr>
        <w:t>nsport is not covered. With regard to air transport, Croatia announces the elaboration of a plan to decarbonise air transport. In future reports, Croatia should strengthen information on targets and measures promoting uptake of zero-emission vehicles infra</w:t>
      </w:r>
      <w:r>
        <w:rPr>
          <w:rFonts w:ascii="Times New Roman" w:hAnsi="Times New Roman" w:cs="Times New Roman"/>
          <w:noProof/>
          <w:sz w:val="24"/>
          <w:lang w:val="en-IE"/>
        </w:rPr>
        <w:t>structures. The targets for the required coverage of publicly accessible infrastructure need to be established, where the number of alternative fuels vehicles and infrastructure are adequately quantified and reported for the different modes of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w:t>
      </w:r>
      <w:r>
        <w:rPr>
          <w:rFonts w:ascii="Times New Roman" w:hAnsi="Times New Roman" w:cs="Times New Roman"/>
          <w:noProof/>
          <w:sz w:val="24"/>
          <w:lang w:val="en-IE"/>
        </w:rPr>
        <w:t>egarding electricity, Croatia recorded 792 battery-electric and plug-in hybrid electric vehicles in use in 2018. The NIR does not estimate the electric vehicles for any vehicle category for the target years of 2020, 2025 and 2030. As for infrastructure, Cr</w:t>
      </w:r>
      <w:r>
        <w:rPr>
          <w:rFonts w:ascii="Times New Roman" w:hAnsi="Times New Roman" w:cs="Times New Roman"/>
          <w:noProof/>
          <w:sz w:val="24"/>
          <w:lang w:val="en-IE"/>
        </w:rPr>
        <w:t xml:space="preserve">oatia recorded 315 publicly accessible recharging points in 2018. The NPF had set targets for 2020, 2025 and 2030, but the NIR does not mention any targets for 2025 and 2030. Croatia has considerably increased its ambitions for 2020 in the NIR compared to </w:t>
      </w:r>
      <w:r>
        <w:rPr>
          <w:rFonts w:ascii="Times New Roman" w:hAnsi="Times New Roman" w:cs="Times New Roman"/>
          <w:noProof/>
          <w:sz w:val="24"/>
          <w:lang w:val="en-IE"/>
        </w:rPr>
        <w:t>the NPF, but the lack of data prevents the assessment of ambition for 2030. Croatia should provide more information in future reporting in this regard. No information on charging efficiency is provided. Concerning waterborne transport, Croatia reported two</w:t>
      </w:r>
      <w:r>
        <w:rPr>
          <w:rFonts w:ascii="Times New Roman" w:hAnsi="Times New Roman" w:cs="Times New Roman"/>
          <w:noProof/>
          <w:sz w:val="24"/>
          <w:lang w:val="en-IE"/>
        </w:rPr>
        <w:t xml:space="preserve"> electric vessels in service in 2018 used for touristic purposes and one electric seagoing ship. No specific targets nor information on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are provided for the target years of 2025 and 2030. However, a measure conveys the intenti</w:t>
      </w:r>
      <w:r>
        <w:rPr>
          <w:rFonts w:ascii="Times New Roman" w:hAnsi="Times New Roman" w:cs="Times New Roman"/>
          <w:noProof/>
          <w:sz w:val="24"/>
          <w:lang w:val="en-IE"/>
        </w:rPr>
        <w:t>on to promote different alternative fuel propulsion systems both in maritime and inland waterways by 2030, including electricity supply. The NIR does neither provide information on the supply of electricity to stationary aircraft nor on the further electri</w:t>
      </w:r>
      <w:r>
        <w:rPr>
          <w:rFonts w:ascii="Times New Roman" w:hAnsi="Times New Roman" w:cs="Times New Roman"/>
          <w:noProof/>
          <w:sz w:val="24"/>
          <w:lang w:val="en-IE"/>
        </w:rPr>
        <w:t xml:space="preserve">fication of railways.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For hydrogen, the NIR does not report any information on existing or future deployment of FCHVs. It reports one hydrogen refuelling point for 2018 and another one planned for 2020. Although hydrogen is not binding under the Directive</w:t>
      </w:r>
      <w:r>
        <w:rPr>
          <w:rFonts w:ascii="Times New Roman" w:hAnsi="Times New Roman" w:cs="Times New Roman"/>
          <w:noProof/>
          <w:sz w:val="24"/>
          <w:lang w:val="en-IE"/>
        </w:rPr>
        <w:t>, it would be relevant that Croatia provides more information on how to ensure EU-wide connectivity for HCEV.</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Croatia reported 338 CNG vehicles in use in 2018, without estimates in the NIR nor in the NPF for 2020, 2025 and 2030. In terms of infrastructure,</w:t>
      </w:r>
      <w:r>
        <w:rPr>
          <w:rFonts w:ascii="Times New Roman" w:hAnsi="Times New Roman" w:cs="Times New Roman"/>
          <w:noProof/>
          <w:sz w:val="24"/>
          <w:lang w:val="en-IE"/>
        </w:rPr>
        <w:t xml:space="preserve"> the NIR indicates that two publicly accessible CNG refuelling points were in use in 2018 and sets a target of three CNG publicly accessible refuelling points for 2020. The NIR does not set targets for 2025 or 2030 and shows a decreased ambition in compari</w:t>
      </w:r>
      <w:r>
        <w:rPr>
          <w:rFonts w:ascii="Times New Roman" w:hAnsi="Times New Roman" w:cs="Times New Roman"/>
          <w:noProof/>
          <w:sz w:val="24"/>
          <w:lang w:val="en-IE"/>
        </w:rPr>
        <w:t>son to the NPF. Regarding LNG, the NIR does not contain information on vehicle and vessels estimates nor on infrastructure. For 2020, the NIR only foresees one LNG refuelling point. In this respect, Croatia needs to provide further information on its futur</w:t>
      </w:r>
      <w:r>
        <w:rPr>
          <w:rFonts w:ascii="Times New Roman" w:hAnsi="Times New Roman" w:cs="Times New Roman"/>
          <w:noProof/>
          <w:sz w:val="24"/>
          <w:lang w:val="en-IE"/>
        </w:rPr>
        <w:t>e planning.</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On LPG, Croatia reported 61,558 vehicles and 557 refuelling points in 2018. No future vehicle estimates or infrastructure targets were provided.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Further information should be provided on the consumption of biofuels in road and air transport. Cr</w:t>
      </w:r>
      <w:r>
        <w:rPr>
          <w:rFonts w:ascii="Times New Roman" w:hAnsi="Times New Roman" w:cs="Times New Roman"/>
          <w:noProof/>
          <w:sz w:val="24"/>
          <w:lang w:val="en-IE"/>
        </w:rPr>
        <w:t>oatia should provide more information in future reporting on efforts to promote the use of renewable fuels in transport, and particularly in aviation.</w:t>
      </w:r>
    </w:p>
    <w:p w:rsidR="003C43BF" w:rsidRDefault="003C43BF">
      <w:pPr>
        <w:jc w:val="both"/>
        <w:rPr>
          <w:rFonts w:ascii="Times New Roman" w:hAnsi="Times New Roman" w:cs="Times New Roman"/>
          <w:noProof/>
          <w:lang w:val="en-IE"/>
        </w:rPr>
      </w:pPr>
    </w:p>
    <w:p w:rsidR="003C43BF" w:rsidRDefault="006C3212">
      <w:pPr>
        <w:rPr>
          <w:rFonts w:ascii="Times New Roman" w:hAnsi="Times New Roman" w:cs="Times New Roman"/>
          <w:noProof/>
          <w:lang w:val="en-IE"/>
        </w:rPr>
      </w:pPr>
      <w:r>
        <w:rPr>
          <w:rFonts w:ascii="Times New Roman" w:hAnsi="Times New Roman" w:cs="Times New Roman"/>
          <w:noProof/>
          <w:lang w:val="en-IE"/>
        </w:rPr>
        <w:br w:type="page"/>
      </w:r>
    </w:p>
    <w:p w:rsidR="003C43BF" w:rsidRDefault="006C3212">
      <w:pPr>
        <w:pStyle w:val="Heading3"/>
        <w:ind w:left="720"/>
        <w:rPr>
          <w:rFonts w:ascii="Times New Roman" w:hAnsi="Times New Roman" w:cs="Times New Roman"/>
          <w:noProof/>
          <w:sz w:val="24"/>
          <w:lang w:val="en-IE"/>
        </w:rPr>
      </w:pPr>
      <w:bookmarkStart w:id="299" w:name="_Toc55301874"/>
      <w:bookmarkStart w:id="300" w:name="_Toc56944187"/>
      <w:r>
        <w:rPr>
          <w:rFonts w:ascii="Times New Roman" w:hAnsi="Times New Roman" w:cs="Times New Roman"/>
          <w:noProof/>
          <w:sz w:val="24"/>
          <w:lang w:val="en-IE"/>
        </w:rPr>
        <w:t>ANNEX - Description of the Member State</w:t>
      </w:r>
      <w:bookmarkEnd w:id="299"/>
      <w:bookmarkEnd w:id="300"/>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56,600 km², Croatia has a population of 4</w:t>
      </w:r>
      <w:r>
        <w:rPr>
          <w:rFonts w:ascii="Times New Roman" w:hAnsi="Times New Roman" w:cs="Times New Roman"/>
          <w:noProof/>
          <w:color w:val="000000" w:themeColor="text1"/>
          <w:sz w:val="24"/>
          <w:lang w:val="en-IE"/>
        </w:rPr>
        <w:t>.105 million people in 2018, which makes up for a population density of 73 inhabitants/km².</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7 urban agglomerations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Croatia achieves a per capita gross domestic product at market prices of </w:t>
      </w:r>
      <w:r>
        <w:rPr>
          <w:rFonts w:ascii="Times New Roman" w:hAnsi="Times New Roman" w:cs="Times New Roman"/>
          <w:noProof/>
          <w:sz w:val="24"/>
          <w:lang w:val="en-IE"/>
        </w:rPr>
        <w:t xml:space="preserve">€12,620, which represents a per capita gross domestic product in purchasing power standards of 63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Croatia is 1,107 km.</w:t>
      </w:r>
      <w:r>
        <w:rPr>
          <w:rFonts w:ascii="Times New Roman" w:hAnsi="Times New Roman" w:cs="Times New Roman"/>
          <w:noProof/>
          <w:sz w:val="24"/>
          <w:lang w:val="en-IE"/>
        </w:rPr>
        <w:t xml:space="preserve"> The total road network length is 17,800 km, of which 1,310 km are motorways.</w:t>
      </w:r>
    </w:p>
    <w:p w:rsidR="003C43BF" w:rsidRDefault="006C3212">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Croatia: 6% (315 km) of the Mediterranean Corridor.</w:t>
      </w:r>
    </w:p>
    <w:p w:rsidR="003C43BF" w:rsidRDefault="006C3212">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 xml:space="preserve">Through the TEN-T Road Corridors, Croatia is connected with </w:t>
      </w:r>
      <w:r>
        <w:rPr>
          <w:rFonts w:ascii="Times New Roman" w:hAnsi="Times New Roman" w:cs="Times New Roman"/>
          <w:noProof/>
          <w:sz w:val="24"/>
          <w:lang w:val="en-IE"/>
        </w:rPr>
        <w:t>the following Member States:</w:t>
      </w:r>
      <w:r>
        <w:rPr>
          <w:rFonts w:ascii="Times New Roman" w:hAnsi="Times New Roman" w:cs="Times New Roman"/>
          <w:noProof/>
          <w:sz w:val="24"/>
          <w:lang w:val="en-IE"/>
        </w:rPr>
        <w:br/>
        <w:t xml:space="preserve">- Hungary (through the Mediterranean Corridor), </w:t>
      </w:r>
      <w:r>
        <w:rPr>
          <w:rFonts w:ascii="Times New Roman" w:hAnsi="Times New Roman" w:cs="Times New Roman"/>
          <w:noProof/>
          <w:sz w:val="24"/>
          <w:lang w:val="en-IE"/>
        </w:rPr>
        <w:br/>
        <w:t>- Slovenia (through the Mediterranean Corridor)</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Croatia accounts for 2,007,817 registered road vehicles of which 1,666,413</w:t>
      </w:r>
      <w:r>
        <w:rPr>
          <w:rFonts w:ascii="Times New Roman" w:hAnsi="Times New Roman" w:cs="Times New Roman"/>
          <w:noProof/>
          <w:sz w:val="24"/>
          <w:lang w:val="en-IE"/>
        </w:rPr>
        <w:t xml:space="preserve"> are categorized as passenger cars, 137,049 as light goods vehicles, 44,355 as heavy goods vehicles and 5,700 as buses and coaches. The motorisation rate is 406 passenger cars per 1,000 inhabitants.</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 maritime por</w:t>
      </w:r>
      <w:r>
        <w:rPr>
          <w:rFonts w:ascii="Times New Roman" w:hAnsi="Times New Roman" w:cs="Times New Roman"/>
          <w:noProof/>
          <w:sz w:val="24"/>
          <w:lang w:val="en-IE"/>
        </w:rPr>
        <w:t>t in the TEN-T Core Network (Rijeka)</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6 maritime ports in the TEN-T Comprehensive Network</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inland ports in the TEN-T Core Network (Slavonski Brod, Vukovar)</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inland ports in the TEN-T Comprehensive Network</w:t>
      </w:r>
    </w:p>
    <w:p w:rsidR="003C43BF" w:rsidRDefault="003C43BF">
      <w:pPr>
        <w:pStyle w:val="Text1"/>
        <w:spacing w:after="0"/>
        <w:ind w:left="714"/>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Through the 541 km inland waterways TEN-T Core Ne</w:t>
      </w:r>
      <w:r>
        <w:rPr>
          <w:rFonts w:ascii="Times New Roman" w:hAnsi="Times New Roman" w:cs="Times New Roman"/>
          <w:noProof/>
          <w:sz w:val="24"/>
          <w:lang w:val="en-IE"/>
        </w:rPr>
        <w:t xml:space="preserve">twork, Croatia is connected with Hungary by the Rhine – Danube Corridor. </w:t>
      </w:r>
    </w:p>
    <w:p w:rsidR="003C43BF" w:rsidRDefault="006C3212">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 airport in the TEN-T Core Network (Zagreb)</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6 airports in the TEN-T Comprehensive Network</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301" w:name="_Toc55301875"/>
      <w:bookmarkStart w:id="302" w:name="_Toc56944188"/>
      <w:r>
        <w:rPr>
          <w:rFonts w:ascii="Times New Roman" w:hAnsi="Times New Roman" w:cs="Times New Roman"/>
          <w:noProof/>
          <w:sz w:val="24"/>
          <w:lang w:val="en-IE"/>
        </w:rPr>
        <w:t>Italy (IT)</w:t>
      </w:r>
      <w:bookmarkEnd w:id="301"/>
      <w:bookmarkEnd w:id="302"/>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The Italian NIR was not notified</w:t>
      </w:r>
      <w:r>
        <w:rPr>
          <w:rFonts w:ascii="Times New Roman" w:hAnsi="Times New Roman" w:cs="Times New Roman"/>
          <w:noProof/>
          <w:sz w:val="24"/>
          <w:lang w:val="en-IE"/>
        </w:rPr>
        <w:t xml:space="preserve"> to the Commission on time and was thus not assessed.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303" w:name="_Toc55301876"/>
      <w:bookmarkStart w:id="304" w:name="_Toc56944189"/>
      <w:r>
        <w:rPr>
          <w:rFonts w:ascii="Times New Roman" w:hAnsi="Times New Roman" w:cs="Times New Roman"/>
          <w:noProof/>
          <w:sz w:val="24"/>
          <w:lang w:val="en-IE"/>
        </w:rPr>
        <w:t>Cyprus (CY)</w:t>
      </w:r>
      <w:bookmarkEnd w:id="303"/>
      <w:bookmarkEnd w:id="304"/>
    </w:p>
    <w:p w:rsidR="003C43BF" w:rsidRDefault="006C3212">
      <w:pPr>
        <w:pStyle w:val="Heading3"/>
        <w:ind w:left="720"/>
        <w:rPr>
          <w:rFonts w:ascii="Times New Roman" w:hAnsi="Times New Roman" w:cs="Times New Roman"/>
          <w:noProof/>
          <w:sz w:val="24"/>
          <w:lang w:val="en-IE"/>
        </w:rPr>
      </w:pPr>
      <w:bookmarkStart w:id="305" w:name="_Toc55301877"/>
      <w:bookmarkStart w:id="306" w:name="_Toc56944190"/>
      <w:r>
        <w:rPr>
          <w:rFonts w:ascii="Times New Roman" w:hAnsi="Times New Roman" w:cs="Times New Roman"/>
          <w:noProof/>
          <w:sz w:val="24"/>
          <w:lang w:val="en-IE"/>
        </w:rPr>
        <w:t xml:space="preserve">Main messages from the </w:t>
      </w:r>
      <w:bookmarkEnd w:id="305"/>
      <w:bookmarkEnd w:id="306"/>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In its original assessment of the Cypriot NPF the Commission concluded: </w:t>
      </w:r>
    </w:p>
    <w:p w:rsidR="003C43BF" w:rsidRDefault="006C3212">
      <w:pPr>
        <w:tabs>
          <w:tab w:val="left" w:pos="2160"/>
        </w:tabs>
        <w:spacing w:after="200" w:line="276" w:lineRule="auto"/>
        <w:jc w:val="both"/>
        <w:rPr>
          <w:rFonts w:ascii="Times New Roman" w:eastAsia="Calibri" w:hAnsi="Times New Roman" w:cs="Times New Roman"/>
          <w:i/>
          <w:noProof/>
          <w:color w:val="000000"/>
          <w:sz w:val="24"/>
          <w:lang w:val="en-IE"/>
        </w:rPr>
      </w:pPr>
      <w:r>
        <w:rPr>
          <w:rFonts w:ascii="Times New Roman" w:eastAsia="Calibri" w:hAnsi="Times New Roman" w:cs="Times New Roman"/>
          <w:i/>
          <w:noProof/>
          <w:color w:val="000000"/>
          <w:sz w:val="24"/>
          <w:lang w:val="en-IE"/>
        </w:rPr>
        <w:t xml:space="preserve">From the Cyprus NPF, it is transparent that alternative fuels are at an early deployment stage in Cyprus. </w:t>
      </w:r>
      <w:r>
        <w:rPr>
          <w:rFonts w:ascii="Times New Roman" w:eastAsia="Calibri" w:hAnsi="Times New Roman" w:cs="Times New Roman"/>
          <w:i/>
          <w:noProof/>
          <w:sz w:val="24"/>
          <w:lang w:val="en-IE"/>
        </w:rPr>
        <w:t xml:space="preserve">The Cyprus NPF addresses only a small part of the requirements of Article 3 of the Directive, mainly electro-mobility. </w:t>
      </w:r>
      <w:r>
        <w:rPr>
          <w:rFonts w:ascii="Times New Roman" w:eastAsia="Calibri" w:hAnsi="Times New Roman" w:cs="Times New Roman"/>
          <w:i/>
          <w:noProof/>
          <w:color w:val="000000"/>
          <w:sz w:val="24"/>
          <w:lang w:val="en-IE"/>
        </w:rPr>
        <w:t xml:space="preserve">For the future development and </w:t>
      </w:r>
      <w:r>
        <w:rPr>
          <w:rFonts w:ascii="Times New Roman" w:eastAsia="Calibri" w:hAnsi="Times New Roman" w:cs="Times New Roman"/>
          <w:i/>
          <w:noProof/>
          <w:color w:val="000000"/>
          <w:sz w:val="24"/>
          <w:lang w:val="en-IE"/>
        </w:rPr>
        <w:t>further penetration of alternative fuels in transport, a study entitled ‘Technical Assistance in order to assess and formulate recommendations for the promotion and penetration of alternative fuels in the transport sector’ has been commissioned. The purpos</w:t>
      </w:r>
      <w:r>
        <w:rPr>
          <w:rFonts w:ascii="Times New Roman" w:eastAsia="Calibri" w:hAnsi="Times New Roman" w:cs="Times New Roman"/>
          <w:i/>
          <w:noProof/>
          <w:color w:val="000000"/>
          <w:sz w:val="24"/>
          <w:lang w:val="en-IE"/>
        </w:rPr>
        <w:t>e of the ongoing study is to present a comprehensive proposal regarding future penetration scenarios for various alternative fuels in the transport sector in Cyprus, as well as promotion policies and measures, taking account of the specific characteristics</w:t>
      </w:r>
      <w:r>
        <w:rPr>
          <w:rFonts w:ascii="Times New Roman" w:eastAsia="Calibri" w:hAnsi="Times New Roman" w:cs="Times New Roman"/>
          <w:i/>
          <w:noProof/>
          <w:color w:val="000000"/>
          <w:sz w:val="24"/>
          <w:lang w:val="en-IE"/>
        </w:rPr>
        <w:t xml:space="preserve"> of Cyprus, to achieve the climate and energy targets related to the transport sector.</w:t>
      </w:r>
    </w:p>
    <w:p w:rsidR="003C43BF" w:rsidRDefault="006C3212">
      <w:pPr>
        <w:tabs>
          <w:tab w:val="left" w:pos="2160"/>
        </w:tabs>
        <w:spacing w:after="200" w:line="276" w:lineRule="auto"/>
        <w:jc w:val="both"/>
        <w:rPr>
          <w:rFonts w:ascii="Times New Roman" w:eastAsia="Calibri" w:hAnsi="Times New Roman" w:cs="Times New Roman"/>
          <w:i/>
          <w:noProof/>
          <w:color w:val="000000"/>
          <w:sz w:val="24"/>
          <w:lang w:val="en-IE"/>
        </w:rPr>
      </w:pPr>
      <w:r>
        <w:rPr>
          <w:rFonts w:ascii="Times New Roman" w:eastAsia="Calibri" w:hAnsi="Times New Roman" w:cs="Times New Roman"/>
          <w:i/>
          <w:noProof/>
          <w:sz w:val="24"/>
          <w:lang w:val="en-IE"/>
        </w:rPr>
        <w:t>In the case of electricity for road transport, which constitutes the focus of the Cyprus NPF, the requirements of the Directive were fulfilled and details were given abo</w:t>
      </w:r>
      <w:r>
        <w:rPr>
          <w:rFonts w:ascii="Times New Roman" w:eastAsia="Calibri" w:hAnsi="Times New Roman" w:cs="Times New Roman"/>
          <w:i/>
          <w:noProof/>
          <w:sz w:val="24"/>
          <w:lang w:val="en-IE"/>
        </w:rPr>
        <w:t>ut the targeted recharging infrastructure for 2020 in terms of number and placement. Even though the future estimates of electric vehicle stock are rather modest, being situated in the range of 0.02% to 0.32% of the future vehicle stock, the proposed set o</w:t>
      </w:r>
      <w:r>
        <w:rPr>
          <w:rFonts w:ascii="Times New Roman" w:eastAsia="Calibri" w:hAnsi="Times New Roman" w:cs="Times New Roman"/>
          <w:i/>
          <w:noProof/>
          <w:sz w:val="24"/>
          <w:lang w:val="en-IE"/>
        </w:rPr>
        <w:t xml:space="preserve">f measures can support reaching the declared objectives since it was evaluated as being comprehensive and having a medium assessment score. </w:t>
      </w:r>
      <w:r>
        <w:rPr>
          <w:rFonts w:ascii="Times New Roman" w:eastAsia="Calibri" w:hAnsi="Times New Roman" w:cs="Times New Roman"/>
          <w:i/>
          <w:noProof/>
          <w:color w:val="000000"/>
          <w:sz w:val="24"/>
          <w:lang w:val="en-IE"/>
        </w:rPr>
        <w:t>In the case of electricity supply at airports and shore-side supply in its maritime ports, the Cypriot authorities a</w:t>
      </w:r>
      <w:r>
        <w:rPr>
          <w:rFonts w:ascii="Times New Roman" w:eastAsia="Calibri" w:hAnsi="Times New Roman" w:cs="Times New Roman"/>
          <w:i/>
          <w:noProof/>
          <w:color w:val="000000"/>
          <w:sz w:val="24"/>
          <w:lang w:val="en-IE"/>
        </w:rPr>
        <w:t>re currently examining the situation and studies are carried out. The decision of setting targets and support measures is foreseen for the future.</w:t>
      </w:r>
    </w:p>
    <w:p w:rsidR="003C43BF" w:rsidRDefault="006C3212">
      <w:pPr>
        <w:tabs>
          <w:tab w:val="left" w:pos="2160"/>
        </w:tabs>
        <w:spacing w:after="200" w:line="276" w:lineRule="auto"/>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Besides electro-mobility, the national strategy for the other alternative fuels is briefly or inadequately tr</w:t>
      </w:r>
      <w:r>
        <w:rPr>
          <w:rFonts w:ascii="Times New Roman" w:eastAsia="Calibri" w:hAnsi="Times New Roman" w:cs="Times New Roman"/>
          <w:i/>
          <w:noProof/>
          <w:sz w:val="24"/>
          <w:lang w:val="en-IE"/>
        </w:rPr>
        <w:t>eated in the Cyprus NPF, being dependent on the results of currently ongoing studies. For CNG and LNG fuels, the NPF contains neither future estimates for vehicles nor targets for refuelling infrastructure. The lack of ambition for natural gas can be parti</w:t>
      </w:r>
      <w:r>
        <w:rPr>
          <w:rFonts w:ascii="Times New Roman" w:eastAsia="Calibri" w:hAnsi="Times New Roman" w:cs="Times New Roman"/>
          <w:i/>
          <w:noProof/>
          <w:sz w:val="24"/>
          <w:lang w:val="en-IE"/>
        </w:rPr>
        <w:t xml:space="preserve">ally explained by the small market size in Cyprus and the lack of interconnections with other natural gas networks. However, the Cypriot NPF declares intentions to foster LNG use in maritime transport, also in cooperation with Greece and Italy </w:t>
      </w:r>
    </w:p>
    <w:p w:rsidR="003C43BF" w:rsidRDefault="006C3212">
      <w:pPr>
        <w:tabs>
          <w:tab w:val="left" w:pos="2160"/>
        </w:tabs>
        <w:spacing w:after="200" w:line="276" w:lineRule="auto"/>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 xml:space="preserve">The Cyprus </w:t>
      </w:r>
      <w:r>
        <w:rPr>
          <w:rFonts w:ascii="Times New Roman" w:eastAsia="Calibri" w:hAnsi="Times New Roman" w:cs="Times New Roman"/>
          <w:i/>
          <w:noProof/>
          <w:sz w:val="24"/>
          <w:lang w:val="en-IE"/>
        </w:rPr>
        <w:t>NPF does not contain any targets for hydrogen in transport.</w:t>
      </w:r>
    </w:p>
    <w:p w:rsidR="003C43BF" w:rsidRDefault="006C3212">
      <w:pPr>
        <w:tabs>
          <w:tab w:val="left" w:pos="2160"/>
        </w:tabs>
        <w:spacing w:after="200" w:line="276" w:lineRule="auto"/>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The Cyprus NPF contains a medium size portfolio of support measures, many being currently discussed and planned and receiving in consequence the status ‘under consideration’. The majority of the p</w:t>
      </w:r>
      <w:r>
        <w:rPr>
          <w:rFonts w:ascii="Times New Roman" w:eastAsia="Calibri" w:hAnsi="Times New Roman" w:cs="Times New Roman"/>
          <w:i/>
          <w:noProof/>
          <w:sz w:val="24"/>
          <w:lang w:val="en-IE"/>
        </w:rPr>
        <w:t>roposed measures necessary to ensure national targets concern electricity for road transport, this cluster that contains 7 assessable measures received a medium overall assessment score. The use of alternative fuels for public transport activity is too vag</w:t>
      </w:r>
      <w:r>
        <w:rPr>
          <w:rFonts w:ascii="Times New Roman" w:eastAsia="Calibri" w:hAnsi="Times New Roman" w:cs="Times New Roman"/>
          <w:i/>
          <w:noProof/>
          <w:sz w:val="24"/>
          <w:lang w:val="en-IE"/>
        </w:rPr>
        <w:t>uely addressed and additional concrete details would have been desirable.</w:t>
      </w:r>
    </w:p>
    <w:p w:rsidR="003C43BF" w:rsidRDefault="006C3212">
      <w:pPr>
        <w:tabs>
          <w:tab w:val="left" w:pos="2160"/>
        </w:tabs>
        <w:spacing w:after="200" w:line="276" w:lineRule="auto"/>
        <w:jc w:val="both"/>
        <w:rPr>
          <w:rFonts w:ascii="Times New Roman" w:eastAsia="Calibri" w:hAnsi="Times New Roman" w:cs="Times New Roman"/>
          <w:i/>
          <w:noProof/>
          <w:sz w:val="24"/>
          <w:lang w:val="en-IE"/>
        </w:rPr>
      </w:pPr>
      <w:r>
        <w:rPr>
          <w:rFonts w:ascii="Times New Roman" w:eastAsia="Calibri" w:hAnsi="Times New Roman" w:cs="Times New Roman"/>
          <w:i/>
          <w:noProof/>
          <w:sz w:val="24"/>
          <w:lang w:val="en-IE"/>
        </w:rPr>
        <w:t>Regarding the cooperation with other Member States, the NPF states that Cyprus cooperates with Greece and Italy in the frame of the EU funded POSEIDON-MED ΙΙ LNG project. A study reg</w:t>
      </w:r>
      <w:r>
        <w:rPr>
          <w:rFonts w:ascii="Times New Roman" w:eastAsia="Calibri" w:hAnsi="Times New Roman" w:cs="Times New Roman"/>
          <w:i/>
          <w:noProof/>
          <w:sz w:val="24"/>
          <w:lang w:val="en-IE"/>
        </w:rPr>
        <w:t>arding the future deployment and placement of LNG refuelling infrastructure at Cypriot ports will be carried out within this project.</w:t>
      </w:r>
    </w:p>
    <w:p w:rsidR="003C43BF" w:rsidRDefault="006C3212">
      <w:pPr>
        <w:pStyle w:val="Heading3"/>
        <w:spacing w:after="120" w:line="240" w:lineRule="auto"/>
        <w:ind w:left="720"/>
        <w:rPr>
          <w:rFonts w:ascii="Times New Roman" w:hAnsi="Times New Roman" w:cs="Times New Roman"/>
          <w:noProof/>
          <w:color w:val="000000" w:themeColor="text1"/>
          <w:sz w:val="24"/>
          <w:lang w:val="en-IE"/>
        </w:rPr>
      </w:pPr>
      <w:bookmarkStart w:id="307" w:name="_Toc55301878"/>
      <w:bookmarkStart w:id="308" w:name="_Toc56944191"/>
      <w:r>
        <w:rPr>
          <w:rFonts w:ascii="Times New Roman" w:hAnsi="Times New Roman" w:cs="Times New Roman"/>
          <w:noProof/>
          <w:sz w:val="24"/>
          <w:lang w:val="en-IE"/>
        </w:rPr>
        <w:t>Overview of requirements’ fulfilment from Annex I of the Directive</w:t>
      </w:r>
      <w:bookmarkEnd w:id="307"/>
      <w:bookmarkEnd w:id="308"/>
      <w:r>
        <w:rPr>
          <w:rFonts w:ascii="Times New Roman" w:hAnsi="Times New Roman" w:cs="Times New Roman"/>
          <w:noProof/>
          <w:color w:val="000000" w:themeColor="text1"/>
          <w:sz w:val="24"/>
          <w:lang w:val="en-IE"/>
        </w:rPr>
        <w:tab/>
      </w:r>
    </w:p>
    <w:p w:rsidR="003C43BF" w:rsidRDefault="006C3212">
      <w:pPr>
        <w:pStyle w:val="Caption"/>
        <w:keepNext/>
        <w:spacing w:after="60" w:line="240" w:lineRule="auto"/>
        <w:jc w:val="both"/>
        <w:rPr>
          <w:rFonts w:ascii="Times New Roman" w:hAnsi="Times New Roman" w:cs="Times New Roman"/>
          <w:b w:val="0"/>
          <w:i/>
          <w:noProof/>
          <w:sz w:val="20"/>
          <w:szCs w:val="18"/>
          <w:lang w:val="en-IE"/>
        </w:rPr>
      </w:pPr>
      <w:bookmarkStart w:id="309" w:name="_Ref52790821"/>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5.13.2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309"/>
      <w:r>
        <w:rPr>
          <w:rFonts w:ascii="Times New Roman" w:hAnsi="Times New Roman" w:cs="Times New Roman"/>
          <w:b w:val="0"/>
          <w:i/>
          <w:noProof/>
          <w:sz w:val="20"/>
          <w:szCs w:val="18"/>
          <w:lang w:val="en-IE"/>
        </w:rPr>
        <w:t xml:space="preserve"> Checklist Table</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401310" cy="8328025"/>
            <wp:effectExtent l="0" t="0" r="889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1310" cy="8328025"/>
                    </a:xfrm>
                    <a:prstGeom prst="rect">
                      <a:avLst/>
                    </a:prstGeom>
                    <a:noFill/>
                  </pic:spPr>
                </pic:pic>
              </a:graphicData>
            </a:graphic>
          </wp:inline>
        </w:drawing>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checklist shows that only a limited part of the requirements of Annex I from the Directive are covered in the Cypriot NIR.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wel</w:t>
      </w:r>
      <w:r>
        <w:rPr>
          <w:rFonts w:ascii="Times New Roman" w:hAnsi="Times New Roman" w:cs="Times New Roman"/>
          <w:noProof/>
          <w:sz w:val="24"/>
          <w:lang w:val="en-IE"/>
        </w:rPr>
        <w:t>l documented for road transport; CNG, LNG and LPG are covered for road transport only in terms of AFI; shore-side electricity supply is covered for maritime water transport, and also LNG but only in terms of AFI; all the other combinations are either absen</w:t>
      </w:r>
      <w:r>
        <w:rPr>
          <w:rFonts w:ascii="Times New Roman" w:hAnsi="Times New Roman" w:cs="Times New Roman"/>
          <w:noProof/>
          <w:sz w:val="24"/>
          <w:lang w:val="en-IE"/>
        </w:rPr>
        <w:t xml:space="preserve">t or not applicable. </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CY NIR reports around 25 measures. </w:t>
      </w:r>
      <w:r>
        <w:rPr>
          <w:rFonts w:ascii="Times New Roman" w:hAnsi="Times New Roman" w:cs="Times New Roman"/>
          <w:iCs/>
          <w:noProof/>
          <w:sz w:val="24"/>
          <w:lang w:val="en-IE"/>
        </w:rPr>
        <w:t>Under the Policy and Deployment &amp; Manufacturing sections it was possible to identify four AF/transport mode clusters of measures, of which only two were assessable.</w:t>
      </w:r>
    </w:p>
    <w:p w:rsidR="003C43BF" w:rsidRDefault="003C43BF">
      <w:pPr>
        <w:pStyle w:val="Text1"/>
        <w:tabs>
          <w:tab w:val="left" w:pos="720"/>
        </w:tabs>
        <w:spacing w:after="120" w:line="240" w:lineRule="auto"/>
        <w:ind w:left="0"/>
        <w:jc w:val="both"/>
        <w:rPr>
          <w:rFonts w:ascii="Times New Roman" w:hAnsi="Times New Roman" w:cs="Times New Roman"/>
          <w:iCs/>
          <w:noProof/>
          <w:sz w:val="24"/>
          <w:lang w:val="en-IE"/>
        </w:rPr>
      </w:pPr>
    </w:p>
    <w:p w:rsidR="003C43BF" w:rsidRDefault="006C3212">
      <w:pPr>
        <w:pStyle w:val="Heading3"/>
        <w:ind w:left="720"/>
        <w:rPr>
          <w:rFonts w:ascii="Times New Roman" w:hAnsi="Times New Roman" w:cs="Times New Roman"/>
          <w:noProof/>
          <w:sz w:val="24"/>
          <w:lang w:val="fr-BE"/>
        </w:rPr>
      </w:pPr>
      <w:bookmarkStart w:id="310" w:name="_Toc55301879"/>
      <w:bookmarkStart w:id="311" w:name="_Toc55301880"/>
      <w:bookmarkStart w:id="312" w:name="_Toc56944192"/>
      <w:bookmarkEnd w:id="310"/>
      <w:r>
        <w:rPr>
          <w:rFonts w:ascii="Times New Roman" w:hAnsi="Times New Roman" w:cs="Times New Roman"/>
          <w:noProof/>
          <w:sz w:val="24"/>
          <w:lang w:val="fr-BE"/>
        </w:rPr>
        <w:t xml:space="preserve">Quantitative assessment: </w:t>
      </w:r>
      <w:r>
        <w:rPr>
          <w:rFonts w:ascii="Times New Roman" w:hAnsi="Times New Roman" w:cs="Times New Roman"/>
          <w:noProof/>
          <w:sz w:val="24"/>
          <w:lang w:val="fr-BE"/>
        </w:rPr>
        <w:t>Vehicles and infrastructure</w:t>
      </w:r>
      <w:bookmarkEnd w:id="311"/>
      <w:bookmarkEnd w:id="312"/>
      <w:r>
        <w:rPr>
          <w:rFonts w:ascii="Times New Roman" w:hAnsi="Times New Roman" w:cs="Times New Roman"/>
          <w:noProof/>
          <w:sz w:val="24"/>
          <w:lang w:val="fr-BE"/>
        </w:rPr>
        <w:t xml:space="preserve"> </w:t>
      </w:r>
    </w:p>
    <w:p w:rsidR="003C43BF" w:rsidRDefault="006C3212">
      <w:pPr>
        <w:pStyle w:val="Caption"/>
        <w:keepNext/>
        <w:jc w:val="both"/>
        <w:rPr>
          <w:rFonts w:ascii="Times New Roman" w:hAnsi="Times New Roman" w:cs="Times New Roman"/>
          <w:b w:val="0"/>
          <w:i/>
          <w:noProof/>
          <w:sz w:val="20"/>
          <w:szCs w:val="18"/>
          <w:lang w:val="en-IE"/>
        </w:rPr>
      </w:pPr>
      <w:bookmarkStart w:id="313" w:name="_Ref49519980"/>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5.13.3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313"/>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 xml:space="preserve">National AFV estimates and AFI targets established in the NIR at the horizon 2020, 2025 and 2030 and their comparison with the NPF situation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5426075"/>
            <wp:effectExtent l="0" t="0" r="0" b="317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4235" cy="5426075"/>
                    </a:xfrm>
                    <a:prstGeom prst="rect">
                      <a:avLst/>
                    </a:prstGeom>
                    <a:noFill/>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91747" cy="482321"/>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81711" cy="494075"/>
                    </a:xfrm>
                    <a:prstGeom prst="rect">
                      <a:avLst/>
                    </a:prstGeom>
                    <a:noFill/>
                    <a:ln>
                      <a:noFill/>
                    </a:ln>
                  </pic:spPr>
                </pic:pic>
              </a:graphicData>
            </a:graphic>
          </wp:inline>
        </w:drawing>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Cyprus recorded 28 battery-electric and plug-in hybrid electric vehicles in use in 2018 (all of which are passenger cars)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_Ref49519980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5.13.3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and 73 electric powered two wheelers. The CY NIR provides revised estimates for the EVs expected to be registered in 2020, and new estimates for 2025 and 2030 (71, 140 and 700, respectively).</w:t>
      </w:r>
      <w:r>
        <w:rPr>
          <w:rFonts w:ascii="Times New Roman" w:hAnsi="Times New Roman" w:cs="Times New Roman"/>
          <w:noProof/>
          <w:sz w:val="24"/>
          <w:lang w:val="en-IE"/>
        </w:rPr>
        <w:t xml:space="preserve"> Concerning the EV estimates for 2020, the NIR values are 29% lower than the most pessimistic NPF value, where a wide interval of 100-2000 was provided. It is worth mentioning that the NIR also shows estimates for electric powered two-wheelers (100, 200 an</w:t>
      </w:r>
      <w:r>
        <w:rPr>
          <w:rFonts w:ascii="Times New Roman" w:hAnsi="Times New Roman" w:cs="Times New Roman"/>
          <w:noProof/>
          <w:sz w:val="24"/>
          <w:lang w:val="en-IE"/>
        </w:rPr>
        <w:t xml:space="preserve">d 300 respectively for 2020, 2025 and 2030), which were not reported in the NPF. </w:t>
      </w:r>
    </w:p>
    <w:p w:rsidR="003C43BF" w:rsidRDefault="006C3212">
      <w:pPr>
        <w:tabs>
          <w:tab w:val="left" w:pos="360"/>
        </w:tabs>
        <w:jc w:val="both"/>
        <w:rPr>
          <w:rStyle w:val="Heading4Char"/>
          <w:rFonts w:ascii="Times New Roman" w:hAnsi="Times New Roman" w:cs="Times New Roman"/>
          <w:i/>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39.44% for 2020 and 4.00% for 2030. According to the assessment methodology described in Section 2.1, the 2018 situation corresp</w:t>
      </w:r>
      <w:r>
        <w:rPr>
          <w:rFonts w:ascii="Times New Roman" w:hAnsi="Times New Roman" w:cs="Times New Roman"/>
          <w:iCs/>
          <w:noProof/>
          <w:sz w:val="24"/>
          <w:lang w:val="en-IE"/>
        </w:rPr>
        <w:t xml:space="preserve">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Cyprus is equal to </w:t>
      </w:r>
      <w:r>
        <w:rPr>
          <w:rFonts w:ascii="Times New Roman" w:hAnsi="Times New Roman" w:cs="Times New Roman"/>
          <w:iCs/>
          <w:noProof/>
          <w:sz w:val="24"/>
          <w:lang w:val="en-IE"/>
        </w:rPr>
        <w:t>27%.</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Cyprus recorded 36 publicly accessible recharging points in 2018, all of which are normal power (≤22kW) ones. As for the next decade,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_Ref49519980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5.13.3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w:t>
      </w:r>
      <w:r>
        <w:rPr>
          <w:rFonts w:ascii="Times New Roman" w:hAnsi="Times New Roman" w:cs="Times New Roman"/>
          <w:noProof/>
          <w:sz w:val="24"/>
          <w:lang w:val="en-IE"/>
        </w:rPr>
        <w:t>s that the recharging points targets for 2020, 2025 and 2030 have been reduced by the CY NIR to 42, 81 and 100 respectively. In the NPF, the initial targets were 100 publicly accessible recharging points by 2020, and more than 100 by 2025 and 2030.</w:t>
      </w:r>
      <w:r>
        <w:rPr>
          <w:rFonts w:ascii="Times New Roman" w:hAnsi="Times New Roman" w:cs="Times New Roman"/>
          <w:iCs/>
          <w:noProof/>
          <w:sz w:val="24"/>
          <w:lang w:val="en-IE"/>
        </w:rPr>
        <w:t xml:space="preserve"> </w:t>
      </w:r>
      <w:r>
        <w:rPr>
          <w:rFonts w:ascii="Times New Roman" w:hAnsi="Times New Roman" w:cs="Times New Roman"/>
          <w:noProof/>
          <w:sz w:val="24"/>
          <w:lang w:val="en-IE"/>
        </w:rPr>
        <w:t>DC fast</w:t>
      </w:r>
      <w:r>
        <w:rPr>
          <w:rFonts w:ascii="Times New Roman" w:hAnsi="Times New Roman" w:cs="Times New Roman"/>
          <w:noProof/>
          <w:sz w:val="24"/>
          <w:lang w:val="en-IE"/>
        </w:rPr>
        <w:t xml:space="preserve"> recharging points are only targeted to be introduced by 2025 when they are foreseen to represent 32% of the total points, but no further details about their status in 2030 is provided.</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publicly accessible recharging infrastru</w:t>
      </w:r>
      <w:r>
        <w:rPr>
          <w:rFonts w:ascii="Times New Roman" w:hAnsi="Times New Roman" w:cs="Times New Roman"/>
          <w:iCs/>
          <w:noProof/>
          <w:sz w:val="24"/>
          <w:lang w:val="en-IE"/>
        </w:rPr>
        <w:t xml:space="preserve">cture targets is 85.71% for 2020 and 36.00% for 2030. According 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w:t>
      </w:r>
      <w:r>
        <w:rPr>
          <w:rFonts w:ascii="Times New Roman" w:hAnsi="Times New Roman" w:cs="Times New Roman"/>
          <w:iCs/>
          <w:noProof/>
          <w:color w:val="000000" w:themeColor="text1"/>
          <w:sz w:val="24"/>
          <w:lang w:val="en-IE"/>
        </w:rPr>
        <w:t xml:space="preserve">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Cyprus is equal to</w:t>
      </w:r>
      <w:r>
        <w:rPr>
          <w:rFonts w:ascii="Times New Roman" w:hAnsi="Times New Roman" w:cs="Times New Roman"/>
          <w:iCs/>
          <w:noProof/>
          <w:sz w:val="24"/>
          <w:lang w:val="en-IE"/>
        </w:rPr>
        <w:t xml:space="preserve"> 9%.</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CY NIR, the following table shows the ratio between vehicles and publicly accessible recharging points </w:t>
      </w:r>
      <w:r>
        <w:rPr>
          <w:rFonts w:ascii="Times New Roman" w:hAnsi="Times New Roman" w:cs="Times New Roman"/>
          <w:noProof/>
          <w:sz w:val="24"/>
          <w:lang w:val="en-IE"/>
        </w:rPr>
        <w:t>(i.e. sufficiency index) for the pair electricity/road. The foreseen sufficiency index is inferior to the value of 10 and thus can be regarded as adequate for the next decade.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133975" cy="377369"/>
            <wp:effectExtent l="0" t="0" r="0" b="3810"/>
            <wp:docPr id="5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01772" cy="382352"/>
                    </a:xfrm>
                    <a:prstGeom prst="rect">
                      <a:avLst/>
                    </a:prstGeom>
                    <a:noFill/>
                    <a:ln>
                      <a:noFill/>
                    </a:ln>
                  </pic:spPr>
                </pic:pic>
              </a:graphicData>
            </a:graphic>
          </wp:inline>
        </w:drawing>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unavailable in the Cypriot N</w:t>
      </w:r>
      <w:r>
        <w:rPr>
          <w:rFonts w:ascii="Times New Roman" w:hAnsi="Times New Roman" w:cs="Times New Roman"/>
          <w:noProof/>
          <w:sz w:val="24"/>
          <w:lang w:val="en-IE"/>
        </w:rPr>
        <w:t>IR.</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The CY NIR does not provide any past or future quantitative information concerning CNG vehicles. The report states that the technology is currently not in use in the transport sector.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Due to the geographical isolation of C</w:t>
      </w:r>
      <w:r>
        <w:rPr>
          <w:rFonts w:ascii="Times New Roman" w:hAnsi="Times New Roman" w:cs="Times New Roman"/>
          <w:noProof/>
          <w:sz w:val="24"/>
          <w:lang w:val="en-IE"/>
        </w:rPr>
        <w:t>yprus, there is currently no natural gas market and interconnections with international gas networks are lacking. According to both the NIR and EAFO’s reported numbers, no CNG refuelling points were installed in Cyprus in 2018. The Cypriot NPF did not ment</w:t>
      </w:r>
      <w:r>
        <w:rPr>
          <w:rFonts w:ascii="Times New Roman" w:hAnsi="Times New Roman" w:cs="Times New Roman"/>
          <w:noProof/>
          <w:sz w:val="24"/>
          <w:lang w:val="en-IE"/>
        </w:rPr>
        <w:t>ion any CNG refuelling points targets. The Cypriot NIR, on the other hand, sets targets of 7 and 40 CNG refuelling points by 2025 and 2030, respectively. Introducing natural gas to meet the needs of the domestic market is an energy strategy priority for th</w:t>
      </w:r>
      <w:r>
        <w:rPr>
          <w:rFonts w:ascii="Times New Roman" w:hAnsi="Times New Roman" w:cs="Times New Roman"/>
          <w:noProof/>
          <w:sz w:val="24"/>
          <w:lang w:val="en-IE"/>
        </w:rPr>
        <w:t>e Cypriot decision-makers.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at the end of 2018, there were no CNG refuelling points deployed</w:t>
      </w:r>
      <w:r>
        <w:rPr>
          <w:rFonts w:ascii="Times New Roman" w:hAnsi="Times New Roman" w:cs="Times New Roman"/>
          <w:noProof/>
          <w:sz w:val="24"/>
          <w:lang w:val="en-IE"/>
        </w:rPr>
        <w:t xml:space="preserve">, the 2018 </w:t>
      </w:r>
      <w:r>
        <w:rPr>
          <w:rFonts w:ascii="Times New Roman" w:hAnsi="Times New Roman" w:cs="Times New Roman"/>
          <w:b/>
          <w:i/>
          <w:iCs/>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noProof/>
          <w:sz w:val="24"/>
          <w:lang w:val="en-IE"/>
        </w:rPr>
        <w:t xml:space="preserve"> could not be computed. </w:t>
      </w:r>
      <w:r>
        <w:rPr>
          <w:rFonts w:ascii="Times New Roman" w:hAnsi="Times New Roman" w:cs="Times New Roman"/>
          <w:iCs/>
          <w:noProof/>
          <w:sz w:val="24"/>
          <w:lang w:val="en-IE"/>
        </w:rPr>
        <w:t xml:space="preserve">According 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 CNG refuelling infrastructure envisaged targets.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Since there are no CNG vehicle estimates in the Cypriot NIR, it </w:t>
      </w:r>
      <w:r>
        <w:rPr>
          <w:rFonts w:ascii="Times New Roman" w:hAnsi="Times New Roman" w:cs="Times New Roman"/>
          <w:noProof/>
          <w:sz w:val="24"/>
          <w:lang w:val="en-IE"/>
        </w:rPr>
        <w:t>is not possible to compute the sufficiency index.</w:t>
      </w:r>
    </w:p>
    <w:p w:rsidR="003C43BF" w:rsidRDefault="003C43BF">
      <w:pPr>
        <w:tabs>
          <w:tab w:val="left" w:pos="360"/>
        </w:tabs>
        <w:spacing w:after="120" w:line="240" w:lineRule="auto"/>
        <w:jc w:val="both"/>
        <w:rPr>
          <w:rFonts w:ascii="Times New Roman" w:hAnsi="Times New Roman" w:cs="Times New Roman"/>
          <w:noProof/>
          <w:color w:val="000000" w:themeColor="text1"/>
          <w:sz w:val="28"/>
          <w:szCs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strike/>
          <w:noProof/>
          <w:sz w:val="24"/>
          <w:lang w:val="en-IE"/>
        </w:rPr>
      </w:pPr>
      <w:r>
        <w:rPr>
          <w:rFonts w:ascii="Times New Roman" w:hAnsi="Times New Roman" w:cs="Times New Roman"/>
          <w:noProof/>
          <w:sz w:val="24"/>
          <w:lang w:val="en-IE"/>
        </w:rPr>
        <w:t>The Cypriot NIR provides no LNG vehicle estimates for the future. At the end of 2018, there were no LNG vehicles in use.</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Cypriot NIR introduced a new target of three publicly accessible LNG refuelling points for road vehicles by 2025/2030, up from no LNG refuelling infrastructure at the end of 2018. Additionally, a tender for medium/long-term LNG supply in Cyprus is expe</w:t>
      </w:r>
      <w:r>
        <w:rPr>
          <w:rFonts w:ascii="Times New Roman" w:hAnsi="Times New Roman" w:cs="Times New Roman"/>
          <w:noProof/>
          <w:sz w:val="24"/>
          <w:lang w:val="en-IE"/>
        </w:rPr>
        <w:t xml:space="preserve">cted to be announced in 2020. Consequently, the necessary LNG infrastructure is expected to be completed and natural gas supply to the Cypriot domestic market to be launched in early 2022.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at the end of 2018 there were no LNG refuelling points deplo</w:t>
      </w:r>
      <w:r>
        <w:rPr>
          <w:rFonts w:ascii="Times New Roman" w:hAnsi="Times New Roman" w:cs="Times New Roman"/>
          <w:iCs/>
          <w:noProof/>
          <w:sz w:val="24"/>
          <w:lang w:val="en-IE"/>
        </w:rPr>
        <w:t>yed</w:t>
      </w:r>
      <w:r>
        <w:rPr>
          <w:rFonts w:ascii="Times New Roman" w:hAnsi="Times New Roman" w:cs="Times New Roman"/>
          <w:noProof/>
          <w:sz w:val="24"/>
          <w:lang w:val="en-IE"/>
        </w:rPr>
        <w:t xml:space="preserve">, the 2018 </w:t>
      </w:r>
      <w:r>
        <w:rPr>
          <w:rFonts w:ascii="Times New Roman" w:hAnsi="Times New Roman" w:cs="Times New Roman"/>
          <w:b/>
          <w:i/>
          <w:iCs/>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iCs/>
          <w:noProof/>
          <w:sz w:val="24"/>
          <w:lang w:val="en-IE"/>
        </w:rPr>
        <w:t>progress</w:t>
      </w:r>
      <w:r>
        <w:rPr>
          <w:rFonts w:ascii="Times New Roman" w:hAnsi="Times New Roman" w:cs="Times New Roman"/>
          <w:noProof/>
          <w:sz w:val="24"/>
          <w:lang w:val="en-IE"/>
        </w:rPr>
        <w:t xml:space="preserve"> could not be computed.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there are no LNG vehicle estimates in the Cypriot NIR, it is not possible to compute the sufficiency index.</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strike/>
          <w:noProof/>
          <w:sz w:val="24"/>
          <w:lang w:val="en-IE"/>
        </w:rPr>
      </w:pPr>
      <w:r>
        <w:rPr>
          <w:rFonts w:ascii="Times New Roman" w:hAnsi="Times New Roman" w:cs="Times New Roman"/>
          <w:noProof/>
          <w:sz w:val="24"/>
          <w:lang w:val="en-IE"/>
        </w:rPr>
        <w:t xml:space="preserve">The Cypriot NIR does not offer any estimates for </w:t>
      </w:r>
      <w:r>
        <w:rPr>
          <w:rFonts w:ascii="Times New Roman" w:hAnsi="Times New Roman" w:cs="Times New Roman"/>
          <w:noProof/>
          <w:sz w:val="24"/>
          <w:lang w:val="en-IE"/>
        </w:rPr>
        <w:t>hydrogen vehicles. At the end of 2018, there were no hydrogen vehicles in use.</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strike/>
          <w:noProof/>
          <w:sz w:val="24"/>
          <w:lang w:val="en-IE"/>
        </w:rPr>
      </w:pPr>
      <w:r>
        <w:rPr>
          <w:rFonts w:ascii="Times New Roman" w:hAnsi="Times New Roman" w:cs="Times New Roman"/>
          <w:noProof/>
          <w:sz w:val="24"/>
          <w:lang w:val="en-IE"/>
        </w:rPr>
        <w:t>The Cypriot NIR does not commit to any targets for hydrogen refuelling points. At the end of 2018, there was no hydrogen refuelling infrastructure deployed.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Since there is no quantitative information on hydrogen vehicles and infrastructure in the Cypriot NIR, it is not possible to compute the sufficiency index.</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unavailable in the Cypriot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Although the Cypri</w:t>
      </w:r>
      <w:r>
        <w:rPr>
          <w:rFonts w:ascii="Times New Roman" w:hAnsi="Times New Roman" w:cs="Times New Roman"/>
          <w:noProof/>
          <w:sz w:val="24"/>
          <w:lang w:val="en-IE"/>
        </w:rPr>
        <w:t>ot NIR does not commit to biofuels infrastructure targets, it mentions blending mandates for biofuels in diesel and petrol fuels in place (see Section 5.13.4.1.2).</w:t>
      </w:r>
    </w:p>
    <w:p w:rsidR="003C43BF" w:rsidRDefault="006C3212">
      <w:pPr>
        <w:pStyle w:val="Heading6"/>
        <w:numPr>
          <w:ilvl w:val="0"/>
          <w:numId w:val="0"/>
        </w:numPr>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Since there is no quantitative information on biofuels vehicles and infrastructure in </w:t>
      </w:r>
      <w:r>
        <w:rPr>
          <w:rFonts w:ascii="Times New Roman" w:hAnsi="Times New Roman" w:cs="Times New Roman"/>
          <w:noProof/>
          <w:sz w:val="24"/>
          <w:lang w:val="en-IE"/>
        </w:rPr>
        <w:t>the Cypriot NIR, it is not possible to compute the sufficiency index.</w:t>
      </w:r>
    </w:p>
    <w:p w:rsidR="003C43BF" w:rsidRDefault="003C43BF">
      <w:pPr>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iCs/>
          <w:noProof/>
          <w:color w:val="000000" w:themeColor="text1"/>
          <w:sz w:val="24"/>
          <w:lang w:val="en-IE"/>
        </w:rPr>
      </w:pPr>
      <w:r>
        <w:rPr>
          <w:rFonts w:ascii="Times New Roman" w:hAnsi="Times New Roman" w:cs="Times New Roman"/>
          <w:noProof/>
          <w:sz w:val="24"/>
          <w:lang w:val="en-IE"/>
        </w:rPr>
        <w:t xml:space="preserve">The Cypriot NIR reports that motor LPG consumption remains at very low levels. There are no future estimates for LPG vehicles. In 2018, there were 205 LPG vehicles on Cypriot roads; more than double the amount of LPG vehicles (87) in 2016.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Cypriot NIR has a reduced target for LPG refuelling points compared to the NPF. The target was re-defined to 8 refuelling points in 2020, down from more than 20. The member state reports two existing LPG refuelling points in 2018. Although the target h</w:t>
      </w:r>
      <w:r>
        <w:rPr>
          <w:rFonts w:ascii="Times New Roman" w:hAnsi="Times New Roman" w:cs="Times New Roman"/>
          <w:noProof/>
          <w:sz w:val="24"/>
          <w:lang w:val="en-IE"/>
        </w:rPr>
        <w:t>as been reduced, Cyprus reported in its NIR that 20 applications have been submitted seeking planning permission to install LPG refuelling points.</w:t>
      </w:r>
    </w:p>
    <w:p w:rsidR="003C43BF" w:rsidRDefault="006C3212">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Since only a target corresponding to 2020 was provided, only 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LPG refuelling inf</w:t>
      </w:r>
      <w:r>
        <w:rPr>
          <w:rFonts w:ascii="Times New Roman" w:hAnsi="Times New Roman" w:cs="Times New Roman"/>
          <w:iCs/>
          <w:noProof/>
          <w:color w:val="000000" w:themeColor="text1"/>
          <w:sz w:val="24"/>
          <w:lang w:val="en-IE"/>
        </w:rPr>
        <w:t>rastructure target for 2020 could be calculated and is equal to 25%.</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there are no LPG vehicle estimates in the Cypriot NIR, it is not possible to compute the sufficiency index.</w:t>
      </w:r>
    </w:p>
    <w:p w:rsidR="003C43BF" w:rsidRDefault="003C43BF">
      <w:pPr>
        <w:tabs>
          <w:tab w:val="left" w:pos="360"/>
        </w:tabs>
        <w:spacing w:after="120" w:line="240" w:lineRule="auto"/>
        <w:jc w:val="both"/>
        <w:rPr>
          <w:rFonts w:ascii="Times New Roman" w:hAnsi="Times New Roman" w:cs="Times New Roman"/>
          <w:noProof/>
          <w:color w:val="000000" w:themeColor="text1"/>
          <w:sz w:val="28"/>
          <w:szCs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Information is unavailable in </w:t>
      </w:r>
      <w:r>
        <w:rPr>
          <w:rFonts w:ascii="Times New Roman" w:hAnsi="Times New Roman" w:cs="Times New Roman"/>
          <w:noProof/>
          <w:sz w:val="24"/>
          <w:lang w:val="en-IE"/>
        </w:rPr>
        <w:t>the CY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unavailable in the CY NIR.</w:t>
      </w:r>
    </w:p>
    <w:p w:rsidR="003C43BF" w:rsidRDefault="003C43BF">
      <w:pPr>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unavailable in the CY NIR.</w:t>
      </w:r>
    </w:p>
    <w:p w:rsidR="003C43BF" w:rsidRDefault="006C3212">
      <w:pPr>
        <w:pStyle w:val="Heading6"/>
        <w:numPr>
          <w:ilvl w:val="0"/>
          <w:numId w:val="0"/>
        </w:numPr>
        <w:rPr>
          <w:rStyle w:val="Heading4Char"/>
          <w:rFonts w:ascii="Times New Roman" w:hAnsi="Times New Roman" w:cs="Times New Roman"/>
          <w:i w:val="0"/>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As an update to the 2016 NPF that did not contain any target, the Cypriot NIR</w:t>
      </w:r>
      <w:r>
        <w:rPr>
          <w:rFonts w:ascii="Times New Roman" w:hAnsi="Times New Roman" w:cs="Times New Roman"/>
          <w:noProof/>
          <w:sz w:val="24"/>
          <w:lang w:val="en-IE"/>
        </w:rPr>
        <w:t xml:space="preserve"> introduced a target for shore-side electricity supply for seagoing ships in one maritime port in 2025 and 2030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_Ref49519980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5.13.3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3C43BF" w:rsidRDefault="006C3212">
      <w:pPr>
        <w:pStyle w:val="Heading5"/>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unavailable in the CY NIR.</w:t>
      </w:r>
    </w:p>
    <w:p w:rsidR="003C43BF" w:rsidRDefault="006C3212">
      <w:pPr>
        <w:pStyle w:val="Heading6"/>
        <w:numPr>
          <w:ilvl w:val="0"/>
          <w:numId w:val="0"/>
        </w:numPr>
        <w:rPr>
          <w:rStyle w:val="Heading4Char"/>
          <w:rFonts w:ascii="Times New Roman" w:hAnsi="Times New Roman" w:cs="Times New Roman"/>
          <w:i w:val="0"/>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an update to the 2016 NPF that did not contain any target, the Cypriot NIR reports a target of one maritime port to be equipped with LNG refuelling infrastructure by 2025. The studies anticipated </w:t>
      </w:r>
      <w:r>
        <w:rPr>
          <w:rFonts w:ascii="Times New Roman" w:hAnsi="Times New Roman" w:cs="Times New Roman"/>
          <w:noProof/>
          <w:sz w:val="24"/>
          <w:lang w:val="en-IE"/>
        </w:rPr>
        <w:t>in the NPF seem to have been conducted and used to determine the NIR committed targets.</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Waterborne transport (inland)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Not applicable since Cyprus has no inland ports in the TEN-T Core Network.</w:t>
      </w:r>
    </w:p>
    <w:p w:rsidR="003C43BF" w:rsidRDefault="006C3212">
      <w:pPr>
        <w:jc w:val="both"/>
        <w:rPr>
          <w:rFonts w:ascii="Times New Roman" w:hAnsi="Times New Roman" w:cs="Times New Roman"/>
          <w:noProof/>
          <w:sz w:val="24"/>
          <w:u w:val="single"/>
          <w:lang w:val="en-IE"/>
        </w:rPr>
      </w:pPr>
      <w:r>
        <w:rPr>
          <w:rFonts w:ascii="Times New Roman" w:hAnsi="Times New Roman" w:cs="Times New Roman"/>
          <w:noProof/>
          <w:sz w:val="24"/>
          <w:u w:val="single"/>
          <w:lang w:val="en-IE"/>
        </w:rPr>
        <w:t xml:space="preserve">(NOTE: The Cypriot NIR reports a target of one inland port to </w:t>
      </w:r>
      <w:r>
        <w:rPr>
          <w:rFonts w:ascii="Times New Roman" w:hAnsi="Times New Roman" w:cs="Times New Roman"/>
          <w:noProof/>
          <w:sz w:val="24"/>
          <w:u w:val="single"/>
          <w:lang w:val="en-IE"/>
        </w:rPr>
        <w:t>be equipped with LNG refuelling infrastructure by 2025 but, as Cyprus has no inland ports in the TEN-T Network, this information has not been treated).</w:t>
      </w:r>
    </w:p>
    <w:p w:rsidR="003C43BF" w:rsidRDefault="003C43BF">
      <w:pPr>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unavailable in the CY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w:t>
      </w:r>
      <w:r>
        <w:rPr>
          <w:rStyle w:val="Heading4Char"/>
          <w:rFonts w:ascii="Times New Roman" w:hAnsi="Times New Roman" w:cs="Times New Roman"/>
          <w:noProof/>
          <w:sz w:val="24"/>
          <w:lang w:val="en-IE"/>
        </w:rPr>
        <w:t>ionary 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target number of two airports offering electricity supply for stationary airplanes by 2020 from the NPF seems to have been revised due to the absence of any target information in the Cypriot NIR.</w:t>
      </w:r>
    </w:p>
    <w:p w:rsidR="003C43BF" w:rsidRDefault="006C3212">
      <w:pPr>
        <w:pStyle w:val="Heading5"/>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on flig</w:t>
      </w:r>
      <w:r>
        <w:rPr>
          <w:rFonts w:ascii="Times New Roman" w:hAnsi="Times New Roman" w:cs="Times New Roman"/>
          <w:noProof/>
          <w:sz w:val="24"/>
          <w:lang w:val="en-IE"/>
        </w:rPr>
        <w:t>hts / airplanes powered by biofuels is not available in the Cypriot NIR.</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unavailable in the CY NIR.</w:t>
      </w:r>
    </w:p>
    <w:p w:rsidR="003C43BF" w:rsidRDefault="003C43BF">
      <w:pPr>
        <w:tabs>
          <w:tab w:val="left" w:pos="360"/>
          <w:tab w:val="left" w:pos="720"/>
          <w:tab w:val="left" w:pos="1080"/>
        </w:tabs>
        <w:jc w:val="both"/>
        <w:rPr>
          <w:rFonts w:ascii="Times New Roman" w:hAnsi="Times New Roman" w:cs="Times New Roman"/>
          <w:noProof/>
          <w:color w:val="000000" w:themeColor="text1"/>
          <w:sz w:val="24"/>
          <w:lang w:val="en-IE"/>
        </w:rPr>
      </w:pPr>
    </w:p>
    <w:p w:rsidR="003C43BF" w:rsidRDefault="006C3212">
      <w:pPr>
        <w:pStyle w:val="Heading3"/>
        <w:ind w:left="720"/>
        <w:rPr>
          <w:rFonts w:ascii="Times New Roman" w:hAnsi="Times New Roman" w:cs="Times New Roman"/>
          <w:noProof/>
          <w:sz w:val="24"/>
          <w:lang w:val="en-IE"/>
        </w:rPr>
      </w:pPr>
      <w:bookmarkStart w:id="314" w:name="_Toc55301881"/>
      <w:bookmarkStart w:id="315" w:name="_Toc56944193"/>
      <w:r>
        <w:rPr>
          <w:rFonts w:ascii="Times New Roman" w:hAnsi="Times New Roman" w:cs="Times New Roman"/>
          <w:noProof/>
          <w:sz w:val="24"/>
          <w:lang w:val="en-IE"/>
        </w:rPr>
        <w:t>Measures assessment</w:t>
      </w:r>
      <w:bookmarkEnd w:id="314"/>
      <w:bookmarkEnd w:id="315"/>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As in the NPF, the </w:t>
      </w:r>
      <w:r>
        <w:rPr>
          <w:rFonts w:ascii="Times New Roman" w:hAnsi="Times New Roman" w:cs="Times New Roman"/>
          <w:noProof/>
          <w:sz w:val="24"/>
          <w:lang w:val="en-IE"/>
        </w:rPr>
        <w:t>Cypriot</w:t>
      </w:r>
      <w:r>
        <w:rPr>
          <w:rFonts w:ascii="Times New Roman" w:hAnsi="Times New Roman" w:cs="Times New Roman"/>
          <w:iCs/>
          <w:noProof/>
          <w:sz w:val="24"/>
          <w:lang w:val="en-IE"/>
        </w:rPr>
        <w:t xml:space="preserve"> NIR mentions a limited number of measures. However, the situation has evolved in the NIR in the sense that measures that were already in place have been continued/improved, those under discussion have become more concrete and others were newly introduced.</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w:t>
      </w:r>
      <w:r>
        <w:rPr>
          <w:rFonts w:ascii="Times New Roman" w:hAnsi="Times New Roman" w:cs="Times New Roman"/>
          <w:noProof/>
          <w:sz w:val="24"/>
          <w:lang w:val="en-IE"/>
        </w:rPr>
        <w:t>Cypriot</w:t>
      </w:r>
      <w:r>
        <w:rPr>
          <w:rFonts w:ascii="Times New Roman" w:hAnsi="Times New Roman" w:cs="Times New Roman"/>
          <w:iCs/>
          <w:noProof/>
          <w:sz w:val="24"/>
          <w:lang w:val="en-IE"/>
        </w:rPr>
        <w:t xml:space="preserve"> NIR contains 11 legal measures to promote AF. Of those, four measures were mentioned in both the NIR and the NPF, while seven measures are exclusively reported in the NIR. The </w:t>
      </w:r>
      <w:r>
        <w:rPr>
          <w:rFonts w:ascii="Times New Roman" w:hAnsi="Times New Roman" w:cs="Times New Roman"/>
          <w:noProof/>
          <w:sz w:val="24"/>
          <w:lang w:val="en-IE"/>
        </w:rPr>
        <w:t>Cypriot</w:t>
      </w:r>
      <w:r>
        <w:rPr>
          <w:rFonts w:ascii="Times New Roman" w:hAnsi="Times New Roman" w:cs="Times New Roman"/>
          <w:iCs/>
          <w:noProof/>
          <w:sz w:val="24"/>
          <w:lang w:val="en-IE"/>
        </w:rPr>
        <w:t xml:space="preserve"> NPF contained other four legal measures no longer in the NIR. Overall, the level of ambition of the legal measures is considered to have increased in the NIR, in comparison with the NPF.</w:t>
      </w:r>
    </w:p>
    <w:p w:rsidR="003C43BF" w:rsidRDefault="006C3212">
      <w:pPr>
        <w:rPr>
          <w:rFonts w:ascii="Times New Roman" w:hAnsi="Times New Roman" w:cs="Times New Roman"/>
          <w:iCs/>
          <w:noProof/>
          <w:sz w:val="24"/>
          <w:lang w:val="en-IE"/>
        </w:rPr>
      </w:pPr>
      <w:r>
        <w:rPr>
          <w:rFonts w:ascii="Times New Roman" w:hAnsi="Times New Roman" w:cs="Times New Roman"/>
          <w:iCs/>
          <w:noProof/>
          <w:sz w:val="24"/>
          <w:lang w:val="en-IE"/>
        </w:rPr>
        <w:br w:type="page"/>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legislative &amp; regulatory category of </w:t>
      </w:r>
      <w:r>
        <w:rPr>
          <w:rFonts w:ascii="Times New Roman" w:hAnsi="Times New Roman" w:cs="Times New Roman"/>
          <w:noProof/>
          <w:sz w:val="24"/>
          <w:lang w:val="en-IE"/>
        </w:rPr>
        <w:t xml:space="preserve">the Cypriot NIR contains eight legal measures, five of which are exclusively reported in the NIR, while the other three are reported in both NIR and NPF. Except for one legal measure concerning LPG/road, all legal measures are part of the electricity/road </w:t>
      </w:r>
      <w:r>
        <w:rPr>
          <w:rFonts w:ascii="Times New Roman" w:hAnsi="Times New Roman" w:cs="Times New Roman"/>
          <w:noProof/>
          <w:sz w:val="24"/>
          <w:lang w:val="en-IE"/>
        </w:rPr>
        <w:t>cluster. Legal measures supporting the promotion of electric recharging infrastructure are mainly focusing on proper signage for recharging points and mandates for new buildings concerning the introduction of dedicated parking spots equipped with rechargin</w:t>
      </w:r>
      <w:r>
        <w:rPr>
          <w:rFonts w:ascii="Times New Roman" w:hAnsi="Times New Roman" w:cs="Times New Roman"/>
          <w:noProof/>
          <w:sz w:val="24"/>
          <w:lang w:val="en-IE"/>
        </w:rPr>
        <w:t xml:space="preserve">g points.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Cypriot NIR offers three administrative measures, two of which were only reported in the NIR and not in the NPF. Cyprus implemented Directives 2009/28/EC and 2009/30/EC with regards to increasing blending mandates for biofuels</w:t>
      </w:r>
      <w:r>
        <w:rPr>
          <w:rFonts w:ascii="Times New Roman" w:hAnsi="Times New Roman" w:cs="Times New Roman"/>
          <w:noProof/>
          <w:sz w:val="24"/>
          <w:lang w:val="en-IE"/>
        </w:rPr>
        <w:t xml:space="preserve"> in diesel and petrol fuels. Cyprus also implemented an EU Support Programme for fuel price comparison for consumers and accepted Decision No 87.649 of the Council of Ministers. The Council decided to exercise its right to apply specific derogations with r</w:t>
      </w:r>
      <w:r>
        <w:rPr>
          <w:rFonts w:ascii="Times New Roman" w:hAnsi="Times New Roman" w:cs="Times New Roman"/>
          <w:noProof/>
          <w:sz w:val="24"/>
          <w:lang w:val="en-IE"/>
        </w:rPr>
        <w:t>eference to Cyprus being an emergent natural gas market due to its geographical isolation. Further, Cyprus appointed the public natural gas company, DEFA, as the distribution system, transmission system and LNG facility operator.</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Cypri</w:t>
      </w:r>
      <w:r>
        <w:rPr>
          <w:rFonts w:ascii="Times New Roman" w:hAnsi="Times New Roman" w:cs="Times New Roman"/>
          <w:noProof/>
          <w:sz w:val="24"/>
          <w:lang w:val="en-IE"/>
        </w:rPr>
        <w:t xml:space="preserve">ot NIR reports nine policy measures of which four have already been reported in the NPF and five are new. All the policy measures concern the road as transport mode and focus mainly on electricity as alternative fuel.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w:t>
      </w:r>
      <w:r>
        <w:rPr>
          <w:rFonts w:ascii="Times New Roman" w:hAnsi="Times New Roman" w:cs="Times New Roman"/>
          <w:noProof/>
          <w:sz w:val="24"/>
          <w:lang w:val="en-IE"/>
        </w:rPr>
        <w:t>nd objectives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Of the nine policy measures reported, seven were categorised as measures to ensure national targets and objectives. The most impactful measures reported are financial incentives. The registration tax and annual road tax are bas</w:t>
      </w:r>
      <w:r>
        <w:rPr>
          <w:rFonts w:ascii="Times New Roman" w:hAnsi="Times New Roman" w:cs="Times New Roman"/>
          <w:noProof/>
          <w:sz w:val="24"/>
          <w:lang w:val="en-IE"/>
        </w:rPr>
        <w:t>ed on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thus favouring electric vehicles. Additionally, EVs receive a waiver for the vehicle registration fee of €150 and various municipalities and communities in Cyprus allow free EVs parking in public parking areas. The most promising plan,</w:t>
      </w:r>
      <w:r>
        <w:rPr>
          <w:rFonts w:ascii="Times New Roman" w:hAnsi="Times New Roman" w:cs="Times New Roman"/>
          <w:noProof/>
          <w:sz w:val="24"/>
          <w:lang w:val="en-IE"/>
        </w:rPr>
        <w:t xml:space="preserve"> which became more concrete compared to the NPF, was in the process of adoption and represented a vehicle subsidy scheme worth 3 million €. However, only €500,000 were allocated to subsidising the purchase of fully electric vehicles with a €5,000 grant per</w:t>
      </w:r>
      <w:r>
        <w:rPr>
          <w:rFonts w:ascii="Times New Roman" w:hAnsi="Times New Roman" w:cs="Times New Roman"/>
          <w:noProof/>
          <w:sz w:val="24"/>
          <w:lang w:val="en-IE"/>
        </w:rPr>
        <w:t xml:space="preserve"> vehicle. The remaining 2.5 million € are invested to subsidise the purchase of new low carbon vehicles when withdrawing old and polluting vehicles. This policy measure would be applicable to cars older than 15 years to be scrapped and to newly registered </w:t>
      </w:r>
      <w:r>
        <w:rPr>
          <w:rFonts w:ascii="Times New Roman" w:hAnsi="Times New Roman" w:cs="Times New Roman"/>
          <w:noProof/>
          <w:sz w:val="24"/>
          <w:lang w:val="en-IE"/>
        </w:rPr>
        <w:t>cars with less than 160 gCO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/km.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Cypriot NIR lists one policy measure for the promotion of alternative fuel usage in public transport services.</w:t>
      </w:r>
    </w:p>
    <w:p w:rsidR="003C43BF" w:rsidRDefault="003C43BF">
      <w:pPr>
        <w:jc w:val="both"/>
        <w:rPr>
          <w:rFonts w:ascii="Times New Roman" w:hAnsi="Times New Roman" w:cs="Times New Roman"/>
          <w:noProof/>
          <w:sz w:val="24"/>
          <w:lang w:val="en-IE"/>
        </w:rPr>
      </w:pPr>
    </w:p>
    <w:p w:rsidR="003C43BF" w:rsidRDefault="003C43BF">
      <w:pPr>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Buses</w:t>
      </w:r>
    </w:p>
    <w:p w:rsidR="003C43BF" w:rsidRDefault="006C3212">
      <w:pPr>
        <w:jc w:val="both"/>
        <w:rPr>
          <w:rFonts w:ascii="Times New Roman" w:hAnsi="Times New Roman" w:cs="Times New Roman"/>
          <w:b/>
          <w:noProof/>
          <w:sz w:val="24"/>
          <w:lang w:val="en-IE"/>
        </w:rPr>
      </w:pPr>
      <w:r>
        <w:rPr>
          <w:rFonts w:ascii="Times New Roman" w:hAnsi="Times New Roman" w:cs="Times New Roman"/>
          <w:noProof/>
          <w:sz w:val="24"/>
          <w:lang w:val="en-IE"/>
        </w:rPr>
        <w:t xml:space="preserve">The Cypriot NIR reports one measure for </w:t>
      </w:r>
      <w:r>
        <w:rPr>
          <w:rFonts w:ascii="Times New Roman" w:hAnsi="Times New Roman" w:cs="Times New Roman"/>
          <w:noProof/>
          <w:sz w:val="24"/>
          <w:lang w:val="en-IE"/>
        </w:rPr>
        <w:t>the integration of innovating green technologies in the existing public transport service. The plan foresees the introduction of hydrogen vehicles in the fleet of public diesel buses. The measure is projected to account for 5 to 30% fuel savings. The total</w:t>
      </w:r>
      <w:r>
        <w:rPr>
          <w:rFonts w:ascii="Times New Roman" w:hAnsi="Times New Roman" w:cs="Times New Roman"/>
          <w:noProof/>
          <w:sz w:val="24"/>
          <w:lang w:val="en-IE"/>
        </w:rPr>
        <w:t xml:space="preserve"> estimated budget is €82.266 million between 2019 and 2022.</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Cypriot NIR provides one policy measure that is under consideration concerning the provision of grants for i</w:t>
      </w:r>
      <w:r>
        <w:rPr>
          <w:rFonts w:ascii="Times New Roman" w:hAnsi="Times New Roman" w:cs="Times New Roman"/>
          <w:noProof/>
          <w:sz w:val="24"/>
          <w:lang w:val="en-IE"/>
        </w:rPr>
        <w:t>nstalling/extending photovoltaic systems and for domestic installation of smart meters for recharging electric vehicles.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Cypriot NIR lists only one deployment and manufacturing support measure, whic</w:t>
      </w:r>
      <w:r>
        <w:rPr>
          <w:rFonts w:ascii="Times New Roman" w:hAnsi="Times New Roman" w:cs="Times New Roman"/>
          <w:noProof/>
          <w:sz w:val="24"/>
          <w:lang w:val="en-IE"/>
        </w:rPr>
        <w:t xml:space="preserve">h is already a small improvement compared to the NPF. The Electrical and Mechanical Services Department has launched a call for tenders for the installation of 20 public recharging points worth 1 million € in the period 2019-2020.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w:t>
      </w:r>
      <w:r>
        <w:rPr>
          <w:rFonts w:ascii="Times New Roman" w:hAnsi="Times New Roman" w:cs="Times New Roman"/>
          <w:noProof/>
          <w:sz w:val="24"/>
          <w:lang w:val="en-IE"/>
        </w:rPr>
        <w:t xml:space="preserve"> plants for AF technologies</w:t>
      </w:r>
    </w:p>
    <w:p w:rsidR="003C43BF" w:rsidRDefault="006C3212">
      <w:pPr>
        <w:tabs>
          <w:tab w:val="left" w:pos="360"/>
        </w:tabs>
        <w:jc w:val="both"/>
        <w:rPr>
          <w:rFonts w:ascii="Times New Roman" w:hAnsi="Times New Roman" w:cs="Times New Roman"/>
          <w:i/>
          <w:noProof/>
          <w:color w:val="7030A0"/>
          <w:sz w:val="24"/>
          <w:lang w:val="en-IE"/>
        </w:rPr>
      </w:pPr>
      <w:r>
        <w:rPr>
          <w:rFonts w:ascii="Times New Roman" w:hAnsi="Times New Roman" w:cs="Times New Roman"/>
          <w:noProof/>
          <w:sz w:val="24"/>
          <w:lang w:val="en-IE"/>
        </w:rPr>
        <w:t>The Cypriot NIR does not provide measures regarding the support of manufacturing plants for AF technologies.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Cypriot NIR provides no information on this subject.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_Ref52790589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5.13.4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w:t>
      </w:r>
      <w:r>
        <w:rPr>
          <w:rFonts w:ascii="Times New Roman" w:hAnsi="Times New Roman" w:cs="Times New Roman"/>
          <w:noProof/>
          <w:sz w:val="24"/>
          <w:lang w:val="en-IE"/>
        </w:rPr>
        <w:t xml:space="preserve">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only clusters of measures on road transport could be identified in the Cypriot NIR, o</w:t>
      </w:r>
      <w:r>
        <w:rPr>
          <w:rFonts w:ascii="Times New Roman" w:hAnsi="Times New Roman" w:cs="Times New Roman"/>
          <w:noProof/>
          <w:sz w:val="24"/>
          <w:lang w:val="en-IE"/>
        </w:rPr>
        <w:t xml:space="preserve">f which only the ones related to electricity and hydrogen contained dedicated measures to the respective fuels. Most of the assessable measures are targeting the pair </w:t>
      </w:r>
      <w:r>
        <w:rPr>
          <w:rFonts w:ascii="Times New Roman" w:hAnsi="Times New Roman" w:cs="Times New Roman"/>
          <w:iCs/>
          <w:noProof/>
          <w:sz w:val="24"/>
          <w:lang w:val="en-IE"/>
        </w:rPr>
        <w:t>electricity/road, which is t</w:t>
      </w:r>
      <w:r>
        <w:rPr>
          <w:rFonts w:ascii="Times New Roman" w:hAnsi="Times New Roman" w:cs="Times New Roman"/>
          <w:noProof/>
          <w:sz w:val="24"/>
          <w:lang w:val="en-IE"/>
        </w:rPr>
        <w:t>he main focus of the CY NIR set of measures and resulted to h</w:t>
      </w:r>
      <w:r>
        <w:rPr>
          <w:rFonts w:ascii="Times New Roman" w:hAnsi="Times New Roman" w:cs="Times New Roman"/>
          <w:noProof/>
          <w:sz w:val="24"/>
          <w:lang w:val="en-IE"/>
        </w:rPr>
        <w:t>ave a medium score and to be comprehensive. In terms of expected impact of these measures to support the realisation of the AFV/AFI objectives as presented in the NPF and revised in the NIR, the measures for the pairs electricity/road result to have a medi</w:t>
      </w:r>
      <w:r>
        <w:rPr>
          <w:rFonts w:ascii="Times New Roman" w:hAnsi="Times New Roman" w:cs="Times New Roman"/>
          <w:noProof/>
          <w:sz w:val="24"/>
          <w:lang w:val="en-IE"/>
        </w:rPr>
        <w:t>um impact, while those for the pair hydrogen/road have a low impact. Compared to the NPF, the level of ambition of the Policy and Deployment &amp; Manufacturing support measures has increased for all identified clusters (electricity/road, CNG/road, LNG/road an</w:t>
      </w:r>
      <w:r>
        <w:rPr>
          <w:rFonts w:ascii="Times New Roman" w:hAnsi="Times New Roman" w:cs="Times New Roman"/>
          <w:noProof/>
          <w:sz w:val="24"/>
          <w:lang w:val="en-IE"/>
        </w:rPr>
        <w:t>d hydrogen/road).</w:t>
      </w:r>
    </w:p>
    <w:p w:rsidR="003C43BF" w:rsidRDefault="006C3212">
      <w:pPr>
        <w:spacing w:before="120"/>
        <w:jc w:val="both"/>
        <w:rPr>
          <w:rFonts w:ascii="Times New Roman" w:hAnsi="Times New Roman" w:cs="Times New Roman"/>
          <w:noProof/>
          <w:sz w:val="24"/>
          <w:lang w:val="en-IE"/>
        </w:rPr>
      </w:pPr>
      <w:bookmarkStart w:id="316" w:name="_Ref52790589"/>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5.13.4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316"/>
      <w:r>
        <w:rPr>
          <w:rFonts w:ascii="Times New Roman" w:hAnsi="Times New Roman" w:cs="Times New Roman"/>
          <w:i/>
          <w:noProof/>
          <w:sz w:val="20"/>
          <w:szCs w:val="18"/>
          <w:lang w:val="en-IE"/>
        </w:rPr>
        <w:t xml:space="preserve"> Quantitative assessment of Policy and Deployment &amp; Manufacturing support measures</w:t>
      </w:r>
      <w:r>
        <w:rPr>
          <w:rFonts w:ascii="Times New Roman" w:hAnsi="Times New Roman" w:cs="Times New Roman"/>
          <w:noProof/>
          <w:sz w:val="24"/>
          <w:lang w:val="en-IE"/>
        </w:rPr>
        <w:tab/>
      </w:r>
      <w:r>
        <w:rPr>
          <w:rFonts w:ascii="Times New Roman" w:hAnsi="Times New Roman" w:cs="Times New Roman"/>
          <w:noProof/>
          <w:sz w:val="24"/>
          <w:lang w:eastAsia="en-GB"/>
        </w:rPr>
        <w:drawing>
          <wp:inline distT="0" distB="0" distL="0" distR="0">
            <wp:extent cx="5944235" cy="1597025"/>
            <wp:effectExtent l="0" t="0" r="0" b="317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4235" cy="1597025"/>
                    </a:xfrm>
                    <a:prstGeom prst="rect">
                      <a:avLst/>
                    </a:prstGeom>
                    <a:noFill/>
                  </pic:spPr>
                </pic:pic>
              </a:graphicData>
            </a:graphic>
          </wp:inline>
        </w:drawing>
      </w:r>
    </w:p>
    <w:p w:rsidR="003C43BF" w:rsidRDefault="006C3212">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H = high; M = medium; L = low; X = not assessable. Comprehensiveness: C = comprehensive; N = Not comprehensive. Ambition level: ‘+’ means ‘higher’; ‘=’ means ‘comparable’; ‘-‘ means ‘lower’.</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w:t>
      </w:r>
      <w:r>
        <w:rPr>
          <w:rFonts w:ascii="Times New Roman" w:hAnsi="Times New Roman" w:cs="Times New Roman"/>
          <w:noProof/>
          <w:sz w:val="24"/>
          <w:lang w:val="en-IE"/>
        </w:rPr>
        <w:t>ypriot NIR lists five RTD&amp;D measures, four of which are new and only reported in the NIR. All measures mentioned can be categorised as studies conducting research on implementation scenarios for different alternative fuels and the respective expected deman</w:t>
      </w:r>
      <w:r>
        <w:rPr>
          <w:rFonts w:ascii="Times New Roman" w:hAnsi="Times New Roman" w:cs="Times New Roman"/>
          <w:noProof/>
          <w:sz w:val="24"/>
          <w:lang w:val="en-IE"/>
        </w:rPr>
        <w:t>ds. Three studies were performed in the frame of the EU project “CYnergy” co-financed by CEF and are dedicated to the adoption of natural gas in Cyprus (two studies specifically target the LNG use for maritime transport).</w:t>
      </w:r>
    </w:p>
    <w:p w:rsidR="003C43BF" w:rsidRDefault="003C43BF">
      <w:pPr>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317" w:name="_Toc55301882"/>
      <w:bookmarkStart w:id="318" w:name="_Toc56944194"/>
      <w:r>
        <w:rPr>
          <w:rFonts w:ascii="Times New Roman" w:hAnsi="Times New Roman" w:cs="Times New Roman"/>
          <w:noProof/>
          <w:sz w:val="24"/>
          <w:lang w:val="en-IE"/>
        </w:rPr>
        <w:t>Additional information on alterna</w:t>
      </w:r>
      <w:r>
        <w:rPr>
          <w:rFonts w:ascii="Times New Roman" w:hAnsi="Times New Roman" w:cs="Times New Roman"/>
          <w:noProof/>
          <w:sz w:val="24"/>
          <w:lang w:val="en-IE"/>
        </w:rPr>
        <w:t>tive fuels infrastructure developments</w:t>
      </w:r>
      <w:bookmarkEnd w:id="317"/>
      <w:bookmarkEnd w:id="318"/>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Cypriot NIR provides information on the changes in fuel use,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_Ref52790746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5.13.5</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Diesel and gasoline are expected to play a dominating role, with a combined share of 91% in 2030. The share of electricity as an alternative fuel in the transport sector is expected to be 3% in 2030, whereas biofuels are estimated to have an almost const</w:t>
      </w:r>
      <w:r>
        <w:rPr>
          <w:rFonts w:ascii="Times New Roman" w:hAnsi="Times New Roman" w:cs="Times New Roman"/>
          <w:noProof/>
          <w:sz w:val="24"/>
          <w:lang w:val="en-IE"/>
        </w:rPr>
        <w:t xml:space="preserve">ant share of 4 to 5% between 2020 and 2030. Increases in CNG and LNG shares in the transport fuel mix are not expected to be significant until 2030. </w:t>
      </w:r>
    </w:p>
    <w:p w:rsidR="003C43BF" w:rsidRDefault="006C3212">
      <w:pPr>
        <w:pStyle w:val="Caption"/>
        <w:rPr>
          <w:rFonts w:ascii="Times New Roman" w:hAnsi="Times New Roman" w:cs="Times New Roman"/>
          <w:b w:val="0"/>
          <w:i/>
          <w:noProof/>
          <w:sz w:val="20"/>
          <w:szCs w:val="18"/>
          <w:lang w:val="en-IE"/>
        </w:rPr>
      </w:pPr>
      <w:bookmarkStart w:id="319" w:name="_Ref52790746"/>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5.13.5</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319"/>
      <w:r>
        <w:rPr>
          <w:rFonts w:ascii="Times New Roman" w:hAnsi="Times New Roman" w:cs="Times New Roman"/>
          <w:b w:val="0"/>
          <w:i/>
          <w:noProof/>
          <w:sz w:val="20"/>
          <w:szCs w:val="18"/>
          <w:lang w:val="en-IE"/>
        </w:rPr>
        <w:t xml:space="preserve"> Changes in fuel use in transport sector (201</w:t>
      </w:r>
      <w:r>
        <w:rPr>
          <w:rFonts w:ascii="Times New Roman" w:hAnsi="Times New Roman" w:cs="Times New Roman"/>
          <w:b w:val="0"/>
          <w:i/>
          <w:noProof/>
          <w:sz w:val="20"/>
          <w:szCs w:val="18"/>
          <w:lang w:val="en-IE"/>
        </w:rPr>
        <w:t>6-2030)</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3600" cy="1979092"/>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1979092"/>
                    </a:xfrm>
                    <a:prstGeom prst="rect">
                      <a:avLst/>
                    </a:prstGeom>
                    <a:noFill/>
                    <a:ln>
                      <a:noFill/>
                    </a:ln>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320" w:name="_Toc55301883"/>
      <w:bookmarkStart w:id="321" w:name="_Toc56944195"/>
      <w:r>
        <w:rPr>
          <w:rFonts w:ascii="Times New Roman" w:hAnsi="Times New Roman" w:cs="Times New Roman"/>
          <w:noProof/>
          <w:sz w:val="24"/>
          <w:lang w:val="en-IE"/>
        </w:rPr>
        <w:t>Summary of the assessment</w:t>
      </w:r>
      <w:bookmarkEnd w:id="320"/>
      <w:bookmarkEnd w:id="321"/>
      <w:r>
        <w:rPr>
          <w:rFonts w:ascii="Times New Roman" w:hAnsi="Times New Roman" w:cs="Times New Roman"/>
          <w:noProof/>
          <w:sz w:val="24"/>
          <w:lang w:val="en-IE"/>
        </w:rPr>
        <w:tab/>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5.13.6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467614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4235" cy="4676140"/>
                    </a:xfrm>
                    <a:prstGeom prst="rect">
                      <a:avLst/>
                    </a:prstGeom>
                    <a:noFill/>
                  </pic:spPr>
                </pic:pic>
              </a:graphicData>
            </a:graphic>
          </wp:inline>
        </w:drawing>
      </w:r>
    </w:p>
    <w:p w:rsidR="003C43BF" w:rsidRDefault="006C3212">
      <w:pPr>
        <w:spacing w:after="0"/>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12108" cy="51435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65815" cy="521998"/>
                    </a:xfrm>
                    <a:prstGeom prst="rect">
                      <a:avLst/>
                    </a:prstGeom>
                    <a:noFill/>
                    <a:ln>
                      <a:noFill/>
                    </a:ln>
                  </pic:spPr>
                </pic:pic>
              </a:graphicData>
            </a:graphic>
          </wp:inline>
        </w:drawing>
      </w:r>
    </w:p>
    <w:p w:rsidR="003C43BF" w:rsidRDefault="003C43BF">
      <w:pPr>
        <w:spacing w:after="0"/>
        <w:rPr>
          <w:rFonts w:ascii="Times New Roman" w:hAnsi="Times New Roman" w:cs="Times New Roman"/>
          <w:noProof/>
          <w:sz w:val="24"/>
          <w:lang w:val="en-IE"/>
        </w:rPr>
      </w:pPr>
    </w:p>
    <w:p w:rsidR="003C43BF" w:rsidRDefault="003C43BF">
      <w:pPr>
        <w:tabs>
          <w:tab w:val="left" w:pos="966"/>
        </w:tabs>
        <w:jc w:val="both"/>
        <w:rPr>
          <w:rFonts w:ascii="Times New Roman" w:hAnsi="Times New Roman" w:cs="Times New Roman"/>
          <w:noProof/>
          <w:sz w:val="24"/>
          <w:lang w:val="en-IE"/>
        </w:rPr>
      </w:pPr>
    </w:p>
    <w:p w:rsidR="003C43BF" w:rsidRDefault="006C3212">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Not all the requirements of Annex I of the Directive are covered by the Cypriot NIR as outlined in the checklist of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_Ref52790821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5.13.2</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With regards to the </w:t>
      </w:r>
      <w:r>
        <w:rPr>
          <w:rFonts w:ascii="Times New Roman" w:hAnsi="Times New Roman" w:cs="Times New Roman"/>
          <w:noProof/>
          <w:sz w:val="24"/>
          <w:lang w:val="en-IE"/>
        </w:rPr>
        <w:t>combination of AF/AFV/AFI with transport mode, electricity is well covered for road transport; CNG, LNG and LPG are also covered for road transport in terms of AFI; maritime water transport is covered for shore-side electricity supply and LNG in terms of A</w:t>
      </w:r>
      <w:r>
        <w:rPr>
          <w:rFonts w:ascii="Times New Roman" w:hAnsi="Times New Roman" w:cs="Times New Roman"/>
          <w:noProof/>
          <w:sz w:val="24"/>
          <w:lang w:val="en-IE"/>
        </w:rPr>
        <w:t>FI; all the other combinations are either absent or not applicable. The NIR has improved in terms of AFI target definition since it contains, contrary to the NPF, future targets for the pair CNG/road, LNG/road and LNG/water (maritime).</w:t>
      </w:r>
    </w:p>
    <w:p w:rsidR="003C43BF" w:rsidRDefault="006C3212">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The main outcomes of</w:t>
      </w:r>
      <w:r>
        <w:rPr>
          <w:rFonts w:ascii="Times New Roman" w:hAnsi="Times New Roman" w:cs="Times New Roman"/>
          <w:noProof/>
          <w:sz w:val="24"/>
          <w:lang w:val="en-IE"/>
        </w:rPr>
        <w:t xml:space="preserve"> the technical assessment of the Cypriot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ListParagraph"/>
        <w:numPr>
          <w:ilvl w:val="0"/>
          <w:numId w:val="27"/>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Concerning EVs, Cyprus recorded a total of 28 electric passenger cars and 73 electric powered </w:t>
      </w:r>
      <w:r>
        <w:rPr>
          <w:rFonts w:ascii="Times New Roman" w:hAnsi="Times New Roman" w:cs="Times New Roman"/>
          <w:noProof/>
          <w:sz w:val="24"/>
          <w:lang w:val="en-IE"/>
        </w:rPr>
        <w:t xml:space="preserve">two-wheelers in 2018. In contrast with the NPF where only a wide interval of 100-2000 was mentioned for 2020, the Cypriot NIR reports concrete quantitative vehicle estimates of 71, 140 and 700 for 2020, 2025 and 2030, respectively (all the values refer to </w:t>
      </w:r>
      <w:r>
        <w:rPr>
          <w:rFonts w:ascii="Times New Roman" w:hAnsi="Times New Roman" w:cs="Times New Roman"/>
          <w:noProof/>
          <w:sz w:val="24"/>
          <w:lang w:val="en-IE"/>
        </w:rPr>
        <w:t>passenger cars). Compared with the NPF, the recharging infrastructure targets in the CY NIR also became more concrete but have been reduced to 42, 81 and 100 respectively for 2020, 2025 and 2030. According to our methodology, the 2018 progress to achieve t</w:t>
      </w:r>
      <w:r>
        <w:rPr>
          <w:rFonts w:ascii="Times New Roman" w:hAnsi="Times New Roman" w:cs="Times New Roman"/>
          <w:noProof/>
          <w:sz w:val="24"/>
          <w:lang w:val="en-IE"/>
        </w:rPr>
        <w:t>heir objectives in 2030 is considered slow both for EVs and recharging infrastructure, while the sufficiency index is regarded as adequate for the next decade.</w:t>
      </w:r>
    </w:p>
    <w:p w:rsidR="003C43BF" w:rsidRDefault="006C3212">
      <w:pPr>
        <w:pStyle w:val="ListParagraph"/>
        <w:numPr>
          <w:ilvl w:val="0"/>
          <w:numId w:val="27"/>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The CY NIR states that CNG is currently not in use in the transport sector but introduces </w:t>
      </w:r>
      <w:r>
        <w:rPr>
          <w:rFonts w:ascii="Times New Roman" w:hAnsi="Times New Roman" w:cs="Times New Roman"/>
          <w:noProof/>
          <w:sz w:val="24"/>
          <w:lang w:val="en-IE"/>
        </w:rPr>
        <w:t>targets for CNG refuelling points in the future that were absent in the NPF (7 in 2025 and 40 in 2030). According to our methodology, the 2018 progress to achieve their objectives in 2030 is considered slow for CNG refuelling infrastructure.</w:t>
      </w:r>
    </w:p>
    <w:p w:rsidR="003C43BF" w:rsidRDefault="006C3212">
      <w:pPr>
        <w:pStyle w:val="ListParagraph"/>
        <w:numPr>
          <w:ilvl w:val="0"/>
          <w:numId w:val="27"/>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Cyprus d</w:t>
      </w:r>
      <w:r>
        <w:rPr>
          <w:rFonts w:ascii="Times New Roman" w:hAnsi="Times New Roman" w:cs="Times New Roman"/>
          <w:noProof/>
          <w:sz w:val="24"/>
          <w:lang w:val="en-IE"/>
        </w:rPr>
        <w:t>oes not record any LNG vehicles or refuelling infrastructure at the end of 2018. However, the CY NIR provides new LNG refuelling points targets that were absent in the NPF (3 in 2025 and 2030).</w:t>
      </w:r>
    </w:p>
    <w:p w:rsidR="003C43BF" w:rsidRDefault="006C3212">
      <w:pPr>
        <w:pStyle w:val="ListParagraph"/>
        <w:numPr>
          <w:ilvl w:val="0"/>
          <w:numId w:val="27"/>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Similarly to the NPF, the CY NIR does not provide a</w:t>
      </w:r>
      <w:r>
        <w:rPr>
          <w:rFonts w:ascii="Times New Roman" w:hAnsi="Times New Roman" w:cs="Times New Roman"/>
          <w:noProof/>
          <w:sz w:val="24"/>
          <w:lang w:val="en-IE"/>
        </w:rPr>
        <w:t>ny quantitative future objective related to hydrogen vehicles or infrastructure. The intention of introducing hydrogen buses in the fleet of public transport is mentioned.</w:t>
      </w:r>
    </w:p>
    <w:p w:rsidR="003C43BF" w:rsidRDefault="006C3212">
      <w:pPr>
        <w:pStyle w:val="ListParagraph"/>
        <w:numPr>
          <w:ilvl w:val="0"/>
          <w:numId w:val="27"/>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The NIR only mentions that Cyprus implemented the EU Directives regarding</w:t>
      </w:r>
      <w:r>
        <w:rPr>
          <w:rFonts w:ascii="Times New Roman" w:hAnsi="Times New Roman" w:cs="Times New Roman"/>
          <w:noProof/>
          <w:sz w:val="24"/>
          <w:lang w:val="en-IE"/>
        </w:rPr>
        <w:t xml:space="preserve"> increasing blending mandates for biofuels in diesel and petrol fuels.</w:t>
      </w:r>
    </w:p>
    <w:p w:rsidR="003C43BF" w:rsidRDefault="006C3212">
      <w:pPr>
        <w:pStyle w:val="ListParagraph"/>
        <w:numPr>
          <w:ilvl w:val="0"/>
          <w:numId w:val="27"/>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The Cypriot NIR shows only the situation in 2018 (205 passenger cars fuelled by LPG and gasoline), but does not report any LPG vehicle estimate for the future. The LPG infrastruct</w:t>
      </w:r>
      <w:r>
        <w:rPr>
          <w:rFonts w:ascii="Times New Roman" w:hAnsi="Times New Roman" w:cs="Times New Roman"/>
          <w:noProof/>
          <w:sz w:val="24"/>
          <w:lang w:val="en-IE"/>
        </w:rPr>
        <w:t>ure target for 2020 in the CY NIR has been reduced compared to the NPF by 60%, from 20 to 8 refuelling points.</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unavailable in the Cypriot NIR.</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30"/>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As an update to the NPF that did not </w:t>
      </w:r>
      <w:r>
        <w:rPr>
          <w:rFonts w:ascii="Times New Roman" w:hAnsi="Times New Roman" w:cs="Times New Roman"/>
          <w:noProof/>
          <w:sz w:val="24"/>
          <w:lang w:val="en-IE"/>
        </w:rPr>
        <w:t>contain any target, the CY NIR introduced targets for shore-side electricity supply for seagoing ships in one maritime port in 2025 and 2030.</w:t>
      </w:r>
    </w:p>
    <w:p w:rsidR="003C43BF" w:rsidRDefault="006C3212">
      <w:pPr>
        <w:pStyle w:val="ListParagraph"/>
        <w:numPr>
          <w:ilvl w:val="0"/>
          <w:numId w:val="30"/>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The CY NIR presents the intention to have one maritime port equipped with LNG refuelling infrastructure by 2</w:t>
      </w:r>
      <w:r>
        <w:rPr>
          <w:rFonts w:ascii="Times New Roman" w:hAnsi="Times New Roman" w:cs="Times New Roman"/>
          <w:noProof/>
          <w:sz w:val="24"/>
          <w:lang w:val="en-IE"/>
        </w:rPr>
        <w:t>025, which was absent in the NPF.</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33"/>
        </w:numPr>
        <w:tabs>
          <w:tab w:val="left" w:pos="360"/>
        </w:tabs>
        <w:spacing w:after="160" w:line="259" w:lineRule="auto"/>
        <w:ind w:left="426" w:hanging="426"/>
        <w:jc w:val="both"/>
        <w:rPr>
          <w:rFonts w:ascii="Times New Roman" w:hAnsi="Times New Roman" w:cs="Times New Roman"/>
          <w:noProof/>
          <w:sz w:val="24"/>
          <w:lang w:val="en-IE"/>
        </w:rPr>
      </w:pPr>
      <w:r>
        <w:rPr>
          <w:rFonts w:ascii="Times New Roman" w:hAnsi="Times New Roman" w:cs="Times New Roman"/>
          <w:b/>
          <w:noProof/>
          <w:sz w:val="24"/>
          <w:lang w:val="en-IE"/>
        </w:rPr>
        <w:t>Electricity –</w:t>
      </w:r>
      <w:r>
        <w:rPr>
          <w:rFonts w:ascii="Times New Roman" w:hAnsi="Times New Roman" w:cs="Times New Roman"/>
          <w:noProof/>
          <w:sz w:val="24"/>
          <w:lang w:val="en-IE"/>
        </w:rPr>
        <w:t xml:space="preserve"> The NIR does not confirm the NPF target of two airports offering electricity supply for stationary airplanes by 2020.</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As for the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the Cypriot NIR shows more focus on the development of </w:t>
      </w:r>
      <w:r>
        <w:rPr>
          <w:rFonts w:ascii="Times New Roman" w:hAnsi="Times New Roman" w:cs="Times New Roman"/>
          <w:noProof/>
          <w:sz w:val="24"/>
          <w:lang w:val="en-IE"/>
        </w:rPr>
        <w:t>electro-mobility. To a lower extent, also measures related to CNG, LNG, and hydrogen are present. The situation has evolved in the NIR compared with the NPF in the sense that there are measures that have been either continued/improved, became more concrete</w:t>
      </w:r>
      <w:r>
        <w:rPr>
          <w:rFonts w:ascii="Times New Roman" w:hAnsi="Times New Roman" w:cs="Times New Roman"/>
          <w:noProof/>
          <w:sz w:val="24"/>
          <w:lang w:val="en-IE"/>
        </w:rPr>
        <w:t>, or were newly introduced.</w:t>
      </w:r>
    </w:p>
    <w:p w:rsidR="003C43BF" w:rsidRDefault="006C3212">
      <w:pPr>
        <w:spacing w:after="120" w:line="240" w:lineRule="auto"/>
        <w:jc w:val="both"/>
        <w:rPr>
          <w:rFonts w:ascii="Times New Roman" w:hAnsi="Times New Roman" w:cs="Times New Roman"/>
          <w:i/>
          <w:noProof/>
          <w:sz w:val="24"/>
          <w:lang w:val="en-IE"/>
        </w:rPr>
      </w:pPr>
      <w:r>
        <w:rPr>
          <w:rFonts w:ascii="Times New Roman" w:hAnsi="Times New Roman" w:cs="Times New Roman"/>
          <w:noProof/>
          <w:sz w:val="24"/>
          <w:lang w:val="en-IE"/>
        </w:rPr>
        <w:t>The Legal measures are mainly dedicated to allowing the development of electro-mobility. Overall, they appear, if fully implemented, to be fit to support the realisation of the AFV/AFI objectives as presented in the NPF and revi</w:t>
      </w:r>
      <w:r>
        <w:rPr>
          <w:rFonts w:ascii="Times New Roman" w:hAnsi="Times New Roman" w:cs="Times New Roman"/>
          <w:noProof/>
          <w:sz w:val="24"/>
          <w:lang w:val="en-IE"/>
        </w:rPr>
        <w:t>sed in the NIR. Based on the available information, their level of ambition can be considered to have increased between the NPF and the implementation report.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Policy and Deployment &amp; Manufacturing measures target only road as transport mode, in </w:t>
      </w:r>
      <w:r>
        <w:rPr>
          <w:rFonts w:ascii="Times New Roman" w:hAnsi="Times New Roman" w:cs="Times New Roman"/>
          <w:noProof/>
          <w:sz w:val="24"/>
          <w:lang w:val="en-IE"/>
        </w:rPr>
        <w:t>particular electro-mobility. Taken singularly, all these measures score low or medium and appear to show the same or higher level of ambition compared to the NPF. The most complete and numerous cluster of measures is for the pair electricity/road, followed</w:t>
      </w:r>
      <w:r>
        <w:rPr>
          <w:rFonts w:ascii="Times New Roman" w:hAnsi="Times New Roman" w:cs="Times New Roman"/>
          <w:noProof/>
          <w:sz w:val="24"/>
          <w:lang w:val="en-IE"/>
        </w:rPr>
        <w:t xml:space="preserve"> by the pair hydrogen/road. The other pairs of alternative fuel and transport mode did not contain dedicated measures, thus their score could not be computed. In terms of expected impact of the measures to support the realisation of the AFV/AFI objectives </w:t>
      </w:r>
      <w:r>
        <w:rPr>
          <w:rFonts w:ascii="Times New Roman" w:hAnsi="Times New Roman" w:cs="Times New Roman"/>
          <w:noProof/>
          <w:sz w:val="24"/>
          <w:lang w:val="en-IE"/>
        </w:rPr>
        <w:t>as presented in the NPF and revised in the NIR, those for the pair electricity/road result to have a medium impact, those for the pair hydrogen/road have a low impact, while all the others were not assessable.</w:t>
      </w:r>
    </w:p>
    <w:p w:rsidR="003C43BF" w:rsidRDefault="006C3212">
      <w:pPr>
        <w:autoSpaceDE w:val="0"/>
        <w:autoSpaceDN w:val="0"/>
        <w:adjustRightInd w:val="0"/>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Concerning the RTD&amp;D measures, the CY NIR show</w:t>
      </w:r>
      <w:r>
        <w:rPr>
          <w:rFonts w:ascii="Times New Roman" w:hAnsi="Times New Roman" w:cs="Times New Roman"/>
          <w:noProof/>
          <w:sz w:val="24"/>
          <w:lang w:val="en-IE"/>
        </w:rPr>
        <w:t xml:space="preserve">s a larger set of activities that translates in a higher ambition compared with the NPF. The measures presented relate to studies on implementation scenarios for different alternative fuels and the respective expected demands, with three studies dedicated </w:t>
      </w:r>
      <w:r>
        <w:rPr>
          <w:rFonts w:ascii="Times New Roman" w:hAnsi="Times New Roman" w:cs="Times New Roman"/>
          <w:noProof/>
          <w:sz w:val="24"/>
          <w:lang w:val="en-IE"/>
        </w:rPr>
        <w:t>to the introduction of natural gas (CNG and LNG) in the Cypriot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CY NIR states that the natural gas market is the subject of the Cypriot AF strategy. The Council of Ministers decision to treat the Cypriot natural gas market as emerging and ge</w:t>
      </w:r>
      <w:r>
        <w:rPr>
          <w:rFonts w:ascii="Times New Roman" w:hAnsi="Times New Roman" w:cs="Times New Roman"/>
          <w:noProof/>
          <w:sz w:val="24"/>
          <w:lang w:val="en-IE"/>
        </w:rPr>
        <w:t>ographically isolated market sets the base for further measures.</w:t>
      </w:r>
    </w:p>
    <w:p w:rsidR="003C43BF" w:rsidRDefault="003C43BF">
      <w:pPr>
        <w:rPr>
          <w:rFonts w:ascii="Times New Roman" w:hAnsi="Times New Roman" w:cs="Times New Roman"/>
          <w:noProof/>
          <w:lang w:val="en-IE"/>
        </w:rPr>
      </w:pPr>
    </w:p>
    <w:p w:rsidR="003C43BF" w:rsidRDefault="006C3212">
      <w:pPr>
        <w:pStyle w:val="Heading3"/>
        <w:rPr>
          <w:rFonts w:ascii="Times New Roman" w:hAnsi="Times New Roman" w:cs="Times New Roman"/>
          <w:noProof/>
          <w:sz w:val="24"/>
          <w:lang w:val="en-IE"/>
        </w:rPr>
      </w:pPr>
      <w:bookmarkStart w:id="322" w:name="_Toc56944196"/>
      <w:r>
        <w:rPr>
          <w:rFonts w:ascii="Times New Roman" w:hAnsi="Times New Roman" w:cs="Times New Roman"/>
          <w:noProof/>
          <w:sz w:val="24"/>
          <w:lang w:val="en-IE"/>
        </w:rPr>
        <w:t>Final remarks</w:t>
      </w:r>
      <w:bookmarkEnd w:id="322"/>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Cypriot NIR presents a relatively comprehensive report on the efforts to implement the Directive. The NIR partially meets the requirements of Annex I to the Directive, but </w:t>
      </w:r>
      <w:r>
        <w:rPr>
          <w:rFonts w:ascii="Times New Roman" w:hAnsi="Times New Roman" w:cs="Times New Roman"/>
          <w:noProof/>
          <w:sz w:val="24"/>
          <w:lang w:val="en-IE"/>
        </w:rPr>
        <w:t>shows a quite limited level of ambition. The NIR provides the targets for electric recharging points and the estimates of electric vehicles for 2020, 2025 and 2030, whereas for CNG and LNG only the targets for road refuelling points but no estimates are gi</w:t>
      </w:r>
      <w:r>
        <w:rPr>
          <w:rFonts w:ascii="Times New Roman" w:hAnsi="Times New Roman" w:cs="Times New Roman"/>
          <w:noProof/>
          <w:sz w:val="24"/>
          <w:lang w:val="en-IE"/>
        </w:rPr>
        <w:t>ven for vehicles. The NIR includes measures to support the electrification of road transport. To a lower extent, measures related to CNG, LNG, and hydrogen are also included. In general, in view of the overall objective of achieving climate-neutrality in t</w:t>
      </w:r>
      <w:r>
        <w:rPr>
          <w:rFonts w:ascii="Times New Roman" w:hAnsi="Times New Roman" w:cs="Times New Roman"/>
          <w:noProof/>
          <w:sz w:val="24"/>
          <w:lang w:val="en-IE"/>
        </w:rPr>
        <w:t xml:space="preserve">he EU by 2050, Cyprus should continue to increase its efforts to develop a comprehensive approach on promoting zero-emission vehicles. In this perspective, a higher level of ambition is required beyond road transport, where all transport modes are further </w:t>
      </w:r>
      <w:r>
        <w:rPr>
          <w:rFonts w:ascii="Times New Roman" w:hAnsi="Times New Roman" w:cs="Times New Roman"/>
          <w:noProof/>
          <w:sz w:val="24"/>
          <w:lang w:val="en-IE"/>
        </w:rPr>
        <w:t>considered, including air transport, towards the 2030 milestone.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Regarding electricity, the NIR estimates that 700 electric vehicles could be on the road by 2030, representing about 0.11% of the future fleet. Taking into account the current situation and e</w:t>
      </w:r>
      <w:r>
        <w:rPr>
          <w:rFonts w:ascii="Times New Roman" w:hAnsi="Times New Roman" w:cs="Times New Roman"/>
          <w:noProof/>
          <w:sz w:val="24"/>
          <w:lang w:val="en-IE"/>
        </w:rPr>
        <w:t>xpected trends, this level of ambition appears too low compared to the pace of deployment of electric vehicles considered necessary for a full transition to carbon neutrality by 2050. No information on charging efficiency is provided. The Cyprus maritime p</w:t>
      </w:r>
      <w:r>
        <w:rPr>
          <w:rFonts w:ascii="Times New Roman" w:hAnsi="Times New Roman" w:cs="Times New Roman"/>
          <w:noProof/>
          <w:sz w:val="24"/>
          <w:lang w:val="en-IE"/>
        </w:rPr>
        <w:t>ort in the TEN-T Core Network will be equipped with shore-side electricity supply for seagoing ships. Furthermore, the NIR does not address electricity supply in the Larnaca airport. Future reporting should provide further information on electricity supply</w:t>
      </w:r>
      <w:r>
        <w:rPr>
          <w:rFonts w:ascii="Times New Roman" w:hAnsi="Times New Roman" w:cs="Times New Roman"/>
          <w:noProof/>
          <w:sz w:val="24"/>
          <w:lang w:val="en-IE"/>
        </w:rPr>
        <w:t xml:space="preserve"> for stationary airplanes.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Regarding hydrogen for road transport, the NIR, similarly to the NPF, does not provide any quantitative objective related to hydrogen vehicles or infrastructure. The NIR notes one measure devoted to introducing hydrogen buses in</w:t>
      </w:r>
      <w:r>
        <w:rPr>
          <w:rFonts w:ascii="Times New Roman" w:hAnsi="Times New Roman" w:cs="Times New Roman"/>
          <w:noProof/>
          <w:sz w:val="24"/>
          <w:lang w:val="en-IE"/>
        </w:rPr>
        <w:t xml:space="preserve"> public bus fleets.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With regard to natural gas for transport, the NIR plans for seven CNG refuelling stations in 2025 and 40 in 2030. Three LNG refuelling points are foreseen from 2025 onwards. This appears to be sufficient taking into account the length </w:t>
      </w:r>
      <w:r>
        <w:rPr>
          <w:rFonts w:ascii="Times New Roman" w:hAnsi="Times New Roman" w:cs="Times New Roman"/>
          <w:noProof/>
          <w:sz w:val="24"/>
          <w:lang w:val="en-IE"/>
        </w:rPr>
        <w:t>of the TEN-T Core Network in Cyprus, provided that the refuelling stations are widely distributed along the network. In 2025, the port of Limassol will be equipped with one LNG refuelling point.</w:t>
      </w:r>
    </w:p>
    <w:p w:rsidR="003C43BF" w:rsidRDefault="006C3212">
      <w:pPr>
        <w:tabs>
          <w:tab w:val="left" w:pos="360"/>
        </w:tabs>
        <w:jc w:val="both"/>
        <w:rPr>
          <w:rFonts w:ascii="Times New Roman" w:hAnsi="Times New Roman" w:cs="Times New Roman"/>
          <w:noProof/>
          <w:color w:val="FF0000"/>
          <w:sz w:val="24"/>
          <w:lang w:val="en-IE"/>
        </w:rPr>
      </w:pPr>
      <w:r>
        <w:rPr>
          <w:rFonts w:ascii="Times New Roman" w:hAnsi="Times New Roman" w:cs="Times New Roman"/>
          <w:noProof/>
          <w:sz w:val="24"/>
          <w:lang w:val="en-IE"/>
        </w:rPr>
        <w:t>As regards LPG in road transport, the NIR only reports 205 LP</w:t>
      </w:r>
      <w:r>
        <w:rPr>
          <w:rFonts w:ascii="Times New Roman" w:hAnsi="Times New Roman" w:cs="Times New Roman"/>
          <w:noProof/>
          <w:sz w:val="24"/>
          <w:lang w:val="en-IE"/>
        </w:rPr>
        <w:t>G vehicles and two refuelling stations in 2018 and the revised infrastructure target for 2020. The LPG infrastructure target has been reduced compared to the NPF by 60%, from 20 to eight refuelling points.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As far as biofuels are concerned, further informat</w:t>
      </w:r>
      <w:r>
        <w:rPr>
          <w:rFonts w:ascii="Times New Roman" w:hAnsi="Times New Roman" w:cs="Times New Roman"/>
          <w:noProof/>
          <w:sz w:val="24"/>
          <w:lang w:val="en-IE"/>
        </w:rPr>
        <w:t>ion should be provided on the consumption of biofuels. Cyprus should provide more information in future reporting on efforts to promote the use of renewable fuels in transport, and particularly in aviation.</w:t>
      </w:r>
    </w:p>
    <w:p w:rsidR="003C43BF" w:rsidRDefault="006C3212">
      <w:pPr>
        <w:rPr>
          <w:rFonts w:ascii="Times New Roman" w:hAnsi="Times New Roman" w:cs="Times New Roman"/>
          <w:noProof/>
          <w:lang w:val="en-IE"/>
        </w:rPr>
      </w:pPr>
      <w:r>
        <w:rPr>
          <w:rFonts w:ascii="Times New Roman" w:hAnsi="Times New Roman" w:cs="Times New Roman"/>
          <w:noProof/>
          <w:lang w:val="en-IE"/>
        </w:rPr>
        <w:br w:type="page"/>
      </w:r>
    </w:p>
    <w:p w:rsidR="003C43BF" w:rsidRDefault="006C3212">
      <w:pPr>
        <w:pStyle w:val="Heading3"/>
        <w:ind w:left="720"/>
        <w:rPr>
          <w:rFonts w:ascii="Times New Roman" w:hAnsi="Times New Roman" w:cs="Times New Roman"/>
          <w:noProof/>
          <w:sz w:val="24"/>
          <w:lang w:val="en-IE"/>
        </w:rPr>
      </w:pPr>
      <w:bookmarkStart w:id="323" w:name="_Toc55301885"/>
      <w:bookmarkStart w:id="324" w:name="_Toc56944197"/>
      <w:r>
        <w:rPr>
          <w:rFonts w:ascii="Times New Roman" w:hAnsi="Times New Roman" w:cs="Times New Roman"/>
          <w:noProof/>
          <w:sz w:val="24"/>
          <w:lang w:val="en-IE"/>
        </w:rPr>
        <w:t>ANNEX - Description of the Member State</w:t>
      </w:r>
      <w:bookmarkEnd w:id="323"/>
      <w:bookmarkEnd w:id="324"/>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w:t>
      </w:r>
      <w:r>
        <w:rPr>
          <w:rFonts w:ascii="Times New Roman" w:hAnsi="Times New Roman" w:cs="Times New Roman"/>
          <w:noProof/>
          <w:color w:val="000000" w:themeColor="text1"/>
          <w:sz w:val="24"/>
          <w:lang w:val="en-IE"/>
        </w:rPr>
        <w:t>rface area of 9,300 km², Cyprus has a population of 864,000 people in 2018, which makes up for a population density of 93 inhabitants/km².</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2 urban agglomerations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In 2018, Cyprus achieves a per capi</w:t>
      </w:r>
      <w:r>
        <w:rPr>
          <w:rFonts w:ascii="Times New Roman" w:hAnsi="Times New Roman" w:cs="Times New Roman"/>
          <w:noProof/>
          <w:sz w:val="24"/>
          <w:lang w:val="en-IE"/>
        </w:rPr>
        <w:t xml:space="preserve">ta gross domestic product at market prices of €24,290, which represents a per capita gross domestic product in purchasing power standards of 89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w:t>
      </w:r>
      <w:r>
        <w:rPr>
          <w:rFonts w:ascii="Times New Roman" w:hAnsi="Times New Roman" w:cs="Times New Roman"/>
          <w:noProof/>
          <w:sz w:val="24"/>
          <w:lang w:val="en-IE"/>
        </w:rPr>
        <w:t>oad TEN-T Core Network in Cyprus is 156 km. The total road network length is 4,789 km, of which 257 km are motorways.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Cyprus: 3% (138 km) of the Orient - East Mediterranean Corridor.</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Number o</w:t>
      </w:r>
      <w:r>
        <w:rPr>
          <w:rFonts w:ascii="Times New Roman" w:hAnsi="Times New Roman" w:cs="Times New Roman"/>
          <w:i/>
          <w:noProof/>
          <w:sz w:val="24"/>
          <w:lang w:val="en-IE"/>
        </w:rPr>
        <w:t xml:space="preserve">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Cyprus accounts for 704,221 registered road vehicles of which 550,695 are categorized as passenger cars, 98,533 as light goods vehicles, 12,509 as heavy goods vehicles and 3,084 as buses and coaches. The moto</w:t>
      </w:r>
      <w:r>
        <w:rPr>
          <w:rFonts w:ascii="Times New Roman" w:hAnsi="Times New Roman" w:cs="Times New Roman"/>
          <w:noProof/>
          <w:sz w:val="24"/>
          <w:lang w:val="en-IE"/>
        </w:rPr>
        <w:t>risation rate is 638 passenger cars per 1,000 inhabitants.</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jc w:val="both"/>
        <w:rPr>
          <w:rFonts w:ascii="Times New Roman" w:hAnsi="Times New Roman" w:cs="Times New Roman"/>
          <w:noProof/>
          <w:sz w:val="24"/>
          <w:lang w:val="fr-BE"/>
        </w:rPr>
      </w:pPr>
      <w:r>
        <w:rPr>
          <w:rFonts w:ascii="Times New Roman" w:hAnsi="Times New Roman" w:cs="Times New Roman"/>
          <w:noProof/>
          <w:sz w:val="24"/>
          <w:lang w:val="fr-BE"/>
        </w:rPr>
        <w:t>1 maritime port in TEN-T Core Network (Limassol)</w:t>
      </w:r>
    </w:p>
    <w:p w:rsidR="003C43BF" w:rsidRDefault="006C3212">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rPr>
        <w:t xml:space="preserve">1 maritime port </w:t>
      </w:r>
      <w:r>
        <w:rPr>
          <w:rFonts w:ascii="Times New Roman" w:hAnsi="Times New Roman" w:cs="Times New Roman"/>
          <w:noProof/>
          <w:sz w:val="24"/>
          <w:lang w:val="en-IE"/>
        </w:rPr>
        <w:t xml:space="preserve">in the TEN-T Comprehensive Network </w:t>
      </w:r>
      <w:r>
        <w:rPr>
          <w:rFonts w:ascii="Times New Roman" w:hAnsi="Times New Roman" w:cs="Times New Roman"/>
          <w:noProof/>
          <w:sz w:val="24"/>
        </w:rPr>
        <w:t>(Larnaca)</w:t>
      </w:r>
    </w:p>
    <w:p w:rsidR="003C43BF" w:rsidRDefault="006C3212">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 xml:space="preserve">No inland ports </w:t>
      </w:r>
    </w:p>
    <w:p w:rsidR="003C43BF" w:rsidRDefault="003C43BF">
      <w:pPr>
        <w:pStyle w:val="Text1"/>
        <w:spacing w:after="0"/>
        <w:ind w:left="714"/>
        <w:jc w:val="both"/>
        <w:rPr>
          <w:rFonts w:ascii="Times New Roman" w:hAnsi="Times New Roman" w:cs="Times New Roman"/>
          <w:noProof/>
          <w:sz w:val="24"/>
          <w:lang w:val="en-IE"/>
        </w:rPr>
      </w:pP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Core Network (Larnaca) </w:t>
      </w:r>
    </w:p>
    <w:p w:rsidR="003C43BF" w:rsidRDefault="006C3212">
      <w:pPr>
        <w:pStyle w:val="Text1"/>
        <w:numPr>
          <w:ilvl w:val="0"/>
          <w:numId w:val="13"/>
        </w:numPr>
        <w:jc w:val="both"/>
        <w:rPr>
          <w:rFonts w:ascii="Times New Roman" w:hAnsi="Times New Roman" w:cs="Times New Roman"/>
          <w:noProof/>
          <w:sz w:val="24"/>
          <w:lang w:val="en-IE"/>
        </w:rPr>
      </w:pPr>
      <w:r>
        <w:rPr>
          <w:rFonts w:ascii="Times New Roman" w:hAnsi="Times New Roman" w:cs="Times New Roman"/>
          <w:noProof/>
          <w:sz w:val="24"/>
          <w:lang w:val="en-IE"/>
        </w:rPr>
        <w:t>1 airport in the TEN-T Comprehensive Network (Paphos)</w:t>
      </w: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6C3212">
      <w:pPr>
        <w:pStyle w:val="Heading2"/>
        <w:rPr>
          <w:rFonts w:ascii="Times New Roman" w:hAnsi="Times New Roman" w:cs="Times New Roman"/>
          <w:noProof/>
          <w:sz w:val="24"/>
          <w:lang w:val="en-IE"/>
        </w:rPr>
      </w:pPr>
      <w:bookmarkStart w:id="325" w:name="_Toc55301886"/>
      <w:bookmarkStart w:id="326" w:name="_Toc56944198"/>
      <w:r>
        <w:rPr>
          <w:rFonts w:ascii="Times New Roman" w:hAnsi="Times New Roman" w:cs="Times New Roman"/>
          <w:noProof/>
          <w:sz w:val="24"/>
          <w:lang w:val="en-IE"/>
        </w:rPr>
        <w:t>Latvia (LV)</w:t>
      </w:r>
      <w:bookmarkEnd w:id="325"/>
      <w:bookmarkEnd w:id="326"/>
    </w:p>
    <w:p w:rsidR="003C43BF" w:rsidRDefault="006C3212">
      <w:pPr>
        <w:pStyle w:val="Heading3"/>
        <w:ind w:left="720"/>
        <w:rPr>
          <w:rFonts w:ascii="Times New Roman" w:hAnsi="Times New Roman" w:cs="Times New Roman"/>
          <w:noProof/>
          <w:sz w:val="24"/>
          <w:lang w:val="en-IE"/>
        </w:rPr>
      </w:pPr>
      <w:bookmarkStart w:id="327" w:name="_Toc55301887"/>
      <w:bookmarkStart w:id="328" w:name="_Toc56944199"/>
      <w:r>
        <w:rPr>
          <w:rFonts w:ascii="Times New Roman" w:hAnsi="Times New Roman" w:cs="Times New Roman"/>
          <w:noProof/>
          <w:sz w:val="24"/>
          <w:lang w:val="en-IE"/>
        </w:rPr>
        <w:t xml:space="preserve">Main messages from the </w:t>
      </w:r>
      <w:bookmarkEnd w:id="327"/>
      <w:bookmarkEnd w:id="328"/>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hAnsi="Times New Roman" w:cs="Times New Roman"/>
          <w:i/>
          <w:noProof/>
          <w:color w:val="000000" w:themeColor="text1"/>
          <w:sz w:val="24"/>
          <w:lang w:val="en-IE"/>
        </w:rPr>
      </w:pPr>
      <w:r>
        <w:rPr>
          <w:rFonts w:ascii="Times New Roman" w:hAnsi="Times New Roman" w:cs="Times New Roman"/>
          <w:noProof/>
          <w:color w:val="000000" w:themeColor="text1"/>
          <w:sz w:val="24"/>
          <w:lang w:val="en-IE"/>
        </w:rPr>
        <w:t xml:space="preserve">In its original assessment of the </w:t>
      </w:r>
      <w:r>
        <w:rPr>
          <w:rFonts w:ascii="Times New Roman" w:hAnsi="Times New Roman" w:cs="Times New Roman"/>
          <w:noProof/>
          <w:color w:val="000000" w:themeColor="text1"/>
          <w:sz w:val="24"/>
          <w:lang w:val="en-IE"/>
        </w:rPr>
        <w:t>Latvian NPF the Commission concluded:</w:t>
      </w:r>
      <w:r>
        <w:rPr>
          <w:rFonts w:ascii="Times New Roman" w:hAnsi="Times New Roman" w:cs="Times New Roman"/>
          <w:i/>
          <w:noProof/>
          <w:color w:val="000000" w:themeColor="text1"/>
          <w:sz w:val="24"/>
          <w:lang w:val="en-IE"/>
        </w:rPr>
        <w:t xml:space="preserve"> </w:t>
      </w:r>
    </w:p>
    <w:p w:rsidR="003C43BF" w:rsidRDefault="006C3212">
      <w:pPr>
        <w:pStyle w:val="Text1"/>
        <w:tabs>
          <w:tab w:val="left" w:pos="720"/>
        </w:tabs>
        <w:ind w:left="0"/>
        <w:jc w:val="both"/>
        <w:rPr>
          <w:rFonts w:ascii="Times New Roman" w:hAnsi="Times New Roman" w:cs="Times New Roman"/>
          <w:i/>
          <w:noProof/>
          <w:sz w:val="24"/>
          <w:lang w:val="en-IE"/>
        </w:rPr>
      </w:pPr>
      <w:r>
        <w:rPr>
          <w:rFonts w:ascii="Times New Roman" w:hAnsi="Times New Roman" w:cs="Times New Roman"/>
          <w:i/>
          <w:noProof/>
          <w:sz w:val="24"/>
          <w:lang w:val="en-IE"/>
        </w:rPr>
        <w:t>The Latvian NPF addresses only part of the requirements of Article 3 of the Directive. It does not contain any target for LNG refuelling points to be put in place along the TEN-T Core Network, neither for heavy-duty v</w:t>
      </w:r>
      <w:r>
        <w:rPr>
          <w:rFonts w:ascii="Times New Roman" w:hAnsi="Times New Roman" w:cs="Times New Roman"/>
          <w:i/>
          <w:noProof/>
          <w:sz w:val="24"/>
          <w:lang w:val="en-IE"/>
        </w:rPr>
        <w:t>ehicles nor for its two maritime ports in the core network.</w:t>
      </w:r>
    </w:p>
    <w:p w:rsidR="003C43BF" w:rsidRDefault="006C3212">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Latvian NPF considers that the deployment of an appropriate EV recharging infrastructure has a high priority for fostering electro-mobility. Latvia centres on deploying a comprehensive </w:t>
      </w:r>
      <w:r>
        <w:rPr>
          <w:rFonts w:ascii="Times New Roman" w:hAnsi="Times New Roman" w:cs="Times New Roman"/>
          <w:i/>
          <w:noProof/>
          <w:sz w:val="24"/>
          <w:lang w:val="en-IE"/>
        </w:rPr>
        <w:t>publicly accessible high power recharging infrastructure. The NPF lacks sufficient information on electricity supply for stationary airplanes. For vessels, two studies were carried out, concluding that the costs for the deployment of shore-side electricity</w:t>
      </w:r>
      <w:r>
        <w:rPr>
          <w:rFonts w:ascii="Times New Roman" w:hAnsi="Times New Roman" w:cs="Times New Roman"/>
          <w:i/>
          <w:noProof/>
          <w:sz w:val="24"/>
          <w:lang w:val="en-IE"/>
        </w:rPr>
        <w:t xml:space="preserve"> supply for the ports of Riga and Ventspils outweigh the benefits.</w:t>
      </w:r>
    </w:p>
    <w:p w:rsidR="003C43BF" w:rsidRDefault="006C3212">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The Latvian NPF admits that the absence of a national policy plan has jeopardised the use of natural gas and hydrogen in transport. The NPF does not provide future estimates thereof. The La</w:t>
      </w:r>
      <w:r>
        <w:rPr>
          <w:rFonts w:ascii="Times New Roman" w:hAnsi="Times New Roman" w:cs="Times New Roman"/>
          <w:i/>
          <w:noProof/>
          <w:sz w:val="24"/>
          <w:lang w:val="en-IE"/>
        </w:rPr>
        <w:t>tvian NPF indicates that a revision of the excise duty would be a candidate measure to promote natural gas use. It has established targets for the deployment of CNG refuelling points accessible to the public. The targeted number of CNG refuelling points co</w:t>
      </w:r>
      <w:r>
        <w:rPr>
          <w:rFonts w:ascii="Times New Roman" w:hAnsi="Times New Roman" w:cs="Times New Roman"/>
          <w:i/>
          <w:noProof/>
          <w:sz w:val="24"/>
          <w:lang w:val="en-IE"/>
        </w:rPr>
        <w:t>uld support a significant increase of CNG vehicles. The coverage of the TEN-T network with CNG refuelling points is unclear.</w:t>
      </w:r>
    </w:p>
    <w:p w:rsidR="003C43BF" w:rsidRDefault="006C3212">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As indicated in the NPF, Latvia has no plans for the deployment of LNG refuelling points in its ports.</w:t>
      </w:r>
    </w:p>
    <w:p w:rsidR="003C43BF" w:rsidRDefault="006C3212">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The NPF does not consider hy</w:t>
      </w:r>
      <w:r>
        <w:rPr>
          <w:rFonts w:ascii="Times New Roman" w:hAnsi="Times New Roman" w:cs="Times New Roman"/>
          <w:i/>
          <w:noProof/>
          <w:sz w:val="24"/>
          <w:lang w:val="en-IE"/>
        </w:rPr>
        <w:t>drogen for transport.</w:t>
      </w:r>
    </w:p>
    <w:p w:rsidR="003C43BF" w:rsidRDefault="006C3212">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The Latvian NPF expects that the purchase price of ‘green’ vehicles will remain in the near-term higher than that of conventional vehicles. However, the government of Latvia considers it has “few instruments available to influence thi</w:t>
      </w:r>
      <w:r>
        <w:rPr>
          <w:rFonts w:ascii="Times New Roman" w:hAnsi="Times New Roman" w:cs="Times New Roman"/>
          <w:i/>
          <w:noProof/>
          <w:sz w:val="24"/>
          <w:lang w:val="en-IE"/>
        </w:rPr>
        <w:t>s”. Notwithstanding, the NPF mentions the possibility of financial support between 2018 and 2020 to reduce the current 7,000 EUR financial differential between internal combustion engine vehicles and EVs on sale in Latvia. Three levels of support are under</w:t>
      </w:r>
      <w:r>
        <w:rPr>
          <w:rFonts w:ascii="Times New Roman" w:hAnsi="Times New Roman" w:cs="Times New Roman"/>
          <w:i/>
          <w:noProof/>
          <w:sz w:val="24"/>
          <w:lang w:val="en-IE"/>
        </w:rPr>
        <w:t xml:space="preserve"> discussion: 7,000 EUR for 2018, 5,000 EUR for 2019 and 3,000 EUR for 2020.</w:t>
      </w:r>
    </w:p>
    <w:p w:rsidR="003C43BF" w:rsidRDefault="003C43BF">
      <w:pPr>
        <w:pStyle w:val="Text1"/>
        <w:tabs>
          <w:tab w:val="left" w:pos="720"/>
        </w:tabs>
        <w:ind w:left="0"/>
        <w:jc w:val="both"/>
        <w:rPr>
          <w:rFonts w:ascii="Times New Roman" w:hAnsi="Times New Roman" w:cs="Times New Roman"/>
          <w:noProof/>
          <w:color w:val="000000" w:themeColor="text1"/>
          <w:sz w:val="24"/>
          <w:lang w:val="en-IE"/>
        </w:rPr>
      </w:pPr>
    </w:p>
    <w:p w:rsidR="003C43BF" w:rsidRDefault="003C43BF">
      <w:pPr>
        <w:pStyle w:val="Text1"/>
        <w:tabs>
          <w:tab w:val="left" w:pos="720"/>
        </w:tabs>
        <w:ind w:left="0"/>
        <w:jc w:val="both"/>
        <w:rPr>
          <w:rFonts w:ascii="Times New Roman" w:hAnsi="Times New Roman" w:cs="Times New Roman"/>
          <w:noProof/>
          <w:color w:val="000000" w:themeColor="text1"/>
          <w:sz w:val="24"/>
          <w:lang w:val="en-IE"/>
        </w:rPr>
      </w:pPr>
    </w:p>
    <w:p w:rsidR="003C43BF" w:rsidRDefault="003C43BF">
      <w:pPr>
        <w:pStyle w:val="Text1"/>
        <w:tabs>
          <w:tab w:val="left" w:pos="720"/>
        </w:tabs>
        <w:ind w:left="0"/>
        <w:jc w:val="both"/>
        <w:rPr>
          <w:rFonts w:ascii="Times New Roman" w:hAnsi="Times New Roman" w:cs="Times New Roman"/>
          <w:noProof/>
          <w:color w:val="000000" w:themeColor="text1"/>
          <w:sz w:val="24"/>
          <w:lang w:val="en-IE"/>
        </w:rPr>
      </w:pPr>
    </w:p>
    <w:p w:rsidR="003C43BF" w:rsidRDefault="003C43BF">
      <w:pPr>
        <w:pStyle w:val="Text1"/>
        <w:tabs>
          <w:tab w:val="left" w:pos="720"/>
        </w:tabs>
        <w:ind w:left="0"/>
        <w:jc w:val="both"/>
        <w:rPr>
          <w:rFonts w:ascii="Times New Roman" w:hAnsi="Times New Roman" w:cs="Times New Roman"/>
          <w:noProof/>
          <w:color w:val="000000" w:themeColor="text1"/>
          <w:sz w:val="24"/>
          <w:lang w:val="en-IE"/>
        </w:rPr>
      </w:pPr>
    </w:p>
    <w:p w:rsidR="003C43BF" w:rsidRDefault="003C43BF">
      <w:pPr>
        <w:pStyle w:val="Text1"/>
        <w:tabs>
          <w:tab w:val="left" w:pos="720"/>
        </w:tabs>
        <w:ind w:left="0"/>
        <w:jc w:val="both"/>
        <w:rPr>
          <w:rFonts w:ascii="Times New Roman" w:hAnsi="Times New Roman" w:cs="Times New Roman"/>
          <w:noProof/>
          <w:color w:val="000000" w:themeColor="text1"/>
          <w:sz w:val="24"/>
          <w:lang w:val="en-IE"/>
        </w:rPr>
      </w:pPr>
    </w:p>
    <w:p w:rsidR="003C43BF" w:rsidRDefault="003C43BF">
      <w:pPr>
        <w:pStyle w:val="Text1"/>
        <w:tabs>
          <w:tab w:val="left" w:pos="720"/>
        </w:tabs>
        <w:ind w:left="0"/>
        <w:jc w:val="both"/>
        <w:rPr>
          <w:rFonts w:ascii="Times New Roman" w:hAnsi="Times New Roman" w:cs="Times New Roman"/>
          <w:noProof/>
          <w:color w:val="000000" w:themeColor="text1"/>
          <w:sz w:val="24"/>
          <w:lang w:val="en-IE"/>
        </w:rPr>
      </w:pPr>
    </w:p>
    <w:p w:rsidR="003C43BF" w:rsidRDefault="006C3212">
      <w:pPr>
        <w:pStyle w:val="Heading3"/>
        <w:ind w:left="720"/>
        <w:rPr>
          <w:rFonts w:ascii="Times New Roman" w:hAnsi="Times New Roman" w:cs="Times New Roman"/>
          <w:noProof/>
          <w:sz w:val="24"/>
          <w:lang w:val="en-IE"/>
        </w:rPr>
      </w:pPr>
      <w:bookmarkStart w:id="329" w:name="_Toc55301888"/>
      <w:bookmarkStart w:id="330" w:name="_Toc56944200"/>
      <w:r>
        <w:rPr>
          <w:rFonts w:ascii="Times New Roman" w:hAnsi="Times New Roman" w:cs="Times New Roman"/>
          <w:noProof/>
          <w:sz w:val="24"/>
          <w:lang w:val="en-IE"/>
        </w:rPr>
        <w:t>Overview of requirements’ fulfilment from Annex I of the Directive</w:t>
      </w:r>
      <w:bookmarkEnd w:id="329"/>
      <w:bookmarkEnd w:id="330"/>
      <w:r>
        <w:rPr>
          <w:rFonts w:ascii="Times New Roman" w:hAnsi="Times New Roman" w:cs="Times New Roman"/>
          <w:noProof/>
          <w:color w:val="000000" w:themeColor="text1"/>
          <w:sz w:val="24"/>
          <w:lang w:val="en-IE"/>
        </w:rPr>
        <w:tab/>
      </w:r>
    </w:p>
    <w:p w:rsidR="003C43BF" w:rsidRDefault="006C3212">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5.14.2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rsidR="003C43BF" w:rsidRDefault="006C3212">
      <w:pPr>
        <w:pStyle w:val="Text1"/>
        <w:tabs>
          <w:tab w:val="left" w:pos="720"/>
        </w:tabs>
        <w:ind w:left="0"/>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5760720" cy="7638635"/>
            <wp:effectExtent l="0" t="0" r="0" b="63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7638635"/>
                    </a:xfrm>
                    <a:prstGeom prst="rect">
                      <a:avLst/>
                    </a:prstGeom>
                    <a:noFill/>
                    <a:ln>
                      <a:noFill/>
                    </a:ln>
                  </pic:spPr>
                </pic:pic>
              </a:graphicData>
            </a:graphic>
          </wp:inline>
        </w:drawing>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checklist shows that the LV NIR covers only some of the requirements of Annex I from the Directive and mostly for electricity as fuel and road as transport mode. All the other AF and transport modes are either absent in the report or the level of infor</w:t>
      </w:r>
      <w:r>
        <w:rPr>
          <w:rFonts w:ascii="Times New Roman" w:hAnsi="Times New Roman" w:cs="Times New Roman"/>
          <w:noProof/>
          <w:sz w:val="24"/>
          <w:lang w:val="en-IE"/>
        </w:rPr>
        <w:t xml:space="preserve">mation provided is such that it does not allow any assessment. </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Latvian NIR reports 29 measures. </w:t>
      </w:r>
      <w:r>
        <w:rPr>
          <w:rFonts w:ascii="Times New Roman" w:hAnsi="Times New Roman" w:cs="Times New Roman"/>
          <w:iCs/>
          <w:noProof/>
          <w:sz w:val="24"/>
          <w:lang w:val="en-IE"/>
        </w:rPr>
        <w:t xml:space="preserve">Under the Policy and Deployment &amp; Manufacturing sections it was possible to identify six AF/transport mode clusters of measures, of which three were </w:t>
      </w:r>
      <w:r>
        <w:rPr>
          <w:rFonts w:ascii="Times New Roman" w:hAnsi="Times New Roman" w:cs="Times New Roman"/>
          <w:iCs/>
          <w:noProof/>
          <w:sz w:val="24"/>
          <w:lang w:val="en-IE"/>
        </w:rPr>
        <w:t>assessable.</w:t>
      </w:r>
    </w:p>
    <w:p w:rsidR="003C43BF" w:rsidRDefault="003C43BF">
      <w:pPr>
        <w:pStyle w:val="Text1"/>
        <w:tabs>
          <w:tab w:val="left" w:pos="720"/>
        </w:tabs>
        <w:ind w:left="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331" w:name="_Toc55301889"/>
      <w:bookmarkStart w:id="332" w:name="_Toc56944201"/>
      <w:r>
        <w:rPr>
          <w:rFonts w:ascii="Times New Roman" w:hAnsi="Times New Roman" w:cs="Times New Roman"/>
          <w:noProof/>
          <w:sz w:val="24"/>
          <w:lang w:val="en-IE"/>
        </w:rPr>
        <w:t>Quantitative assessment: Vehicles and infrastructure</w:t>
      </w:r>
      <w:bookmarkEnd w:id="331"/>
      <w:bookmarkEnd w:id="332"/>
      <w:r>
        <w:rPr>
          <w:rFonts w:ascii="Times New Roman" w:hAnsi="Times New Roman" w:cs="Times New Roman"/>
          <w:noProof/>
          <w:sz w:val="24"/>
          <w:lang w:val="en-IE"/>
        </w:rPr>
        <w:t xml:space="preserve"> </w:t>
      </w:r>
    </w:p>
    <w:p w:rsidR="003C43BF" w:rsidRDefault="006C3212">
      <w:pPr>
        <w:pStyle w:val="Caption"/>
        <w:keepNext/>
        <w:jc w:val="both"/>
        <w:rPr>
          <w:rFonts w:ascii="Times New Roman" w:hAnsi="Times New Roman" w:cs="Times New Roman"/>
          <w:b w:val="0"/>
          <w:i/>
          <w:noProof/>
          <w:sz w:val="20"/>
          <w:szCs w:val="18"/>
          <w:lang w:val="en-IE"/>
        </w:rPr>
      </w:pPr>
      <w:bookmarkStart w:id="333" w:name="_Ref52871516"/>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5.14.3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333"/>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 xml:space="preserve">National AFV estimates and AFI targets established in the NIR at the horizon 2020, 2025 and 2030 and their comparison with the </w:t>
      </w:r>
      <w:r>
        <w:rPr>
          <w:rFonts w:ascii="Times New Roman" w:hAnsi="Times New Roman" w:cs="Times New Roman"/>
          <w:b w:val="0"/>
          <w:i/>
          <w:noProof/>
          <w:sz w:val="20"/>
          <w:szCs w:val="18"/>
          <w:lang w:val="en-IE"/>
        </w:rPr>
        <w:t xml:space="preserve">NPF situation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527939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4235" cy="5279390"/>
                    </a:xfrm>
                    <a:prstGeom prst="rect">
                      <a:avLst/>
                    </a:prstGeom>
                    <a:noFill/>
                  </pic:spPr>
                </pic:pic>
              </a:graphicData>
            </a:graphic>
          </wp:inline>
        </w:drawing>
      </w:r>
    </w:p>
    <w:p w:rsidR="003C43BF" w:rsidRDefault="006C3212">
      <w:pPr>
        <w:pStyle w:val="Text1"/>
        <w:tabs>
          <w:tab w:val="left" w:pos="720"/>
        </w:tabs>
        <w:spacing w:after="0"/>
        <w:ind w:left="0"/>
        <w:jc w:val="both"/>
        <w:rPr>
          <w:rFonts w:ascii="Times New Roman" w:hAnsi="Times New Roman" w:cs="Times New Roman"/>
          <w:noProof/>
          <w:color w:val="000000" w:themeColor="text1"/>
          <w:sz w:val="20"/>
          <w:lang w:val="en-IE"/>
        </w:rPr>
      </w:pPr>
      <w:r>
        <w:rPr>
          <w:rFonts w:ascii="Times New Roman" w:hAnsi="Times New Roman" w:cs="Times New Roman"/>
          <w:noProof/>
          <w:sz w:val="24"/>
          <w:lang w:eastAsia="en-GB"/>
        </w:rPr>
        <w:drawing>
          <wp:inline distT="0" distB="0" distL="0" distR="0">
            <wp:extent cx="3630304" cy="437362"/>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Text1"/>
        <w:tabs>
          <w:tab w:val="left" w:pos="720"/>
        </w:tabs>
        <w:spacing w:after="0"/>
        <w:ind w:left="0"/>
        <w:jc w:val="both"/>
        <w:rPr>
          <w:rFonts w:ascii="Times New Roman" w:hAnsi="Times New Roman" w:cs="Times New Roman"/>
          <w:noProof/>
          <w:color w:val="000000" w:themeColor="text1"/>
          <w:sz w:val="20"/>
          <w:lang w:val="en-IE"/>
        </w:rPr>
      </w:pPr>
      <w:r>
        <w:rPr>
          <w:rFonts w:ascii="Times New Roman" w:hAnsi="Times New Roman" w:cs="Times New Roman"/>
          <w:noProof/>
          <w:color w:val="000000" w:themeColor="text1"/>
          <w:sz w:val="20"/>
          <w:lang w:val="en-IE"/>
        </w:rPr>
        <w:t>*The values with asterisks are reported as such in the LV NIR without explanation why there is the asterisk.</w:t>
      </w:r>
    </w:p>
    <w:p w:rsidR="003C43BF" w:rsidRDefault="003C43BF">
      <w:pPr>
        <w:pStyle w:val="Text1"/>
        <w:tabs>
          <w:tab w:val="left" w:pos="720"/>
        </w:tabs>
        <w:spacing w:after="0"/>
        <w:ind w:left="0"/>
        <w:jc w:val="both"/>
        <w:rPr>
          <w:rFonts w:ascii="Times New Roman" w:hAnsi="Times New Roman" w:cs="Times New Roman"/>
          <w:noProof/>
          <w:color w:val="000000" w:themeColor="text1"/>
          <w:sz w:val="20"/>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Latvia recorded 549 battery-electric and plug-in hybrid vehicles in use in 2018 (of which </w:t>
      </w:r>
      <w:r>
        <w:rPr>
          <w:rFonts w:ascii="Times New Roman" w:hAnsi="Times New Roman" w:cs="Times New Roman"/>
          <w:noProof/>
          <w:sz w:val="24"/>
          <w:lang w:val="en-IE"/>
        </w:rPr>
        <w:t>531 were passenger cars, 13 LCVs and 5 buses and coaches). The LV NIR provides for 2020 a new and higher estimate of electric vehicles compared to the NPF (980 vs. 747) and presents for the first time EV estimates for 2025 and 2030 (2,650 and 7,200 EVs, re</w:t>
      </w:r>
      <w:r>
        <w:rPr>
          <w:rFonts w:ascii="Times New Roman" w:hAnsi="Times New Roman" w:cs="Times New Roman"/>
          <w:noProof/>
          <w:sz w:val="24"/>
          <w:lang w:val="en-IE"/>
        </w:rPr>
        <w:t>spectively). These estimates for 2025 and 2030 seem to refer only to the passenger cars, as the values for LCVs and buses and coaches are indicated only for the 2020 (i.e. 14 LCVs and 6 buses and coaches). There is no mention of electrified Heavy Commercia</w:t>
      </w:r>
      <w:r>
        <w:rPr>
          <w:rFonts w:ascii="Times New Roman" w:hAnsi="Times New Roman" w:cs="Times New Roman"/>
          <w:noProof/>
          <w:sz w:val="24"/>
          <w:lang w:val="en-IE"/>
        </w:rPr>
        <w:t>l Vehicles in the LV NIR.</w:t>
      </w:r>
    </w:p>
    <w:p w:rsidR="003C43BF" w:rsidRDefault="006C3212">
      <w:pPr>
        <w:pStyle w:val="CommentText"/>
        <w:spacing w:line="259" w:lineRule="auto"/>
        <w:jc w:val="both"/>
        <w:rPr>
          <w:rFonts w:ascii="Times New Roman" w:hAnsi="Times New Roman" w:cs="Times New Roman"/>
          <w:noProof/>
          <w:color w:val="000000" w:themeColor="text1"/>
          <w:sz w:val="24"/>
          <w:szCs w:val="22"/>
          <w:lang w:val="en-IE"/>
        </w:rPr>
      </w:pPr>
      <w:r>
        <w:rPr>
          <w:rFonts w:ascii="Times New Roman" w:hAnsi="Times New Roman" w:cs="Times New Roman"/>
          <w:noProof/>
          <w:sz w:val="24"/>
          <w:szCs w:val="22"/>
          <w:lang w:val="en-IE"/>
        </w:rPr>
        <w:t xml:space="preserve">The 2018 </w:t>
      </w:r>
      <w:r>
        <w:rPr>
          <w:rFonts w:ascii="Times New Roman" w:hAnsi="Times New Roman" w:cs="Times New Roman"/>
          <w:b/>
          <w:i/>
          <w:noProof/>
          <w:sz w:val="24"/>
          <w:szCs w:val="22"/>
          <w:lang w:val="en-IE"/>
        </w:rPr>
        <w:t>attainment</w:t>
      </w:r>
      <w:r>
        <w:rPr>
          <w:rFonts w:ascii="Times New Roman" w:hAnsi="Times New Roman" w:cs="Times New Roman"/>
          <w:b/>
          <w:noProof/>
          <w:sz w:val="24"/>
          <w:szCs w:val="22"/>
          <w:lang w:val="en-IE"/>
        </w:rPr>
        <w:t xml:space="preserve"> </w:t>
      </w:r>
      <w:r>
        <w:rPr>
          <w:rFonts w:ascii="Times New Roman" w:hAnsi="Times New Roman" w:cs="Times New Roman"/>
          <w:noProof/>
          <w:sz w:val="24"/>
          <w:szCs w:val="22"/>
          <w:lang w:val="en-IE"/>
        </w:rPr>
        <w:t xml:space="preserve">of future EV estimates is 56.02% for 2020 and 7.63% for 2030. </w:t>
      </w:r>
      <w:r>
        <w:rPr>
          <w:rFonts w:ascii="Times New Roman" w:hAnsi="Times New Roman" w:cs="Times New Roman"/>
          <w:iCs/>
          <w:noProof/>
          <w:color w:val="000000" w:themeColor="text1"/>
          <w:sz w:val="24"/>
          <w:szCs w:val="22"/>
          <w:lang w:val="en-IE"/>
        </w:rPr>
        <w:t xml:space="preserve">According to the assessment methodology described in </w:t>
      </w:r>
      <w:r>
        <w:rPr>
          <w:rFonts w:ascii="Times New Roman" w:hAnsi="Times New Roman" w:cs="Times New Roman"/>
          <w:iCs/>
          <w:noProof/>
          <w:sz w:val="24"/>
          <w:szCs w:val="22"/>
          <w:lang w:val="en-IE"/>
        </w:rPr>
        <w:t>Section 2.1</w:t>
      </w:r>
      <w:r>
        <w:rPr>
          <w:rFonts w:ascii="Times New Roman" w:hAnsi="Times New Roman" w:cs="Times New Roman"/>
          <w:iCs/>
          <w:noProof/>
          <w:color w:val="000000" w:themeColor="text1"/>
          <w:sz w:val="24"/>
          <w:szCs w:val="22"/>
          <w:lang w:val="en-IE"/>
        </w:rPr>
        <w:t xml:space="preserve">, the 2018 situation corresponds to an </w:t>
      </w:r>
      <w:r>
        <w:rPr>
          <w:rFonts w:ascii="Times New Roman" w:hAnsi="Times New Roman" w:cs="Times New Roman"/>
          <w:b/>
          <w:i/>
          <w:iCs/>
          <w:noProof/>
          <w:color w:val="000000" w:themeColor="text1"/>
          <w:sz w:val="24"/>
          <w:szCs w:val="22"/>
          <w:lang w:val="en-IE"/>
        </w:rPr>
        <w:t>adequate</w:t>
      </w:r>
      <w:r>
        <w:rPr>
          <w:rFonts w:ascii="Times New Roman" w:hAnsi="Times New Roman" w:cs="Times New Roman"/>
          <w:b/>
          <w:iCs/>
          <w:noProof/>
          <w:color w:val="000000" w:themeColor="text1"/>
          <w:sz w:val="24"/>
          <w:szCs w:val="22"/>
          <w:lang w:val="en-IE"/>
        </w:rPr>
        <w:t xml:space="preserve"> </w:t>
      </w:r>
      <w:r>
        <w:rPr>
          <w:rFonts w:ascii="Times New Roman" w:hAnsi="Times New Roman" w:cs="Times New Roman"/>
          <w:b/>
          <w:i/>
          <w:iCs/>
          <w:noProof/>
          <w:color w:val="000000" w:themeColor="text1"/>
          <w:sz w:val="24"/>
          <w:szCs w:val="22"/>
          <w:lang w:val="en-IE"/>
        </w:rPr>
        <w:t>progress</w:t>
      </w:r>
      <w:r>
        <w:rPr>
          <w:rFonts w:ascii="Times New Roman" w:hAnsi="Times New Roman" w:cs="Times New Roman"/>
          <w:iCs/>
          <w:noProof/>
          <w:color w:val="000000" w:themeColor="text1"/>
          <w:sz w:val="24"/>
          <w:szCs w:val="22"/>
          <w:lang w:val="en-IE"/>
        </w:rPr>
        <w:t xml:space="preserve"> towards reaching the envisaged EV estimates. The calculated </w:t>
      </w:r>
      <w:r>
        <w:rPr>
          <w:rFonts w:ascii="Times New Roman" w:hAnsi="Times New Roman" w:cs="Times New Roman"/>
          <w:b/>
          <w:i/>
          <w:iCs/>
          <w:noProof/>
          <w:color w:val="000000" w:themeColor="text1"/>
          <w:sz w:val="24"/>
          <w:szCs w:val="22"/>
          <w:lang w:val="en-IE"/>
        </w:rPr>
        <w:t>average</w:t>
      </w:r>
      <w:r>
        <w:rPr>
          <w:rFonts w:ascii="Times New Roman" w:hAnsi="Times New Roman" w:cs="Times New Roman"/>
          <w:b/>
          <w:iCs/>
          <w:noProof/>
          <w:color w:val="000000" w:themeColor="text1"/>
          <w:sz w:val="24"/>
          <w:szCs w:val="22"/>
          <w:lang w:val="en-IE"/>
        </w:rPr>
        <w:t xml:space="preserve"> </w:t>
      </w:r>
      <w:r>
        <w:rPr>
          <w:rFonts w:ascii="Times New Roman" w:hAnsi="Times New Roman" w:cs="Times New Roman"/>
          <w:b/>
          <w:i/>
          <w:iCs/>
          <w:noProof/>
          <w:color w:val="000000" w:themeColor="text1"/>
          <w:sz w:val="24"/>
          <w:szCs w:val="22"/>
          <w:lang w:val="en-IE"/>
        </w:rPr>
        <w:t>annual growth rate</w:t>
      </w:r>
      <w:r>
        <w:rPr>
          <w:rFonts w:ascii="Times New Roman" w:hAnsi="Times New Roman" w:cs="Times New Roman"/>
          <w:iCs/>
          <w:noProof/>
          <w:color w:val="000000" w:themeColor="text1"/>
          <w:sz w:val="24"/>
          <w:szCs w:val="22"/>
          <w:lang w:val="en-IE"/>
        </w:rPr>
        <w:t xml:space="preserve"> corresponding to the period 2016-2030 for the EV fleet evolution is equal to 26%.</w:t>
      </w:r>
      <w:r>
        <w:rPr>
          <w:rFonts w:ascii="Times New Roman" w:hAnsi="Times New Roman" w:cs="Times New Roman"/>
          <w:noProof/>
          <w:color w:val="000000" w:themeColor="text1"/>
          <w:sz w:val="24"/>
          <w:szCs w:val="22"/>
          <w:lang w:val="en-IE"/>
        </w:rPr>
        <w:t xml:space="preserv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Latvia recorded 231 publicly accessible recharging points in 2018 (see</w:t>
      </w:r>
      <w:r>
        <w:rPr>
          <w:rFonts w:ascii="Times New Roman" w:hAnsi="Times New Roman" w:cs="Times New Roman"/>
          <w:noProof/>
          <w:sz w:val="24"/>
          <w:lang w:val="en-IE"/>
        </w:rPr>
        <w:t xml:space="preserv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_Ref52871516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5.14.3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Like for the electrified vehicles, the LV NIR provides for 2020 a new and higher AFI target compared to the NPF (379 vs. 150) and </w:t>
      </w:r>
      <w:r>
        <w:rPr>
          <w:rFonts w:ascii="Times New Roman" w:hAnsi="Times New Roman" w:cs="Times New Roman"/>
          <w:noProof/>
          <w:sz w:val="24"/>
          <w:lang w:val="en-IE"/>
        </w:rPr>
        <w:t xml:space="preserve">presents for the first time AFI targets for 2025 (466 recharging points) and 2030 (the same value of 466 is reported in the LV NIR, but with the clarification that the number refers only to the approved and known projects) . The LV NIR clearly states that </w:t>
      </w:r>
      <w:r>
        <w:rPr>
          <w:rFonts w:ascii="Times New Roman" w:hAnsi="Times New Roman" w:cs="Times New Roman"/>
          <w:noProof/>
          <w:sz w:val="24"/>
          <w:lang w:val="en-IE"/>
        </w:rPr>
        <w:t>all these values of recharging points refer to the number of connectors, not to the number of recharging points, which therefore will probably be lower. It also states that the reported numbers of recharging points might not be comprehensive because “</w:t>
      </w:r>
      <w:r>
        <w:rPr>
          <w:rFonts w:ascii="Times New Roman" w:hAnsi="Times New Roman" w:cs="Times New Roman"/>
          <w:i/>
          <w:noProof/>
          <w:sz w:val="24"/>
          <w:lang w:val="en-IE"/>
        </w:rPr>
        <w:t>owner</w:t>
      </w:r>
      <w:r>
        <w:rPr>
          <w:rFonts w:ascii="Times New Roman" w:hAnsi="Times New Roman" w:cs="Times New Roman"/>
          <w:i/>
          <w:noProof/>
          <w:sz w:val="24"/>
          <w:lang w:val="en-IE"/>
        </w:rPr>
        <w:t>s of these points are not obliged to provide the Road Safety Directorate with information on station deployment</w:t>
      </w:r>
      <w:r>
        <w:rPr>
          <w:rFonts w:ascii="Times New Roman" w:hAnsi="Times New Roman" w:cs="Times New Roman"/>
          <w:noProof/>
          <w:sz w:val="24"/>
          <w:lang w:val="en-IE"/>
        </w:rPr>
        <w:t>”. Concerning the recharging power, the LV NIR reports that those with a power below 22 kW will remain limited to a total of 30 recharging points</w:t>
      </w:r>
      <w:r>
        <w:rPr>
          <w:rFonts w:ascii="Times New Roman" w:hAnsi="Times New Roman" w:cs="Times New Roman"/>
          <w:noProof/>
          <w:sz w:val="24"/>
          <w:lang w:val="en-IE"/>
        </w:rPr>
        <w:t xml:space="preserve"> until 2030, while those with higher power will increase (141 AC recharging points below 44 kW, 293 DC below 100 kW and 2 DC above 100 kW are foreseen in 2030).</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Although the most relevant effort made by Latvia for the uptake of AF vehicles and infrastructu</w:t>
      </w:r>
      <w:r>
        <w:rPr>
          <w:rFonts w:ascii="Times New Roman" w:hAnsi="Times New Roman" w:cs="Times New Roman"/>
          <w:noProof/>
          <w:sz w:val="24"/>
          <w:lang w:val="en-IE"/>
        </w:rPr>
        <w:t>re is for the pair electricity/road, the LV NIR still declares that “</w:t>
      </w:r>
      <w:r>
        <w:rPr>
          <w:rFonts w:ascii="Times New Roman" w:hAnsi="Times New Roman" w:cs="Times New Roman"/>
          <w:i/>
          <w:noProof/>
          <w:sz w:val="24"/>
          <w:lang w:val="en-IE"/>
        </w:rPr>
        <w:t>the existing measures are not yet sufficient to ensure rapid increase in EVs in Latvia</w:t>
      </w:r>
      <w:r>
        <w:rPr>
          <w:rFonts w:ascii="Times New Roman" w:hAnsi="Times New Roman" w:cs="Times New Roman"/>
          <w:noProof/>
          <w:sz w:val="24"/>
          <w:lang w:val="en-IE"/>
        </w:rPr>
        <w:t>”.</w:t>
      </w:r>
    </w:p>
    <w:p w:rsidR="003C43BF" w:rsidRDefault="006C3212">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publicly accessible recharging infrastructure targets is 60.95% for </w:t>
      </w:r>
      <w:r>
        <w:rPr>
          <w:rFonts w:ascii="Times New Roman" w:hAnsi="Times New Roman" w:cs="Times New Roman"/>
          <w:iCs/>
          <w:noProof/>
          <w:color w:val="000000" w:themeColor="text1"/>
          <w:sz w:val="24"/>
          <w:lang w:val="en-IE"/>
        </w:rPr>
        <w:t xml:space="preserve">2020 and 49.57%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fast progress</w:t>
      </w:r>
      <w:r>
        <w:rPr>
          <w:rFonts w:ascii="Times New Roman" w:hAnsi="Times New Roman" w:cs="Times New Roman"/>
          <w:iCs/>
          <w:noProof/>
          <w:color w:val="000000" w:themeColor="text1"/>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w:t>
      </w:r>
      <w:r>
        <w:rPr>
          <w:rFonts w:ascii="Times New Roman" w:hAnsi="Times New Roman" w:cs="Times New Roman"/>
          <w:iCs/>
          <w:noProof/>
          <w:color w:val="000000" w:themeColor="text1"/>
          <w:sz w:val="24"/>
          <w:lang w:val="en-IE"/>
        </w:rPr>
        <w:t xml:space="preserve">16-2030 for publicly accessible recharging infrastructure evolution planned by Latvia is equal to 23%.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LV NIR, the following table shows the ratio between number of vehicles and publicly accessible recharging points (i.e. sufficiency in</w:t>
      </w:r>
      <w:r>
        <w:rPr>
          <w:rFonts w:ascii="Times New Roman" w:hAnsi="Times New Roman" w:cs="Times New Roman"/>
          <w:noProof/>
          <w:sz w:val="24"/>
          <w:lang w:val="en-IE"/>
        </w:rPr>
        <w:t>dex) for the pair electricity/road. As it can be seen, the number of recharging points was insufficient in 2016 and 2017 (and the sufficiency index was inadequate), but has grown considerably in 2018. Although the sufficiency index increases again above 10</w:t>
      </w:r>
      <w:r>
        <w:rPr>
          <w:rFonts w:ascii="Times New Roman" w:hAnsi="Times New Roman" w:cs="Times New Roman"/>
          <w:noProof/>
          <w:sz w:val="24"/>
          <w:lang w:val="en-IE"/>
        </w:rPr>
        <w:t xml:space="preserve"> in 2030, it can be considered adequate, because more than 90% of the recharging points are planned to be high power (&gt;22kW) ones.</w:t>
      </w:r>
    </w:p>
    <w:p w:rsidR="003C43BF" w:rsidRDefault="006C3212">
      <w:pPr>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97450" cy="381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7450" cy="381000"/>
                    </a:xfrm>
                    <a:prstGeom prst="rect">
                      <a:avLst/>
                    </a:prstGeom>
                    <a:noFill/>
                    <a:ln>
                      <a:noFill/>
                    </a:ln>
                  </pic:spPr>
                </pic:pic>
              </a:graphicData>
            </a:graphic>
          </wp:inline>
        </w:drawing>
      </w:r>
    </w:p>
    <w:p w:rsidR="003C43BF" w:rsidRDefault="003C43BF">
      <w:pPr>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Latvian NIR.</w:t>
      </w:r>
    </w:p>
    <w:p w:rsidR="003C43BF" w:rsidRDefault="003C43BF">
      <w:pPr>
        <w:rPr>
          <w:rStyle w:val="Heading4Char"/>
          <w:rFonts w:ascii="Times New Roman" w:hAnsi="Times New Roman" w:cs="Times New Roman"/>
          <w:i/>
          <w:iCs/>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Latvia recorded 187 CNG </w:t>
      </w:r>
      <w:r>
        <w:rPr>
          <w:rFonts w:ascii="Times New Roman" w:hAnsi="Times New Roman" w:cs="Times New Roman"/>
          <w:noProof/>
          <w:sz w:val="24"/>
          <w:lang w:val="en-IE"/>
        </w:rPr>
        <w:t>vehicles in use in 2018 of which 177 were passenger cars, 8 LCVs and 2 HCVs. The Latvian NIR does not report any CNG vehicle estimate for 2020, 2025 and 2030, thus it is not possible to calculate the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the</w:t>
      </w:r>
      <w:r>
        <w:rPr>
          <w:rFonts w:ascii="Times New Roman" w:hAnsi="Times New Roman" w:cs="Times New Roman"/>
          <w:b/>
          <w:i/>
          <w:iCs/>
          <w:noProof/>
          <w:color w:val="000000" w:themeColor="text1"/>
          <w:sz w:val="24"/>
          <w:lang w:val="en-IE"/>
        </w:rPr>
        <w:t xml:space="preserve"> progress</w:t>
      </w:r>
      <w:r>
        <w:rPr>
          <w:rFonts w:ascii="Times New Roman" w:hAnsi="Times New Roman" w:cs="Times New Roman"/>
          <w:iCs/>
          <w:noProof/>
          <w:color w:val="000000" w:themeColor="text1"/>
          <w:sz w:val="24"/>
          <w:lang w:val="en-IE"/>
        </w:rPr>
        <w:t xml:space="preserve"> or the </w:t>
      </w:r>
      <w:r>
        <w:rPr>
          <w:rFonts w:ascii="Times New Roman" w:hAnsi="Times New Roman" w:cs="Times New Roman"/>
          <w:b/>
          <w:i/>
          <w:iCs/>
          <w:noProof/>
          <w:color w:val="000000" w:themeColor="text1"/>
          <w:sz w:val="24"/>
          <w:lang w:val="en-IE"/>
        </w:rPr>
        <w:t>average</w:t>
      </w:r>
      <w:r>
        <w:rPr>
          <w:rFonts w:ascii="Times New Roman" w:hAnsi="Times New Roman" w:cs="Times New Roman"/>
          <w:b/>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w:t>
      </w:r>
      <w:r>
        <w:rPr>
          <w:rFonts w:ascii="Times New Roman" w:hAnsi="Times New Roman" w:cs="Times New Roman"/>
          <w:b/>
          <w:i/>
          <w:iCs/>
          <w:noProof/>
          <w:color w:val="000000" w:themeColor="text1"/>
          <w:sz w:val="24"/>
          <w:lang w:val="en-IE"/>
        </w:rPr>
        <w:t>te</w:t>
      </w:r>
      <w:r>
        <w:rPr>
          <w:rFonts w:ascii="Times New Roman" w:hAnsi="Times New Roman" w:cs="Times New Roman"/>
          <w:iCs/>
          <w:noProof/>
          <w:color w:val="000000" w:themeColor="text1"/>
          <w:sz w:val="24"/>
          <w:lang w:val="en-IE"/>
        </w:rPr>
        <w:t xml:space="preserve"> until 2030.</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Concerning CNG refuelling infrastructure (Table 2), the Latvian NIR reports nothing in 2018, but presents a target of two public refuelling points for 2020, which represents a decrease of 60% compared to the NPF target of five</w:t>
      </w:r>
      <w:r>
        <w:rPr>
          <w:rFonts w:ascii="Times New Roman" w:hAnsi="Times New Roman" w:cs="Times New Roman"/>
          <w:noProof/>
          <w:sz w:val="24"/>
          <w:lang w:val="en-IE"/>
        </w:rPr>
        <w:t xml:space="preserve"> refuelling points. The NIR also mentions the plan to build a third public CNG refuelling point within 2020 and the presence of one private CNG refuelling point already in service. Like in the NPF, the Latvian NIR does not provide any target for 2025 and 2</w:t>
      </w:r>
      <w:r>
        <w:rPr>
          <w:rFonts w:ascii="Times New Roman" w:hAnsi="Times New Roman" w:cs="Times New Roman"/>
          <w:noProof/>
          <w:sz w:val="24"/>
          <w:lang w:val="en-IE"/>
        </w:rPr>
        <w:t xml:space="preserve">030. </w:t>
      </w:r>
    </w:p>
    <w:p w:rsidR="003C43BF" w:rsidRDefault="006C3212">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As there was no CNG refuelling point in use in 2018, the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publicly accessible CNG infrastructure targets has not been computed. According to the assessment methodology described in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slow progress</w:t>
      </w:r>
      <w:r>
        <w:rPr>
          <w:rFonts w:ascii="Times New Roman" w:hAnsi="Times New Roman" w:cs="Times New Roman"/>
          <w:iCs/>
          <w:noProof/>
          <w:color w:val="000000" w:themeColor="text1"/>
          <w:sz w:val="24"/>
          <w:lang w:val="en-IE"/>
        </w:rPr>
        <w:t xml:space="preserve"> towards reaching these envisaged targets. The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refuelling infrastructure could not be computed due to the zero value</w:t>
      </w:r>
      <w:r>
        <w:rPr>
          <w:rFonts w:ascii="Times New Roman" w:hAnsi="Times New Roman" w:cs="Times New Roman"/>
          <w:iCs/>
          <w:noProof/>
          <w:color w:val="000000" w:themeColor="text1"/>
          <w:sz w:val="24"/>
          <w:lang w:val="en-IE"/>
        </w:rPr>
        <w:t xml:space="preserve"> from 2016 to 2018.</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Due to the lack of data, it is not possible to calculate the sufficiency index for the pair CNG/road.</w:t>
      </w:r>
    </w:p>
    <w:p w:rsidR="003C43BF" w:rsidRDefault="003C43BF">
      <w:pPr>
        <w:tabs>
          <w:tab w:val="left" w:pos="360"/>
        </w:tabs>
        <w:spacing w:after="120" w:line="240" w:lineRule="auto"/>
        <w:jc w:val="both"/>
        <w:rPr>
          <w:rFonts w:ascii="Times New Roman" w:hAnsi="Times New Roman" w:cs="Times New Roman"/>
          <w:noProof/>
          <w:color w:val="000000" w:themeColor="text1"/>
          <w:sz w:val="28"/>
          <w:szCs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Latvia recorded 11 LNG vehicles in use in 2018 (of which eight were LCVs, two HCVs and one bus/coach). The Latvian</w:t>
      </w:r>
      <w:r>
        <w:rPr>
          <w:rFonts w:ascii="Times New Roman" w:hAnsi="Times New Roman" w:cs="Times New Roman"/>
          <w:noProof/>
          <w:sz w:val="24"/>
          <w:lang w:val="en-IE"/>
        </w:rPr>
        <w:t xml:space="preserve"> NIR does not report any LNG vehicle estimate for 2020, 2025 and 2030. For this reason, it is not possible to calculate the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the</w:t>
      </w:r>
      <w:r>
        <w:rPr>
          <w:rFonts w:ascii="Times New Roman" w:hAnsi="Times New Roman" w:cs="Times New Roman"/>
          <w:b/>
          <w:i/>
          <w:iCs/>
          <w:noProof/>
          <w:color w:val="000000" w:themeColor="text1"/>
          <w:sz w:val="24"/>
          <w:lang w:val="en-IE"/>
        </w:rPr>
        <w:t xml:space="preserve"> progress</w:t>
      </w:r>
      <w:r>
        <w:rPr>
          <w:rFonts w:ascii="Times New Roman" w:hAnsi="Times New Roman" w:cs="Times New Roman"/>
          <w:iCs/>
          <w:noProof/>
          <w:color w:val="000000" w:themeColor="text1"/>
          <w:sz w:val="24"/>
          <w:lang w:val="en-IE"/>
        </w:rPr>
        <w:t xml:space="preserve"> or the </w:t>
      </w:r>
      <w:r>
        <w:rPr>
          <w:rFonts w:ascii="Times New Roman" w:hAnsi="Times New Roman" w:cs="Times New Roman"/>
          <w:b/>
          <w:i/>
          <w:iCs/>
          <w:noProof/>
          <w:color w:val="000000" w:themeColor="text1"/>
          <w:sz w:val="24"/>
          <w:lang w:val="en-IE"/>
        </w:rPr>
        <w:t>average</w:t>
      </w:r>
      <w:r>
        <w:rPr>
          <w:rFonts w:ascii="Times New Roman" w:hAnsi="Times New Roman" w:cs="Times New Roman"/>
          <w:b/>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until 2030.</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The Latvian NIR does not report any </w:t>
      </w:r>
      <w:r>
        <w:rPr>
          <w:rFonts w:ascii="Times New Roman" w:hAnsi="Times New Roman" w:cs="Times New Roman"/>
          <w:noProof/>
          <w:sz w:val="24"/>
          <w:lang w:val="en-IE"/>
        </w:rPr>
        <w:t>information on infrastructure for the pair LNG/road in 2018, nor any target for 2020, 2025 and 2030, thus it is not possible to calculate the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the</w:t>
      </w:r>
      <w:r>
        <w:rPr>
          <w:rFonts w:ascii="Times New Roman" w:hAnsi="Times New Roman" w:cs="Times New Roman"/>
          <w:b/>
          <w:i/>
          <w:iCs/>
          <w:noProof/>
          <w:color w:val="000000" w:themeColor="text1"/>
          <w:sz w:val="24"/>
          <w:lang w:val="en-IE"/>
        </w:rPr>
        <w:t xml:space="preserve"> progress</w:t>
      </w:r>
      <w:r>
        <w:rPr>
          <w:rFonts w:ascii="Times New Roman" w:hAnsi="Times New Roman" w:cs="Times New Roman"/>
          <w:iCs/>
          <w:noProof/>
          <w:color w:val="000000" w:themeColor="text1"/>
          <w:sz w:val="24"/>
          <w:lang w:val="en-IE"/>
        </w:rPr>
        <w:t xml:space="preserve"> or the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until 2030.</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Due to the lack of data, it is not po</w:t>
      </w:r>
      <w:r>
        <w:rPr>
          <w:rFonts w:ascii="Times New Roman" w:hAnsi="Times New Roman" w:cs="Times New Roman"/>
          <w:noProof/>
          <w:sz w:val="24"/>
          <w:lang w:val="en-IE"/>
        </w:rPr>
        <w:t>ssible to calculate the sufficiency index for the pair LNG/road.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Similarly to the NPF, the Latvian NIR does not report any information related to hydrogen-fuelled vehicles.</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noProof/>
          <w:sz w:val="24"/>
          <w:lang w:val="en-IE"/>
        </w:rPr>
        <w:t>Although the Latvian NIR mentions hydrogen refuel</w:t>
      </w:r>
      <w:r>
        <w:rPr>
          <w:rFonts w:ascii="Times New Roman" w:hAnsi="Times New Roman" w:cs="Times New Roman"/>
          <w:noProof/>
          <w:sz w:val="24"/>
          <w:lang w:val="en-IE"/>
        </w:rPr>
        <w:t>ling points as being in the scope of some measures, there is no specific information on hydrogen infrastructure target until 2030.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there are no vehicle estimates nor infrastructure targets in the Latvian NIR, it is not possible to calculate the</w:t>
      </w:r>
      <w:r>
        <w:rPr>
          <w:rFonts w:ascii="Times New Roman" w:hAnsi="Times New Roman" w:cs="Times New Roman"/>
          <w:noProof/>
          <w:sz w:val="24"/>
          <w:lang w:val="en-IE"/>
        </w:rPr>
        <w:t xml:space="preserve"> sufficiency index for the pair hydrogen/road.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unavailable in the LV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unavailable in the LV NIR.</w:t>
      </w:r>
    </w:p>
    <w:p w:rsidR="003C43BF" w:rsidRDefault="003C43BF">
      <w:pPr>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iCs/>
          <w:noProof/>
          <w:color w:val="000000" w:themeColor="text1"/>
          <w:sz w:val="24"/>
          <w:lang w:val="en-IE"/>
        </w:rPr>
      </w:pPr>
      <w:r>
        <w:rPr>
          <w:rFonts w:ascii="Times New Roman" w:hAnsi="Times New Roman" w:cs="Times New Roman"/>
          <w:noProof/>
          <w:sz w:val="24"/>
          <w:lang w:val="en-IE"/>
        </w:rPr>
        <w:t xml:space="preserve">Latvia recorded 18,202 LPG vehicles in use in 2018 of which 17,749 were </w:t>
      </w:r>
      <w:r>
        <w:rPr>
          <w:rFonts w:ascii="Times New Roman" w:hAnsi="Times New Roman" w:cs="Times New Roman"/>
          <w:noProof/>
          <w:sz w:val="24"/>
          <w:lang w:val="en-IE"/>
        </w:rPr>
        <w:t>passenger cars, 373 were LCVs and 80 were HCVs. The Latvian NIR does not report any LPG vehicle estimate for 2020, 2025 and 2030. For this reason, it is not possible to calculate the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the</w:t>
      </w:r>
      <w:r>
        <w:rPr>
          <w:rFonts w:ascii="Times New Roman" w:hAnsi="Times New Roman" w:cs="Times New Roman"/>
          <w:b/>
          <w:i/>
          <w:iCs/>
          <w:noProof/>
          <w:color w:val="000000" w:themeColor="text1"/>
          <w:sz w:val="24"/>
          <w:lang w:val="en-IE"/>
        </w:rPr>
        <w:t xml:space="preserve"> progress</w:t>
      </w:r>
      <w:r>
        <w:rPr>
          <w:rFonts w:ascii="Times New Roman" w:hAnsi="Times New Roman" w:cs="Times New Roman"/>
          <w:iCs/>
          <w:noProof/>
          <w:color w:val="000000" w:themeColor="text1"/>
          <w:sz w:val="24"/>
          <w:lang w:val="en-IE"/>
        </w:rPr>
        <w:t xml:space="preserve"> or the </w:t>
      </w:r>
      <w:r>
        <w:rPr>
          <w:rFonts w:ascii="Times New Roman" w:hAnsi="Times New Roman" w:cs="Times New Roman"/>
          <w:b/>
          <w:i/>
          <w:iCs/>
          <w:noProof/>
          <w:color w:val="000000" w:themeColor="text1"/>
          <w:sz w:val="24"/>
          <w:lang w:val="en-IE"/>
        </w:rPr>
        <w:t>average</w:t>
      </w:r>
      <w:r>
        <w:rPr>
          <w:rFonts w:ascii="Times New Roman" w:hAnsi="Times New Roman" w:cs="Times New Roman"/>
          <w:b/>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until 2030.</w:t>
      </w:r>
    </w:p>
    <w:p w:rsidR="003C43BF" w:rsidRDefault="003C43BF">
      <w:pPr>
        <w:tabs>
          <w:tab w:val="left" w:pos="360"/>
        </w:tabs>
        <w:jc w:val="both"/>
        <w:rPr>
          <w:rFonts w:ascii="Times New Roman" w:hAnsi="Times New Roman" w:cs="Times New Roman"/>
          <w:noProof/>
          <w:color w:val="000000" w:themeColor="text1"/>
          <w:sz w:val="28"/>
          <w:szCs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Although there are clearly LPG refuelling points in Latvia (for example EAFO reports 240 LPG refuelling points in 2018), the Latvian NIR does not provide any information regarding LPG infrastructure in 2018, nor any target for 2020, 2025 and</w:t>
      </w:r>
      <w:r>
        <w:rPr>
          <w:rFonts w:ascii="Times New Roman" w:hAnsi="Times New Roman" w:cs="Times New Roman"/>
          <w:noProof/>
          <w:sz w:val="24"/>
          <w:lang w:val="en-IE"/>
        </w:rPr>
        <w:t xml:space="preserve"> 2030, thus it is not possible to calculate the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the</w:t>
      </w:r>
      <w:r>
        <w:rPr>
          <w:rFonts w:ascii="Times New Roman" w:hAnsi="Times New Roman" w:cs="Times New Roman"/>
          <w:b/>
          <w:i/>
          <w:iCs/>
          <w:noProof/>
          <w:color w:val="000000" w:themeColor="text1"/>
          <w:sz w:val="24"/>
          <w:lang w:val="en-IE"/>
        </w:rPr>
        <w:t xml:space="preserve"> progress</w:t>
      </w:r>
      <w:r>
        <w:rPr>
          <w:rFonts w:ascii="Times New Roman" w:hAnsi="Times New Roman" w:cs="Times New Roman"/>
          <w:iCs/>
          <w:noProof/>
          <w:color w:val="000000" w:themeColor="text1"/>
          <w:sz w:val="24"/>
          <w:lang w:val="en-IE"/>
        </w:rPr>
        <w:t xml:space="preserve"> or the </w:t>
      </w:r>
      <w:r>
        <w:rPr>
          <w:rFonts w:ascii="Times New Roman" w:hAnsi="Times New Roman" w:cs="Times New Roman"/>
          <w:b/>
          <w:i/>
          <w:iCs/>
          <w:noProof/>
          <w:color w:val="000000" w:themeColor="text1"/>
          <w:sz w:val="24"/>
          <w:lang w:val="en-IE"/>
        </w:rPr>
        <w:t>average</w:t>
      </w:r>
      <w:r>
        <w:rPr>
          <w:rFonts w:ascii="Times New Roman" w:hAnsi="Times New Roman" w:cs="Times New Roman"/>
          <w:b/>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until 2030.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Due to the lack of data, it is not possible to calculate the sufficiency index for the pair LPG/road.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w:t>
      </w:r>
      <w:r>
        <w:rPr>
          <w:rFonts w:ascii="Times New Roman" w:hAnsi="Times New Roman" w:cs="Times New Roman"/>
          <w:noProof/>
          <w:sz w:val="24"/>
          <w:lang w:val="en-IE"/>
        </w:rPr>
        <w:t>ehicles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unavailable in the LV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Latvian NIR confirms the plan, already presented in the NPF, to complete the electrification of railway lines Daugavpils - Krustpils, Rezekne - Krustpils and Krustpils - Riga by 2023. The</w:t>
      </w:r>
      <w:r>
        <w:rPr>
          <w:rFonts w:ascii="Times New Roman" w:hAnsi="Times New Roman" w:cs="Times New Roman"/>
          <w:noProof/>
          <w:sz w:val="24"/>
          <w:lang w:val="en-IE"/>
        </w:rPr>
        <w:t xml:space="preserve"> LV NIR also mentions the plan to construct the European standard gauge rail line “Rail Baltica”, but does not provide any further information.</w:t>
      </w:r>
    </w:p>
    <w:p w:rsidR="003C43BF" w:rsidRDefault="003C43BF">
      <w:pPr>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unavailable in the LV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Ac</w:t>
      </w:r>
      <w:r>
        <w:rPr>
          <w:rFonts w:ascii="Times New Roman" w:hAnsi="Times New Roman" w:cs="Times New Roman"/>
          <w:noProof/>
          <w:sz w:val="24"/>
          <w:lang w:val="en-IE"/>
        </w:rPr>
        <w:t xml:space="preserve">cording to the LV NIR, two shore-side electricity supply installations were available in 2018 for use by vessels. The NIR also reports the target of one additional shore-side electricity supply installation in 2025 and one in 2030, but it states that this </w:t>
      </w:r>
      <w:r>
        <w:rPr>
          <w:rFonts w:ascii="Times New Roman" w:hAnsi="Times New Roman" w:cs="Times New Roman"/>
          <w:noProof/>
          <w:sz w:val="24"/>
          <w:lang w:val="en-IE"/>
        </w:rPr>
        <w:t>plan is subject to the outcome of the ongoing assessment of the necessity and economic feasibility of setting up shore-side electricity supply, due to be completed by 31 December 2020.</w:t>
      </w:r>
    </w:p>
    <w:p w:rsidR="003C43BF" w:rsidRDefault="006C3212">
      <w:pPr>
        <w:tabs>
          <w:tab w:val="left" w:pos="360"/>
        </w:tabs>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targets for shore-side electricity supply for seagoing ships in maritime ports is 100% for 2020 and 50% for 2030 (if the plan to build two additional </w:t>
      </w:r>
      <w:r>
        <w:rPr>
          <w:rFonts w:ascii="Times New Roman" w:hAnsi="Times New Roman" w:cs="Times New Roman"/>
          <w:noProof/>
          <w:sz w:val="24"/>
          <w:lang w:val="en-IE"/>
        </w:rPr>
        <w:t>installations is confirmed)</w:t>
      </w:r>
      <w:r>
        <w:rPr>
          <w:rFonts w:ascii="Times New Roman" w:hAnsi="Times New Roman" w:cs="Times New Roman"/>
          <w:iCs/>
          <w:noProof/>
          <w:color w:val="000000" w:themeColor="text1"/>
          <w:sz w:val="24"/>
          <w:lang w:val="en-IE"/>
        </w:rPr>
        <w:t xml:space="preserve">.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t</w:t>
      </w:r>
      <w:r>
        <w:rPr>
          <w:rFonts w:ascii="Times New Roman" w:hAnsi="Times New Roman" w:cs="Times New Roman"/>
          <w:iCs/>
          <w:noProof/>
          <w:color w:val="000000" w:themeColor="text1"/>
          <w:sz w:val="24"/>
          <w:lang w:val="en-IE"/>
        </w:rPr>
        <w:t xml:space="preserve">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Latvia from 2016 until 2018 for the deployment of shore-side electricity supply in maritime ports is 50% of the overall planned deployment during the period 2016-2030. </w:t>
      </w:r>
    </w:p>
    <w:p w:rsidR="003C43BF" w:rsidRDefault="003C43BF">
      <w:pPr>
        <w:tabs>
          <w:tab w:val="left" w:pos="360"/>
        </w:tabs>
        <w:spacing w:after="120" w:line="240" w:lineRule="auto"/>
        <w:jc w:val="both"/>
        <w:rPr>
          <w:rFonts w:ascii="Times New Roman" w:hAnsi="Times New Roman" w:cs="Times New Roman"/>
          <w:iCs/>
          <w:noProof/>
          <w:color w:val="000000" w:themeColor="text1"/>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Latvian NIR, </w:t>
      </w:r>
      <w:r>
        <w:rPr>
          <w:rFonts w:ascii="Times New Roman" w:hAnsi="Times New Roman" w:cs="Times New Roman"/>
          <w:noProof/>
          <w:sz w:val="24"/>
          <w:lang w:val="en-IE"/>
        </w:rPr>
        <w:t>apart from a generic mention of the development of shipbuilding with engines using only LNG as fuel (it is not clear whether this mention refers to Latvia specifically or to the EU in general).</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it can be seen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_Ref52871516 \h  \* M</w:instrText>
      </w:r>
      <w:r>
        <w:rPr>
          <w:rFonts w:ascii="Times New Roman" w:hAnsi="Times New Roman" w:cs="Times New Roman"/>
          <w:noProof/>
          <w:sz w:val="24"/>
          <w:lang w:val="en-IE"/>
        </w:rPr>
        <w:instrText xml:space="preserve">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5.14.3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 LV NIR reports the target of one LNG refuelling point in 2020 and another one in 2025, but it specifies that this plan is subject to the outcome of the ongoing</w:t>
      </w:r>
      <w:r>
        <w:rPr>
          <w:rFonts w:ascii="Times New Roman" w:hAnsi="Times New Roman" w:cs="Times New Roman"/>
          <w:noProof/>
          <w:sz w:val="24"/>
          <w:lang w:val="en-IE"/>
        </w:rPr>
        <w:t xml:space="preserve"> assessment of the necessity and economic feasibility of setting up LNG refuelling points in ports (in TEN-T Core Network), due for completion by 31 December 2020. This could be the reason for the presence of the asterisk next to the numbers.</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w:t>
      </w:r>
      <w:r>
        <w:rPr>
          <w:rStyle w:val="Heading4Char"/>
          <w:rFonts w:ascii="Times New Roman" w:hAnsi="Times New Roman" w:cs="Times New Roman"/>
          <w:noProof/>
          <w:sz w:val="24"/>
          <w:lang w:val="en-IE"/>
        </w:rPr>
        <w:t>ransport (inland)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Not applicable since Latvia has no inland ports in the TEN-T Core Network. </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LV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jc w:val="both"/>
        <w:rPr>
          <w:rFonts w:ascii="Times New Roman" w:eastAsia="Times New Roman" w:hAnsi="Times New Roman" w:cs="Times New Roman"/>
          <w:noProof/>
          <w:sz w:val="28"/>
          <w:szCs w:val="24"/>
          <w:lang w:val="en-IE" w:eastAsia="lv-LV"/>
        </w:rPr>
      </w:pPr>
      <w:r>
        <w:rPr>
          <w:rFonts w:ascii="Times New Roman" w:hAnsi="Times New Roman" w:cs="Times New Roman"/>
          <w:iCs/>
          <w:noProof/>
          <w:sz w:val="24"/>
          <w:lang w:val="en-IE"/>
        </w:rPr>
        <w:t>The LV NIR reports that</w:t>
      </w:r>
      <w:r>
        <w:rPr>
          <w:rFonts w:ascii="Times New Roman" w:hAnsi="Times New Roman" w:cs="Times New Roman"/>
          <w:i/>
          <w:iCs/>
          <w:noProof/>
          <w:sz w:val="24"/>
          <w:lang w:val="en-IE"/>
        </w:rPr>
        <w:t xml:space="preserve"> “most of the aircraft parking lots at Riga Airport that serve commercial passenger flights already have Fixed Power Units (FPUs), which provide power to aircraft systems during ground-handling services…. In the future, Riga Airport will also provide the c</w:t>
      </w:r>
      <w:r>
        <w:rPr>
          <w:rFonts w:ascii="Times New Roman" w:hAnsi="Times New Roman" w:cs="Times New Roman"/>
          <w:i/>
          <w:iCs/>
          <w:noProof/>
          <w:sz w:val="24"/>
          <w:lang w:val="en-IE"/>
        </w:rPr>
        <w:t>onstruction of fixed power supply connection points”.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on flights / airplanes powered by biofuels is unavailable in the Latvian NIR.</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LV NIR.</w:t>
      </w: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334" w:name="_Toc55301890"/>
      <w:bookmarkStart w:id="335" w:name="_Toc56944202"/>
      <w:r>
        <w:rPr>
          <w:rFonts w:ascii="Times New Roman" w:hAnsi="Times New Roman" w:cs="Times New Roman"/>
          <w:noProof/>
          <w:sz w:val="24"/>
          <w:lang w:val="en-IE"/>
        </w:rPr>
        <w:t>Measures assessment</w:t>
      </w:r>
      <w:bookmarkEnd w:id="334"/>
      <w:bookmarkEnd w:id="335"/>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As a general statement, it has to be anticipated that the description of the measures in the LV NIR is not sufficient to allow a complete assessment according to the methodology described in </w:t>
      </w:r>
      <w:r>
        <w:rPr>
          <w:rFonts w:ascii="Times New Roman" w:hAnsi="Times New Roman" w:cs="Times New Roman"/>
          <w:iCs/>
          <w:noProof/>
          <w:color w:val="000000" w:themeColor="text1"/>
          <w:sz w:val="24"/>
          <w:lang w:val="en-IE"/>
        </w:rPr>
        <w:t>Section 2.2</w:t>
      </w:r>
      <w:r>
        <w:rPr>
          <w:rFonts w:ascii="Times New Roman" w:hAnsi="Times New Roman" w:cs="Times New Roman"/>
          <w:iCs/>
          <w:noProof/>
          <w:sz w:val="24"/>
          <w:lang w:val="en-IE"/>
        </w:rPr>
        <w:t>. In many instances the description is not clear as to</w:t>
      </w:r>
      <w:r>
        <w:rPr>
          <w:rFonts w:ascii="Times New Roman" w:hAnsi="Times New Roman" w:cs="Times New Roman"/>
          <w:iCs/>
          <w:noProof/>
          <w:sz w:val="24"/>
          <w:lang w:val="en-IE"/>
        </w:rPr>
        <w:t xml:space="preserve"> what it applies to, furthermore the Policy and Deployment &amp; Manufacturing measures do not provide quantitative information (budget per AF/vehicle/infrastructure) which makes the results of the assessment and of the clustering quite uncertain.</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Legal measur</w:t>
      </w:r>
      <w:r>
        <w:rPr>
          <w:rFonts w:ascii="Times New Roman" w:hAnsi="Times New Roman" w:cs="Times New Roman"/>
          <w:noProof/>
          <w:sz w:val="24"/>
          <w:lang w:val="en-IE"/>
        </w:rPr>
        <w:t xml:space="preserve">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LV NIR presents a list of 11 Legal measures, however only four of them can be considered strictly as Legal measures, while the other 7 are either Policy or Deployment &amp; Manufacturing measures (and some of them are actually repeated in the Policy </w:t>
      </w:r>
      <w:r>
        <w:rPr>
          <w:rFonts w:ascii="Times New Roman" w:hAnsi="Times New Roman" w:cs="Times New Roman"/>
          <w:noProof/>
          <w:sz w:val="24"/>
          <w:lang w:val="en-IE"/>
        </w:rPr>
        <w:t>measures section). Overall, the Legal measures listed in the LV NIR do not appear to bring a different level of ambition compared to the NPF.</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first and probably most important Legal measure is the Transport Energy Law, which wi</w:t>
      </w:r>
      <w:r>
        <w:rPr>
          <w:rFonts w:ascii="Times New Roman" w:hAnsi="Times New Roman" w:cs="Times New Roman"/>
          <w:noProof/>
          <w:sz w:val="24"/>
          <w:lang w:val="en-IE"/>
        </w:rPr>
        <w:t>ll regulate the future transport sector in Latvia. Due to its importance, however, this measure is subject to a very lengthy procedure (presented to the LV Parliament in May 2018, expected to be adopted by December 2020), so it is currently still under dis</w:t>
      </w:r>
      <w:r>
        <w:rPr>
          <w:rFonts w:ascii="Times New Roman" w:hAnsi="Times New Roman" w:cs="Times New Roman"/>
          <w:noProof/>
          <w:sz w:val="24"/>
          <w:lang w:val="en-IE"/>
        </w:rPr>
        <w:t>cussion.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second Legal measure is the Cabinet Regulation No 78 of 6 February 2018, laying down requirements for electric vehicle recharging points, natural gas refuelling points, hydrogen refuelling points and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facilities. T</w:t>
      </w:r>
      <w:r>
        <w:rPr>
          <w:rFonts w:ascii="Times New Roman" w:hAnsi="Times New Roman" w:cs="Times New Roman"/>
          <w:noProof/>
          <w:sz w:val="24"/>
          <w:lang w:val="en-IE"/>
        </w:rPr>
        <w:t>he other two Legal measures, both adopted in 2017, amend respectively the previous law on circulation tax and company car tax, and the previous law on excise tax.</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LV NPF does not provide specific information on administrative measures.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P</w:t>
      </w:r>
      <w:r>
        <w:rPr>
          <w:rFonts w:ascii="Times New Roman" w:hAnsi="Times New Roman" w:cs="Times New Roman"/>
          <w:noProof/>
          <w:sz w:val="24"/>
          <w:lang w:val="en-IE"/>
        </w:rPr>
        <w:t xml:space="preserve">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LV NIR lists a series of 16 measures under the heading “Policy Measures”, however according to the classification adopted in the Guidelines for the reporting of the national implementation reports, only 13 measures can be considered Pol</w:t>
      </w:r>
      <w:r>
        <w:rPr>
          <w:rFonts w:ascii="Times New Roman" w:hAnsi="Times New Roman" w:cs="Times New Roman"/>
          <w:noProof/>
          <w:sz w:val="24"/>
          <w:lang w:val="en-IE"/>
        </w:rPr>
        <w:t>icy measures while the other three are Deployment measures and are described in the corresponding section.</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Ten out of the 13 Policy measures are intended to ensure the achievement of national targets and o</w:t>
      </w:r>
      <w:r>
        <w:rPr>
          <w:rFonts w:ascii="Times New Roman" w:hAnsi="Times New Roman" w:cs="Times New Roman"/>
          <w:noProof/>
          <w:sz w:val="24"/>
          <w:lang w:val="en-IE"/>
        </w:rPr>
        <w:t>bjectives. Eight measures focus on road transport and two on waterborne transport.</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Compared to the Policy measures already present in the NPF (and still in place), the new Policy measures presented in the NIR refer to studies and analysis th</w:t>
      </w:r>
      <w:r>
        <w:rPr>
          <w:rFonts w:ascii="Times New Roman" w:hAnsi="Times New Roman" w:cs="Times New Roman"/>
          <w:noProof/>
          <w:sz w:val="24"/>
          <w:lang w:val="en-IE"/>
        </w:rPr>
        <w:t>at are seen as the necessary basis for future decisions. For example, two measures aim to “</w:t>
      </w:r>
      <w:r>
        <w:rPr>
          <w:rFonts w:ascii="Times New Roman" w:hAnsi="Times New Roman" w:cs="Times New Roman"/>
          <w:i/>
          <w:noProof/>
          <w:sz w:val="24"/>
          <w:lang w:val="en-IE"/>
        </w:rPr>
        <w:t>conduct, in accordance with the ‘Tax Policy Guidelines 2017-2021’, an evaluation of tax incentives for CNG, LNG and FCEV, biofuel, paraffinic and synthetic fuels fro</w:t>
      </w:r>
      <w:r>
        <w:rPr>
          <w:rFonts w:ascii="Times New Roman" w:hAnsi="Times New Roman" w:cs="Times New Roman"/>
          <w:i/>
          <w:noProof/>
          <w:sz w:val="24"/>
          <w:lang w:val="en-IE"/>
        </w:rPr>
        <w:t>m RES, and the possibility of changing the excise tax rate for diesel to approximate the currently highest rate for gasoline</w:t>
      </w:r>
      <w:r>
        <w:rPr>
          <w:rFonts w:ascii="Times New Roman" w:hAnsi="Times New Roman" w:cs="Times New Roman"/>
          <w:noProof/>
          <w:sz w:val="24"/>
          <w:lang w:val="en-IE"/>
        </w:rPr>
        <w:t>”. One measure aims to “</w:t>
      </w:r>
      <w:r>
        <w:rPr>
          <w:rFonts w:ascii="Times New Roman" w:hAnsi="Times New Roman" w:cs="Times New Roman"/>
          <w:i/>
          <w:noProof/>
          <w:sz w:val="24"/>
          <w:lang w:val="en-IE"/>
        </w:rPr>
        <w:t>conduct an assessment in accordance with the Tax Policy Guidelines 2017-2021 of options for reducing the tax</w:t>
      </w:r>
      <w:r>
        <w:rPr>
          <w:rFonts w:ascii="Times New Roman" w:hAnsi="Times New Roman" w:cs="Times New Roman"/>
          <w:i/>
          <w:noProof/>
          <w:sz w:val="24"/>
          <w:lang w:val="en-IE"/>
        </w:rPr>
        <w:t xml:space="preserve"> burden on eco-friendly vehicles (PHEV, FCEV, vehicles using biofuels, paraffinized and synthetic fuels derived from RES, hybrid vehicles, low-carbon vehicles, etc.) emitting less than 50 gCO</w:t>
      </w:r>
      <w:r>
        <w:rPr>
          <w:rFonts w:ascii="Times New Roman" w:hAnsi="Times New Roman" w:cs="Times New Roman"/>
          <w:i/>
          <w:noProof/>
          <w:sz w:val="24"/>
          <w:vertAlign w:val="subscript"/>
          <w:lang w:val="en-IE"/>
        </w:rPr>
        <w:t>2</w:t>
      </w:r>
      <w:r>
        <w:rPr>
          <w:rFonts w:ascii="Times New Roman" w:hAnsi="Times New Roman" w:cs="Times New Roman"/>
          <w:i/>
          <w:noProof/>
          <w:sz w:val="24"/>
          <w:lang w:val="en-IE"/>
        </w:rPr>
        <w:t>/km</w:t>
      </w:r>
      <w:r>
        <w:rPr>
          <w:rFonts w:ascii="Times New Roman" w:hAnsi="Times New Roman" w:cs="Times New Roman"/>
          <w:noProof/>
          <w:sz w:val="24"/>
          <w:lang w:val="en-IE"/>
        </w:rPr>
        <w:t xml:space="preserve">”. Another measure is under discussion (deadline 31 December </w:t>
      </w:r>
      <w:r>
        <w:rPr>
          <w:rFonts w:ascii="Times New Roman" w:hAnsi="Times New Roman" w:cs="Times New Roman"/>
          <w:noProof/>
          <w:sz w:val="24"/>
          <w:lang w:val="en-IE"/>
        </w:rPr>
        <w:t>2020) to “</w:t>
      </w:r>
      <w:r>
        <w:rPr>
          <w:rFonts w:ascii="Times New Roman" w:hAnsi="Times New Roman" w:cs="Times New Roman"/>
          <w:i/>
          <w:noProof/>
          <w:sz w:val="24"/>
          <w:lang w:val="en-IE"/>
        </w:rPr>
        <w:t>examine options to facilitate purchases of EVs</w:t>
      </w:r>
      <w:r>
        <w:rPr>
          <w:rFonts w:ascii="Times New Roman" w:hAnsi="Times New Roman" w:cs="Times New Roman"/>
          <w:noProof/>
          <w:sz w:val="24"/>
          <w:lang w:val="en-IE"/>
        </w:rPr>
        <w:t>”. Another measure is under discussion (deadline 31 December 2020) to discuss “</w:t>
      </w:r>
      <w:r>
        <w:rPr>
          <w:rFonts w:ascii="Times New Roman" w:hAnsi="Times New Roman" w:cs="Times New Roman"/>
          <w:i/>
          <w:noProof/>
          <w:sz w:val="24"/>
          <w:lang w:val="en-IE"/>
        </w:rPr>
        <w:t>the possibility of increasing taxes on new non-ecological vehicles and, if necessary, amending laws and regulations</w:t>
      </w:r>
      <w:r>
        <w:rPr>
          <w:rFonts w:ascii="Times New Roman" w:hAnsi="Times New Roman" w:cs="Times New Roman"/>
          <w:noProof/>
          <w:sz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w:t>
      </w:r>
      <w:r>
        <w:rPr>
          <w:rFonts w:ascii="Times New Roman" w:hAnsi="Times New Roman" w:cs="Times New Roman"/>
          <w:noProof/>
          <w:sz w:val="24"/>
          <w:lang w:val="en-IE"/>
        </w:rPr>
        <w:t>terborne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Two Policy measures in the LV NIR address waterborne transport, one concerning the assessment of the potential use of LNG in ports, the other dedicated to studying the economics of shore-side electricity supply. The deadline for the conc</w:t>
      </w:r>
      <w:r>
        <w:rPr>
          <w:rFonts w:ascii="Times New Roman" w:hAnsi="Times New Roman" w:cs="Times New Roman"/>
          <w:noProof/>
          <w:sz w:val="24"/>
          <w:lang w:val="en-IE"/>
        </w:rPr>
        <w:t>lusion of these analyses is 31 December 2020.</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jc w:val="both"/>
        <w:rPr>
          <w:rFonts w:ascii="Times New Roman" w:hAnsi="Times New Roman" w:cs="Times New Roman"/>
          <w:i/>
          <w:iCs/>
          <w:noProof/>
          <w:sz w:val="24"/>
          <w:lang w:val="en-IE"/>
        </w:rPr>
      </w:pPr>
      <w:r>
        <w:rPr>
          <w:rFonts w:ascii="Times New Roman" w:hAnsi="Times New Roman" w:cs="Times New Roman"/>
          <w:noProof/>
          <w:sz w:val="24"/>
          <w:lang w:val="en-IE"/>
        </w:rPr>
        <w:t xml:space="preserve">Two Policy measures are aimed at promoting AFI in public transport service. The first relates to supporting the deployment of environmentally friendly </w:t>
      </w:r>
      <w:r>
        <w:rPr>
          <w:rFonts w:ascii="Times New Roman" w:hAnsi="Times New Roman" w:cs="Times New Roman"/>
          <w:noProof/>
          <w:sz w:val="24"/>
          <w:lang w:val="en-IE"/>
        </w:rPr>
        <w:t>buses. This measure mentions six projects with a total budget (2018-2025) of around 16 million €, but there is no indication of the number of buses to incentivise. On the other hand, in the AFV Estimate section, there is only a mention of 6 Buses (BEV) for</w:t>
      </w:r>
      <w:r>
        <w:rPr>
          <w:rFonts w:ascii="Times New Roman" w:hAnsi="Times New Roman" w:cs="Times New Roman"/>
          <w:noProof/>
          <w:sz w:val="24"/>
          <w:lang w:val="en-IE"/>
        </w:rPr>
        <w:t xml:space="preserve"> 2020 and no other type of bus. This however would be quite strange, because the average cost of an E-Bus is between €300,000 and €500,000, thus the budget would largely exceed the total cost.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second measure is dedicated to the rail sector in cities (r</w:t>
      </w:r>
      <w:r>
        <w:rPr>
          <w:rFonts w:ascii="Times New Roman" w:hAnsi="Times New Roman" w:cs="Times New Roman"/>
          <w:noProof/>
          <w:sz w:val="24"/>
          <w:lang w:val="en-IE"/>
        </w:rPr>
        <w:t>eplacement of trams, rail lines, rolling stock). Total budget for the period 2017-2025 is slightly above</w:t>
      </w:r>
      <w:r>
        <w:rPr>
          <w:rFonts w:ascii="Times New Roman" w:hAnsi="Times New Roman" w:cs="Times New Roman"/>
          <w:i/>
          <w:iCs/>
          <w:noProof/>
          <w:sz w:val="24"/>
          <w:lang w:val="en-IE"/>
        </w:rPr>
        <w:t> </w:t>
      </w:r>
      <w:r>
        <w:rPr>
          <w:rFonts w:ascii="Times New Roman" w:hAnsi="Times New Roman" w:cs="Times New Roman"/>
          <w:noProof/>
          <w:sz w:val="24"/>
          <w:lang w:val="en-IE"/>
        </w:rPr>
        <w:t>30 million €, but there is no indication regarding the number AFV nor AFI, so once again the measure is not assessable.</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w:t>
      </w:r>
      <w:r>
        <w:rPr>
          <w:rFonts w:ascii="Times New Roman" w:hAnsi="Times New Roman" w:cs="Times New Roman"/>
          <w:noProof/>
          <w:sz w:val="24"/>
          <w:lang w:val="en-IE"/>
        </w:rPr>
        <w:t>eployment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LV NIR presents a measure to support the deployment of private electro-mobility infrastructure, i.e. “</w:t>
      </w:r>
      <w:r>
        <w:rPr>
          <w:rFonts w:ascii="Times New Roman" w:hAnsi="Times New Roman" w:cs="Times New Roman"/>
          <w:i/>
          <w:noProof/>
          <w:sz w:val="24"/>
          <w:lang w:val="en-IE"/>
        </w:rPr>
        <w:t>consider simplifying administrative procedures for the deployment of EV recharging points that ar</w:t>
      </w:r>
      <w:r>
        <w:rPr>
          <w:rFonts w:ascii="Times New Roman" w:hAnsi="Times New Roman" w:cs="Times New Roman"/>
          <w:i/>
          <w:noProof/>
          <w:sz w:val="24"/>
          <w:lang w:val="en-IE"/>
        </w:rPr>
        <w:t>e not publicly accessible</w:t>
      </w:r>
      <w:r>
        <w:rPr>
          <w:rFonts w:ascii="Times New Roman" w:hAnsi="Times New Roman" w:cs="Times New Roman"/>
          <w:noProof/>
          <w:sz w:val="24"/>
          <w:lang w:val="en-IE"/>
        </w:rPr>
        <w:t>”. The outcome of this analysis is expected by end of 2020.</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Latvian NIR contains 5 AFI deployment support measures. One is a planning document developed between 2014 and </w:t>
      </w:r>
      <w:r>
        <w:rPr>
          <w:rFonts w:ascii="Times New Roman" w:hAnsi="Times New Roman" w:cs="Times New Roman"/>
          <w:noProof/>
          <w:sz w:val="24"/>
          <w:lang w:val="en-IE"/>
        </w:rPr>
        <w:t>2016 that was the basis for the first round of deployment of EV recharging points. Three other Deployment measures relate to the actual construction of recharging points, firstly on the TEN-T roads or near them (total budget</w:t>
      </w:r>
      <w:r>
        <w:rPr>
          <w:rFonts w:ascii="Times New Roman" w:hAnsi="Times New Roman" w:cs="Times New Roman"/>
          <w:i/>
          <w:iCs/>
          <w:noProof/>
          <w:sz w:val="24"/>
          <w:lang w:val="en-IE"/>
        </w:rPr>
        <w:t> </w:t>
      </w:r>
      <w:r>
        <w:rPr>
          <w:rFonts w:ascii="Times New Roman" w:hAnsi="Times New Roman" w:cs="Times New Roman"/>
          <w:noProof/>
          <w:sz w:val="24"/>
          <w:lang w:val="en-IE"/>
        </w:rPr>
        <w:t>3.75 million €), secondly on ur</w:t>
      </w:r>
      <w:r>
        <w:rPr>
          <w:rFonts w:ascii="Times New Roman" w:hAnsi="Times New Roman" w:cs="Times New Roman"/>
          <w:noProof/>
          <w:sz w:val="24"/>
          <w:lang w:val="en-IE"/>
        </w:rPr>
        <w:t>ban areas with more than 5,000 inhabitants and on secondary roads (total budget</w:t>
      </w:r>
      <w:r>
        <w:rPr>
          <w:rFonts w:ascii="Times New Roman" w:hAnsi="Times New Roman" w:cs="Times New Roman"/>
          <w:i/>
          <w:iCs/>
          <w:noProof/>
          <w:sz w:val="24"/>
          <w:lang w:val="en-IE"/>
        </w:rPr>
        <w:t> </w:t>
      </w:r>
      <w:r>
        <w:rPr>
          <w:rFonts w:ascii="Times New Roman" w:hAnsi="Times New Roman" w:cs="Times New Roman"/>
          <w:noProof/>
          <w:sz w:val="24"/>
          <w:lang w:val="en-IE"/>
        </w:rPr>
        <w:t>7.80 million €). As these three measures have achieved the objective in 2018 of more than 50% of the infrastructure target for 2020, they get a score of high according to the a</w:t>
      </w:r>
      <w:r>
        <w:rPr>
          <w:rFonts w:ascii="Times New Roman" w:hAnsi="Times New Roman" w:cs="Times New Roman"/>
          <w:noProof/>
          <w:sz w:val="24"/>
          <w:lang w:val="en-IE"/>
        </w:rPr>
        <w:t xml:space="preserve">ssessment methodology (see </w:t>
      </w:r>
      <w:r>
        <w:rPr>
          <w:rFonts w:ascii="Times New Roman" w:hAnsi="Times New Roman" w:cs="Times New Roman"/>
          <w:iCs/>
          <w:noProof/>
          <w:color w:val="000000" w:themeColor="text1"/>
          <w:sz w:val="24"/>
          <w:lang w:val="en-IE"/>
        </w:rPr>
        <w:t>Section 2.2</w:t>
      </w:r>
      <w:r>
        <w:rPr>
          <w:rFonts w:ascii="Times New Roman" w:hAnsi="Times New Roman" w:cs="Times New Roman"/>
          <w:noProof/>
          <w:sz w:val="24"/>
          <w:lang w:val="en-IE"/>
        </w:rPr>
        <w:t>). The fifth Deployment measure is related to the construction of the first three CNG refuelling points in Latvia (no indication of the budget in the LV NIR).</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Latvian NIR.</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Latvian NIR.</w:t>
      </w:r>
    </w:p>
    <w:p w:rsidR="003C43BF" w:rsidRDefault="003C43BF">
      <w:pPr>
        <w:jc w:val="both"/>
        <w:rPr>
          <w:rFonts w:ascii="Times New Roman" w:eastAsia="Calibri" w:hAnsi="Times New Roman" w:cs="Times New Roman"/>
          <w:noProof/>
          <w:sz w:val="24"/>
          <w:highlight w:val="yellow"/>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w:t>
      </w:r>
      <w:r>
        <w:rPr>
          <w:rFonts w:ascii="Times New Roman" w:hAnsi="Times New Roman" w:cs="Times New Roman"/>
          <w:noProof/>
          <w:sz w:val="24"/>
          <w:lang w:val="en-IE"/>
        </w:rPr>
        <w:t>eployment &amp; Manufacturing measures</w:t>
      </w:r>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_Ref52871598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5.14.4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overview of the analysis of all the Policy and Deployment &amp; Manufacturing measures, carrie</w:t>
      </w:r>
      <w:r>
        <w:rPr>
          <w:rFonts w:ascii="Times New Roman" w:hAnsi="Times New Roman" w:cs="Times New Roman"/>
          <w:noProof/>
          <w:sz w:val="24"/>
          <w:lang w:val="en-IE"/>
        </w:rPr>
        <w:t xml:space="preserv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six clusters of measures could be identified, of which only three were assessable. The pair electricity/road is the only one having a score of high and can be consid</w:t>
      </w:r>
      <w:r>
        <w:rPr>
          <w:rFonts w:ascii="Times New Roman" w:hAnsi="Times New Roman" w:cs="Times New Roman"/>
          <w:noProof/>
          <w:sz w:val="24"/>
          <w:lang w:val="en-IE"/>
        </w:rPr>
        <w:t>ered to be comprehensive. Support measures get a low/medium score for CNG/road and low score for LNG/road and are not comprehensive. Those for the pairs electricity/water, LNG/water and electricity/rail are not assessable, although for the last pair a budg</w:t>
      </w:r>
      <w:r>
        <w:rPr>
          <w:rFonts w:ascii="Times New Roman" w:hAnsi="Times New Roman" w:cs="Times New Roman"/>
          <w:noProof/>
          <w:sz w:val="24"/>
          <w:lang w:val="en-IE"/>
        </w:rPr>
        <w:t xml:space="preserve">et is mentioned (around 30 million € for the period 2016-2025). In terms of the expected impact of these measures to support the realisation of the AFV/AFI objectives as presented in the NPF and revised in the NIR, the lack of future targets and estimates </w:t>
      </w:r>
      <w:r>
        <w:rPr>
          <w:rFonts w:ascii="Times New Roman" w:hAnsi="Times New Roman" w:cs="Times New Roman"/>
          <w:noProof/>
          <w:sz w:val="24"/>
          <w:lang w:val="en-IE"/>
        </w:rPr>
        <w:t xml:space="preserve">for several pairs coupled with the lack of information related to the measures makes the assessment almost impossible, with the only exception of the pair electricity/road, for which the expected impact is high. </w:t>
      </w:r>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Compared to the NPF, the level of ambition </w:t>
      </w:r>
      <w:r>
        <w:rPr>
          <w:rFonts w:ascii="Times New Roman" w:hAnsi="Times New Roman" w:cs="Times New Roman"/>
          <w:noProof/>
          <w:sz w:val="24"/>
          <w:lang w:val="en-IE"/>
        </w:rPr>
        <w:t xml:space="preserve">of the Policy and Deployment &amp; Manufacturing support measures is substantially the same. </w:t>
      </w:r>
    </w:p>
    <w:p w:rsidR="003C43BF" w:rsidRDefault="006C3212">
      <w:pPr>
        <w:spacing w:before="120"/>
        <w:jc w:val="both"/>
        <w:rPr>
          <w:rFonts w:ascii="Times New Roman" w:hAnsi="Times New Roman" w:cs="Times New Roman"/>
          <w:noProof/>
          <w:sz w:val="24"/>
          <w:lang w:val="en-IE"/>
        </w:rPr>
      </w:pPr>
      <w:bookmarkStart w:id="336" w:name="_Ref52871598"/>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5.14.4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336"/>
      <w:r>
        <w:rPr>
          <w:rFonts w:ascii="Times New Roman" w:hAnsi="Times New Roman" w:cs="Times New Roman"/>
          <w:i/>
          <w:noProof/>
          <w:sz w:val="20"/>
          <w:szCs w:val="18"/>
          <w:lang w:val="en-IE"/>
        </w:rPr>
        <w:t xml:space="preserve"> Quantitative assessment of Policy and Deployment &amp; Manufacturing support measures</w:t>
      </w:r>
    </w:p>
    <w:p w:rsidR="003C43BF" w:rsidRDefault="006C3212">
      <w:pPr>
        <w:jc w:val="center"/>
        <w:rPr>
          <w:rFonts w:ascii="Times New Roman" w:eastAsia="Calibri" w:hAnsi="Times New Roman" w:cs="Times New Roman"/>
          <w:noProof/>
          <w:sz w:val="24"/>
          <w:highlight w:val="yellow"/>
          <w:lang w:val="en-IE"/>
        </w:rPr>
      </w:pPr>
      <w:r>
        <w:rPr>
          <w:rFonts w:ascii="Times New Roman" w:eastAsia="Calibri" w:hAnsi="Times New Roman" w:cs="Times New Roman"/>
          <w:noProof/>
          <w:sz w:val="24"/>
          <w:highlight w:val="yellow"/>
          <w:lang w:val="en-IE"/>
        </w:rPr>
        <w:t xml:space="preserve"> </w:t>
      </w:r>
      <w:r>
        <w:rPr>
          <w:rFonts w:ascii="Times New Roman" w:hAnsi="Times New Roman" w:cs="Times New Roman"/>
          <w:noProof/>
          <w:sz w:val="24"/>
          <w:lang w:eastAsia="en-GB"/>
        </w:rPr>
        <w:drawing>
          <wp:inline distT="0" distB="0" distL="0" distR="0">
            <wp:extent cx="5760720" cy="2032231"/>
            <wp:effectExtent l="0" t="0" r="0" b="635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2032231"/>
                    </a:xfrm>
                    <a:prstGeom prst="rect">
                      <a:avLst/>
                    </a:prstGeom>
                    <a:noFill/>
                    <a:ln>
                      <a:noFill/>
                    </a:ln>
                  </pic:spPr>
                </pic:pic>
              </a:graphicData>
            </a:graphic>
          </wp:inline>
        </w:drawing>
      </w:r>
    </w:p>
    <w:p w:rsidR="003C43BF" w:rsidRDefault="006C3212">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H = high; M = medium; L = low; X = not assessable. Comprehensiveness: C = comprehensive; N = Not comprehensive. Ambition level: ‘+’ means ‘higher’; ‘=’ means ‘comparable’; ‘-‘ means ‘lower’.</w:t>
      </w:r>
    </w:p>
    <w:p w:rsidR="003C43BF" w:rsidRDefault="003C43BF">
      <w:pPr>
        <w:jc w:val="both"/>
        <w:rPr>
          <w:rFonts w:ascii="Times New Roman" w:eastAsia="Calibri" w:hAnsi="Times New Roman" w:cs="Times New Roman"/>
          <w:noProof/>
          <w:sz w:val="20"/>
          <w:szCs w:val="18"/>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noProof/>
          <w:sz w:val="24"/>
          <w:lang w:val="en-IE"/>
        </w:rPr>
        <w:t>Latvian NIR does not mention any RTD&amp;D measure. It should be noted though that several measures presented in the LV NIR as either Legal or Policy measures could be considered as RTD&amp;D measures (i.e. studies and analyses).</w:t>
      </w:r>
    </w:p>
    <w:p w:rsidR="003C43BF" w:rsidRDefault="003C43BF">
      <w:pPr>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337" w:name="_Toc55301891"/>
      <w:bookmarkStart w:id="338" w:name="_Toc56944203"/>
      <w:r>
        <w:rPr>
          <w:rFonts w:ascii="Times New Roman" w:hAnsi="Times New Roman" w:cs="Times New Roman"/>
          <w:noProof/>
          <w:sz w:val="24"/>
          <w:lang w:val="en-IE"/>
        </w:rPr>
        <w:t xml:space="preserve">Additional information on </w:t>
      </w:r>
      <w:r>
        <w:rPr>
          <w:rFonts w:ascii="Times New Roman" w:hAnsi="Times New Roman" w:cs="Times New Roman"/>
          <w:noProof/>
          <w:sz w:val="24"/>
          <w:lang w:val="en-IE"/>
        </w:rPr>
        <w:t>alternative fuels infrastructure developments</w:t>
      </w:r>
      <w:bookmarkEnd w:id="337"/>
      <w:bookmarkEnd w:id="338"/>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Latvian NIR provides information on the changes in fuel use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_Ref52871659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5.14.5</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As it can be seen, L</w:t>
      </w:r>
      <w:r>
        <w:rPr>
          <w:rFonts w:ascii="Times New Roman" w:hAnsi="Times New Roman" w:cs="Times New Roman"/>
          <w:noProof/>
          <w:sz w:val="24"/>
          <w:lang w:val="en-IE"/>
        </w:rPr>
        <w:t>PG, CNG and LNG are expected to play a role in 2030, however this forecast is not accompanied by vehicle estimates and infrastructure targets for these fuels. No real increase in LNG use in maritime transport is expected.</w:t>
      </w:r>
    </w:p>
    <w:p w:rsidR="003C43BF" w:rsidRDefault="006C3212">
      <w:pPr>
        <w:pStyle w:val="Caption"/>
        <w:rPr>
          <w:rFonts w:ascii="Times New Roman" w:hAnsi="Times New Roman" w:cs="Times New Roman"/>
          <w:b w:val="0"/>
          <w:i/>
          <w:noProof/>
          <w:sz w:val="20"/>
          <w:szCs w:val="18"/>
          <w:lang w:val="en-IE"/>
        </w:rPr>
      </w:pPr>
      <w:bookmarkStart w:id="339" w:name="_Ref52871659"/>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5.14.5</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w:instrText>
      </w:r>
      <w:r>
        <w:rPr>
          <w:rFonts w:ascii="Times New Roman" w:hAnsi="Times New Roman" w:cs="Times New Roman"/>
          <w:b w:val="0"/>
          <w:i/>
          <w:iCs/>
          <w:noProof/>
          <w:color w:val="000000" w:themeColor="text1"/>
          <w:sz w:val="20"/>
          <w:szCs w:val="18"/>
          <w:lang w:val="en-IE"/>
        </w:rPr>
        <w:instrText xml:space="preserv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339"/>
      <w:r>
        <w:rPr>
          <w:rFonts w:ascii="Times New Roman" w:hAnsi="Times New Roman" w:cs="Times New Roman"/>
          <w:b w:val="0"/>
          <w:i/>
          <w:noProof/>
          <w:sz w:val="20"/>
          <w:szCs w:val="18"/>
          <w:lang w:val="en-IE"/>
        </w:rPr>
        <w:t xml:space="preserve"> Changes in fuel use in transport sector (2016-2030)</w:t>
      </w:r>
    </w:p>
    <w:p w:rsidR="003C43BF" w:rsidRDefault="006C3212">
      <w:pPr>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06745" cy="2607945"/>
            <wp:effectExtent l="0" t="0" r="8255"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06745" cy="2607945"/>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0"/>
          <w:lang w:val="en-IE"/>
        </w:rPr>
      </w:pPr>
      <w:r>
        <w:rPr>
          <w:rFonts w:ascii="Times New Roman" w:hAnsi="Times New Roman" w:cs="Times New Roman"/>
          <w:noProof/>
          <w:sz w:val="20"/>
          <w:lang w:val="en-IE"/>
        </w:rPr>
        <w:t>*Note: including trolleybuses and trams</w:t>
      </w:r>
    </w:p>
    <w:p w:rsidR="003C43BF" w:rsidRDefault="003C43BF">
      <w:pPr>
        <w:rPr>
          <w:rFonts w:ascii="Times New Roman" w:hAnsi="Times New Roman" w:cs="Times New Roman"/>
          <w:noProof/>
          <w:sz w:val="24"/>
          <w:lang w:val="en-IE"/>
        </w:rPr>
      </w:pP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340" w:name="_Toc55301892"/>
      <w:bookmarkStart w:id="341" w:name="_Toc56944204"/>
      <w:r>
        <w:rPr>
          <w:rFonts w:ascii="Times New Roman" w:hAnsi="Times New Roman" w:cs="Times New Roman"/>
          <w:noProof/>
          <w:sz w:val="24"/>
          <w:lang w:val="en-IE"/>
        </w:rPr>
        <w:t>Summary of the assessment</w:t>
      </w:r>
      <w:bookmarkEnd w:id="340"/>
      <w:bookmarkEnd w:id="341"/>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5.14.6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410273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4235" cy="4102735"/>
                    </a:xfrm>
                    <a:prstGeom prst="rect">
                      <a:avLst/>
                    </a:prstGeom>
                    <a:noFill/>
                  </pic:spPr>
                </pic:pic>
              </a:graphicData>
            </a:graphic>
          </wp:inline>
        </w:drawing>
      </w:r>
    </w:p>
    <w:p w:rsidR="003C43BF" w:rsidRDefault="006C3212">
      <w:pPr>
        <w:pStyle w:val="Text1"/>
        <w:tabs>
          <w:tab w:val="left" w:pos="720"/>
        </w:tabs>
        <w:spacing w:after="0"/>
        <w:ind w:left="0"/>
        <w:jc w:val="both"/>
        <w:rPr>
          <w:rFonts w:ascii="Times New Roman" w:hAnsi="Times New Roman" w:cs="Times New Roman"/>
          <w:noProof/>
          <w:color w:val="000000" w:themeColor="text1"/>
          <w:sz w:val="20"/>
          <w:lang w:val="en-IE"/>
        </w:rPr>
      </w:pPr>
      <w:r>
        <w:rPr>
          <w:rFonts w:ascii="Times New Roman" w:hAnsi="Times New Roman" w:cs="Times New Roman"/>
          <w:noProof/>
          <w:sz w:val="24"/>
          <w:lang w:eastAsia="en-GB"/>
        </w:rPr>
        <w:drawing>
          <wp:inline distT="0" distB="0" distL="0" distR="0">
            <wp:extent cx="3500002" cy="472272"/>
            <wp:effectExtent l="0" t="0" r="5715"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75123" cy="536382"/>
                    </a:xfrm>
                    <a:prstGeom prst="rect">
                      <a:avLst/>
                    </a:prstGeom>
                    <a:noFill/>
                    <a:ln>
                      <a:noFill/>
                    </a:ln>
                  </pic:spPr>
                </pic:pic>
              </a:graphicData>
            </a:graphic>
          </wp:inline>
        </w:drawing>
      </w:r>
    </w:p>
    <w:p w:rsidR="003C43BF" w:rsidRDefault="006C3212">
      <w:pPr>
        <w:pStyle w:val="Text1"/>
        <w:tabs>
          <w:tab w:val="left" w:pos="720"/>
        </w:tabs>
        <w:spacing w:after="0"/>
        <w:ind w:left="0"/>
        <w:jc w:val="both"/>
        <w:rPr>
          <w:rFonts w:ascii="Times New Roman" w:hAnsi="Times New Roman" w:cs="Times New Roman"/>
          <w:noProof/>
          <w:color w:val="000000" w:themeColor="text1"/>
          <w:sz w:val="20"/>
          <w:lang w:val="en-IE"/>
        </w:rPr>
      </w:pPr>
      <w:r>
        <w:rPr>
          <w:rFonts w:ascii="Times New Roman" w:hAnsi="Times New Roman" w:cs="Times New Roman"/>
          <w:noProof/>
          <w:color w:val="000000" w:themeColor="text1"/>
          <w:sz w:val="20"/>
          <w:lang w:val="en-IE"/>
        </w:rPr>
        <w:t xml:space="preserve">* Value taken or calculated from LV NPF. </w:t>
      </w:r>
    </w:p>
    <w:p w:rsidR="003C43BF" w:rsidRDefault="003C43BF">
      <w:pPr>
        <w:pStyle w:val="Text1"/>
        <w:tabs>
          <w:tab w:val="left" w:pos="720"/>
        </w:tabs>
        <w:spacing w:after="0"/>
        <w:ind w:left="0"/>
        <w:jc w:val="both"/>
        <w:rPr>
          <w:rFonts w:ascii="Times New Roman" w:hAnsi="Times New Roman" w:cs="Times New Roman"/>
          <w:noProof/>
          <w:color w:val="000000" w:themeColor="text1"/>
          <w:sz w:val="20"/>
          <w:lang w:val="en-IE"/>
        </w:rPr>
      </w:pPr>
    </w:p>
    <w:p w:rsidR="003C43BF" w:rsidRDefault="006C3212">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With the only exception of the pair electricity/road, for which both vehicle estimates and infrastructure targets are provided until 2030, the Latvian NIR does not provide </w:t>
      </w:r>
      <w:r>
        <w:rPr>
          <w:rFonts w:ascii="Times New Roman" w:hAnsi="Times New Roman" w:cs="Times New Roman"/>
          <w:noProof/>
          <w:sz w:val="24"/>
          <w:lang w:val="en-IE"/>
        </w:rPr>
        <w:t>assessable information concerning the strategy for the uptake of alternative fuels for transport in the next decade. Several studies and analyses are being carried out, most of them with an expected deadline of December 2020, which will constitute the basi</w:t>
      </w:r>
      <w:r>
        <w:rPr>
          <w:rFonts w:ascii="Times New Roman" w:hAnsi="Times New Roman" w:cs="Times New Roman"/>
          <w:noProof/>
          <w:sz w:val="24"/>
          <w:lang w:val="en-IE"/>
        </w:rPr>
        <w:t>s of the Latvian strategy for transport for the following years. This, on the other hand, implies that the NIR brings limited progress compared to the NPF and only for the pair electricity/road. Also, the Latvian NIR does not provide information on the met</w:t>
      </w:r>
      <w:r>
        <w:rPr>
          <w:rFonts w:ascii="Times New Roman" w:hAnsi="Times New Roman" w:cs="Times New Roman"/>
          <w:noProof/>
          <w:sz w:val="24"/>
          <w:lang w:val="en-IE"/>
        </w:rPr>
        <w:t>hodology applied to take account of the charging efficiency of high power recharging points or on any particular needs during the initial phase of AFI deployment.</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main outcomes of the technical assessment of the Latvian NIR on vehicles/vessels estimate</w:t>
      </w:r>
      <w:r>
        <w:rPr>
          <w:rFonts w:ascii="Times New Roman" w:hAnsi="Times New Roman" w:cs="Times New Roman"/>
          <w:noProof/>
          <w:sz w:val="24"/>
          <w:lang w:val="en-IE"/>
        </w:rPr>
        <w:t xml:space="preserve">s and infrastructure targets can be summarised as follows: </w:t>
      </w:r>
    </w:p>
    <w:p w:rsidR="003C43BF" w:rsidRDefault="003C43BF">
      <w:pPr>
        <w:spacing w:after="0" w:line="240" w:lineRule="auto"/>
        <w:jc w:val="both"/>
        <w:rPr>
          <w:rFonts w:ascii="Times New Roman" w:hAnsi="Times New Roman" w:cs="Times New Roman"/>
          <w:noProof/>
          <w:sz w:val="24"/>
          <w:lang w:val="en-IE"/>
        </w:rPr>
      </w:pPr>
    </w:p>
    <w:p w:rsidR="003C43BF" w:rsidRDefault="003C43BF">
      <w:pPr>
        <w:spacing w:after="0" w:line="240" w:lineRule="auto"/>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ListParagraph"/>
        <w:numPr>
          <w:ilvl w:val="0"/>
          <w:numId w:val="54"/>
        </w:numPr>
        <w:tabs>
          <w:tab w:val="left" w:pos="966"/>
        </w:tabs>
        <w:spacing w:after="160" w:line="259" w:lineRule="auto"/>
        <w:ind w:left="426" w:hanging="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With 549 electric vehicles and 231 publicly accessible recharging points recorded in 2018, Latvia’s progress is adequate for the deployment of EVs and fast in terms </w:t>
      </w:r>
      <w:r>
        <w:rPr>
          <w:rFonts w:ascii="Times New Roman" w:hAnsi="Times New Roman" w:cs="Times New Roman"/>
          <w:noProof/>
          <w:sz w:val="24"/>
          <w:lang w:val="en-IE"/>
        </w:rPr>
        <w:t>of recharging infrastructure. The sufficiency index indicating the ratio between number of EVs and number of recharging points, which was quite low in 2018 (2.38), increases progressively over time but in 2030 it can be still considered adequate, thanks to</w:t>
      </w:r>
      <w:r>
        <w:rPr>
          <w:rFonts w:ascii="Times New Roman" w:hAnsi="Times New Roman" w:cs="Times New Roman"/>
          <w:noProof/>
          <w:sz w:val="24"/>
          <w:lang w:val="en-IE"/>
        </w:rPr>
        <w:t xml:space="preserve"> the relevant share of high power recharging points compared to the normal power recharging points. As for the heavy-duty sector, the LV NIR does not present any estimate for 2025 and 2030.</w:t>
      </w:r>
    </w:p>
    <w:p w:rsidR="003C43BF" w:rsidRDefault="006C3212">
      <w:pPr>
        <w:pStyle w:val="ListParagraph"/>
        <w:numPr>
          <w:ilvl w:val="0"/>
          <w:numId w:val="54"/>
        </w:numPr>
        <w:tabs>
          <w:tab w:val="left" w:pos="966"/>
        </w:tabs>
        <w:spacing w:after="24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There were 187 CNG vehicles in Latvia in 2018, the vast majo</w:t>
      </w:r>
      <w:r>
        <w:rPr>
          <w:rFonts w:ascii="Times New Roman" w:hAnsi="Times New Roman" w:cs="Times New Roman"/>
          <w:noProof/>
          <w:sz w:val="24"/>
          <w:lang w:val="en-IE"/>
        </w:rPr>
        <w:t>rity being passenger cars (plus 8 LCVs and 2 HCVs) and zero refuelling infrastructure. The Latvian NIR does not provide road vehicle estimates for the period 2020 – 2030. As for CNG refuelling points there is a target only for 2020, which is 60% lower than</w:t>
      </w:r>
      <w:r>
        <w:rPr>
          <w:rFonts w:ascii="Times New Roman" w:hAnsi="Times New Roman" w:cs="Times New Roman"/>
          <w:noProof/>
          <w:sz w:val="24"/>
          <w:lang w:val="en-IE"/>
        </w:rPr>
        <w:t xml:space="preserve"> in the NPF (two versus five). The progress of infrastructure deployment results slow.</w:t>
      </w:r>
    </w:p>
    <w:p w:rsidR="003C43BF" w:rsidRDefault="006C3212">
      <w:pPr>
        <w:pStyle w:val="ListParagraph"/>
        <w:numPr>
          <w:ilvl w:val="0"/>
          <w:numId w:val="54"/>
        </w:numPr>
        <w:tabs>
          <w:tab w:val="left" w:pos="966"/>
        </w:tabs>
        <w:spacing w:after="24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Latvian NIR only reported 11 LNG vehicles in use in 2018 (of which eight LCVs, two HCVs and one bus/coach) and zero refuelling points, but does not provide roa</w:t>
      </w:r>
      <w:r>
        <w:rPr>
          <w:rFonts w:ascii="Times New Roman" w:hAnsi="Times New Roman" w:cs="Times New Roman"/>
          <w:noProof/>
          <w:sz w:val="24"/>
          <w:lang w:val="en-IE"/>
        </w:rPr>
        <w:t>d vehicle estimates or LNG infrastructure targets for the period 2020 – 2030</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Latvian NIR does not provide road vehicle estimates or hydrogen road infrastructure targets for the period 2020 – 2030.</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Latvian NIR foresees a decrea</w:t>
      </w:r>
      <w:r>
        <w:rPr>
          <w:rFonts w:ascii="Times New Roman" w:hAnsi="Times New Roman" w:cs="Times New Roman"/>
          <w:noProof/>
          <w:sz w:val="24"/>
          <w:lang w:val="en-IE"/>
        </w:rPr>
        <w:t>se of biofuels market share from 3% in 2018 to 1% in 2030, but does not provide any specific information on biofuels for road transport.</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Despite the presence of an important number of LPG vehicles in Latvia in 2018 (17,749 passenger cars, 373 LCVs an</w:t>
      </w:r>
      <w:r>
        <w:rPr>
          <w:rFonts w:ascii="Times New Roman" w:hAnsi="Times New Roman" w:cs="Times New Roman"/>
          <w:noProof/>
          <w:sz w:val="24"/>
          <w:lang w:val="en-IE"/>
        </w:rPr>
        <w:t>d 80 HCVs) and of the relevant forecast regarding the LPG market share as fuel in 2030 (14%), the Latvian NIR does not provide the infrastructure state of play in 2018 nor vehicle estimates/infrastructure targets for the period 2020 – 2030.</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Latvian NIR confirms the plan, already presented in the NPF, to complete the electrification of railway lines Daugavpils - Krustpils, Rezekne - Krustpils and Krustpils - Riga by 2023.</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 addit</w:t>
      </w:r>
      <w:r>
        <w:rPr>
          <w:rFonts w:ascii="Times New Roman" w:hAnsi="Times New Roman" w:cs="Times New Roman"/>
          <w:noProof/>
          <w:sz w:val="24"/>
          <w:lang w:val="en-IE"/>
        </w:rPr>
        <w:t xml:space="preserve">ion to the existing two shore-side electricity supply, two more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points are foreseen by 2030.</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xml:space="preserve">- There is a provisional plan to build two LNG refuelling points at maritime ports, one in 2020 and one in 2025, but this plan </w:t>
      </w:r>
      <w:r>
        <w:rPr>
          <w:rFonts w:ascii="Times New Roman" w:hAnsi="Times New Roman" w:cs="Times New Roman"/>
          <w:noProof/>
          <w:sz w:val="24"/>
          <w:lang w:val="en-IE"/>
        </w:rPr>
        <w:t>has to be confirmed by the outcome of an ongoing analysis of its economic feasibility.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Latvian NIR does not provide information related to the need of renewable jet fuel refuelling points in airports within the TEN-T Core Netwo</w:t>
      </w:r>
      <w:r>
        <w:rPr>
          <w:rFonts w:ascii="Times New Roman" w:hAnsi="Times New Roman" w:cs="Times New Roman"/>
          <w:noProof/>
          <w:sz w:val="24"/>
          <w:lang w:val="en-IE"/>
        </w:rPr>
        <w:t>rk.</w:t>
      </w:r>
    </w:p>
    <w:p w:rsidR="003C43BF" w:rsidRDefault="006C3212">
      <w:pPr>
        <w:tabs>
          <w:tab w:val="left" w:pos="966"/>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As regards to the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their </w:t>
      </w:r>
      <w:r>
        <w:rPr>
          <w:rFonts w:ascii="Times New Roman" w:hAnsi="Times New Roman" w:cs="Times New Roman"/>
          <w:iCs/>
          <w:noProof/>
          <w:sz w:val="24"/>
          <w:lang w:val="en-IE"/>
        </w:rPr>
        <w:t xml:space="preserve">description in the LV NIR is not sufficient to allow a complete assessment according to the methodology described in </w:t>
      </w:r>
      <w:r>
        <w:rPr>
          <w:rFonts w:ascii="Times New Roman" w:hAnsi="Times New Roman" w:cs="Times New Roman"/>
          <w:iCs/>
          <w:noProof/>
          <w:color w:val="000000" w:themeColor="text1"/>
          <w:sz w:val="24"/>
          <w:lang w:val="en-IE"/>
        </w:rPr>
        <w:t>Section 2.2.</w:t>
      </w:r>
      <w:r>
        <w:rPr>
          <w:rFonts w:ascii="Times New Roman" w:hAnsi="Times New Roman" w:cs="Times New Roman"/>
          <w:iCs/>
          <w:noProof/>
          <w:sz w:val="24"/>
          <w:lang w:val="en-IE"/>
        </w:rPr>
        <w:t xml:space="preserve"> Furthermore the Policy and Deployment &amp; Manufacturing measures do not provide quantitati</w:t>
      </w:r>
      <w:r>
        <w:rPr>
          <w:rFonts w:ascii="Times New Roman" w:hAnsi="Times New Roman" w:cs="Times New Roman"/>
          <w:iCs/>
          <w:noProof/>
          <w:sz w:val="24"/>
          <w:lang w:val="en-IE"/>
        </w:rPr>
        <w:t>ve information (budget per AF/vehicle/infrastructure) which makes the results of the assessment and of the clustering quite uncertain.</w:t>
      </w:r>
      <w:r>
        <w:rPr>
          <w:rFonts w:ascii="Times New Roman" w:hAnsi="Times New Roman" w:cs="Times New Roman"/>
          <w:noProof/>
          <w:sz w:val="24"/>
          <w:lang w:val="en-IE"/>
        </w:rPr>
        <w:t xml:space="preserve"> Six clusters of measures could be identified, of which only three were assessable. Tangible results during the implementa</w:t>
      </w:r>
      <w:r>
        <w:rPr>
          <w:rFonts w:ascii="Times New Roman" w:hAnsi="Times New Roman" w:cs="Times New Roman"/>
          <w:noProof/>
          <w:sz w:val="24"/>
          <w:lang w:val="en-IE"/>
        </w:rPr>
        <w:t>tion period and potentially high impact for the future could be seen only for the pair electricity/road, while for all the other fuels and transport modes the concretisation and quantification of supporting measures will depend on the outcome of the severa</w:t>
      </w:r>
      <w:r>
        <w:rPr>
          <w:rFonts w:ascii="Times New Roman" w:hAnsi="Times New Roman" w:cs="Times New Roman"/>
          <w:noProof/>
          <w:sz w:val="24"/>
          <w:lang w:val="en-IE"/>
        </w:rPr>
        <w:t>l studies and analyses on tax, incentives, feasibility, etc., undertaken by the Latvian authorities.</w:t>
      </w:r>
    </w:p>
    <w:p w:rsidR="003C43BF" w:rsidRDefault="003C43BF">
      <w:pPr>
        <w:rPr>
          <w:rFonts w:ascii="Times New Roman" w:hAnsi="Times New Roman" w:cs="Times New Roman"/>
          <w:noProof/>
          <w:lang w:val="en-IE"/>
        </w:rPr>
      </w:pPr>
    </w:p>
    <w:p w:rsidR="003C43BF" w:rsidRDefault="006C3212">
      <w:pPr>
        <w:pStyle w:val="Heading3"/>
        <w:rPr>
          <w:rFonts w:ascii="Times New Roman" w:hAnsi="Times New Roman" w:cs="Times New Roman"/>
          <w:noProof/>
          <w:sz w:val="24"/>
          <w:lang w:val="en-IE"/>
        </w:rPr>
      </w:pPr>
      <w:bookmarkStart w:id="342" w:name="_Toc56944205"/>
      <w:r>
        <w:rPr>
          <w:rFonts w:ascii="Times New Roman" w:hAnsi="Times New Roman" w:cs="Times New Roman"/>
          <w:noProof/>
          <w:sz w:val="24"/>
          <w:lang w:val="en-IE"/>
        </w:rPr>
        <w:t>Final remarks</w:t>
      </w:r>
      <w:bookmarkEnd w:id="342"/>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Latvian NIR provides a rather limited report on the efforts to implement the Directive. The NIR complies, to a certain extent, with the</w:t>
      </w:r>
      <w:r>
        <w:rPr>
          <w:rFonts w:ascii="Times New Roman" w:hAnsi="Times New Roman" w:cs="Times New Roman"/>
          <w:noProof/>
          <w:sz w:val="24"/>
          <w:lang w:val="en-IE"/>
        </w:rPr>
        <w:t xml:space="preserve"> requirements of Annex I to the Directive. However, the report does not provide estimates on CNG vehicles and LNG vehicles and vessels. Furthermore, targets on natural gas infrastructures are only provided for CNG refuelling points in 2020 and LNG infrastr</w:t>
      </w:r>
      <w:r>
        <w:rPr>
          <w:rFonts w:ascii="Times New Roman" w:hAnsi="Times New Roman" w:cs="Times New Roman"/>
          <w:noProof/>
          <w:sz w:val="24"/>
          <w:lang w:val="en-IE"/>
        </w:rPr>
        <w:t>ucture in ports by 2025 and 2030. A certain number of the measures included in the Latvian NIR are not well described in terms of their objectives and timelines for policy implementation, in particular for waterborne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regard to electricity f</w:t>
      </w:r>
      <w:r>
        <w:rPr>
          <w:rFonts w:ascii="Times New Roman" w:hAnsi="Times New Roman" w:cs="Times New Roman"/>
          <w:noProof/>
          <w:sz w:val="24"/>
          <w:lang w:val="en-IE"/>
        </w:rPr>
        <w:t>or road transport, the NIR estimates that approximately 7,200 electric vehicles could be on the roads by 2030, representing about 0.81% of the fleet by that time. Taking into account the current situation and expected trends, this level of ambition appears</w:t>
      </w:r>
      <w:r>
        <w:rPr>
          <w:rFonts w:ascii="Times New Roman" w:hAnsi="Times New Roman" w:cs="Times New Roman"/>
          <w:noProof/>
          <w:sz w:val="24"/>
          <w:lang w:val="en-IE"/>
        </w:rPr>
        <w:t xml:space="preserve"> very low compared to the pace of deployment of electric vehicles considered necessary for a full transition to carbon neutrality by 2050. Further, in line with the low estimates for electric vehicles take up, there are only 466 recharging points estimated</w:t>
      </w:r>
      <w:r>
        <w:rPr>
          <w:rFonts w:ascii="Times New Roman" w:hAnsi="Times New Roman" w:cs="Times New Roman"/>
          <w:noProof/>
          <w:sz w:val="24"/>
          <w:lang w:val="en-IE"/>
        </w:rPr>
        <w:t xml:space="preserve"> by 2030. An increase in ambition would contribute to better meeting the needs of realising a dense, wide-spread and easy to use network of recharging and refuelling infrastructure throughout the EU. No information on charging efficiency is provided. The N</w:t>
      </w:r>
      <w:r>
        <w:rPr>
          <w:rFonts w:ascii="Times New Roman" w:hAnsi="Times New Roman" w:cs="Times New Roman"/>
          <w:noProof/>
          <w:sz w:val="24"/>
          <w:lang w:val="en-IE"/>
        </w:rPr>
        <w:t>IR reports that the four major ports of Latvia will supply shore - side electricity by 2030. The report states that electricity is already supplied to stationary aircraft in the Riga airport. Further information should be provided on the current and future</w:t>
      </w:r>
      <w:r>
        <w:rPr>
          <w:rFonts w:ascii="Times New Roman" w:hAnsi="Times New Roman" w:cs="Times New Roman"/>
          <w:noProof/>
          <w:sz w:val="24"/>
          <w:lang w:val="en-IE"/>
        </w:rPr>
        <w:t xml:space="preserve"> planned share of electrified rail network.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For hydrogen, the NIR does not report any information on existing or future FCHVs and the relevant infrastructure. It would be relevant that Latvia provides more information on how to ensure EU-wide connectivity</w:t>
      </w:r>
      <w:r>
        <w:rPr>
          <w:rFonts w:ascii="Times New Roman" w:hAnsi="Times New Roman" w:cs="Times New Roman"/>
          <w:noProof/>
          <w:sz w:val="24"/>
          <w:lang w:val="en-IE"/>
        </w:rPr>
        <w:t xml:space="preserve"> for HCEV.</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regard to natural gas, the NIR shows that Latvia already had fleets of 187 CNG vehicles and 11 LNG vehicles in 2018. The NIR does not provide any estimates for natural gas vehicles for 2020, 2025 and 2030 and has only reported two public CN</w:t>
      </w:r>
      <w:r>
        <w:rPr>
          <w:rFonts w:ascii="Times New Roman" w:hAnsi="Times New Roman" w:cs="Times New Roman"/>
          <w:noProof/>
          <w:sz w:val="24"/>
          <w:lang w:val="en-IE"/>
        </w:rPr>
        <w:t xml:space="preserve">G refuelling points in 2020 and no information on LNG on roads. Two Latvian ports in the TEN-T Core Network might have LNG refuelling points by 2025 and thus complying, in this respect, with the requirements of the Directive.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regard to LPG, the NIR s</w:t>
      </w:r>
      <w:r>
        <w:rPr>
          <w:rFonts w:ascii="Times New Roman" w:hAnsi="Times New Roman" w:cs="Times New Roman"/>
          <w:noProof/>
          <w:sz w:val="24"/>
          <w:lang w:val="en-IE"/>
        </w:rPr>
        <w:t>hows that Latvia already had a medium LPG vehicle fleet and infrastructure, but the Latvian NIR does not provide any estimates of vehicles and infrastructure targets by 2020, 2025 and 2030. In this respect, Latvia should provide information on whether it i</w:t>
      </w:r>
      <w:r>
        <w:rPr>
          <w:rFonts w:ascii="Times New Roman" w:hAnsi="Times New Roman" w:cs="Times New Roman"/>
          <w:noProof/>
          <w:sz w:val="24"/>
          <w:lang w:val="en-IE"/>
        </w:rPr>
        <w:t>ntends to support LPG as a vehicle fuel in the future.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Further information should be provided on biofuels consumption in Latvia in road and air transport. Latvia should provide more information in future reporting on efforts to promote the use of renewable</w:t>
      </w:r>
      <w:r>
        <w:rPr>
          <w:rFonts w:ascii="Times New Roman" w:hAnsi="Times New Roman" w:cs="Times New Roman"/>
          <w:noProof/>
          <w:sz w:val="24"/>
          <w:lang w:val="en-IE"/>
        </w:rPr>
        <w:t xml:space="preserve"> fuels in transport, and particularly in aviation.</w:t>
      </w:r>
    </w:p>
    <w:p w:rsidR="003C43BF" w:rsidRDefault="003C43BF">
      <w:pPr>
        <w:rPr>
          <w:rFonts w:ascii="Times New Roman" w:hAnsi="Times New Roman" w:cs="Times New Roman"/>
          <w:noProof/>
          <w:sz w:val="24"/>
          <w:lang w:val="en-IE"/>
        </w:rPr>
      </w:pP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sz w:val="24"/>
          <w:lang w:val="en-IE"/>
        </w:rPr>
      </w:pPr>
      <w:bookmarkStart w:id="343" w:name="_Toc55301894"/>
      <w:bookmarkStart w:id="344" w:name="_Toc56944206"/>
      <w:r>
        <w:rPr>
          <w:rFonts w:ascii="Times New Roman" w:hAnsi="Times New Roman" w:cs="Times New Roman"/>
          <w:noProof/>
          <w:sz w:val="24"/>
          <w:lang w:val="en-IE"/>
        </w:rPr>
        <w:t>ANNEX - Description of the Member State</w:t>
      </w:r>
      <w:bookmarkEnd w:id="343"/>
      <w:bookmarkEnd w:id="344"/>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64,600 km², Latvia has a population of 1.934 million people in 2018, which makes up for a population density of 30 inhabitants/km².</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4 urban agglomerations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In 2018, Latvia achieves a per capita gross domestic product at market prices of €15,080, which represents a per capita gross domestic product in purchasing power standards o</w:t>
      </w:r>
      <w:r>
        <w:rPr>
          <w:rFonts w:ascii="Times New Roman" w:hAnsi="Times New Roman" w:cs="Times New Roman"/>
          <w:noProof/>
          <w:sz w:val="24"/>
          <w:lang w:val="en-IE"/>
        </w:rPr>
        <w:t xml:space="preserve">f 69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Latvia is 835 km. The total road network length is 7,130 km.</w:t>
      </w:r>
    </w:p>
    <w:p w:rsidR="003C43BF" w:rsidRDefault="006C3212">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following lengths of the TEN-T Road Corridors </w:t>
      </w:r>
      <w:r>
        <w:rPr>
          <w:rFonts w:ascii="Times New Roman" w:hAnsi="Times New Roman" w:cs="Times New Roman"/>
          <w:noProof/>
          <w:sz w:val="24"/>
          <w:lang w:val="en-IE"/>
        </w:rPr>
        <w:t>are present in Latvia: 9% (378 km) of the North Sea - Baltic Corridor.</w:t>
      </w:r>
    </w:p>
    <w:p w:rsidR="003C43BF" w:rsidRDefault="006C3212">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Through the TEN-T Road Corridors, Latvia is connected with the following Member States:</w:t>
      </w:r>
      <w:r>
        <w:rPr>
          <w:rFonts w:ascii="Times New Roman" w:hAnsi="Times New Roman" w:cs="Times New Roman"/>
          <w:noProof/>
          <w:sz w:val="24"/>
          <w:lang w:val="en-IE"/>
        </w:rPr>
        <w:br/>
        <w:t xml:space="preserve">- Estonia (through the North Sea - Baltic Corridor), </w:t>
      </w:r>
      <w:r>
        <w:rPr>
          <w:rFonts w:ascii="Times New Roman" w:hAnsi="Times New Roman" w:cs="Times New Roman"/>
          <w:noProof/>
          <w:sz w:val="24"/>
          <w:lang w:val="en-IE"/>
        </w:rPr>
        <w:br/>
        <w:t>- Lithuania (through the North Sea - Baltic</w:t>
      </w:r>
      <w:r>
        <w:rPr>
          <w:rFonts w:ascii="Times New Roman" w:hAnsi="Times New Roman" w:cs="Times New Roman"/>
          <w:noProof/>
          <w:sz w:val="24"/>
          <w:lang w:val="en-IE"/>
        </w:rPr>
        <w:t xml:space="preserve"> Corridor)</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At the end of 2018, Latvia accounts for 854,737 registered road vehicles of which 707,841 are categorized as passenger cars, 57,146 as light goods vehicles, </w:t>
      </w:r>
      <w:r>
        <w:rPr>
          <w:rFonts w:ascii="Times New Roman" w:hAnsi="Times New Roman" w:cs="Times New Roman"/>
          <w:noProof/>
          <w:sz w:val="24"/>
        </w:rPr>
        <w:t xml:space="preserve">32,065 </w:t>
      </w:r>
      <w:r>
        <w:rPr>
          <w:rFonts w:ascii="Times New Roman" w:hAnsi="Times New Roman" w:cs="Times New Roman"/>
          <w:noProof/>
          <w:sz w:val="24"/>
          <w:lang w:val="en-IE"/>
        </w:rPr>
        <w:t>as heavy goods vehicles and 4,885 as buses an</w:t>
      </w:r>
      <w:r>
        <w:rPr>
          <w:rFonts w:ascii="Times New Roman" w:hAnsi="Times New Roman" w:cs="Times New Roman"/>
          <w:noProof/>
          <w:sz w:val="24"/>
          <w:lang w:val="en-IE"/>
        </w:rPr>
        <w:t>d coaches. The motorisation rate is 366 passenger cars per 1,000 inhabitants.</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maritime ports in the TEN-T Core Network (Riga, Ventspils)</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 maritime port in the TEN-T Comprehensive Network</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inland ports</w:t>
      </w:r>
    </w:p>
    <w:p w:rsidR="003C43BF" w:rsidRDefault="003C43BF">
      <w:pPr>
        <w:pStyle w:val="Text1"/>
        <w:spacing w:after="0"/>
        <w:ind w:left="714"/>
        <w:rPr>
          <w:rFonts w:ascii="Times New Roman" w:hAnsi="Times New Roman" w:cs="Times New Roman"/>
          <w:noProof/>
          <w:sz w:val="24"/>
          <w:lang w:val="en-IE"/>
        </w:rPr>
      </w:pPr>
    </w:p>
    <w:p w:rsidR="003C43BF" w:rsidRDefault="006C3212">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Number</w:t>
      </w:r>
      <w:r>
        <w:rPr>
          <w:rFonts w:ascii="Times New Roman" w:hAnsi="Times New Roman" w:cs="Times New Roman"/>
          <w:i/>
          <w:noProof/>
          <w:color w:val="000000" w:themeColor="text1"/>
          <w:sz w:val="24"/>
          <w:lang w:val="en-IE"/>
        </w:rPr>
        <w:t xml:space="preserve"> of airports in the TEN-T Core Network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Core Network (Riga)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3 airports in the TEN-T Comprehensive Network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345" w:name="_Toc55301895"/>
      <w:bookmarkStart w:id="346" w:name="_Toc56944207"/>
      <w:r>
        <w:rPr>
          <w:rFonts w:ascii="Times New Roman" w:hAnsi="Times New Roman" w:cs="Times New Roman"/>
          <w:noProof/>
          <w:sz w:val="24"/>
          <w:lang w:val="en-IE"/>
        </w:rPr>
        <w:t>Lithuania (LT)</w:t>
      </w:r>
      <w:bookmarkEnd w:id="345"/>
      <w:bookmarkEnd w:id="346"/>
    </w:p>
    <w:p w:rsidR="003C43BF" w:rsidRDefault="006C3212">
      <w:pPr>
        <w:pStyle w:val="Heading3"/>
        <w:ind w:left="720"/>
        <w:rPr>
          <w:rFonts w:ascii="Times New Roman" w:hAnsi="Times New Roman" w:cs="Times New Roman"/>
          <w:noProof/>
          <w:sz w:val="24"/>
          <w:lang w:val="en-IE"/>
        </w:rPr>
      </w:pPr>
      <w:bookmarkStart w:id="347" w:name="_Toc55301896"/>
      <w:bookmarkStart w:id="348" w:name="_Toc56944208"/>
      <w:r>
        <w:rPr>
          <w:rFonts w:ascii="Times New Roman" w:hAnsi="Times New Roman" w:cs="Times New Roman"/>
          <w:noProof/>
          <w:sz w:val="24"/>
          <w:lang w:val="en-IE"/>
        </w:rPr>
        <w:t xml:space="preserve">Main messages from the </w:t>
      </w:r>
      <w:bookmarkEnd w:id="347"/>
      <w:bookmarkEnd w:id="348"/>
      <w:r>
        <w:rPr>
          <w:rFonts w:ascii="Times New Roman" w:hAnsi="Times New Roman" w:cs="Times New Roman"/>
          <w:noProof/>
          <w:sz w:val="24"/>
          <w:lang w:val="en-IE"/>
        </w:rPr>
        <w:t>Commission assessment of the NPF</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its original assessment of the Lithuanian NPF the</w:t>
      </w:r>
      <w:r>
        <w:rPr>
          <w:rFonts w:ascii="Times New Roman" w:hAnsi="Times New Roman" w:cs="Times New Roman"/>
          <w:noProof/>
          <w:sz w:val="24"/>
          <w:lang w:val="en-IE"/>
        </w:rPr>
        <w:t xml:space="preserve"> Commission concluded:</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Lithuanian NPF does not fully address the requirements of Article 3. A short discussion on the current state and future scenarios for alternative fuels in the transport sector in Lithuania is presented in the NPF. Targets as requ</w:t>
      </w:r>
      <w:r>
        <w:rPr>
          <w:rFonts w:ascii="Times New Roman" w:hAnsi="Times New Roman" w:cs="Times New Roman"/>
          <w:i/>
          <w:noProof/>
          <w:sz w:val="24"/>
          <w:lang w:val="en-IE"/>
        </w:rPr>
        <w:t>ired by Article 3 of the Directive were established for CNG, LNG, and electricity for vehicles.</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Lithuanian NPF places attention on electric vehicles without possessing currently a dense network of publicly accessible recharging points. The spatial dist</w:t>
      </w:r>
      <w:r>
        <w:rPr>
          <w:rFonts w:ascii="Times New Roman" w:hAnsi="Times New Roman" w:cs="Times New Roman"/>
          <w:i/>
          <w:noProof/>
          <w:sz w:val="24"/>
          <w:lang w:val="en-IE"/>
        </w:rPr>
        <w:t>ribution of recharging points does not currently cover the needs of vehicles in terms of distance requirements; the ratio of only one public recharging point per 12 electric vehicles estimated for 2020 may be seen as a risk to the further market deployment</w:t>
      </w:r>
      <w:r>
        <w:rPr>
          <w:rFonts w:ascii="Times New Roman" w:hAnsi="Times New Roman" w:cs="Times New Roman"/>
          <w:i/>
          <w:noProof/>
          <w:sz w:val="24"/>
          <w:lang w:val="en-IE"/>
        </w:rPr>
        <w:t xml:space="preserve"> of electric vehicles. It may be important to closely monitor this development and correct infrastructure targets in line with the market developments. Lithuania, today, has 10 hybrid buses (electricity + CNG). Bicycles as well as their infrastructure also</w:t>
      </w:r>
      <w:r>
        <w:rPr>
          <w:rFonts w:ascii="Times New Roman" w:hAnsi="Times New Roman" w:cs="Times New Roman"/>
          <w:i/>
          <w:noProof/>
          <w:sz w:val="24"/>
          <w:lang w:val="en-IE"/>
        </w:rPr>
        <w:t xml:space="preserve"> receive support. The NPF neither contains any targets for increasing the availability of electricity supply for stationary airplanes nor for shore-side electricity.</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Lithuania currently has a sufficient network of CNG refuelling points. Targets for an incr</w:t>
      </w:r>
      <w:r>
        <w:rPr>
          <w:rFonts w:ascii="Times New Roman" w:hAnsi="Times New Roman" w:cs="Times New Roman"/>
          <w:i/>
          <w:noProof/>
          <w:sz w:val="24"/>
          <w:lang w:val="en-IE"/>
        </w:rPr>
        <w:t>ease of the number of CNG refuelling points by 2020 and 2025 are foreseen. However, as the NPF does not provide estimates for the future deployment of CNG vehicles, their CNG infrastructure sufficiency for 2020 cannot be assessed.</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Despite an existing fleet</w:t>
      </w:r>
      <w:r>
        <w:rPr>
          <w:rFonts w:ascii="Times New Roman" w:hAnsi="Times New Roman" w:cs="Times New Roman"/>
          <w:i/>
          <w:noProof/>
          <w:sz w:val="24"/>
          <w:lang w:val="en-IE"/>
        </w:rPr>
        <w:t xml:space="preserve"> of 161 public transport buses with engines fuelled by LNG, no publicly accessible road LNG refuelling points are mentioned in the Lithuanian NPF. One LNG refuelling point for heavy-duty vehicles is targeted for 2025.</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According to the Lithuanian NPF, there</w:t>
      </w:r>
      <w:r>
        <w:rPr>
          <w:rFonts w:ascii="Times New Roman" w:hAnsi="Times New Roman" w:cs="Times New Roman"/>
          <w:i/>
          <w:noProof/>
          <w:sz w:val="24"/>
          <w:lang w:val="en-IE"/>
        </w:rPr>
        <w:t xml:space="preserve"> are no further plans for an extension of LNG refuelling points in ports, besides the already existing LNG refuelling point in Klaipėda, Lithuania's only maritime port in the TEN-T Core Network.</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NPF does not cover hydrogen for transport.</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Lithuanian</w:t>
      </w:r>
      <w:r>
        <w:rPr>
          <w:rFonts w:ascii="Times New Roman" w:hAnsi="Times New Roman" w:cs="Times New Roman"/>
          <w:i/>
          <w:noProof/>
          <w:sz w:val="24"/>
          <w:lang w:val="en-IE"/>
        </w:rPr>
        <w:t xml:space="preserve"> NPF contains a list of measures, most of them, however, still under consideration with little details revealed in the NPF. Most of them can be considered having a low or medium impact on market actor's decisions. Their low implementation status could crea</w:t>
      </w:r>
      <w:r>
        <w:rPr>
          <w:rFonts w:ascii="Times New Roman" w:hAnsi="Times New Roman" w:cs="Times New Roman"/>
          <w:i/>
          <w:noProof/>
          <w:sz w:val="24"/>
          <w:lang w:val="en-IE"/>
        </w:rPr>
        <w:t>te uncertainty for market actors and hence decrease the likelihood that the national targets and objectives of the NPF could be reached.</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interests of regional and local authorities, as well as stakeholders have been considered during the drafting of th</w:t>
      </w:r>
      <w:r>
        <w:rPr>
          <w:rFonts w:ascii="Times New Roman" w:hAnsi="Times New Roman" w:cs="Times New Roman"/>
          <w:i/>
          <w:noProof/>
          <w:sz w:val="24"/>
          <w:lang w:val="en-IE"/>
        </w:rPr>
        <w:t>e Lithuanian NPF. Further coordination is planned in order to ensure follow-up of the implementation actions, collaboration among authorities and advice from stakeholders.</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Lithuania is actively involved in coordinating its plans on rail infrastructure with</w:t>
      </w:r>
      <w:r>
        <w:rPr>
          <w:rFonts w:ascii="Times New Roman" w:hAnsi="Times New Roman" w:cs="Times New Roman"/>
          <w:i/>
          <w:noProof/>
          <w:sz w:val="24"/>
          <w:lang w:val="en-IE"/>
        </w:rPr>
        <w:t xml:space="preserve"> other Member States as well as collaborating with them in this field. Beyond that, the NPF does not mention any cooperation or coordination in the field of alternative fuels.</w:t>
      </w:r>
    </w:p>
    <w:p w:rsidR="003C43BF" w:rsidRDefault="003C43BF">
      <w:pPr>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color w:val="000000" w:themeColor="text1"/>
          <w:sz w:val="24"/>
          <w:lang w:val="en-IE"/>
        </w:rPr>
      </w:pPr>
      <w:bookmarkStart w:id="349" w:name="_Toc55301897"/>
      <w:bookmarkStart w:id="350" w:name="_Toc56944209"/>
      <w:r>
        <w:rPr>
          <w:rFonts w:ascii="Times New Roman" w:hAnsi="Times New Roman" w:cs="Times New Roman"/>
          <w:noProof/>
          <w:sz w:val="24"/>
          <w:lang w:val="en-IE"/>
        </w:rPr>
        <w:t>Overview of requirements’ fulfilment from Annex I of the Directive</w:t>
      </w:r>
      <w:bookmarkEnd w:id="349"/>
      <w:bookmarkEnd w:id="350"/>
      <w:r>
        <w:rPr>
          <w:rFonts w:ascii="Times New Roman" w:hAnsi="Times New Roman" w:cs="Times New Roman"/>
          <w:noProof/>
          <w:color w:val="000000" w:themeColor="text1"/>
          <w:sz w:val="24"/>
          <w:lang w:val="en-IE"/>
        </w:rPr>
        <w:tab/>
      </w:r>
    </w:p>
    <w:p w:rsidR="003C43BF" w:rsidRDefault="006C3212">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w:instrText>
      </w:r>
      <w:r>
        <w:rPr>
          <w:rFonts w:ascii="Times New Roman" w:hAnsi="Times New Roman" w:cs="Times New Roman"/>
          <w:b w:val="0"/>
          <w:i/>
          <w:iCs/>
          <w:noProof/>
          <w:color w:val="000000" w:themeColor="text1"/>
          <w:sz w:val="20"/>
          <w:szCs w:val="18"/>
          <w:lang w:val="en-IE"/>
        </w:rPr>
        <w:instrText xml:space="preserve">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5.15.2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444490" cy="8309610"/>
            <wp:effectExtent l="0" t="0" r="381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44490" cy="8309610"/>
                    </a:xfrm>
                    <a:prstGeom prst="rect">
                      <a:avLst/>
                    </a:prstGeom>
                    <a:noFill/>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checklist shows the requirements of Annex I from the Directive that are covered in the LT NIR.</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covered for all transport modes; CNG, LNG, hydrogen and LPG are covered for road transport (but LPG only in terms of AFI); LNG is covered also for waterborne transport (both inland</w:t>
      </w:r>
      <w:r>
        <w:rPr>
          <w:rFonts w:ascii="Times New Roman" w:hAnsi="Times New Roman" w:cs="Times New Roman"/>
          <w:noProof/>
          <w:sz w:val="24"/>
          <w:lang w:val="en-IE"/>
        </w:rPr>
        <w:t xml:space="preserve"> and maritime); all the other combinations are either absent or not applicable. </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LT NIR reports 44 measures. </w:t>
      </w:r>
      <w:r>
        <w:rPr>
          <w:rFonts w:ascii="Times New Roman" w:hAnsi="Times New Roman" w:cs="Times New Roman"/>
          <w:iCs/>
          <w:noProof/>
          <w:sz w:val="24"/>
          <w:lang w:val="en-IE"/>
        </w:rPr>
        <w:t>Under the Policy and Deployment &amp; Manufacturing sections it was possible to identify nine AF/transport mode clusters of measures, of which eigh</w:t>
      </w:r>
      <w:r>
        <w:rPr>
          <w:rFonts w:ascii="Times New Roman" w:hAnsi="Times New Roman" w:cs="Times New Roman"/>
          <w:iCs/>
          <w:noProof/>
          <w:sz w:val="24"/>
          <w:lang w:val="en-IE"/>
        </w:rPr>
        <w:t>t were assessable.</w:t>
      </w:r>
    </w:p>
    <w:p w:rsidR="003C43BF" w:rsidRDefault="003C43BF">
      <w:pPr>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351" w:name="_Toc55301898"/>
      <w:bookmarkStart w:id="352" w:name="_Toc56944210"/>
      <w:r>
        <w:rPr>
          <w:rFonts w:ascii="Times New Roman" w:hAnsi="Times New Roman" w:cs="Times New Roman"/>
          <w:noProof/>
          <w:sz w:val="24"/>
          <w:lang w:val="en-IE"/>
        </w:rPr>
        <w:t>Quantitative assessment: Vehicles and infrastructure</w:t>
      </w:r>
      <w:bookmarkEnd w:id="351"/>
      <w:bookmarkEnd w:id="352"/>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The </w:t>
      </w:r>
      <w:r>
        <w:rPr>
          <w:rFonts w:ascii="Times New Roman" w:hAnsi="Times New Roman" w:cs="Times New Roman"/>
          <w:noProof/>
          <w:sz w:val="24"/>
          <w:lang w:val="en-IE"/>
        </w:rPr>
        <w:t>Lithuanian NIR signals that “</w:t>
      </w:r>
      <w:r>
        <w:rPr>
          <w:rFonts w:ascii="Times New Roman" w:hAnsi="Times New Roman" w:cs="Times New Roman"/>
          <w:i/>
          <w:noProof/>
          <w:sz w:val="24"/>
          <w:lang w:val="en-IE"/>
        </w:rPr>
        <w:t>It should be noted that the previously planned targets and measures are currently being reviewed in the light of the EU’s GHG reduction targets for t</w:t>
      </w:r>
      <w:r>
        <w:rPr>
          <w:rFonts w:ascii="Times New Roman" w:hAnsi="Times New Roman" w:cs="Times New Roman"/>
          <w:i/>
          <w:noProof/>
          <w:sz w:val="24"/>
          <w:lang w:val="en-IE"/>
        </w:rPr>
        <w:t>he transport sector</w:t>
      </w:r>
      <w:r>
        <w:rPr>
          <w:rFonts w:ascii="Times New Roman" w:hAnsi="Times New Roman" w:cs="Times New Roman"/>
          <w:noProof/>
          <w:sz w:val="24"/>
          <w:lang w:val="en-IE"/>
        </w:rPr>
        <w:t>”. National objectives and targets according to the National Energy and Climate Action Plan of the Republic of Lithuania for 2021-2030 are also mentioned: “</w:t>
      </w:r>
      <w:r>
        <w:rPr>
          <w:rFonts w:ascii="Times New Roman" w:hAnsi="Times New Roman" w:cs="Times New Roman"/>
          <w:i/>
          <w:noProof/>
          <w:sz w:val="24"/>
          <w:lang w:val="en-IE"/>
        </w:rPr>
        <w:t>The transport sector is aiming at a gradual shift towards cleaner fuels and elect</w:t>
      </w:r>
      <w:r>
        <w:rPr>
          <w:rFonts w:ascii="Times New Roman" w:hAnsi="Times New Roman" w:cs="Times New Roman"/>
          <w:i/>
          <w:noProof/>
          <w:sz w:val="24"/>
          <w:lang w:val="en-IE"/>
        </w:rPr>
        <w:t>ricity, and therefore, in line with the EU's commitments, the aim is to achieve a 10 per cent RES share by 2020 and a 15 percent RES share by 2030. However, Lithuania, like other Member States, is struggling to achieve the RES-T target for 2020 due to rela</w:t>
      </w:r>
      <w:r>
        <w:rPr>
          <w:rFonts w:ascii="Times New Roman" w:hAnsi="Times New Roman" w:cs="Times New Roman"/>
          <w:i/>
          <w:noProof/>
          <w:sz w:val="24"/>
          <w:lang w:val="en-IE"/>
        </w:rPr>
        <w:t>tively high investment in the renewal of the vehicle fleet, which consists mainly of almost 1.5 million cars, 69% of which are diesel cars, with an average age of 15 years. For this reason, it is likely that the 2020 target will not be achieved by 2020 and</w:t>
      </w:r>
      <w:r>
        <w:rPr>
          <w:rFonts w:ascii="Times New Roman" w:hAnsi="Times New Roman" w:cs="Times New Roman"/>
          <w:i/>
          <w:noProof/>
          <w:sz w:val="24"/>
          <w:lang w:val="en-IE"/>
        </w:rPr>
        <w:t xml:space="preserve"> the share of RES-T will be around 5 per cent.</w:t>
      </w:r>
      <w:r>
        <w:rPr>
          <w:rFonts w:ascii="Times New Roman" w:hAnsi="Times New Roman" w:cs="Times New Roman"/>
          <w:noProof/>
          <w:sz w:val="24"/>
          <w:lang w:val="en-IE"/>
        </w:rPr>
        <w:t>”</w:t>
      </w:r>
    </w:p>
    <w:p w:rsidR="003C43BF" w:rsidRDefault="003C43BF">
      <w:pPr>
        <w:jc w:val="both"/>
        <w:rPr>
          <w:rFonts w:ascii="Times New Roman" w:hAnsi="Times New Roman" w:cs="Times New Roman"/>
          <w:noProof/>
          <w:sz w:val="24"/>
          <w:lang w:val="en-IE"/>
        </w:rPr>
      </w:pPr>
    </w:p>
    <w:p w:rsidR="003C43BF" w:rsidRDefault="003C43BF">
      <w:pPr>
        <w:jc w:val="both"/>
        <w:rPr>
          <w:rFonts w:ascii="Times New Roman" w:hAnsi="Times New Roman" w:cs="Times New Roman"/>
          <w:noProof/>
          <w:sz w:val="24"/>
          <w:lang w:val="en-IE"/>
        </w:rPr>
      </w:pPr>
    </w:p>
    <w:p w:rsidR="003C43BF" w:rsidRDefault="003C43BF">
      <w:pPr>
        <w:jc w:val="both"/>
        <w:rPr>
          <w:rFonts w:ascii="Times New Roman" w:hAnsi="Times New Roman" w:cs="Times New Roman"/>
          <w:noProof/>
          <w:sz w:val="24"/>
          <w:lang w:val="en-IE"/>
        </w:rPr>
      </w:pPr>
    </w:p>
    <w:p w:rsidR="003C43BF" w:rsidRDefault="003C43BF">
      <w:pPr>
        <w:jc w:val="both"/>
        <w:rPr>
          <w:rFonts w:ascii="Times New Roman" w:hAnsi="Times New Roman" w:cs="Times New Roman"/>
          <w:noProof/>
          <w:sz w:val="24"/>
          <w:lang w:val="en-IE"/>
        </w:rPr>
      </w:pPr>
    </w:p>
    <w:p w:rsidR="003C43BF" w:rsidRDefault="003C43BF">
      <w:pPr>
        <w:jc w:val="both"/>
        <w:rPr>
          <w:rFonts w:ascii="Times New Roman" w:hAnsi="Times New Roman" w:cs="Times New Roman"/>
          <w:noProof/>
          <w:sz w:val="24"/>
          <w:lang w:val="en-IE"/>
        </w:rPr>
      </w:pPr>
    </w:p>
    <w:p w:rsidR="003C43BF" w:rsidRDefault="003C43BF">
      <w:pPr>
        <w:jc w:val="both"/>
        <w:rPr>
          <w:rFonts w:ascii="Times New Roman" w:hAnsi="Times New Roman" w:cs="Times New Roman"/>
          <w:noProof/>
          <w:sz w:val="24"/>
          <w:lang w:val="en-IE"/>
        </w:rPr>
      </w:pPr>
    </w:p>
    <w:p w:rsidR="003C43BF" w:rsidRDefault="006C3212">
      <w:pPr>
        <w:pStyle w:val="Caption"/>
        <w:keepNext/>
        <w:jc w:val="both"/>
        <w:rPr>
          <w:rFonts w:ascii="Times New Roman" w:hAnsi="Times New Roman" w:cs="Times New Roman"/>
          <w:b w:val="0"/>
          <w:i/>
          <w:noProof/>
          <w:sz w:val="20"/>
          <w:szCs w:val="18"/>
          <w:lang w:val="en-IE"/>
        </w:rPr>
      </w:pPr>
      <w:bookmarkStart w:id="353" w:name="_Ref53502221"/>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5.15.3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353"/>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 xml:space="preserve">National AFV estimates and AFI targets established in the NIR at the horizon 2020, 2025 and 2030 and their comparison with the NPF situation </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5577840" cy="7704467"/>
            <wp:effectExtent l="0" t="0" r="381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89145" cy="7720082"/>
                    </a:xfrm>
                    <a:prstGeom prst="rect">
                      <a:avLst/>
                    </a:prstGeom>
                    <a:noFill/>
                    <a:ln>
                      <a:noFill/>
                    </a:ln>
                  </pic:spPr>
                </pic:pic>
              </a:graphicData>
            </a:graphic>
          </wp:inline>
        </w:drawing>
      </w:r>
      <w:r>
        <w:rPr>
          <w:rFonts w:ascii="Times New Roman" w:hAnsi="Times New Roman" w:cs="Times New Roman"/>
          <w:noProof/>
          <w:color w:val="000000" w:themeColor="text1"/>
          <w:sz w:val="24"/>
          <w:lang w:val="en-IE"/>
        </w:rPr>
        <w:t xml:space="preserve"> </w:t>
      </w:r>
    </w:p>
    <w:p w:rsidR="003C43BF" w:rsidRDefault="006C3212">
      <w:pPr>
        <w:rPr>
          <w:rFonts w:ascii="Times New Roman" w:eastAsiaTheme="majorEastAsia" w:hAnsi="Times New Roman" w:cs="Times New Roman"/>
          <w:noProof/>
          <w:color w:val="1F4D78" w:themeColor="accent1" w:themeShade="7F"/>
          <w:sz w:val="28"/>
          <w:szCs w:val="24"/>
          <w:lang w:val="en-IE"/>
        </w:rPr>
      </w:pPr>
      <w:r>
        <w:rPr>
          <w:rFonts w:ascii="Times New Roman" w:hAnsi="Times New Roman" w:cs="Times New Roman"/>
          <w:noProof/>
          <w:sz w:val="24"/>
          <w:lang w:eastAsia="en-GB"/>
        </w:rPr>
        <w:drawing>
          <wp:inline distT="0" distB="0" distL="0" distR="0">
            <wp:extent cx="3630304" cy="437362"/>
            <wp:effectExtent l="0" t="0" r="0" b="127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eastAsia="en-GB"/>
        </w:rPr>
      </w:pPr>
      <w:r>
        <w:rPr>
          <w:rFonts w:ascii="Times New Roman" w:hAnsi="Times New Roman" w:cs="Times New Roman"/>
          <w:noProof/>
          <w:sz w:val="24"/>
          <w:lang w:val="en-IE" w:eastAsia="en-GB"/>
        </w:rPr>
        <w:t>Lituania reported a total of 1,556 electric vehicles in use in 2018 (</w:t>
      </w:r>
      <w:r>
        <w:rPr>
          <w:rFonts w:ascii="Times New Roman" w:hAnsi="Times New Roman" w:cs="Times New Roman"/>
          <w:noProof/>
          <w:sz w:val="24"/>
          <w:lang w:val="en-IE" w:eastAsia="en-GB"/>
        </w:rPr>
        <w:fldChar w:fldCharType="begin"/>
      </w:r>
      <w:r>
        <w:rPr>
          <w:rFonts w:ascii="Times New Roman" w:hAnsi="Times New Roman" w:cs="Times New Roman"/>
          <w:noProof/>
          <w:sz w:val="24"/>
          <w:lang w:val="en-IE" w:eastAsia="en-GB"/>
        </w:rPr>
        <w:instrText xml:space="preserve"> REF _Ref53502221 \h  \* MERGEFORMAT </w:instrText>
      </w:r>
      <w:r>
        <w:rPr>
          <w:rFonts w:ascii="Times New Roman" w:hAnsi="Times New Roman" w:cs="Times New Roman"/>
          <w:noProof/>
          <w:sz w:val="24"/>
          <w:lang w:val="en-IE" w:eastAsia="en-GB"/>
        </w:rPr>
      </w:r>
      <w:r>
        <w:rPr>
          <w:rFonts w:ascii="Times New Roman" w:hAnsi="Times New Roman" w:cs="Times New Roman"/>
          <w:noProof/>
          <w:sz w:val="24"/>
          <w:lang w:val="en-IE" w:eastAsia="en-GB"/>
        </w:rPr>
        <w:fldChar w:fldCharType="separate"/>
      </w:r>
      <w:r w:rsidRPr="006C3212">
        <w:rPr>
          <w:rFonts w:ascii="Times New Roman" w:hAnsi="Times New Roman" w:cs="Times New Roman"/>
          <w:iCs/>
          <w:noProof/>
          <w:color w:val="000000" w:themeColor="text1"/>
          <w:sz w:val="24"/>
          <w:lang w:val="en-IE"/>
        </w:rPr>
        <w:t>Table 5.15.3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eastAsia="en-GB"/>
        </w:rPr>
        <w:fldChar w:fldCharType="end"/>
      </w:r>
      <w:r>
        <w:rPr>
          <w:rFonts w:ascii="Times New Roman" w:hAnsi="Times New Roman" w:cs="Times New Roman"/>
          <w:noProof/>
          <w:sz w:val="24"/>
          <w:lang w:val="en-IE" w:eastAsia="en-GB"/>
        </w:rPr>
        <w:t>), of which 1,539 were passenger cars, 16 LCVs and one HCV. On top of that, the LT NIR reports 406 electric buses and coaches, but this num</w:t>
      </w:r>
      <w:r>
        <w:rPr>
          <w:rFonts w:ascii="Times New Roman" w:hAnsi="Times New Roman" w:cs="Times New Roman"/>
          <w:noProof/>
          <w:sz w:val="24"/>
          <w:lang w:val="en-IE" w:eastAsia="en-GB"/>
        </w:rPr>
        <w:t>ber probably includes also trolleybuses, which do not fall under the scope of this assessment. The LT NIR reports also 132 PTWs in use in 2018. The Lithuanian NIR presents a new plan with increased ambition compared to the NPF and almost triples the EV est</w:t>
      </w:r>
      <w:r>
        <w:rPr>
          <w:rFonts w:ascii="Times New Roman" w:hAnsi="Times New Roman" w:cs="Times New Roman"/>
          <w:noProof/>
          <w:sz w:val="24"/>
          <w:lang w:val="en-IE" w:eastAsia="en-GB"/>
        </w:rPr>
        <w:t>imates for 2020 (3,011 vs. 1,200 in the NPF). For the years 2025 and 2030, new estimates have been set (not given in NPF) for a total of 46,066 passenger cars and 5,469 LCVs by 2025, and a total of 230,332 passenger cars and 18,231 LCVs by 2030. The heavy-</w:t>
      </w:r>
      <w:r>
        <w:rPr>
          <w:rFonts w:ascii="Times New Roman" w:hAnsi="Times New Roman" w:cs="Times New Roman"/>
          <w:noProof/>
          <w:sz w:val="24"/>
          <w:lang w:val="en-IE" w:eastAsia="en-GB"/>
        </w:rPr>
        <w:t>duty sector is excluded from future estimates in the LT NIR</w:t>
      </w:r>
      <w:r>
        <w:rPr>
          <w:rStyle w:val="FootnoteReference"/>
          <w:rFonts w:ascii="Times New Roman" w:hAnsi="Times New Roman" w:cs="Times New Roman"/>
          <w:noProof/>
          <w:sz w:val="24"/>
          <w:lang w:val="en-IE" w:eastAsia="en-GB"/>
        </w:rPr>
        <w:footnoteReference w:id="49"/>
      </w:r>
      <w:r>
        <w:rPr>
          <w:rStyle w:val="CommentReference"/>
          <w:rFonts w:ascii="Times New Roman" w:hAnsi="Times New Roman" w:cs="Times New Roman"/>
          <w:noProof/>
          <w:sz w:val="18"/>
          <w:lang w:val="en-IE"/>
        </w:rPr>
        <w:t xml:space="preserve">. </w:t>
      </w:r>
      <w:r>
        <w:rPr>
          <w:rFonts w:ascii="Times New Roman" w:hAnsi="Times New Roman" w:cs="Times New Roman"/>
          <w:noProof/>
          <w:sz w:val="24"/>
          <w:lang w:val="en-IE" w:eastAsia="en-GB"/>
        </w:rPr>
        <w:t>The report mentions that registration of ICE vehicles after 2030 will not be possible.</w:t>
      </w:r>
    </w:p>
    <w:p w:rsidR="003C43BF" w:rsidRDefault="006C3212">
      <w:pPr>
        <w:jc w:val="both"/>
        <w:rPr>
          <w:rFonts w:ascii="Times New Roman" w:hAnsi="Times New Roman" w:cs="Times New Roman"/>
          <w:noProof/>
          <w:sz w:val="24"/>
          <w:lang w:val="en-IE" w:eastAsia="en-GB"/>
        </w:rPr>
      </w:pPr>
      <w:r>
        <w:rPr>
          <w:rFonts w:ascii="Times New Roman" w:hAnsi="Times New Roman" w:cs="Times New Roman"/>
          <w:noProof/>
          <w:sz w:val="24"/>
          <w:lang w:val="en-IE" w:eastAsia="en-GB"/>
        </w:rPr>
        <w:t xml:space="preserve"> Therefore the level of ambition in the Lithuanian NIR has increased in comparison to the NPF.</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w:t>
      </w:r>
      <w:r>
        <w:rPr>
          <w:rFonts w:ascii="Times New Roman" w:hAnsi="Times New Roman" w:cs="Times New Roman"/>
          <w:b/>
          <w:i/>
          <w:iCs/>
          <w:noProof/>
          <w:sz w:val="24"/>
          <w:lang w:val="en-IE"/>
        </w:rPr>
        <w:t>ainment</w:t>
      </w:r>
      <w:r>
        <w:rPr>
          <w:rFonts w:ascii="Times New Roman" w:hAnsi="Times New Roman" w:cs="Times New Roman"/>
          <w:iCs/>
          <w:noProof/>
          <w:sz w:val="24"/>
          <w:lang w:val="en-IE"/>
        </w:rPr>
        <w:t xml:space="preserve"> of future electric light-duty vehicles estimates is 51.68% for 2020 and 0.63%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estimate</w:t>
      </w:r>
      <w:r>
        <w:rPr>
          <w:rFonts w:ascii="Times New Roman" w:hAnsi="Times New Roman" w:cs="Times New Roman"/>
          <w:iCs/>
          <w:noProof/>
          <w:sz w:val="24"/>
          <w:lang w:val="en-IE"/>
        </w:rPr>
        <w:t xml:space="preserv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w:t>
      </w:r>
      <w:r>
        <w:rPr>
          <w:rFonts w:ascii="Times New Roman" w:hAnsi="Times New Roman" w:cs="Times New Roman"/>
          <w:iCs/>
          <w:noProof/>
          <w:sz w:val="24"/>
          <w:lang w:val="en-IE"/>
        </w:rPr>
        <w:t>electric light-duty vehicles</w:t>
      </w:r>
      <w:r>
        <w:rPr>
          <w:rFonts w:ascii="Times New Roman" w:hAnsi="Times New Roman" w:cs="Times New Roman"/>
          <w:iCs/>
          <w:noProof/>
          <w:color w:val="000000" w:themeColor="text1"/>
          <w:sz w:val="24"/>
          <w:lang w:val="en-IE"/>
        </w:rPr>
        <w:t xml:space="preserve"> fleet evolution planned by Lithuania is equal to </w:t>
      </w:r>
      <w:r>
        <w:rPr>
          <w:rFonts w:ascii="Times New Roman" w:hAnsi="Times New Roman" w:cs="Times New Roman"/>
          <w:iCs/>
          <w:noProof/>
          <w:sz w:val="24"/>
          <w:lang w:val="en-IE"/>
        </w:rPr>
        <w:t>61%.</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pStyle w:val="ListParagraph"/>
        <w:ind w:left="0"/>
        <w:jc w:val="both"/>
        <w:rPr>
          <w:rFonts w:ascii="Times New Roman" w:hAnsi="Times New Roman" w:cs="Times New Roman"/>
          <w:noProof/>
          <w:sz w:val="24"/>
          <w:lang w:val="en-IE" w:eastAsia="en-GB"/>
        </w:rPr>
      </w:pPr>
      <w:r>
        <w:rPr>
          <w:rFonts w:ascii="Times New Roman" w:hAnsi="Times New Roman" w:cs="Times New Roman"/>
          <w:noProof/>
          <w:sz w:val="24"/>
          <w:lang w:val="en-IE"/>
        </w:rPr>
        <w:t>Lithuania reported 212 publicly accessible recharging points, of which 192 were high power (&gt;22kW) recharging points and 20 normal power (≤22kW) recharging points. The Lithuanian NIR significantly increased the targets and ambition for public infrastructur</w:t>
      </w:r>
      <w:r>
        <w:rPr>
          <w:rFonts w:ascii="Times New Roman" w:hAnsi="Times New Roman" w:cs="Times New Roman"/>
          <w:noProof/>
          <w:sz w:val="24"/>
          <w:lang w:val="en-IE"/>
        </w:rPr>
        <w:t>e in 2020 and 2025 compared to the NPF, as well as provided a new target for 2030. The revised targets of publicly accessible recharging points for 2020 and 2025 are 198% and 210% higher than those presented in NPF, however the revised target for 2025 does</w:t>
      </w:r>
      <w:r>
        <w:rPr>
          <w:rFonts w:ascii="Times New Roman" w:hAnsi="Times New Roman" w:cs="Times New Roman"/>
          <w:noProof/>
          <w:sz w:val="24"/>
          <w:lang w:val="en-IE"/>
        </w:rPr>
        <w:t xml:space="preserve"> not seem sufficient to cope with the vehicle estimate for the same year. For 2030, Lithuania plans to have 15,055 public recharging points. </w:t>
      </w:r>
      <w:r>
        <w:rPr>
          <w:rFonts w:ascii="Times New Roman" w:hAnsi="Times New Roman" w:cs="Times New Roman"/>
          <w:noProof/>
          <w:sz w:val="24"/>
          <w:lang w:val="en-IE" w:eastAsia="en-GB"/>
        </w:rPr>
        <w:t>The LT NIR also highlights the plan to have 60,000 private recharging points in 2030.</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eastAsia="en-GB"/>
        </w:rPr>
        <w:t>The 2018</w:t>
      </w:r>
      <w:r>
        <w:rPr>
          <w:rFonts w:ascii="Times New Roman" w:hAnsi="Times New Roman" w:cs="Times New Roman"/>
          <w:iCs/>
          <w:noProof/>
          <w:sz w:val="24"/>
          <w:lang w:val="en-IE"/>
        </w:rPr>
        <w:t xml:space="preserve">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w:t>
      </w:r>
      <w:r>
        <w:rPr>
          <w:rFonts w:ascii="Times New Roman" w:hAnsi="Times New Roman" w:cs="Times New Roman"/>
          <w:iCs/>
          <w:noProof/>
          <w:sz w:val="24"/>
          <w:lang w:val="en-IE"/>
        </w:rPr>
        <w:t xml:space="preserve"> public recharging infrastructure targets is 71.14% for 2020 and 1.41%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The calculat</w:t>
      </w:r>
      <w:r>
        <w:rPr>
          <w:rFonts w:ascii="Times New Roman" w:hAnsi="Times New Roman" w:cs="Times New Roman"/>
          <w:iCs/>
          <w:noProof/>
          <w:color w:val="000000" w:themeColor="text1"/>
          <w:sz w:val="24"/>
          <w:lang w:val="en-IE"/>
        </w:rPr>
        <w:t xml:space="preserve">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Lithuania is equal to</w:t>
      </w:r>
      <w:r>
        <w:rPr>
          <w:rFonts w:ascii="Times New Roman" w:hAnsi="Times New Roman" w:cs="Times New Roman"/>
          <w:iCs/>
          <w:noProof/>
          <w:sz w:val="24"/>
          <w:lang w:val="en-IE"/>
        </w:rPr>
        <w:t xml:space="preserve"> 66%.</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LT NIR, the following table shows the ratio between vehicles and </w:t>
      </w:r>
      <w:r>
        <w:rPr>
          <w:rFonts w:ascii="Times New Roman" w:hAnsi="Times New Roman" w:cs="Times New Roman"/>
          <w:noProof/>
          <w:sz w:val="24"/>
          <w:lang w:val="en-IE"/>
        </w:rPr>
        <w:t>publicly accessible recharging points (i.e. sufficiency index) for the pair electricity/road. As it can be seen, the sufficiency index was very high (and inadequate) in 2016, but has adjusted in 2018. Also for 2020 the sufficiency index is close to the val</w:t>
      </w:r>
      <w:r>
        <w:rPr>
          <w:rFonts w:ascii="Times New Roman" w:hAnsi="Times New Roman" w:cs="Times New Roman"/>
          <w:noProof/>
          <w:sz w:val="24"/>
          <w:lang w:val="en-IE"/>
        </w:rPr>
        <w:t>ue of 10 and adequate. A big unbalance between EVs and public recharging points is foreseen in 2025, which, according to LT NIR data, should be mostly solved until 2030.</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5232400" cy="575945"/>
            <wp:effectExtent l="0" t="0" r="635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32400" cy="575945"/>
                    </a:xfrm>
                    <a:prstGeom prst="rect">
                      <a:avLst/>
                    </a:prstGeom>
                    <a:noFill/>
                    <a:ln>
                      <a:noFill/>
                    </a:ln>
                  </pic:spPr>
                </pic:pic>
              </a:graphicData>
            </a:graphic>
          </wp:inline>
        </w:drawing>
      </w:r>
      <w:r>
        <w:rPr>
          <w:rFonts w:ascii="Times New Roman" w:hAnsi="Times New Roman" w:cs="Times New Roman"/>
          <w:noProof/>
          <w:sz w:val="24"/>
          <w:lang w:val="en-IE"/>
        </w:rPr>
        <w:t xml:space="preserve"> </w:t>
      </w:r>
    </w:p>
    <w:p w:rsidR="003C43BF" w:rsidRDefault="003C43BF">
      <w:pPr>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Lithuanian NIR did not provide direct informat</w:t>
      </w:r>
      <w:r>
        <w:rPr>
          <w:rFonts w:ascii="Times New Roman" w:hAnsi="Times New Roman" w:cs="Times New Roman"/>
          <w:noProof/>
          <w:sz w:val="24"/>
          <w:lang w:val="en-IE"/>
        </w:rPr>
        <w:t>ion on charging efficiency of high power (&gt;22kW) recharging points, but it reported the following: “</w:t>
      </w:r>
      <w:r>
        <w:rPr>
          <w:rFonts w:ascii="Times New Roman" w:hAnsi="Times New Roman" w:cs="Times New Roman"/>
          <w:i/>
          <w:noProof/>
          <w:sz w:val="24"/>
          <w:lang w:val="en-IE"/>
        </w:rPr>
        <w:t xml:space="preserve">There are currently 25 combined charging stations along national roads (three types: </w:t>
      </w:r>
      <w:r>
        <w:rPr>
          <w:rFonts w:ascii="Times New Roman" w:hAnsi="Times New Roman" w:cs="Times New Roman"/>
          <w:noProof/>
          <w:sz w:val="24"/>
          <w:lang w:val="en-IE"/>
        </w:rPr>
        <w:t>AC, DC CHAdeMO and DC Combo</w:t>
      </w:r>
      <w:r>
        <w:rPr>
          <w:rFonts w:ascii="Times New Roman" w:hAnsi="Times New Roman" w:cs="Times New Roman"/>
          <w:i/>
          <w:noProof/>
          <w:sz w:val="24"/>
          <w:lang w:val="en-IE"/>
        </w:rPr>
        <w:t>). Two electric vehicles can be charged at t</w:t>
      </w:r>
      <w:r>
        <w:rPr>
          <w:rFonts w:ascii="Times New Roman" w:hAnsi="Times New Roman" w:cs="Times New Roman"/>
          <w:i/>
          <w:noProof/>
          <w:sz w:val="24"/>
          <w:lang w:val="en-IE"/>
        </w:rPr>
        <w:t>he same time at one station (AC and DC connectors). The number of connections to individual stations ranges between 195 and 40,533 per month (as observed in the period from May 2019 to October 2019); for October, for instance, the average number of connect</w:t>
      </w:r>
      <w:r>
        <w:rPr>
          <w:rFonts w:ascii="Times New Roman" w:hAnsi="Times New Roman" w:cs="Times New Roman"/>
          <w:i/>
          <w:noProof/>
          <w:sz w:val="24"/>
          <w:lang w:val="en-IE"/>
        </w:rPr>
        <w:t>ions was 5,095 and the average electricity consumption was 2,217 Kwh</w:t>
      </w:r>
      <w:r>
        <w:rPr>
          <w:rFonts w:ascii="Times New Roman" w:hAnsi="Times New Roman" w:cs="Times New Roman"/>
          <w:noProof/>
          <w:sz w:val="24"/>
          <w:lang w:val="en-IE"/>
        </w:rPr>
        <w: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Lithuania reported that 405 CNG vehicles were in use in 2018, of which 100 were passenger cars, 3 LCVs, 2 HCVs and 300 buses and coaches.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regards to the years 2020, 2025 and 2030, the LT NIR provides new estimates (respectively 565, 1,500 and 12,300 vehicles). These were absent in the NPF. The new estimates specify also that the biggest growth is expected in numbers of CNG passenger cars </w:t>
      </w:r>
      <w:r>
        <w:rPr>
          <w:rFonts w:ascii="Times New Roman" w:hAnsi="Times New Roman" w:cs="Times New Roman"/>
          <w:noProof/>
          <w:sz w:val="24"/>
          <w:lang w:val="en-IE"/>
        </w:rPr>
        <w:t xml:space="preserve">(10,000 in 2030), but 500 LCVs, 1,000 HCVs and 800 buses and coaches are also foreseen.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CNG vehicles estimates is 71.68% for 2020 and 3.29% for 2030. According to the assessment methodology described in Section 2.1, the 2018 </w:t>
      </w:r>
      <w:r>
        <w:rPr>
          <w:rFonts w:ascii="Times New Roman" w:hAnsi="Times New Roman" w:cs="Times New Roman"/>
          <w:iCs/>
          <w:noProof/>
          <w:sz w:val="24"/>
          <w:lang w:val="en-IE"/>
        </w:rPr>
        <w:t xml:space="preserve">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 envisaged CNG vehicles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Lithuania is equal to</w:t>
      </w:r>
      <w:r>
        <w:rPr>
          <w:rFonts w:ascii="Times New Roman" w:hAnsi="Times New Roman" w:cs="Times New Roman"/>
          <w:iCs/>
          <w:noProof/>
          <w:sz w:val="24"/>
          <w:lang w:val="en-IE"/>
        </w:rPr>
        <w:t xml:space="preserve"> 28%.</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Lithuania reported four publicly accessible CNG refuelling stations in 2018 (plus six private). The LT NIR reports that Lithuania aims to achieve 8 public CNG refuelling points in 2020 (20% less than in the NPF), 13 in 2025 (30% more than in</w:t>
      </w:r>
      <w:r>
        <w:rPr>
          <w:rFonts w:ascii="Times New Roman" w:hAnsi="Times New Roman" w:cs="Times New Roman"/>
          <w:noProof/>
          <w:sz w:val="24"/>
          <w:lang w:val="en-IE"/>
        </w:rPr>
        <w:t xml:space="preserve"> the NPF) and 28 in 2030 (there was nothing in the NPF). The number of private CNG refuelling points is expected to decrease from the current six, to four in 2020 and two in 2025 and 2030. </w:t>
      </w:r>
    </w:p>
    <w:p w:rsidR="003C43BF" w:rsidRDefault="006C3212">
      <w:pPr>
        <w:tabs>
          <w:tab w:val="left" w:pos="360"/>
        </w:tabs>
        <w:spacing w:after="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future public CNG refuelling infrastructure</w:t>
      </w:r>
      <w:r>
        <w:rPr>
          <w:rFonts w:ascii="Times New Roman" w:hAnsi="Times New Roman" w:cs="Times New Roman"/>
          <w:iCs/>
          <w:noProof/>
          <w:sz w:val="24"/>
          <w:lang w:val="en-IE"/>
        </w:rPr>
        <w:t xml:space="preserve"> targets is 50% for 2020 and 14.29% for 2030. According 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w:t>
      </w:r>
      <w:r>
        <w:rPr>
          <w:rFonts w:ascii="Times New Roman" w:hAnsi="Times New Roman" w:cs="Times New Roman"/>
          <w:iCs/>
          <w:noProof/>
          <w:color w:val="000000" w:themeColor="text1"/>
          <w:sz w:val="24"/>
          <w:lang w:val="en-IE"/>
        </w:rPr>
        <w:t>ing to the period 2016-2025 for publicly accessible CNG refuelling infrastructure evolution planned by Lithuania is equal to</w:t>
      </w:r>
      <w:r>
        <w:rPr>
          <w:rFonts w:ascii="Times New Roman" w:hAnsi="Times New Roman" w:cs="Times New Roman"/>
          <w:iCs/>
          <w:noProof/>
          <w:sz w:val="24"/>
          <w:lang w:val="en-IE"/>
        </w:rPr>
        <w:t xml:space="preserve"> 14%.</w:t>
      </w:r>
    </w:p>
    <w:p w:rsidR="003C43BF" w:rsidRDefault="003C43BF">
      <w:pPr>
        <w:tabs>
          <w:tab w:val="left" w:pos="360"/>
        </w:tabs>
        <w:spacing w:after="0"/>
        <w:jc w:val="both"/>
        <w:rPr>
          <w:rFonts w:ascii="Times New Roman" w:hAnsi="Times New Roman" w:cs="Times New Roman"/>
          <w:noProof/>
          <w:sz w:val="24"/>
          <w:lang w:val="en-IE" w:eastAsia="en-GB"/>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Based on the LT NIR, the following table shows the ratio between vehicles and publicly accessible refuelling points (i.</w:t>
      </w:r>
      <w:r>
        <w:rPr>
          <w:rFonts w:ascii="Times New Roman" w:hAnsi="Times New Roman" w:cs="Times New Roman"/>
          <w:noProof/>
          <w:sz w:val="24"/>
          <w:lang w:val="en-IE"/>
        </w:rPr>
        <w:t xml:space="preserve">e. sufficiency index) for the pair CNG/road. The sufficiency index is always below the indicative value of 600 (see </w:t>
      </w:r>
      <w:r>
        <w:rPr>
          <w:rFonts w:ascii="Times New Roman" w:hAnsi="Times New Roman" w:cs="Times New Roman"/>
          <w:iCs/>
          <w:noProof/>
          <w:sz w:val="24"/>
          <w:lang w:val="en-IE"/>
        </w:rPr>
        <w:t>Section 2.1.5</w:t>
      </w:r>
      <w:r>
        <w:rPr>
          <w:rFonts w:ascii="Times New Roman" w:hAnsi="Times New Roman" w:cs="Times New Roman"/>
          <w:noProof/>
          <w:sz w:val="24"/>
          <w:lang w:val="en-IE"/>
        </w:rPr>
        <w: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232400" cy="575945"/>
            <wp:effectExtent l="0" t="0" r="635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32400" cy="575945"/>
                    </a:xfrm>
                    <a:prstGeom prst="rect">
                      <a:avLst/>
                    </a:prstGeom>
                    <a:noFill/>
                    <a:ln>
                      <a:noFill/>
                    </a:ln>
                  </pic:spPr>
                </pic:pic>
              </a:graphicData>
            </a:graphic>
          </wp:inline>
        </w:drawing>
      </w:r>
      <w:r>
        <w:rPr>
          <w:rFonts w:ascii="Times New Roman" w:hAnsi="Times New Roman" w:cs="Times New Roman"/>
          <w:noProof/>
          <w:sz w:val="24"/>
          <w:lang w:val="en-IE"/>
        </w:rPr>
        <w:t xml:space="preserve"> </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eastAsia="en-GB"/>
        </w:rPr>
      </w:pPr>
      <w:r>
        <w:rPr>
          <w:rFonts w:ascii="Times New Roman" w:hAnsi="Times New Roman" w:cs="Times New Roman"/>
          <w:noProof/>
          <w:sz w:val="24"/>
          <w:lang w:val="en-IE"/>
        </w:rPr>
        <w:t>Lithuania reported 207 LNG vehicles in 2018 (</w:t>
      </w:r>
      <w:r>
        <w:rPr>
          <w:rFonts w:ascii="Times New Roman" w:hAnsi="Times New Roman" w:cs="Times New Roman"/>
          <w:noProof/>
          <w:sz w:val="24"/>
          <w:lang w:val="en-IE" w:eastAsia="en-GB"/>
        </w:rPr>
        <w:fldChar w:fldCharType="begin"/>
      </w:r>
      <w:r>
        <w:rPr>
          <w:rFonts w:ascii="Times New Roman" w:hAnsi="Times New Roman" w:cs="Times New Roman"/>
          <w:noProof/>
          <w:sz w:val="24"/>
          <w:lang w:val="en-IE" w:eastAsia="en-GB"/>
        </w:rPr>
        <w:instrText xml:space="preserve"> REF _Ref53502221 \h  \* MERGEFORMAT </w:instrText>
      </w:r>
      <w:r>
        <w:rPr>
          <w:rFonts w:ascii="Times New Roman" w:hAnsi="Times New Roman" w:cs="Times New Roman"/>
          <w:noProof/>
          <w:sz w:val="24"/>
          <w:lang w:val="en-IE" w:eastAsia="en-GB"/>
        </w:rPr>
      </w:r>
      <w:r>
        <w:rPr>
          <w:rFonts w:ascii="Times New Roman" w:hAnsi="Times New Roman" w:cs="Times New Roman"/>
          <w:noProof/>
          <w:sz w:val="24"/>
          <w:lang w:val="en-IE" w:eastAsia="en-GB"/>
        </w:rPr>
        <w:fldChar w:fldCharType="separate"/>
      </w:r>
      <w:r w:rsidRPr="006C3212">
        <w:rPr>
          <w:rFonts w:ascii="Times New Roman" w:hAnsi="Times New Roman" w:cs="Times New Roman"/>
          <w:iCs/>
          <w:noProof/>
          <w:color w:val="000000" w:themeColor="text1"/>
          <w:sz w:val="24"/>
          <w:lang w:val="en-IE"/>
        </w:rPr>
        <w:t>Table 5.15.3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eastAsia="en-GB"/>
        </w:rPr>
        <w:fldChar w:fldCharType="end"/>
      </w:r>
      <w:r>
        <w:rPr>
          <w:rFonts w:ascii="Times New Roman" w:hAnsi="Times New Roman" w:cs="Times New Roman"/>
          <w:noProof/>
          <w:sz w:val="24"/>
          <w:lang w:val="en-IE"/>
        </w:rPr>
        <w:t>). They were mainly buses and coaches (172) and 35 passenger cars. Regarding the next decade, the LT NIR proposes new estimates for 2025 and 2030 (not present in NPF), while 2020 is not addressed. The LT NIR aims to achieve 310 LNG vehicles in 2025 and 1,0</w:t>
      </w:r>
      <w:r>
        <w:rPr>
          <w:rFonts w:ascii="Times New Roman" w:hAnsi="Times New Roman" w:cs="Times New Roman"/>
          <w:noProof/>
          <w:sz w:val="24"/>
          <w:lang w:val="en-IE"/>
        </w:rPr>
        <w:t xml:space="preserve">75 in 2030. This estimated growth is planned mainly for the HCVs (300 in 2025 and 1,000 in 2030), but 50 LCVs and 25 buses and coaches are also expected in 2030. For the LNG vehicles </w:t>
      </w:r>
      <w:r>
        <w:rPr>
          <w:rFonts w:ascii="Times New Roman" w:hAnsi="Times New Roman" w:cs="Times New Roman"/>
          <w:noProof/>
          <w:sz w:val="24"/>
          <w:lang w:val="en-IE" w:eastAsia="en-GB"/>
        </w:rPr>
        <w:t xml:space="preserve">the level of ambition in the LT NIR is higher than presented in NPF. </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sz w:val="24"/>
          <w:lang w:val="en-IE"/>
        </w:rPr>
        <w:t>The</w:t>
      </w:r>
      <w:r>
        <w:rPr>
          <w:rFonts w:ascii="Times New Roman" w:hAnsi="Times New Roman" w:cs="Times New Roman"/>
          <w:iCs/>
          <w:noProof/>
          <w:sz w:val="24"/>
          <w:lang w:val="en-IE"/>
        </w:rPr>
        <w:t xml:space="preserv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LNG vehicles estimates is 66.77% for 2025 and 19.26%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Lithuania from 2016 until 2018 for LNG vehicles deployment is 3.45% of the </w:t>
      </w:r>
      <w:r>
        <w:rPr>
          <w:rFonts w:ascii="Times New Roman" w:hAnsi="Times New Roman" w:cs="Times New Roman"/>
          <w:iCs/>
          <w:noProof/>
          <w:sz w:val="24"/>
          <w:lang w:val="en-IE"/>
        </w:rPr>
        <w:t>overall planned deployment during the period 2016-2030.</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spacing w:after="120" w:line="240" w:lineRule="auto"/>
        <w:jc w:val="both"/>
        <w:rPr>
          <w:rFonts w:ascii="Times New Roman" w:hAnsi="Times New Roman" w:cs="Times New Roman"/>
          <w:noProof/>
          <w:sz w:val="24"/>
          <w:lang w:val="en-IE" w:eastAsia="en-GB"/>
        </w:rPr>
      </w:pPr>
      <w:r>
        <w:rPr>
          <w:rFonts w:ascii="Times New Roman" w:hAnsi="Times New Roman" w:cs="Times New Roman"/>
          <w:noProof/>
          <w:sz w:val="24"/>
          <w:lang w:val="en-IE"/>
        </w:rPr>
        <w:t>The LT NIR reports two public LNG refuelling points in 2018. The NIR provides also increased target for 2025 (three versus one in the NPF) and a new target of 5 public refuelling points</w:t>
      </w:r>
      <w:r>
        <w:rPr>
          <w:rFonts w:ascii="Times New Roman" w:hAnsi="Times New Roman" w:cs="Times New Roman"/>
          <w:noProof/>
          <w:sz w:val="24"/>
          <w:lang w:val="en-IE"/>
        </w:rPr>
        <w:t xml:space="preserve"> for 2030 (2020 is not addressed). Also for the LNG infrastructure </w:t>
      </w:r>
      <w:r>
        <w:rPr>
          <w:rFonts w:ascii="Times New Roman" w:hAnsi="Times New Roman" w:cs="Times New Roman"/>
          <w:noProof/>
          <w:sz w:val="24"/>
          <w:lang w:val="en-IE" w:eastAsia="en-GB"/>
        </w:rPr>
        <w:t xml:space="preserve">the level of ambition in the LT NIR is higher than in the NPF.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LNG refuelling infrastructure targets is 66.67% for 2020 and 40% for 2030. According to </w:t>
      </w:r>
      <w:r>
        <w:rPr>
          <w:rFonts w:ascii="Times New Roman" w:hAnsi="Times New Roman" w:cs="Times New Roman"/>
          <w:iCs/>
          <w:noProof/>
          <w:sz w:val="24"/>
          <w:lang w:val="en-IE"/>
        </w:rPr>
        <w:t>the assessment methodology described in Section 2.1, the progress obtained by Lithuania from 2016 until 2018 for public LNG refuelling infrastructure deployment is 40% of the overall planned deployment during the period 2016-2030.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Based on the LT NIR</w:t>
      </w:r>
      <w:r>
        <w:rPr>
          <w:rFonts w:ascii="Times New Roman" w:hAnsi="Times New Roman" w:cs="Times New Roman"/>
          <w:noProof/>
          <w:sz w:val="24"/>
          <w:lang w:val="en-IE"/>
        </w:rPr>
        <w:t>, the following table shows the ratio between vehicles and publicly accessible refuelling points (i.e. sufficiency index) for the pair LNG/road. The sufficiency indexes for 2016, 2017 and 2020 could not be computed as targets for infrastructure were not in</w:t>
      </w:r>
      <w:r>
        <w:rPr>
          <w:rFonts w:ascii="Times New Roman" w:hAnsi="Times New Roman" w:cs="Times New Roman"/>
          <w:noProof/>
          <w:sz w:val="24"/>
          <w:lang w:val="en-IE"/>
        </w:rPr>
        <w:t xml:space="preserve">dicated.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232400" cy="575945"/>
            <wp:effectExtent l="0" t="0" r="635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32400" cy="575945"/>
                    </a:xfrm>
                    <a:prstGeom prst="rect">
                      <a:avLst/>
                    </a:prstGeom>
                    <a:noFill/>
                    <a:ln>
                      <a:noFill/>
                    </a:ln>
                  </pic:spPr>
                </pic:pic>
              </a:graphicData>
            </a:graphic>
          </wp:inline>
        </w:drawing>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Lithuania recorded no hydrogen vehicle in use in 2018, but the LT NIR reports estimates for the number of hydrogen vehicles in 2020, 2025 and 2030 (all absent in NPF), which are 1, 65 and 1,250 respectively. As for 2030, 1,000 passenger cars, 100 LCVs, 50 </w:t>
      </w:r>
      <w:r>
        <w:rPr>
          <w:rFonts w:ascii="Times New Roman" w:hAnsi="Times New Roman" w:cs="Times New Roman"/>
          <w:noProof/>
          <w:sz w:val="24"/>
          <w:lang w:val="en-IE"/>
        </w:rPr>
        <w:t xml:space="preserve">HCVs and 100 buses and coaches are expected. </w:t>
      </w:r>
    </w:p>
    <w:p w:rsidR="003C43BF" w:rsidRDefault="006C3212">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Because </w:t>
      </w:r>
      <w:r>
        <w:rPr>
          <w:rFonts w:ascii="Times New Roman" w:hAnsi="Times New Roman" w:cs="Times New Roman"/>
          <w:iCs/>
          <w:noProof/>
          <w:sz w:val="24"/>
          <w:lang w:val="en-IE"/>
        </w:rPr>
        <w:t>at the end of 2018 there were no hydrogen vehicles 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r>
        <w:rPr>
          <w:rFonts w:ascii="Times New Roman" w:hAnsi="Times New Roman" w:cs="Times New Roman"/>
          <w:iCs/>
          <w:noProof/>
          <w:color w:val="000000" w:themeColor="text1"/>
          <w:sz w:val="24"/>
          <w:lang w:val="en-IE"/>
        </w:rPr>
        <w:t>.</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LT NIR does not report nor foresees any public hydrogen refuellin</w:t>
      </w:r>
      <w:r>
        <w:rPr>
          <w:rFonts w:ascii="Times New Roman" w:hAnsi="Times New Roman" w:cs="Times New Roman"/>
          <w:noProof/>
          <w:sz w:val="24"/>
          <w:lang w:val="en-IE"/>
        </w:rPr>
        <w:t>g point in operation for the years from 2016 until 2020. However the LT NIR provides new targets for 2025 and 2030 (not reported in NPF), of respectively 2 and 10.</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sz w:val="24"/>
          <w:lang w:val="en-IE"/>
        </w:rPr>
        <w:t>at the end of 2018 there are no hydrogen refuelling points 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w:t>
      </w:r>
      <w:r>
        <w:rPr>
          <w:rFonts w:ascii="Times New Roman" w:hAnsi="Times New Roman" w:cs="Times New Roman"/>
          <w:b/>
          <w:i/>
          <w:noProof/>
          <w:sz w:val="24"/>
          <w:lang w:val="en-IE"/>
        </w:rPr>
        <w:t xml:space="preserve">ment </w:t>
      </w:r>
      <w:r>
        <w:rPr>
          <w:rFonts w:ascii="Times New Roman" w:hAnsi="Times New Roman" w:cs="Times New Roman"/>
          <w:noProof/>
          <w:sz w:val="24"/>
          <w:lang w:val="en-IE"/>
        </w:rPr>
        <w:t xml:space="preserve">and </w:t>
      </w:r>
      <w:r>
        <w:rPr>
          <w:rFonts w:ascii="Times New Roman" w:hAnsi="Times New Roman" w:cs="Times New Roman"/>
          <w:b/>
          <w:i/>
          <w:noProof/>
          <w:sz w:val="24"/>
          <w:lang w:val="en-IE"/>
        </w:rPr>
        <w:t xml:space="preserve">progress </w:t>
      </w:r>
      <w:r>
        <w:rPr>
          <w:rFonts w:ascii="Times New Roman" w:hAnsi="Times New Roman" w:cs="Times New Roman"/>
          <w:noProof/>
          <w:sz w:val="24"/>
          <w:lang w:val="en-IE"/>
        </w:rPr>
        <w:t>have not been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LT NIR, the following table shows the ratio between vehicles and publicly accessible refuelling points (i.e. sufficiency index) for the pair hydrogen/road. Obviously the sufficiency indexes could be computed only for the years 2025 and 2030.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232400" cy="575945"/>
            <wp:effectExtent l="0" t="0" r="635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32400" cy="575945"/>
                    </a:xfrm>
                    <a:prstGeom prst="rect">
                      <a:avLst/>
                    </a:prstGeom>
                    <a:noFill/>
                    <a:ln>
                      <a:noFill/>
                    </a:ln>
                  </pic:spPr>
                </pic:pic>
              </a:graphicData>
            </a:graphic>
          </wp:inline>
        </w:drawing>
      </w:r>
    </w:p>
    <w:p w:rsidR="003C43BF" w:rsidRDefault="003C43BF">
      <w:pPr>
        <w:rPr>
          <w:rStyle w:val="Heading4Char"/>
          <w:rFonts w:ascii="Times New Roman" w:hAnsi="Times New Roman" w:cs="Times New Roman"/>
          <w:i/>
          <w:iCs/>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LT NIR only provides information that “</w:t>
      </w:r>
      <w:r>
        <w:rPr>
          <w:rFonts w:ascii="Times New Roman" w:hAnsi="Times New Roman" w:cs="Times New Roman"/>
          <w:i/>
          <w:noProof/>
          <w:sz w:val="24"/>
          <w:lang w:val="en-IE"/>
        </w:rPr>
        <w:t>Biofuels are used for blending in petrol and diesel strictly in the manner provided for in national legislation. Lithuania aims to gradually transition to advanced biofuels produced from secon</w:t>
      </w:r>
      <w:r>
        <w:rPr>
          <w:rFonts w:ascii="Times New Roman" w:hAnsi="Times New Roman" w:cs="Times New Roman"/>
          <w:i/>
          <w:noProof/>
          <w:sz w:val="24"/>
          <w:lang w:val="en-IE"/>
        </w:rPr>
        <w:t>dary waste. The ratios of biofuel blending in fossil fuels are increasing</w:t>
      </w:r>
      <w:r>
        <w:rPr>
          <w:rFonts w:ascii="Times New Roman" w:hAnsi="Times New Roman" w:cs="Times New Roman"/>
          <w:noProof/>
          <w:sz w:val="24"/>
          <w:lang w:val="en-IE"/>
        </w:rPr>
        <w:t>”.</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Lithuanian NIR.</w:t>
      </w:r>
    </w:p>
    <w:p w:rsidR="003C43BF" w:rsidRDefault="003C43BF">
      <w:pPr>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Lithuania reported 109,576 LPG vehicles in 2018 (</w:t>
      </w:r>
      <w:r>
        <w:rPr>
          <w:rFonts w:ascii="Times New Roman" w:hAnsi="Times New Roman" w:cs="Times New Roman"/>
          <w:noProof/>
          <w:sz w:val="24"/>
          <w:lang w:val="en-IE" w:eastAsia="en-GB"/>
        </w:rPr>
        <w:fldChar w:fldCharType="begin"/>
      </w:r>
      <w:r>
        <w:rPr>
          <w:rFonts w:ascii="Times New Roman" w:hAnsi="Times New Roman" w:cs="Times New Roman"/>
          <w:noProof/>
          <w:sz w:val="24"/>
          <w:lang w:val="en-IE" w:eastAsia="en-GB"/>
        </w:rPr>
        <w:instrText xml:space="preserve"> REF _Ref53502221 \h  \* MERGEFORMAT </w:instrText>
      </w:r>
      <w:r>
        <w:rPr>
          <w:rFonts w:ascii="Times New Roman" w:hAnsi="Times New Roman" w:cs="Times New Roman"/>
          <w:noProof/>
          <w:sz w:val="24"/>
          <w:lang w:val="en-IE" w:eastAsia="en-GB"/>
        </w:rPr>
      </w:r>
      <w:r>
        <w:rPr>
          <w:rFonts w:ascii="Times New Roman" w:hAnsi="Times New Roman" w:cs="Times New Roman"/>
          <w:noProof/>
          <w:sz w:val="24"/>
          <w:lang w:val="en-IE" w:eastAsia="en-GB"/>
        </w:rPr>
        <w:fldChar w:fldCharType="separate"/>
      </w:r>
      <w:r w:rsidRPr="006C3212">
        <w:rPr>
          <w:rFonts w:ascii="Times New Roman" w:hAnsi="Times New Roman" w:cs="Times New Roman"/>
          <w:iCs/>
          <w:noProof/>
          <w:color w:val="000000" w:themeColor="text1"/>
          <w:sz w:val="24"/>
          <w:lang w:val="en-IE"/>
        </w:rPr>
        <w:t>Table 5.15.3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eastAsia="en-GB"/>
        </w:rPr>
        <w:fldChar w:fldCharType="end"/>
      </w:r>
      <w:r>
        <w:rPr>
          <w:rFonts w:ascii="Times New Roman" w:hAnsi="Times New Roman" w:cs="Times New Roman"/>
          <w:noProof/>
          <w:sz w:val="24"/>
          <w:lang w:val="en-IE"/>
        </w:rPr>
        <w:t>), of which 108,565 passenger cars, 503 LCVs, 623 HCVs, and 87 buses and coaches. For the next decade, the LT NIR does not propose any estimate.</w:t>
      </w:r>
    </w:p>
    <w:p w:rsidR="003C43BF" w:rsidRDefault="006C3212">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Because there are no LPG vehicle estimates,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 xml:space="preserve">progress </w:t>
      </w:r>
      <w:r>
        <w:rPr>
          <w:rFonts w:ascii="Times New Roman" w:hAnsi="Times New Roman" w:cs="Times New Roman"/>
          <w:noProof/>
          <w:sz w:val="24"/>
          <w:lang w:val="en-IE"/>
        </w:rPr>
        <w:t>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LT NIR reports 664 public LPG refuelling points in 2018. This number is expected to slowly decrease in the next decade, to reach a value </w:t>
      </w:r>
      <w:r>
        <w:rPr>
          <w:rFonts w:ascii="Times New Roman" w:hAnsi="Times New Roman" w:cs="Times New Roman"/>
          <w:noProof/>
          <w:sz w:val="24"/>
          <w:lang w:val="en-IE"/>
        </w:rPr>
        <w:t xml:space="preserve">of 545 public refuelling points in 2030.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the Lithuanian NIR provided decreasing targets for </w:t>
      </w:r>
      <w:r>
        <w:rPr>
          <w:rFonts w:ascii="Times New Roman" w:hAnsi="Times New Roman" w:cs="Times New Roman"/>
          <w:iCs/>
          <w:noProof/>
          <w:sz w:val="24"/>
          <w:lang w:val="en-IE"/>
        </w:rPr>
        <w:t>publicly accessible LPG refuelling infrastructure</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LT NIR, the following table </w:t>
      </w:r>
      <w:r>
        <w:rPr>
          <w:rFonts w:ascii="Times New Roman" w:hAnsi="Times New Roman" w:cs="Times New Roman"/>
          <w:noProof/>
          <w:sz w:val="24"/>
          <w:lang w:val="en-IE"/>
        </w:rPr>
        <w:t xml:space="preserve">shows the ratio between vehicles and publicly accessible refuelling points (i.e. sufficiency index) for the pair LPG/road. Clearly, the sufficiency index for 2020, 2025 and 2030 could not be computed as the number of vehicles was not indicated.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232400" cy="575945"/>
            <wp:effectExtent l="0" t="0" r="635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32400" cy="575945"/>
                    </a:xfrm>
                    <a:prstGeom prst="rect">
                      <a:avLst/>
                    </a:prstGeom>
                    <a:noFill/>
                    <a:ln>
                      <a:noFill/>
                    </a:ln>
                  </pic:spPr>
                </pic:pic>
              </a:graphicData>
            </a:graphic>
          </wp:inline>
        </w:drawing>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 xml:space="preserve">Rail </w:t>
      </w:r>
      <w:r>
        <w:rPr>
          <w:rStyle w:val="Heading4Char"/>
          <w:rFonts w:ascii="Times New Roman" w:hAnsi="Times New Roman" w:cs="Times New Roman"/>
          <w:noProof/>
          <w:sz w:val="24"/>
          <w:lang w:val="en-IE"/>
        </w:rPr>
        <w:t>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LT NIR reports that the implementation plan of the National Transport Development Programme (see Section 5.15.4.1) includes also the purchase of electric trains. The NIR also reports 13 electric locomotives in 2018, presu</w:t>
      </w:r>
      <w:r>
        <w:rPr>
          <w:rFonts w:ascii="Times New Roman" w:hAnsi="Times New Roman" w:cs="Times New Roman"/>
          <w:noProof/>
          <w:sz w:val="24"/>
          <w:lang w:val="en-IE"/>
        </w:rPr>
        <w:t xml:space="preserve">mably new ones, and indicates 13 electric locomotives also for 2020, 22 for 2025 and 22 for 2030.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of future electric locomotives estimates is 100% for 2020 and 59.09% for 2030. According to the assessment methodology described in Secti</w:t>
      </w:r>
      <w:r>
        <w:rPr>
          <w:rFonts w:ascii="Times New Roman" w:hAnsi="Times New Roman" w:cs="Times New Roman"/>
          <w:iCs/>
          <w:noProof/>
          <w:sz w:val="24"/>
          <w:lang w:val="en-IE"/>
        </w:rPr>
        <w:t xml:space="preserve">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Lithuania from 2016 until 2018 for electric locomotives deployment is 59.09% of the overall planned deployment during the period 2016-2030.</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reference to rail infrastructure, the LT NIR provides no numeri</w:t>
      </w:r>
      <w:r>
        <w:rPr>
          <w:rFonts w:ascii="Times New Roman" w:hAnsi="Times New Roman" w:cs="Times New Roman"/>
          <w:noProof/>
          <w:sz w:val="24"/>
          <w:lang w:val="en-IE"/>
        </w:rPr>
        <w:t xml:space="preserve">cal information but only a reference to the plan to proceed with the further electrification of rail with a budget of 250 million € up to 2020 (see Section 5.15.4.2.2). </w:t>
      </w:r>
    </w:p>
    <w:p w:rsidR="003C43BF" w:rsidRDefault="003C43BF">
      <w:pPr>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i w:val="0"/>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w:t>
      </w:r>
      <w:r>
        <w:rPr>
          <w:rFonts w:ascii="Times New Roman" w:hAnsi="Times New Roman" w:cs="Times New Roman"/>
          <w:noProof/>
          <w:sz w:val="24"/>
          <w:lang w:val="en-IE"/>
        </w:rPr>
        <w:t>the Lithuanian NIR.</w:t>
      </w:r>
    </w:p>
    <w:p w:rsidR="003C43BF" w:rsidRDefault="006C3212">
      <w:pPr>
        <w:pStyle w:val="Heading6"/>
        <w:numPr>
          <w:ilvl w:val="0"/>
          <w:numId w:val="0"/>
        </w:numPr>
        <w:rPr>
          <w:rFonts w:ascii="Times New Roman" w:hAnsi="Times New Roman" w:cs="Times New Roman"/>
          <w:i w:val="0"/>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LT NIR reports that, as Klaipėda State Seaport (KSS) is already equipped with facilities that can be used by operators of ships, no additional need of shore-side electricity supply facilities is foreseen.</w:t>
      </w:r>
    </w:p>
    <w:p w:rsidR="003C43BF" w:rsidRDefault="003C43BF">
      <w:pPr>
        <w:jc w:val="both"/>
        <w:rPr>
          <w:rFonts w:ascii="Times New Roman" w:hAnsi="Times New Roman" w:cs="Times New Roman"/>
          <w:noProof/>
          <w:sz w:val="24"/>
          <w:lang w:val="en-IE"/>
        </w:rPr>
      </w:pP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rsidR="003C43BF" w:rsidRDefault="006C3212">
      <w:pPr>
        <w:pStyle w:val="Heading6"/>
        <w:numPr>
          <w:ilvl w:val="0"/>
          <w:numId w:val="0"/>
        </w:numPr>
        <w:rPr>
          <w:rFonts w:ascii="Times New Roman" w:hAnsi="Times New Roman" w:cs="Times New Roman"/>
          <w:i w:val="0"/>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LT NIR reports one LNG seagoing ship in service since 2016, which will continue until 2030.</w:t>
      </w:r>
    </w:p>
    <w:p w:rsidR="003C43BF" w:rsidRDefault="006C3212">
      <w:pPr>
        <w:pStyle w:val="Heading6"/>
        <w:numPr>
          <w:ilvl w:val="0"/>
          <w:numId w:val="0"/>
        </w:numPr>
        <w:rPr>
          <w:rFonts w:ascii="Times New Roman" w:hAnsi="Times New Roman" w:cs="Times New Roman"/>
          <w:i w:val="0"/>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Lithuania recorded one LNG refuelling point in its TEN-T Core port of Klaipėda in 2018. This LNG terminal has been in operation since December 2</w:t>
      </w:r>
      <w:r>
        <w:rPr>
          <w:rFonts w:ascii="Times New Roman" w:hAnsi="Times New Roman" w:cs="Times New Roman"/>
          <w:noProof/>
          <w:sz w:val="24"/>
          <w:lang w:val="en-IE"/>
        </w:rPr>
        <w:t>014, and recently the focus is put on Liquefied Natural Gas Distribution Station (LNG DS), which is an above-ground LNG terminal operated on a third-party access basis. The LNG DS is designed to receive LNG from small-scale carriers, to store it temporaril</w:t>
      </w:r>
      <w:r>
        <w:rPr>
          <w:rFonts w:ascii="Times New Roman" w:hAnsi="Times New Roman" w:cs="Times New Roman"/>
          <w:noProof/>
          <w:sz w:val="24"/>
          <w:lang w:val="en-IE"/>
        </w:rPr>
        <w:t>y and to transfer it to LNG tank vehicles or vessels. LNG may also be loaded in ISO-compliant standard-sized containers which can be transported by rail and road. The LT NIR confirms this infrastructure until 2030.</w:t>
      </w:r>
    </w:p>
    <w:p w:rsidR="003C43BF" w:rsidRDefault="003C43BF">
      <w:pPr>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w:t>
      </w:r>
      <w:r>
        <w:rPr>
          <w:rFonts w:ascii="Times New Roman" w:hAnsi="Times New Roman" w:cs="Times New Roman"/>
          <w:noProof/>
          <w:sz w:val="24"/>
          <w:lang w:val="en-IE"/>
        </w:rPr>
        <w:t>y</w:t>
      </w:r>
    </w:p>
    <w:p w:rsidR="003C43BF" w:rsidRDefault="006C3212">
      <w:pPr>
        <w:pStyle w:val="Heading6"/>
        <w:numPr>
          <w:ilvl w:val="0"/>
          <w:numId w:val="0"/>
        </w:numPr>
        <w:rPr>
          <w:rFonts w:ascii="Times New Roman" w:hAnsi="Times New Roman" w:cs="Times New Roman"/>
          <w:i w:val="0"/>
          <w:noProof/>
          <w:sz w:val="24"/>
          <w:lang w:val="en-IE"/>
        </w:rPr>
      </w:pPr>
      <w:r>
        <w:rPr>
          <w:rFonts w:ascii="Times New Roman" w:hAnsi="Times New Roman" w:cs="Times New Roman"/>
          <w:noProof/>
          <w:sz w:val="24"/>
          <w:lang w:val="en-IE"/>
        </w:rPr>
        <w:t>Vessels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Lithuanian NIR.</w:t>
      </w:r>
    </w:p>
    <w:p w:rsidR="003C43BF" w:rsidRDefault="006C3212">
      <w:pPr>
        <w:pStyle w:val="Heading6"/>
        <w:numPr>
          <w:ilvl w:val="0"/>
          <w:numId w:val="0"/>
        </w:numPr>
        <w:rPr>
          <w:rFonts w:ascii="Times New Roman" w:hAnsi="Times New Roman" w:cs="Times New Roman"/>
          <w:i w:val="0"/>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Lithuania did not record any shore-side electricity supply in 2018, but the LT NIR reports the plan to have three shore-side electricity supply for inland waterway vessels or recreational crafts in inland ports by 2030. The potential locations are Kaunas L</w:t>
      </w:r>
      <w:r>
        <w:rPr>
          <w:rFonts w:ascii="Times New Roman" w:hAnsi="Times New Roman" w:cs="Times New Roman"/>
          <w:noProof/>
          <w:sz w:val="24"/>
          <w:lang w:val="en-IE"/>
        </w:rPr>
        <w:t xml:space="preserve">agoon pier, Nida pier and Uostdvaris inland waterway port.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sz w:val="24"/>
          <w:lang w:val="en-IE"/>
        </w:rPr>
        <w:t xml:space="preserve">at the end of 2018 there are no </w:t>
      </w:r>
      <w:r>
        <w:rPr>
          <w:rFonts w:ascii="Times New Roman" w:hAnsi="Times New Roman" w:cs="Times New Roman"/>
          <w:noProof/>
          <w:sz w:val="24"/>
          <w:lang w:val="en-IE"/>
        </w:rPr>
        <w:t xml:space="preserve">shore-side electricity supply points </w:t>
      </w:r>
      <w:r>
        <w:rPr>
          <w:rFonts w:ascii="Times New Roman" w:hAnsi="Times New Roman" w:cs="Times New Roman"/>
          <w:iCs/>
          <w:noProof/>
          <w:sz w:val="24"/>
          <w:lang w:val="en-IE"/>
        </w:rPr>
        <w:t>deployed in the inland ports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LT NIR reports </w:t>
      </w:r>
      <w:r>
        <w:rPr>
          <w:rFonts w:ascii="Times New Roman" w:hAnsi="Times New Roman" w:cs="Times New Roman"/>
          <w:noProof/>
          <w:sz w:val="24"/>
          <w:lang w:val="en-IE"/>
        </w:rPr>
        <w:t>that the first LNG inland waterway vessels is foreseen for 2025, followed by other five by 2030.</w:t>
      </w:r>
    </w:p>
    <w:p w:rsidR="003C43BF" w:rsidRDefault="003C43BF">
      <w:pPr>
        <w:jc w:val="both"/>
        <w:rPr>
          <w:rFonts w:ascii="Times New Roman" w:hAnsi="Times New Roman" w:cs="Times New Roman"/>
          <w:noProof/>
          <w:sz w:val="24"/>
          <w:lang w:val="en-IE"/>
        </w:rPr>
      </w:pPr>
    </w:p>
    <w:p w:rsidR="003C43BF" w:rsidRDefault="003C43BF">
      <w:pPr>
        <w:jc w:val="both"/>
        <w:rPr>
          <w:rFonts w:ascii="Times New Roman" w:hAnsi="Times New Roman" w:cs="Times New Roman"/>
          <w:noProof/>
          <w:sz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Lithuania did not record any LNG refuelling point for inland waterway vessels in 2018, but the LT NIR mentions the proposal by the Lithuanian </w:t>
      </w:r>
      <w:r>
        <w:rPr>
          <w:rFonts w:ascii="Times New Roman" w:hAnsi="Times New Roman" w:cs="Times New Roman"/>
          <w:noProof/>
          <w:sz w:val="24"/>
          <w:lang w:val="en-IE"/>
        </w:rPr>
        <w:t xml:space="preserve">Inland Waterway Authority to establish a LNG refuelling point in Marvele cargo pier (Kaunas).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sz w:val="24"/>
          <w:lang w:val="en-IE"/>
        </w:rPr>
        <w:t xml:space="preserve">at the end of 2018 there are no </w:t>
      </w:r>
      <w:r>
        <w:rPr>
          <w:rFonts w:ascii="Times New Roman" w:hAnsi="Times New Roman" w:cs="Times New Roman"/>
          <w:noProof/>
          <w:sz w:val="24"/>
          <w:lang w:val="en-IE"/>
        </w:rPr>
        <w:t>LNG refuelling points in</w:t>
      </w:r>
      <w:r>
        <w:rPr>
          <w:rFonts w:ascii="Times New Roman" w:hAnsi="Times New Roman" w:cs="Times New Roman"/>
          <w:iCs/>
          <w:noProof/>
          <w:sz w:val="24"/>
          <w:lang w:val="en-IE"/>
        </w:rPr>
        <w:t xml:space="preserve"> inland ports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w:t>
      </w:r>
      <w:r>
        <w:rPr>
          <w:rStyle w:val="Heading4Char"/>
          <w:rFonts w:ascii="Times New Roman" w:hAnsi="Times New Roman" w:cs="Times New Roman"/>
          <w:iCs/>
          <w:noProof/>
          <w:sz w:val="24"/>
          <w:lang w:val="en-IE"/>
        </w:rPr>
        <w:t xml:space="preserve">y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 xml:space="preserve">Airplanes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Lithuanian NIR.</w:t>
      </w:r>
    </w:p>
    <w:p w:rsidR="003C43BF" w:rsidRDefault="006C3212">
      <w:pPr>
        <w:pStyle w:val="Heading6"/>
        <w:numPr>
          <w:ilvl w:val="0"/>
          <w:numId w:val="0"/>
        </w:numPr>
        <w:rPr>
          <w:rFonts w:ascii="Times New Roman" w:hAnsi="Times New Roman" w:cs="Times New Roman"/>
          <w:i w:val="0"/>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Lithuania recorded 37 electric power supply points for stationary airplanes, in use since 2016. This number is expected to increase to 44 points in </w:t>
      </w:r>
      <w:r>
        <w:rPr>
          <w:rFonts w:ascii="Times New Roman" w:hAnsi="Times New Roman" w:cs="Times New Roman"/>
          <w:noProof/>
          <w:sz w:val="24"/>
          <w:lang w:val="en-IE"/>
        </w:rPr>
        <w:t>2020, and 45 points in 2025 and 2030. Since, according to the LT NIR, Lithuania’s international airports already have the necessary infrastructure to supply electricity to stationary airplanes, no additional need for electricity supply facilities at airpor</w:t>
      </w:r>
      <w:r>
        <w:rPr>
          <w:rFonts w:ascii="Times New Roman" w:hAnsi="Times New Roman" w:cs="Times New Roman"/>
          <w:noProof/>
          <w:sz w:val="24"/>
          <w:lang w:val="en-IE"/>
        </w:rPr>
        <w:t>ts is expected.</w:t>
      </w:r>
    </w:p>
    <w:p w:rsidR="003C43BF" w:rsidRDefault="006C3212">
      <w:pPr>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targets for </w:t>
      </w:r>
      <w:r>
        <w:rPr>
          <w:rFonts w:ascii="Times New Roman" w:hAnsi="Times New Roman" w:cs="Times New Roman"/>
          <w:noProof/>
          <w:sz w:val="24"/>
          <w:lang w:val="en-IE"/>
        </w:rPr>
        <w:t>electricity supply points for stationary airplanes</w:t>
      </w:r>
      <w:r>
        <w:rPr>
          <w:rFonts w:ascii="Times New Roman" w:hAnsi="Times New Roman" w:cs="Times New Roman"/>
          <w:iCs/>
          <w:noProof/>
          <w:sz w:val="24"/>
          <w:lang w:val="en-IE"/>
        </w:rPr>
        <w:t xml:space="preserve"> is 84.09% for 2020 and 82.22%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Lithuania from 2016 until 2018 for the deployment of </w:t>
      </w:r>
      <w:r>
        <w:rPr>
          <w:rFonts w:ascii="Times New Roman" w:hAnsi="Times New Roman" w:cs="Times New Roman"/>
          <w:noProof/>
          <w:sz w:val="24"/>
          <w:lang w:val="en-IE"/>
        </w:rPr>
        <w:t>electricity supply points for stationary airplanes</w:t>
      </w:r>
      <w:r>
        <w:rPr>
          <w:rFonts w:ascii="Times New Roman" w:hAnsi="Times New Roman" w:cs="Times New Roman"/>
          <w:iCs/>
          <w:noProof/>
          <w:sz w:val="24"/>
          <w:lang w:val="en-IE"/>
        </w:rPr>
        <w:t xml:space="preserve"> is 0% of the overall planned deployment during the period 2016-2030.</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on flights / airplanes powered by biofu</w:t>
      </w:r>
      <w:r>
        <w:rPr>
          <w:rFonts w:ascii="Times New Roman" w:hAnsi="Times New Roman" w:cs="Times New Roman"/>
          <w:noProof/>
          <w:sz w:val="24"/>
          <w:lang w:val="en-IE"/>
        </w:rPr>
        <w:t>els is unavailable in the Lithuanian NIR.</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Lithuanian NIR.</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354" w:name="_Toc55301899"/>
      <w:bookmarkStart w:id="355" w:name="_Toc56944211"/>
      <w:r>
        <w:rPr>
          <w:rFonts w:ascii="Times New Roman" w:hAnsi="Times New Roman" w:cs="Times New Roman"/>
          <w:noProof/>
          <w:sz w:val="24"/>
          <w:lang w:val="en-IE"/>
        </w:rPr>
        <w:t>Measures assessment</w:t>
      </w:r>
      <w:bookmarkEnd w:id="354"/>
      <w:bookmarkEnd w:id="355"/>
      <w:r>
        <w:rPr>
          <w:rFonts w:ascii="Times New Roman" w:hAnsi="Times New Roman" w:cs="Times New Roman"/>
          <w:noProof/>
          <w:sz w:val="24"/>
          <w:lang w:val="en-IE"/>
        </w:rPr>
        <w:t xml:space="preserve"> </w:t>
      </w:r>
    </w:p>
    <w:p w:rsidR="003C43BF" w:rsidRDefault="006C3212">
      <w:pPr>
        <w:pStyle w:val="Text1"/>
        <w:tabs>
          <w:tab w:val="left" w:pos="720"/>
        </w:tabs>
        <w:ind w:left="0"/>
        <w:jc w:val="both"/>
        <w:rPr>
          <w:rFonts w:ascii="Times New Roman" w:hAnsi="Times New Roman" w:cs="Times New Roman"/>
          <w:b/>
          <w:noProof/>
          <w:sz w:val="24"/>
          <w:lang w:val="en-IE"/>
        </w:rPr>
      </w:pPr>
      <w:r>
        <w:rPr>
          <w:rFonts w:ascii="Times New Roman" w:hAnsi="Times New Roman" w:cs="Times New Roman"/>
          <w:iCs/>
          <w:noProof/>
          <w:sz w:val="24"/>
          <w:lang w:val="en-IE"/>
        </w:rPr>
        <w:t xml:space="preserve">The LT NIR contains an extensive and wide-scope portfolio of measures, but it often lacks a sufficient description, which makes the assessment results less robust. The majority of the reported measures focus on electricity and CNG and on road as transport </w:t>
      </w:r>
      <w:r>
        <w:rPr>
          <w:rFonts w:ascii="Times New Roman" w:hAnsi="Times New Roman" w:cs="Times New Roman"/>
          <w:iCs/>
          <w:noProof/>
          <w:sz w:val="24"/>
          <w:lang w:val="en-IE"/>
        </w:rPr>
        <w:t xml:space="preserve">mode. In comparison to the NPF the measures in the LT NIR include hydrogen, which is an additional value to the program. Also the focus on LNG development continues to be strong in Lithuania, both for water and road transport.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iCs/>
          <w:noProof/>
          <w:sz w:val="24"/>
          <w:lang w:val="en-IE"/>
        </w:rPr>
      </w:pPr>
      <w:r>
        <w:rPr>
          <w:rFonts w:ascii="Times New Roman" w:hAnsi="Times New Roman" w:cs="Times New Roman"/>
          <w:iCs/>
          <w:noProof/>
          <w:sz w:val="24"/>
          <w:lang w:val="en-IE"/>
        </w:rPr>
        <w:t>The Lithuani</w:t>
      </w:r>
      <w:r>
        <w:rPr>
          <w:rFonts w:ascii="Times New Roman" w:hAnsi="Times New Roman" w:cs="Times New Roman"/>
          <w:iCs/>
          <w:noProof/>
          <w:sz w:val="24"/>
          <w:lang w:val="en-IE"/>
        </w:rPr>
        <w:t xml:space="preserve">an NIR contains 18 legal measures (versus 8 in the NPF) to promote AFs. The description of the measures is short and lacks relevant content. </w:t>
      </w:r>
    </w:p>
    <w:p w:rsidR="003C43BF" w:rsidRDefault="006C3212">
      <w:pPr>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bases of the LT NIR legal measures are defined in the National Transport Development Programme for 2014-2022, </w:t>
      </w:r>
      <w:r>
        <w:rPr>
          <w:rFonts w:ascii="Times New Roman" w:hAnsi="Times New Roman" w:cs="Times New Roman"/>
          <w:iCs/>
          <w:noProof/>
          <w:sz w:val="24"/>
          <w:lang w:val="en-IE"/>
        </w:rPr>
        <w:t>containing policies for the development of alternative fuels and the implementation plan. The programme provides measures such as purchase of electric trains, installation of electric recharging points and the installation of LNG and CNG refuelling points.</w:t>
      </w:r>
      <w:r>
        <w:rPr>
          <w:rFonts w:ascii="Times New Roman" w:hAnsi="Times New Roman" w:cs="Times New Roman"/>
          <w:iCs/>
          <w:noProof/>
          <w:sz w:val="24"/>
          <w:lang w:val="en-IE"/>
        </w:rPr>
        <w:t xml:space="preserve"> </w:t>
      </w:r>
    </w:p>
    <w:p w:rsidR="003C43BF" w:rsidRDefault="006C3212">
      <w:pPr>
        <w:jc w:val="both"/>
        <w:rPr>
          <w:rFonts w:ascii="Times New Roman" w:hAnsi="Times New Roman" w:cs="Times New Roman"/>
          <w:iCs/>
          <w:noProof/>
          <w:sz w:val="24"/>
          <w:lang w:val="en-IE"/>
        </w:rPr>
      </w:pPr>
      <w:r>
        <w:rPr>
          <w:rFonts w:ascii="Times New Roman" w:hAnsi="Times New Roman" w:cs="Times New Roman"/>
          <w:iCs/>
          <w:noProof/>
          <w:sz w:val="24"/>
          <w:lang w:val="en-IE"/>
        </w:rPr>
        <w:t>The Law on Alternative Fuels is foreseen ‘</w:t>
      </w:r>
      <w:r>
        <w:rPr>
          <w:rFonts w:ascii="Times New Roman" w:hAnsi="Times New Roman" w:cs="Times New Roman"/>
          <w:i/>
          <w:iCs/>
          <w:noProof/>
          <w:sz w:val="24"/>
          <w:lang w:val="en-IE"/>
        </w:rPr>
        <w:t>to be adopted in 2020</w:t>
      </w:r>
      <w:r>
        <w:rPr>
          <w:rFonts w:ascii="Times New Roman" w:hAnsi="Times New Roman" w:cs="Times New Roman"/>
          <w:iCs/>
          <w:noProof/>
          <w:sz w:val="24"/>
          <w:lang w:val="en-IE"/>
        </w:rPr>
        <w:t xml:space="preserve">’ to clearly regulate issues related to alternative fuels, alternative fuel vehicles and refuelling/recharging infrastructure for alternative fuels. The LT NIR reports also on the 2019 draft of </w:t>
      </w:r>
      <w:r>
        <w:rPr>
          <w:rFonts w:ascii="Times New Roman" w:hAnsi="Times New Roman" w:cs="Times New Roman"/>
          <w:noProof/>
          <w:sz w:val="24"/>
          <w:lang w:val="en-IE"/>
        </w:rPr>
        <w:t>Lithuanian National Energy and Climate Plan</w:t>
      </w:r>
      <w:r>
        <w:rPr>
          <w:rStyle w:val="FootnoteReference"/>
          <w:rFonts w:ascii="Times New Roman" w:hAnsi="Times New Roman" w:cs="Times New Roman"/>
          <w:noProof/>
          <w:sz w:val="24"/>
          <w:lang w:val="en-IE"/>
        </w:rPr>
        <w:footnoteReference w:id="50"/>
      </w:r>
      <w:r>
        <w:rPr>
          <w:rFonts w:ascii="Times New Roman" w:hAnsi="Times New Roman" w:cs="Times New Roman"/>
          <w:noProof/>
          <w:sz w:val="24"/>
          <w:lang w:val="en-IE"/>
        </w:rPr>
        <w:t>, and the preparat</w:t>
      </w:r>
      <w:r>
        <w:rPr>
          <w:rFonts w:ascii="Times New Roman" w:hAnsi="Times New Roman" w:cs="Times New Roman"/>
          <w:noProof/>
          <w:sz w:val="24"/>
          <w:lang w:val="en-IE"/>
        </w:rPr>
        <w:t>ion of the Lithuanian Transport Development Strategy up to 2050</w:t>
      </w:r>
      <w:r>
        <w:rPr>
          <w:rStyle w:val="FootnoteReference"/>
          <w:rFonts w:ascii="Times New Roman" w:hAnsi="Times New Roman" w:cs="Times New Roman"/>
          <w:noProof/>
          <w:sz w:val="24"/>
          <w:lang w:val="en-IE"/>
        </w:rPr>
        <w:footnoteReference w:id="51"/>
      </w:r>
      <w:r>
        <w:rPr>
          <w:rFonts w:ascii="Times New Roman" w:hAnsi="Times New Roman" w:cs="Times New Roman"/>
          <w:noProof/>
          <w:sz w:val="24"/>
          <w:lang w:val="en-IE"/>
        </w:rPr>
        <w:t xml:space="preserve">. </w:t>
      </w:r>
      <w:r>
        <w:rPr>
          <w:rFonts w:ascii="Times New Roman" w:hAnsi="Times New Roman" w:cs="Times New Roman"/>
          <w:iCs/>
          <w:noProof/>
          <w:sz w:val="24"/>
          <w:lang w:val="en-IE"/>
        </w:rPr>
        <w:t>The latter document describes also interactions between existing and planned policies and measures.</w:t>
      </w:r>
    </w:p>
    <w:p w:rsidR="003C43BF" w:rsidRDefault="006C3212">
      <w:pPr>
        <w:jc w:val="both"/>
        <w:rPr>
          <w:rFonts w:ascii="Times New Roman" w:hAnsi="Times New Roman" w:cs="Times New Roman"/>
          <w:iCs/>
          <w:noProof/>
          <w:sz w:val="24"/>
          <w:lang w:val="en-IE"/>
        </w:rPr>
      </w:pPr>
      <w:r>
        <w:rPr>
          <w:rFonts w:ascii="Times New Roman" w:hAnsi="Times New Roman" w:cs="Times New Roman"/>
          <w:iCs/>
          <w:noProof/>
          <w:sz w:val="24"/>
          <w:lang w:val="en-IE"/>
        </w:rPr>
        <w:t>An overall assessment of the legal measures is that the LT NIR shows an increased ambition</w:t>
      </w:r>
      <w:r>
        <w:rPr>
          <w:rFonts w:ascii="Times New Roman" w:hAnsi="Times New Roman" w:cs="Times New Roman"/>
          <w:iCs/>
          <w:noProof/>
          <w:sz w:val="24"/>
          <w:lang w:val="en-IE"/>
        </w:rPr>
        <w:t xml:space="preserve"> level compared to the NPF.</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Lithuania lists ten legislative and regulatory measures in its NIR, of which six are new compared to the NPF. Reported measures are proposed on the basis of the following acts:</w:t>
      </w:r>
    </w:p>
    <w:p w:rsidR="003C43BF" w:rsidRDefault="006C3212">
      <w:pPr>
        <w:pStyle w:val="ListParagraph"/>
        <w:numPr>
          <w:ilvl w:val="0"/>
          <w:numId w:val="77"/>
        </w:numPr>
        <w:spacing w:after="160" w:line="259" w:lineRule="auto"/>
        <w:jc w:val="both"/>
        <w:rPr>
          <w:rFonts w:ascii="Times New Roman" w:hAnsi="Times New Roman" w:cs="Times New Roman"/>
          <w:noProof/>
          <w:sz w:val="24"/>
          <w:lang w:val="en-IE"/>
        </w:rPr>
      </w:pPr>
      <w:r>
        <w:rPr>
          <w:rFonts w:ascii="Times New Roman" w:hAnsi="Times New Roman" w:cs="Times New Roman"/>
          <w:i/>
          <w:noProof/>
          <w:sz w:val="24"/>
          <w:lang w:val="en-IE"/>
        </w:rPr>
        <w:t>Renewable Energy Act</w:t>
      </w:r>
      <w:r>
        <w:rPr>
          <w:rFonts w:ascii="Times New Roman" w:hAnsi="Times New Roman" w:cs="Times New Roman"/>
          <w:noProof/>
          <w:sz w:val="24"/>
          <w:lang w:val="en-IE"/>
        </w:rPr>
        <w:t>, indi</w:t>
      </w:r>
      <w:r>
        <w:rPr>
          <w:rFonts w:ascii="Times New Roman" w:hAnsi="Times New Roman" w:cs="Times New Roman"/>
          <w:noProof/>
          <w:sz w:val="24"/>
          <w:lang w:val="en-IE"/>
        </w:rPr>
        <w:t>cates targets of 10% RES share in transport and biofuels blending obligation;</w:t>
      </w:r>
    </w:p>
    <w:p w:rsidR="003C43BF" w:rsidRDefault="006C3212">
      <w:pPr>
        <w:pStyle w:val="ListParagraph"/>
        <w:numPr>
          <w:ilvl w:val="0"/>
          <w:numId w:val="77"/>
        </w:numPr>
        <w:spacing w:after="160" w:line="259" w:lineRule="auto"/>
        <w:jc w:val="both"/>
        <w:rPr>
          <w:rFonts w:ascii="Times New Roman" w:hAnsi="Times New Roman" w:cs="Times New Roman"/>
          <w:noProof/>
          <w:sz w:val="24"/>
          <w:lang w:val="en-IE"/>
        </w:rPr>
      </w:pPr>
      <w:r>
        <w:rPr>
          <w:rFonts w:ascii="Times New Roman" w:hAnsi="Times New Roman" w:cs="Times New Roman"/>
          <w:i/>
          <w:noProof/>
          <w:sz w:val="24"/>
          <w:lang w:val="en-IE"/>
        </w:rPr>
        <w:t>Law on Alternative Transportation</w:t>
      </w:r>
      <w:r>
        <w:rPr>
          <w:rFonts w:ascii="Times New Roman" w:hAnsi="Times New Roman" w:cs="Times New Roman"/>
          <w:noProof/>
          <w:sz w:val="24"/>
          <w:lang w:val="en-IE"/>
        </w:rPr>
        <w:t>, intended to draw the main concepts of alternative transportation, giving a clear direction for the market participants. It would include biofue</w:t>
      </w:r>
      <w:r>
        <w:rPr>
          <w:rFonts w:ascii="Times New Roman" w:hAnsi="Times New Roman" w:cs="Times New Roman"/>
          <w:noProof/>
          <w:sz w:val="24"/>
          <w:lang w:val="en-IE"/>
        </w:rPr>
        <w:t>ls, biogas and electricity use in transport, the main targets and obligations, and also requirements for refuelling stations;</w:t>
      </w:r>
    </w:p>
    <w:p w:rsidR="003C43BF" w:rsidRDefault="006C3212">
      <w:pPr>
        <w:pStyle w:val="ListParagraph"/>
        <w:numPr>
          <w:ilvl w:val="0"/>
          <w:numId w:val="77"/>
        </w:numPr>
        <w:spacing w:after="160" w:line="259" w:lineRule="auto"/>
        <w:jc w:val="both"/>
        <w:rPr>
          <w:rFonts w:ascii="Times New Roman" w:hAnsi="Times New Roman" w:cs="Times New Roman"/>
          <w:noProof/>
          <w:sz w:val="24"/>
          <w:lang w:val="en-IE"/>
        </w:rPr>
      </w:pPr>
      <w:r>
        <w:rPr>
          <w:rFonts w:ascii="Times New Roman" w:hAnsi="Times New Roman" w:cs="Times New Roman"/>
          <w:i/>
          <w:noProof/>
          <w:sz w:val="24"/>
          <w:lang w:val="en-IE"/>
        </w:rPr>
        <w:t>Electricity Law of the Republic of Lithuania</w:t>
      </w:r>
      <w:r>
        <w:rPr>
          <w:rFonts w:ascii="Times New Roman" w:hAnsi="Times New Roman" w:cs="Times New Roman"/>
          <w:noProof/>
          <w:sz w:val="24"/>
          <w:lang w:val="en-IE"/>
        </w:rPr>
        <w:t>;</w:t>
      </w:r>
    </w:p>
    <w:p w:rsidR="003C43BF" w:rsidRDefault="006C3212">
      <w:pPr>
        <w:pStyle w:val="ListParagraph"/>
        <w:numPr>
          <w:ilvl w:val="0"/>
          <w:numId w:val="77"/>
        </w:numPr>
        <w:spacing w:after="160" w:line="259" w:lineRule="auto"/>
        <w:jc w:val="both"/>
        <w:rPr>
          <w:rFonts w:ascii="Times New Roman" w:hAnsi="Times New Roman" w:cs="Times New Roman"/>
          <w:noProof/>
          <w:sz w:val="24"/>
          <w:lang w:val="en-IE"/>
        </w:rPr>
      </w:pPr>
      <w:r>
        <w:rPr>
          <w:rFonts w:ascii="Times New Roman" w:hAnsi="Times New Roman" w:cs="Times New Roman"/>
          <w:i/>
          <w:noProof/>
          <w:sz w:val="24"/>
          <w:lang w:val="en-IE"/>
        </w:rPr>
        <w:t>Gas Law of the Republic of Lithuania</w:t>
      </w:r>
      <w:r>
        <w:rPr>
          <w:rFonts w:ascii="Times New Roman" w:hAnsi="Times New Roman" w:cs="Times New Roman"/>
          <w:noProof/>
          <w:sz w:val="24"/>
          <w:lang w:val="en-IE"/>
        </w:rPr>
        <w: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Other regulatory measures reported in LT NIR a</w:t>
      </w:r>
      <w:r>
        <w:rPr>
          <w:rFonts w:ascii="Times New Roman" w:hAnsi="Times New Roman" w:cs="Times New Roman"/>
          <w:noProof/>
          <w:sz w:val="24"/>
          <w:lang w:val="en-IE"/>
        </w:rPr>
        <w:t>re tackling public guidelines for the development of electric charging infrastructure, and are also derived from the following strategic documents:</w:t>
      </w:r>
    </w:p>
    <w:p w:rsidR="003C43BF" w:rsidRDefault="006C3212">
      <w:pPr>
        <w:pStyle w:val="ListParagraph"/>
        <w:numPr>
          <w:ilvl w:val="0"/>
          <w:numId w:val="78"/>
        </w:numPr>
        <w:spacing w:after="160" w:line="259" w:lineRule="auto"/>
        <w:jc w:val="both"/>
        <w:rPr>
          <w:rFonts w:ascii="Times New Roman" w:hAnsi="Times New Roman" w:cs="Times New Roman"/>
          <w:noProof/>
          <w:sz w:val="24"/>
          <w:lang w:val="en-IE"/>
        </w:rPr>
      </w:pPr>
      <w:r>
        <w:rPr>
          <w:rFonts w:ascii="Times New Roman" w:hAnsi="Times New Roman" w:cs="Times New Roman"/>
          <w:i/>
          <w:noProof/>
          <w:sz w:val="24"/>
          <w:lang w:val="en-IE"/>
        </w:rPr>
        <w:t>National Transport Development Programme 2014-2022,</w:t>
      </w:r>
      <w:r>
        <w:rPr>
          <w:rFonts w:ascii="Times New Roman" w:hAnsi="Times New Roman" w:cs="Times New Roman"/>
          <w:noProof/>
          <w:sz w:val="24"/>
          <w:lang w:val="en-IE"/>
        </w:rPr>
        <w:t xml:space="preserve"> where the Objective 4 of the programme is to increase en</w:t>
      </w:r>
      <w:r>
        <w:rPr>
          <w:rFonts w:ascii="Times New Roman" w:hAnsi="Times New Roman" w:cs="Times New Roman"/>
          <w:noProof/>
          <w:sz w:val="24"/>
          <w:lang w:val="en-IE"/>
        </w:rPr>
        <w:t>ergy efficiency in transport and reduce the adverse impact of transport on the environment;</w:t>
      </w:r>
    </w:p>
    <w:p w:rsidR="003C43BF" w:rsidRDefault="006C3212">
      <w:pPr>
        <w:pStyle w:val="ListParagraph"/>
        <w:numPr>
          <w:ilvl w:val="0"/>
          <w:numId w:val="78"/>
        </w:numPr>
        <w:spacing w:after="160" w:line="259" w:lineRule="auto"/>
        <w:jc w:val="both"/>
        <w:rPr>
          <w:rFonts w:ascii="Times New Roman" w:hAnsi="Times New Roman" w:cs="Times New Roman"/>
          <w:noProof/>
          <w:sz w:val="24"/>
          <w:lang w:val="en-IE"/>
        </w:rPr>
      </w:pPr>
      <w:r>
        <w:rPr>
          <w:rFonts w:ascii="Times New Roman" w:hAnsi="Times New Roman" w:cs="Times New Roman"/>
          <w:i/>
          <w:noProof/>
          <w:sz w:val="24"/>
          <w:lang w:val="en-IE"/>
        </w:rPr>
        <w:t>National Energy Independence Strategy</w:t>
      </w:r>
      <w:r>
        <w:rPr>
          <w:rFonts w:ascii="Times New Roman" w:hAnsi="Times New Roman" w:cs="Times New Roman"/>
          <w:noProof/>
          <w:sz w:val="24"/>
          <w:lang w:val="en-IE"/>
        </w:rPr>
        <w:t>, with the goal to achieve independence from fossil fuels in both electricity generation and heating, by taking advantages of L</w:t>
      </w:r>
      <w:r>
        <w:rPr>
          <w:rFonts w:ascii="Times New Roman" w:hAnsi="Times New Roman" w:cs="Times New Roman"/>
          <w:noProof/>
          <w:sz w:val="24"/>
          <w:lang w:val="en-IE"/>
        </w:rPr>
        <w:t>NG development related to transport;</w:t>
      </w:r>
    </w:p>
    <w:p w:rsidR="003C43BF" w:rsidRDefault="006C3212">
      <w:pPr>
        <w:pStyle w:val="ListParagraph"/>
        <w:numPr>
          <w:ilvl w:val="0"/>
          <w:numId w:val="78"/>
        </w:numPr>
        <w:spacing w:after="160" w:line="259" w:lineRule="auto"/>
        <w:jc w:val="both"/>
        <w:rPr>
          <w:rFonts w:ascii="Times New Roman" w:hAnsi="Times New Roman" w:cs="Times New Roman"/>
          <w:noProof/>
          <w:sz w:val="24"/>
          <w:lang w:val="en-IE"/>
        </w:rPr>
      </w:pPr>
      <w:r>
        <w:rPr>
          <w:rFonts w:ascii="Times New Roman" w:hAnsi="Times New Roman" w:cs="Times New Roman"/>
          <w:i/>
          <w:noProof/>
          <w:sz w:val="24"/>
          <w:lang w:val="en-IE"/>
        </w:rPr>
        <w:t>National strategy for climate change management</w:t>
      </w:r>
      <w:r>
        <w:rPr>
          <w:rFonts w:ascii="Times New Roman" w:hAnsi="Times New Roman" w:cs="Times New Roman"/>
          <w:noProof/>
          <w:sz w:val="24"/>
          <w:lang w:val="en-IE"/>
        </w:rPr>
        <w:t>, tackling the mitigation in the areas of adaptation to the effects of climate change.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Lithuanian NIR reports on eight administrative measures. </w:t>
      </w:r>
    </w:p>
    <w:p w:rsidR="003C43BF" w:rsidRDefault="006C3212">
      <w:pPr>
        <w:pStyle w:val="ListParagraph"/>
        <w:numPr>
          <w:ilvl w:val="0"/>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 xml:space="preserve">Law </w:t>
      </w:r>
      <w:r>
        <w:rPr>
          <w:rFonts w:ascii="Times New Roman" w:hAnsi="Times New Roman" w:cs="Times New Roman"/>
          <w:i/>
          <w:noProof/>
          <w:sz w:val="24"/>
          <w:lang w:val="en-IE"/>
        </w:rPr>
        <w:t>of the Republic of Lithuania on Energy from Renewable Sources</w:t>
      </w:r>
      <w:r>
        <w:rPr>
          <w:rFonts w:ascii="Times New Roman" w:hAnsi="Times New Roman" w:cs="Times New Roman"/>
          <w:noProof/>
          <w:sz w:val="24"/>
          <w:lang w:val="en-IE"/>
        </w:rPr>
        <w:t xml:space="preserve"> sets the basis for:</w:t>
      </w:r>
    </w:p>
    <w:p w:rsidR="003C43BF" w:rsidRDefault="006C3212">
      <w:pPr>
        <w:pStyle w:val="ListParagraph"/>
        <w:numPr>
          <w:ilvl w:val="1"/>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 Guarantee of origin (GO) system, where gaseous fuels can have their origin proved and the GOs are issued electronically for each MWh of energy. The target is that 100% of biogas producers should be registered in the system by 2030; </w:t>
      </w:r>
    </w:p>
    <w:p w:rsidR="003C43BF" w:rsidRDefault="006C3212">
      <w:pPr>
        <w:pStyle w:val="ListParagraph"/>
        <w:numPr>
          <w:ilvl w:val="1"/>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Discount for biogas pr</w:t>
      </w:r>
      <w:r>
        <w:rPr>
          <w:rFonts w:ascii="Times New Roman" w:hAnsi="Times New Roman" w:cs="Times New Roman"/>
          <w:noProof/>
          <w:sz w:val="24"/>
          <w:lang w:val="en-IE"/>
        </w:rPr>
        <w:t>oduction infrastructure connection to the grid (40%);</w:t>
      </w:r>
    </w:p>
    <w:p w:rsidR="003C43BF" w:rsidRDefault="006C3212">
      <w:pPr>
        <w:pStyle w:val="ListParagraph"/>
        <w:numPr>
          <w:ilvl w:val="1"/>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Self-certification scheme, which is a control system establishing the compliance of biofuels with sustainability criteria;</w:t>
      </w:r>
    </w:p>
    <w:p w:rsidR="003C43BF" w:rsidRDefault="006C3212">
      <w:pPr>
        <w:pStyle w:val="ListParagraph"/>
        <w:numPr>
          <w:ilvl w:val="0"/>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Within the implementation of the Directive 2014/94/EU, the following procedures</w:t>
      </w:r>
      <w:r>
        <w:rPr>
          <w:rFonts w:ascii="Times New Roman" w:hAnsi="Times New Roman" w:cs="Times New Roman"/>
          <w:noProof/>
          <w:sz w:val="24"/>
          <w:lang w:val="en-IE"/>
        </w:rPr>
        <w:t xml:space="preserve"> have been indicated:</w:t>
      </w:r>
    </w:p>
    <w:p w:rsidR="003C43BF" w:rsidRDefault="006C3212">
      <w:pPr>
        <w:pStyle w:val="ListParagraph"/>
        <w:numPr>
          <w:ilvl w:val="1"/>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Assignment of Responsibilities and Provisions of Information on Directive 2014/94 /EU</w:t>
      </w:r>
      <w:r>
        <w:rPr>
          <w:rStyle w:val="FootnoteReference"/>
          <w:rFonts w:ascii="Times New Roman" w:hAnsi="Times New Roman" w:cs="Times New Roman"/>
          <w:noProof/>
          <w:sz w:val="24"/>
          <w:lang w:val="en-IE"/>
        </w:rPr>
        <w:footnoteReference w:id="52"/>
      </w:r>
      <w:r>
        <w:rPr>
          <w:rFonts w:ascii="Times New Roman" w:hAnsi="Times New Roman" w:cs="Times New Roman"/>
          <w:noProof/>
          <w:sz w:val="24"/>
          <w:lang w:val="en-IE"/>
        </w:rPr>
        <w:t>;</w:t>
      </w:r>
    </w:p>
    <w:p w:rsidR="003C43BF" w:rsidRDefault="006C3212">
      <w:pPr>
        <w:pStyle w:val="ListParagraph"/>
        <w:numPr>
          <w:ilvl w:val="1"/>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The use of electrical equipment;</w:t>
      </w:r>
    </w:p>
    <w:p w:rsidR="003C43BF" w:rsidRDefault="006C3212">
      <w:pPr>
        <w:pStyle w:val="ListParagraph"/>
        <w:numPr>
          <w:ilvl w:val="1"/>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Changes to service station operating rules;</w:t>
      </w:r>
    </w:p>
    <w:p w:rsidR="003C43BF" w:rsidRDefault="006C3212">
      <w:pPr>
        <w:pStyle w:val="ListParagraph"/>
        <w:numPr>
          <w:ilvl w:val="1"/>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Description of the procedure for the provision of information on the </w:t>
      </w:r>
      <w:r>
        <w:rPr>
          <w:rFonts w:ascii="Times New Roman" w:hAnsi="Times New Roman" w:cs="Times New Roman"/>
          <w:noProof/>
          <w:sz w:val="24"/>
          <w:lang w:val="en-IE"/>
        </w:rPr>
        <w:t>fuel used by motor vehicles;</w:t>
      </w:r>
    </w:p>
    <w:p w:rsidR="003C43BF" w:rsidRDefault="006C3212">
      <w:pPr>
        <w:pStyle w:val="ListParagraph"/>
        <w:numPr>
          <w:ilvl w:val="1"/>
          <w:numId w:val="76"/>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Requirements for installing Electro-computer Charging Infrastructure in residential and non-residential buildings with a parking space.</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main focus in the LT NIR is on electric vehicles, but CNG and LNG on r</w:t>
      </w:r>
      <w:r>
        <w:rPr>
          <w:rFonts w:ascii="Times New Roman" w:hAnsi="Times New Roman" w:cs="Times New Roman"/>
          <w:noProof/>
          <w:sz w:val="24"/>
          <w:lang w:val="en-IE"/>
        </w:rPr>
        <w:t>oads are also developing. LNG for waterborne transport (inland) is being addressed as well. The available financial instruments are not clearly defined in the LT NIR, but the measures have a wider scope compared to the NPF (for example, there are incentive</w:t>
      </w:r>
      <w:r>
        <w:rPr>
          <w:rFonts w:ascii="Times New Roman" w:hAnsi="Times New Roman" w:cs="Times New Roman"/>
          <w:noProof/>
          <w:sz w:val="24"/>
          <w:lang w:val="en-IE"/>
        </w:rPr>
        <w:t>s not only for the purchase of new alternative fuel vehicles/vessels, but (in the case of waterborne transport) also for the replacement of old engines with new ones, running on alternative fuels). In comparison to NPF, hydrogen is also acknowledged and su</w:t>
      </w:r>
      <w:r>
        <w:rPr>
          <w:rFonts w:ascii="Times New Roman" w:hAnsi="Times New Roman" w:cs="Times New Roman"/>
          <w:noProof/>
          <w:sz w:val="24"/>
          <w:lang w:val="en-IE"/>
        </w:rPr>
        <w:t>pported in the NIR. Lithuania reports the completion of optimisation of airport infrastructure as their international airports already have the necessary infrastructure to supply electricity to stationary airplanes, and there is no additional need for elec</w:t>
      </w:r>
      <w:r>
        <w:rPr>
          <w:rFonts w:ascii="Times New Roman" w:hAnsi="Times New Roman" w:cs="Times New Roman"/>
          <w:noProof/>
          <w:sz w:val="24"/>
          <w:lang w:val="en-IE"/>
        </w:rPr>
        <w:t>tricity supply facilities at airports. Lithuania also reports that Klaipėda State Seaport (KSS) and some of the country’s inland ports are already equipped with shore-side electricity supply facilities that can be used by operators of ships berthed off sho</w:t>
      </w:r>
      <w:r>
        <w:rPr>
          <w:rFonts w:ascii="Times New Roman" w:hAnsi="Times New Roman" w:cs="Times New Roman"/>
          <w:noProof/>
          <w:sz w:val="24"/>
          <w:lang w:val="en-IE"/>
        </w:rPr>
        <w:t xml:space="preserve">re, and there is also no need to deploy additional facilities. </w:t>
      </w:r>
    </w:p>
    <w:p w:rsidR="003C43BF" w:rsidRDefault="006C3212">
      <w:pPr>
        <w:pStyle w:val="Default"/>
        <w:spacing w:after="160" w:line="259" w:lineRule="auto"/>
        <w:jc w:val="both"/>
        <w:rPr>
          <w:noProof/>
          <w:color w:val="auto"/>
          <w:szCs w:val="22"/>
          <w:lang w:val="en-IE"/>
        </w:rPr>
      </w:pPr>
      <w:r>
        <w:rPr>
          <w:noProof/>
          <w:color w:val="auto"/>
          <w:szCs w:val="22"/>
          <w:lang w:val="en-IE"/>
        </w:rPr>
        <w:t xml:space="preserve">The policy direction in Lithuania is presented in National Energy and Climate Action Plan of the Republic of Lithuania for 2021-2030, which focuses on addressing issues of EU’s climate change </w:t>
      </w:r>
      <w:r>
        <w:rPr>
          <w:noProof/>
          <w:color w:val="auto"/>
          <w:szCs w:val="22"/>
          <w:lang w:val="en-IE"/>
        </w:rPr>
        <w:t>and energy policy, but amongst others presents policies and measures for increasing the use of renewables in transport and its role in decarbonisation. This Action Plan presents existing, as well as planned up to 2030 policy measures in the transport secto</w:t>
      </w:r>
      <w:r>
        <w:rPr>
          <w:noProof/>
          <w:color w:val="auto"/>
          <w:szCs w:val="22"/>
          <w:lang w:val="en-IE"/>
        </w:rPr>
        <w:t>r. Taking into consideration that this plan is not a part of the LT NIR, it has been used as a back-up source of information, but only the measures reported by Lithuania in its NIR were assessed.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large</w:t>
      </w:r>
      <w:r>
        <w:rPr>
          <w:rFonts w:ascii="Times New Roman" w:hAnsi="Times New Roman" w:cs="Times New Roman"/>
          <w:noProof/>
          <w:sz w:val="24"/>
          <w:lang w:val="en-IE"/>
        </w:rPr>
        <w:t xml:space="preserve"> majority of policy measures described in the Lithuanian NIR can be categorised as measures to ensure national targets and objectives. There are 20 of them (of which 11 financial, and 9 non-financial), mainly related to road transport, but including also L</w:t>
      </w:r>
      <w:r>
        <w:rPr>
          <w:rFonts w:ascii="Times New Roman" w:hAnsi="Times New Roman" w:cs="Times New Roman"/>
          <w:noProof/>
          <w:sz w:val="24"/>
          <w:lang w:val="en-IE"/>
        </w:rPr>
        <w:t>NG and electricity with their applicable transport modes.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Two of the financial incentives involve taxation: vehicle registration/re-registration fees related to pollution (starting from 2020) and excise duty exemption for natural gas consumed in trans</w:t>
      </w:r>
      <w:r>
        <w:rPr>
          <w:rFonts w:ascii="Times New Roman" w:hAnsi="Times New Roman" w:cs="Times New Roman"/>
          <w:noProof/>
          <w:sz w:val="24"/>
          <w:lang w:val="en-IE"/>
        </w:rPr>
        <w:t>port (existing since 2018). Although both of them were present also in the NPF, some changes have been brought. The excise duty exemption for natural gas is planned to be modified in order to promote other alternative fuel use (but not LPG) for the develop</w:t>
      </w:r>
      <w:r>
        <w:rPr>
          <w:rFonts w:ascii="Times New Roman" w:hAnsi="Times New Roman" w:cs="Times New Roman"/>
          <w:noProof/>
          <w:sz w:val="24"/>
          <w:lang w:val="en-IE"/>
        </w:rPr>
        <w:t>ment of related infrastructure. On the other hand very limited information was given on the registration fees, stating only that: “</w:t>
      </w:r>
      <w:r>
        <w:rPr>
          <w:rFonts w:ascii="Times New Roman" w:hAnsi="Times New Roman" w:cs="Times New Roman"/>
          <w:i/>
          <w:noProof/>
          <w:sz w:val="24"/>
          <w:lang w:val="en-IE"/>
        </w:rPr>
        <w:t xml:space="preserve">From next year </w:t>
      </w:r>
      <w:r>
        <w:rPr>
          <w:rFonts w:ascii="Times New Roman" w:hAnsi="Times New Roman" w:cs="Times New Roman"/>
          <w:noProof/>
          <w:sz w:val="24"/>
          <w:lang w:val="en-IE"/>
        </w:rPr>
        <w:t xml:space="preserve">(excel: 2020) </w:t>
      </w:r>
      <w:r>
        <w:rPr>
          <w:rFonts w:ascii="Times New Roman" w:hAnsi="Times New Roman" w:cs="Times New Roman"/>
          <w:i/>
          <w:noProof/>
          <w:sz w:val="24"/>
          <w:lang w:val="en-IE"/>
        </w:rPr>
        <w:t>the registration and re-registration of polluting vehicles would be taxed. Polluting vehicles ar</w:t>
      </w:r>
      <w:r>
        <w:rPr>
          <w:rFonts w:ascii="Times New Roman" w:hAnsi="Times New Roman" w:cs="Times New Roman"/>
          <w:i/>
          <w:noProof/>
          <w:sz w:val="24"/>
          <w:lang w:val="en-IE"/>
        </w:rPr>
        <w:t>e those which have a petrol and / or gas engine with a CO</w:t>
      </w:r>
      <w:r>
        <w:rPr>
          <w:rFonts w:ascii="Times New Roman" w:hAnsi="Times New Roman" w:cs="Times New Roman"/>
          <w:i/>
          <w:noProof/>
          <w:sz w:val="24"/>
          <w:vertAlign w:val="subscript"/>
          <w:lang w:val="en-IE"/>
        </w:rPr>
        <w:t>2</w:t>
      </w:r>
      <w:r>
        <w:rPr>
          <w:rFonts w:ascii="Times New Roman" w:hAnsi="Times New Roman" w:cs="Times New Roman"/>
          <w:i/>
          <w:noProof/>
          <w:sz w:val="24"/>
          <w:lang w:val="en-IE"/>
        </w:rPr>
        <w:t xml:space="preserve"> emissions greater than 130 g/km and a diesel engine with a CO</w:t>
      </w:r>
      <w:r>
        <w:rPr>
          <w:rFonts w:ascii="Times New Roman" w:hAnsi="Times New Roman" w:cs="Times New Roman"/>
          <w:i/>
          <w:noProof/>
          <w:sz w:val="24"/>
          <w:vertAlign w:val="subscript"/>
          <w:lang w:val="en-IE"/>
        </w:rPr>
        <w:t>2</w:t>
      </w:r>
      <w:r>
        <w:rPr>
          <w:rFonts w:ascii="Times New Roman" w:hAnsi="Times New Roman" w:cs="Times New Roman"/>
          <w:i/>
          <w:noProof/>
          <w:sz w:val="24"/>
          <w:lang w:val="en-IE"/>
        </w:rPr>
        <w:t xml:space="preserve"> emissions above 115 g/km.</w:t>
      </w:r>
      <w:r>
        <w:rPr>
          <w:rFonts w:ascii="Times New Roman" w:hAnsi="Times New Roman" w:cs="Times New Roman"/>
          <w:noProof/>
          <w:sz w:val="24"/>
          <w:lang w:val="en-IE"/>
        </w:rPr>
        <w: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LT NIR also reports policy measures dealing with subsidies, in particular:</w:t>
      </w:r>
    </w:p>
    <w:p w:rsidR="003C43BF" w:rsidRDefault="006C3212">
      <w:pPr>
        <w:pStyle w:val="ListParagraph"/>
        <w:numPr>
          <w:ilvl w:val="0"/>
          <w:numId w:val="7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Support to municipalities to</w:t>
      </w:r>
      <w:r>
        <w:rPr>
          <w:rFonts w:ascii="Times New Roman" w:hAnsi="Times New Roman" w:cs="Times New Roman"/>
          <w:noProof/>
          <w:sz w:val="24"/>
          <w:lang w:val="en-IE"/>
        </w:rPr>
        <w:t xml:space="preserve"> purchase electric and other alternative fuel buses (43 million € in the period 2017-2020);</w:t>
      </w:r>
    </w:p>
    <w:p w:rsidR="003C43BF" w:rsidRDefault="006C3212">
      <w:pPr>
        <w:pStyle w:val="ListParagraph"/>
        <w:numPr>
          <w:ilvl w:val="0"/>
          <w:numId w:val="7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Installation of primary necessary infrastructure for electric recharging points near state roads and in municipalities with a population &gt;25,000 (2 million € in 201</w:t>
      </w:r>
      <w:r>
        <w:rPr>
          <w:rFonts w:ascii="Times New Roman" w:hAnsi="Times New Roman" w:cs="Times New Roman"/>
          <w:noProof/>
          <w:sz w:val="24"/>
          <w:lang w:val="en-IE"/>
        </w:rPr>
        <w:t>8-2020);</w:t>
      </w:r>
    </w:p>
    <w:p w:rsidR="003C43BF" w:rsidRDefault="006C3212">
      <w:pPr>
        <w:pStyle w:val="ListParagraph"/>
        <w:numPr>
          <w:ilvl w:val="0"/>
          <w:numId w:val="7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Co-financing the purchase of natural gas buses that could be fuelled also with compressed biomethane gas, only for public transportation (37 million € in 2020-2030);</w:t>
      </w:r>
    </w:p>
    <w:p w:rsidR="003C43BF" w:rsidRDefault="006C3212">
      <w:pPr>
        <w:pStyle w:val="ListParagraph"/>
        <w:numPr>
          <w:ilvl w:val="0"/>
          <w:numId w:val="7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Deployment of the measures of sustainable mobility (30 million € in 2019-2020);</w:t>
      </w:r>
    </w:p>
    <w:p w:rsidR="003C43BF" w:rsidRDefault="006C3212">
      <w:pPr>
        <w:pStyle w:val="ListParagraph"/>
        <w:numPr>
          <w:ilvl w:val="0"/>
          <w:numId w:val="7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Reconstruction and development of pedestrian and bicycles paths (10.3 million € in 2017-2020) – this measure was excluded from assessment and clustering, as not directly referring to the AFID deployment, but was considered in the overall Lithuanian (climat</w:t>
      </w:r>
      <w:r>
        <w:rPr>
          <w:rFonts w:ascii="Times New Roman" w:hAnsi="Times New Roman" w:cs="Times New Roman"/>
          <w:noProof/>
          <w:sz w:val="24"/>
          <w:lang w:val="en-IE"/>
        </w:rPr>
        <w:t xml:space="preserve">e) policy goals achievement.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LT NIR reports also about the measure implemented from the EU funds in 2017 that allows for “</w:t>
      </w:r>
      <w:r>
        <w:rPr>
          <w:rFonts w:ascii="Times New Roman" w:hAnsi="Times New Roman" w:cs="Times New Roman"/>
          <w:i/>
          <w:noProof/>
          <w:sz w:val="24"/>
          <w:lang w:val="en-IE"/>
        </w:rPr>
        <w:t>no charge fees for electric cars for 5 years at electric access points near national roads and municipalities”</w:t>
      </w:r>
      <w:r>
        <w:rPr>
          <w:rFonts w:ascii="Times New Roman" w:hAnsi="Times New Roman" w:cs="Times New Roman"/>
          <w:noProof/>
          <w:sz w:val="24"/>
          <w:lang w:val="en-IE"/>
        </w:rPr>
        <w:t>, but does not give</w:t>
      </w:r>
      <w:r>
        <w:rPr>
          <w:rFonts w:ascii="Times New Roman" w:hAnsi="Times New Roman" w:cs="Times New Roman"/>
          <w:noProof/>
          <w:sz w:val="24"/>
          <w:lang w:val="en-IE"/>
        </w:rPr>
        <w:t xml:space="preserve"> any further information</w:t>
      </w:r>
      <w:r>
        <w:rPr>
          <w:rFonts w:ascii="Times New Roman" w:hAnsi="Times New Roman" w:cs="Times New Roman"/>
          <w:i/>
          <w:noProof/>
          <w:sz w:val="24"/>
          <w:lang w:val="en-IE"/>
        </w:rPr>
        <w:t>.</w:t>
      </w:r>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Finally the LT NIR refers about a series of measures planned for the period 2022-2030, with a total budget of 900 million € (no allocations), as for example:</w:t>
      </w:r>
    </w:p>
    <w:p w:rsidR="003C43BF" w:rsidRDefault="006C3212">
      <w:pPr>
        <w:pStyle w:val="ListParagraph"/>
        <w:numPr>
          <w:ilvl w:val="0"/>
          <w:numId w:val="8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incentives / subsidies for the purchase of pure electric vehicles, for </w:t>
      </w:r>
      <w:r>
        <w:rPr>
          <w:rFonts w:ascii="Times New Roman" w:hAnsi="Times New Roman" w:cs="Times New Roman"/>
          <w:noProof/>
          <w:sz w:val="24"/>
          <w:lang w:val="en-IE"/>
        </w:rPr>
        <w:t>the installation of electric vehicle recharging points;</w:t>
      </w:r>
    </w:p>
    <w:p w:rsidR="003C43BF" w:rsidRDefault="006C3212">
      <w:pPr>
        <w:pStyle w:val="ListParagraph"/>
        <w:numPr>
          <w:ilvl w:val="0"/>
          <w:numId w:val="8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strengthening of national legislation to promote electric mobility and infrastructure development: obligation to provide recharging points in new or refurbished buildings and parking areas; obligation</w:t>
      </w:r>
      <w:r>
        <w:rPr>
          <w:rFonts w:ascii="Times New Roman" w:hAnsi="Times New Roman" w:cs="Times New Roman"/>
          <w:noProof/>
          <w:sz w:val="24"/>
          <w:lang w:val="en-IE"/>
        </w:rPr>
        <w:t xml:space="preserve"> for new/refurbished conventional fuel stations adjacent to state roads to provide EV recharging access;</w:t>
      </w:r>
    </w:p>
    <w:p w:rsidR="003C43BF" w:rsidRDefault="006C3212">
      <w:pPr>
        <w:pStyle w:val="ListParagraph"/>
        <w:numPr>
          <w:ilvl w:val="0"/>
          <w:numId w:val="8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widespread social dissemination, public awareness, habit building, pilot projects;</w:t>
      </w:r>
    </w:p>
    <w:p w:rsidR="003C43BF" w:rsidRDefault="006C3212">
      <w:pPr>
        <w:pStyle w:val="ListParagraph"/>
        <w:numPr>
          <w:ilvl w:val="0"/>
          <w:numId w:val="8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annual taxes on internal combustion engine cars linked to pollution;</w:t>
      </w:r>
    </w:p>
    <w:p w:rsidR="003C43BF" w:rsidRDefault="006C3212">
      <w:pPr>
        <w:pStyle w:val="ListParagraph"/>
        <w:numPr>
          <w:ilvl w:val="0"/>
          <w:numId w:val="8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creation of zero emission zones in cities.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LT NIR reports two planned measures on financial incentives originating from the </w:t>
      </w:r>
      <w:r>
        <w:rPr>
          <w:rFonts w:ascii="Times New Roman" w:hAnsi="Times New Roman" w:cs="Times New Roman"/>
          <w:i/>
          <w:noProof/>
          <w:sz w:val="24"/>
          <w:lang w:val="en-IE"/>
        </w:rPr>
        <w:t>Draft air pollution reduction plan</w:t>
      </w:r>
      <w:r>
        <w:rPr>
          <w:rStyle w:val="FootnoteReference"/>
          <w:rFonts w:ascii="Times New Roman" w:hAnsi="Times New Roman" w:cs="Times New Roman"/>
          <w:i/>
          <w:noProof/>
          <w:sz w:val="24"/>
          <w:lang w:val="en-IE"/>
        </w:rPr>
        <w:footnoteReference w:id="53"/>
      </w:r>
      <w:r>
        <w:rPr>
          <w:rFonts w:ascii="Times New Roman" w:hAnsi="Times New Roman" w:cs="Times New Roman"/>
          <w:noProof/>
          <w:sz w:val="24"/>
          <w:lang w:val="en-IE"/>
        </w:rPr>
        <w:t>. The first is to support building of new cargo vessels and barges with</w:t>
      </w:r>
      <w:r>
        <w:rPr>
          <w:rFonts w:ascii="Times New Roman" w:hAnsi="Times New Roman" w:cs="Times New Roman"/>
          <w:noProof/>
          <w:sz w:val="24"/>
          <w:lang w:val="en-IE"/>
        </w:rPr>
        <w:t xml:space="preserve"> a budget of 50 million € for 2021-2030 period. The second refers to the replacement of current vessel engines with new, alternative fuel powered engines, and with a budget of 2 million € for 2021-2025.</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shore-side electricity supply, the LT NIR s</w:t>
      </w:r>
      <w:r>
        <w:rPr>
          <w:rFonts w:ascii="Times New Roman" w:hAnsi="Times New Roman" w:cs="Times New Roman"/>
          <w:noProof/>
          <w:sz w:val="24"/>
          <w:lang w:val="en-IE"/>
        </w:rPr>
        <w:t>tates that, as Klaipėda State Seaport (KSS) and some of the inland ports are already equipped with shore-side electricity supply facilities, there is no need to deploy additional facilities.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Other transport modes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Optimisation of airport infrastructure of L</w:t>
      </w:r>
      <w:r>
        <w:rPr>
          <w:rFonts w:ascii="Times New Roman" w:hAnsi="Times New Roman" w:cs="Times New Roman"/>
          <w:noProof/>
          <w:sz w:val="24"/>
          <w:lang w:val="en-IE"/>
        </w:rPr>
        <w:t>ithuania’s international airports is reported as completed in terms of the necessary infrastructure to supply electricity to stationary airplanes. Therefore the LT NIR declares no additional need for electricity supply facilities at airports.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w:t>
      </w:r>
      <w:r>
        <w:rPr>
          <w:rFonts w:ascii="Times New Roman" w:hAnsi="Times New Roman" w:cs="Times New Roman"/>
          <w:noProof/>
          <w:sz w:val="24"/>
          <w:lang w:val="en-IE"/>
        </w:rPr>
        <w:t xml:space="preserve"> can promote AFI in public transport services</w:t>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Eight of the policy measures described in the Lithuanian NIR can be categorised also as measures that can promote AFI in public transport services. Two of them are existing measures and refer to sustainable mob</w:t>
      </w:r>
      <w:r>
        <w:rPr>
          <w:rFonts w:ascii="Times New Roman" w:hAnsi="Times New Roman" w:cs="Times New Roman"/>
          <w:noProof/>
          <w:sz w:val="24"/>
          <w:lang w:val="en-IE"/>
        </w:rPr>
        <w:t>ility plans and incentives for municipalities to buy alternative fuel buses.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Six new measures are reported as not fully operative yet. They aim at further AFI development, AFV rollout and public awareness.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Buses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LT NIR reports on measures applied to su</w:t>
      </w:r>
      <w:r>
        <w:rPr>
          <w:rFonts w:ascii="Times New Roman" w:hAnsi="Times New Roman" w:cs="Times New Roman"/>
          <w:noProof/>
          <w:sz w:val="24"/>
          <w:lang w:val="en-IE"/>
        </w:rPr>
        <w:t>pport public transport only in tabularised way. One measure is planned to support the purchases of natural gas buses for public transportation, which could be driven on compressed biomethane gas. Partial compensation of investment costs is foreseen for the</w:t>
      </w:r>
      <w:r>
        <w:rPr>
          <w:rFonts w:ascii="Times New Roman" w:hAnsi="Times New Roman" w:cs="Times New Roman"/>
          <w:noProof/>
          <w:sz w:val="24"/>
          <w:lang w:val="en-IE"/>
        </w:rPr>
        <w:t xml:space="preserve"> 2021-2030 period, with a budget of 37 million €. This measure seems to be a continuation of the support to municipalities to purchase electric and other alternative fuel buses, which counted 43 million € in 2017-2020.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LT NIR reports on further el</w:t>
      </w:r>
      <w:r>
        <w:rPr>
          <w:rFonts w:ascii="Times New Roman" w:hAnsi="Times New Roman" w:cs="Times New Roman"/>
          <w:noProof/>
          <w:sz w:val="24"/>
          <w:lang w:val="en-IE"/>
        </w:rPr>
        <w:t>ectrification of rail, as a measure being implemented from EU funds. The total estimated budget is 250 million € for 2020.</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Private electro-mobility infrastructure </w:t>
      </w:r>
      <w:r>
        <w:rPr>
          <w:rFonts w:ascii="Times New Roman" w:hAnsi="Times New Roman" w:cs="Times New Roman"/>
          <w:noProof/>
          <w:sz w:val="24"/>
          <w:lang w:val="en-IE"/>
        </w:rPr>
        <w:t xml:space="preserve">deployment has not been covered in the implementation period (2016-2018). However, in the package of measures under discussion for the period 2022-2030 with a total budget or 900 million € (described earlier) a measure is included regarding the obligation </w:t>
      </w:r>
      <w:r>
        <w:rPr>
          <w:rFonts w:ascii="Times New Roman" w:hAnsi="Times New Roman" w:cs="Times New Roman"/>
          <w:noProof/>
          <w:sz w:val="24"/>
          <w:lang w:val="en-IE"/>
        </w:rPr>
        <w:t>to provide recharging points in new or refurbished buildings.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AFI deployment</w:t>
      </w:r>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The Lithuanian NIR lists three Deployment measures (there were two in the NPF). The first is related to a proposal, under adoption, to build </w:t>
      </w:r>
      <w:r>
        <w:rPr>
          <w:rFonts w:ascii="Times New Roman" w:hAnsi="Times New Roman" w:cs="Times New Roman"/>
          <w:noProof/>
          <w:sz w:val="24"/>
          <w:lang w:val="en-IE"/>
        </w:rPr>
        <w:t>four normal power (≤22kW) and eight high power (&gt;22kW) road recharging points, one recharging point for stationary airplanes, five CNG refuelling points and two hydrogen refuelling points. The second measure (also under adoption) relates to the constructio</w:t>
      </w:r>
      <w:r>
        <w:rPr>
          <w:rFonts w:ascii="Times New Roman" w:hAnsi="Times New Roman" w:cs="Times New Roman"/>
          <w:noProof/>
          <w:sz w:val="24"/>
          <w:lang w:val="en-IE"/>
        </w:rPr>
        <w:t xml:space="preserve">n of an LNG infrastructure at the inland port in Marvele cargo pier (Kaunas). Finally, the LT NIR reports that the biggest challenge at present remains the installation of recharging infrastructure in towns outside large cities and along national roads in </w:t>
      </w:r>
      <w:r>
        <w:rPr>
          <w:rFonts w:ascii="Times New Roman" w:hAnsi="Times New Roman" w:cs="Times New Roman"/>
          <w:noProof/>
          <w:sz w:val="24"/>
          <w:lang w:val="en-IE"/>
        </w:rPr>
        <w:t xml:space="preserve">commercially unattractive places (complex/expensive installation). Therefore the possibility of subsidising the installation/purchase of electric recharging points in such places is reported as under consideration.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w:t>
      </w:r>
      <w:r>
        <w:rPr>
          <w:rFonts w:ascii="Times New Roman" w:hAnsi="Times New Roman" w:cs="Times New Roman"/>
          <w:noProof/>
          <w:sz w:val="24"/>
          <w:lang w:val="en-IE"/>
        </w:rPr>
        <w:t>echnologies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on support of manufacturing plants for AF technologies is unavailable in the LT NIR.</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w:t>
      </w:r>
      <w:r>
        <w:rPr>
          <w:rFonts w:ascii="Times New Roman" w:hAnsi="Times New Roman" w:cs="Times New Roman"/>
          <w:noProof/>
          <w:sz w:val="24"/>
          <w:lang w:val="en-IE"/>
        </w:rPr>
        <w:t>in the Lithuanian NIR.</w:t>
      </w:r>
    </w:p>
    <w:p w:rsidR="003C43BF" w:rsidRDefault="006C3212">
      <w:pPr>
        <w:pStyle w:val="Heading4"/>
        <w:spacing w:before="240"/>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_Ref53502281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5.15.4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w:t>
      </w:r>
      <w:r>
        <w:rPr>
          <w:rFonts w:ascii="Times New Roman" w:hAnsi="Times New Roman" w:cs="Times New Roman"/>
          <w:noProof/>
          <w:sz w:val="24"/>
          <w:lang w:val="en-IE"/>
        </w:rPr>
        <w:t xml:space="preserve">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several clusters of measures have been identified, however it shall be remarked that the description of the measures an</w:t>
      </w:r>
      <w:r>
        <w:rPr>
          <w:rFonts w:ascii="Times New Roman" w:hAnsi="Times New Roman" w:cs="Times New Roman"/>
          <w:noProof/>
          <w:sz w:val="24"/>
          <w:lang w:val="en-IE"/>
        </w:rPr>
        <w:t>d the level of details provided in the LT NIR are not sufficient to carry out a robust assessment. Notwithstanding this, an attempt has been made to provide some insight. Nine clusters of measures have been identified and none of them obtains an overall hi</w:t>
      </w:r>
      <w:r>
        <w:rPr>
          <w:rFonts w:ascii="Times New Roman" w:hAnsi="Times New Roman" w:cs="Times New Roman"/>
          <w:noProof/>
          <w:sz w:val="24"/>
          <w:lang w:val="en-IE"/>
        </w:rPr>
        <w:t>gh score. Only the clusters for electricity/road, CNG/road, LNG/road and hydrogen/road result to be comprehensive, while all the others are not comprehensive. In terms of expected impact of these measures to support the realisation of the AFV/AFI objective</w:t>
      </w:r>
      <w:r>
        <w:rPr>
          <w:rFonts w:ascii="Times New Roman" w:hAnsi="Times New Roman" w:cs="Times New Roman"/>
          <w:noProof/>
          <w:sz w:val="24"/>
          <w:lang w:val="en-IE"/>
        </w:rPr>
        <w:t xml:space="preserve">s as presented in the NPF and revised in the NIR, keeping in mind the caveat mentioned earlier, it can be said that the measures for the pairs electricity/road and CNG/road might have a medium impact, while all the others might have a lower impact. </w:t>
      </w:r>
    </w:p>
    <w:p w:rsidR="003C43BF" w:rsidRDefault="006C3212">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Compared to the NPF, the level of ambition of the Policy and Deployment &amp; Manufacturing measures support measures has increased for all pairs. </w:t>
      </w:r>
    </w:p>
    <w:p w:rsidR="003C43BF" w:rsidRDefault="003C43BF">
      <w:pPr>
        <w:spacing w:before="120"/>
        <w:jc w:val="both"/>
        <w:rPr>
          <w:rFonts w:ascii="Times New Roman" w:hAnsi="Times New Roman" w:cs="Times New Roman"/>
          <w:noProof/>
          <w:sz w:val="24"/>
          <w:lang w:val="en-IE"/>
        </w:rPr>
      </w:pPr>
    </w:p>
    <w:p w:rsidR="003C43BF" w:rsidRDefault="006C3212">
      <w:pPr>
        <w:pStyle w:val="Text1"/>
        <w:tabs>
          <w:tab w:val="left" w:pos="720"/>
        </w:tabs>
        <w:ind w:left="0"/>
        <w:jc w:val="both"/>
        <w:rPr>
          <w:rFonts w:ascii="Times New Roman" w:hAnsi="Times New Roman" w:cs="Times New Roman"/>
          <w:noProof/>
          <w:sz w:val="24"/>
          <w:lang w:val="en-IE"/>
        </w:rPr>
      </w:pPr>
      <w:bookmarkStart w:id="356" w:name="_Ref53502281"/>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5.15.4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356"/>
      <w:r>
        <w:rPr>
          <w:rFonts w:ascii="Times New Roman" w:hAnsi="Times New Roman" w:cs="Times New Roman"/>
          <w:i/>
          <w:noProof/>
          <w:sz w:val="20"/>
          <w:szCs w:val="18"/>
          <w:lang w:val="en-IE"/>
        </w:rPr>
        <w:t xml:space="preserve"> Quantitative assessment of Policy and Deployment </w:t>
      </w:r>
      <w:r>
        <w:rPr>
          <w:rFonts w:ascii="Times New Roman" w:hAnsi="Times New Roman" w:cs="Times New Roman"/>
          <w:i/>
          <w:noProof/>
          <w:sz w:val="20"/>
          <w:szCs w:val="18"/>
          <w:lang w:val="en-IE"/>
        </w:rPr>
        <w:t>&amp; Manufacturing support measures</w:t>
      </w:r>
      <w:r>
        <w:rPr>
          <w:rFonts w:ascii="Times New Roman" w:hAnsi="Times New Roman" w:cs="Times New Roman"/>
          <w:noProof/>
          <w:sz w:val="24"/>
          <w:lang w:val="en-IE"/>
        </w:rPr>
        <w:t xml:space="preserve"> </w:t>
      </w:r>
    </w:p>
    <w:p w:rsidR="003C43BF" w:rsidRDefault="006C3212">
      <w:pPr>
        <w:pStyle w:val="Caption"/>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3600" cy="2421715"/>
            <wp:effectExtent l="0" t="0" r="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421715"/>
                    </a:xfrm>
                    <a:prstGeom prst="rect">
                      <a:avLst/>
                    </a:prstGeom>
                    <a:noFill/>
                    <a:ln>
                      <a:noFill/>
                    </a:ln>
                  </pic:spPr>
                </pic:pic>
              </a:graphicData>
            </a:graphic>
          </wp:inline>
        </w:drawing>
      </w:r>
    </w:p>
    <w:p w:rsidR="003C43BF" w:rsidRDefault="006C3212">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H = high; M = medium; L = low; X = not assessable. Comprehensiveness: C = comprehensive; N = Not comprehensive. Ambition level: ‘+’ means ‘higher’; ‘=’ means ‘comparable’; ‘-‘ means ‘lower’.</w:t>
      </w:r>
    </w:p>
    <w:p w:rsidR="003C43BF" w:rsidRDefault="003C43BF">
      <w:pPr>
        <w:jc w:val="both"/>
        <w:rPr>
          <w:rFonts w:ascii="Times New Roman" w:eastAsia="Calibri" w:hAnsi="Times New Roman" w:cs="Times New Roman"/>
          <w:noProof/>
          <w:sz w:val="20"/>
          <w:szCs w:val="18"/>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w:t>
      </w:r>
      <w:r>
        <w:rPr>
          <w:rFonts w:ascii="Times New Roman" w:hAnsi="Times New Roman" w:cs="Times New Roman"/>
          <w:noProof/>
          <w:sz w:val="24"/>
          <w:lang w:val="en-IE"/>
        </w:rPr>
        <w:t>hnological Development &amp; Demonstration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LT NIR reports on three RTD&amp;D projects versus none in the NPF. This show an increased level of ambition. The first RTD&amp;D project is on buses powered by hydrogen-enriched natural gas (H2NG). The NIR adds that, at t</w:t>
      </w:r>
      <w:r>
        <w:rPr>
          <w:rFonts w:ascii="Times New Roman" w:hAnsi="Times New Roman" w:cs="Times New Roman"/>
          <w:noProof/>
          <w:sz w:val="24"/>
          <w:lang w:val="en-IE"/>
        </w:rPr>
        <w:t>he time of writing, there were three CNG stations (in Ukmergė, Telšiai and Marijampolė), where natural gas was enriched with hydrogen. The second RTD&amp;D measure is on the development of a LNG driven tugboat for shallow inland waterways, with a foreseen budg</w:t>
      </w:r>
      <w:r>
        <w:rPr>
          <w:rFonts w:ascii="Times New Roman" w:hAnsi="Times New Roman" w:cs="Times New Roman"/>
          <w:noProof/>
          <w:sz w:val="24"/>
          <w:lang w:val="en-IE"/>
        </w:rPr>
        <w:t>et of 2.2 million € for 2021-2025. Finally, the LT NIR reports on the participation</w:t>
      </w:r>
      <w:r>
        <w:rPr>
          <w:rStyle w:val="FootnoteReference"/>
          <w:rFonts w:ascii="Times New Roman" w:hAnsi="Times New Roman" w:cs="Times New Roman"/>
          <w:noProof/>
          <w:sz w:val="24"/>
          <w:lang w:val="en-IE"/>
        </w:rPr>
        <w:footnoteReference w:id="54"/>
      </w:r>
      <w:r>
        <w:rPr>
          <w:rFonts w:ascii="Times New Roman" w:hAnsi="Times New Roman" w:cs="Times New Roman"/>
          <w:noProof/>
          <w:sz w:val="24"/>
          <w:lang w:val="en-IE"/>
        </w:rPr>
        <w:t xml:space="preserve"> in the multilateral pilot project initiated by the European Commission "</w:t>
      </w:r>
      <w:r>
        <w:rPr>
          <w:rFonts w:ascii="Times New Roman" w:hAnsi="Times New Roman" w:cs="Times New Roman"/>
          <w:i/>
          <w:noProof/>
          <w:sz w:val="24"/>
          <w:lang w:val="en-IE"/>
        </w:rPr>
        <w:t>Data collection related to recharging/refuelling points for alternative fuels and the unique identi</w:t>
      </w:r>
      <w:r>
        <w:rPr>
          <w:rFonts w:ascii="Times New Roman" w:hAnsi="Times New Roman" w:cs="Times New Roman"/>
          <w:i/>
          <w:noProof/>
          <w:sz w:val="24"/>
          <w:lang w:val="en-IE"/>
        </w:rPr>
        <w:t>fication codes related to e-Mobility actors</w:t>
      </w:r>
      <w:r>
        <w:rPr>
          <w:rFonts w:ascii="Times New Roman" w:hAnsi="Times New Roman" w:cs="Times New Roman"/>
          <w:noProof/>
          <w:sz w:val="24"/>
          <w:lang w:val="en-IE"/>
        </w:rPr>
        <w:t>", where the goal is to establish, at European Union level, an identification system for electric car charging access and electric car charging access operators, and an information system for consumers with information on electric car charging access. No i</w:t>
      </w:r>
      <w:r>
        <w:rPr>
          <w:rFonts w:ascii="Times New Roman" w:hAnsi="Times New Roman" w:cs="Times New Roman"/>
          <w:noProof/>
          <w:sz w:val="24"/>
          <w:lang w:val="en-IE"/>
        </w:rPr>
        <w:t xml:space="preserve">nformation was provided on the financing instruments established to support RTD&amp;D activities in Lithuania. </w:t>
      </w:r>
    </w:p>
    <w:p w:rsidR="003C43BF" w:rsidRDefault="003C43BF">
      <w:pPr>
        <w:tabs>
          <w:tab w:val="left" w:pos="360"/>
        </w:tabs>
        <w:jc w:val="both"/>
        <w:rPr>
          <w:rFonts w:ascii="Times New Roman" w:hAnsi="Times New Roman" w:cs="Times New Roman"/>
          <w:iCs/>
          <w:noProof/>
          <w:sz w:val="24"/>
          <w:lang w:val="en-IE"/>
        </w:rPr>
      </w:pPr>
    </w:p>
    <w:p w:rsidR="003C43BF" w:rsidRDefault="006C3212">
      <w:pPr>
        <w:pStyle w:val="Heading3"/>
        <w:ind w:left="720"/>
        <w:rPr>
          <w:rFonts w:ascii="Times New Roman" w:hAnsi="Times New Roman" w:cs="Times New Roman"/>
          <w:noProof/>
          <w:sz w:val="24"/>
          <w:lang w:val="en-IE"/>
        </w:rPr>
      </w:pPr>
      <w:bookmarkStart w:id="357" w:name="_Toc55301900"/>
      <w:bookmarkStart w:id="358" w:name="_Toc56944212"/>
      <w:r>
        <w:rPr>
          <w:rFonts w:ascii="Times New Roman" w:hAnsi="Times New Roman" w:cs="Times New Roman"/>
          <w:noProof/>
          <w:sz w:val="24"/>
          <w:lang w:val="en-IE"/>
        </w:rPr>
        <w:t>Additional information on alternative fuels infrastructure developments</w:t>
      </w:r>
      <w:bookmarkEnd w:id="357"/>
      <w:bookmarkEnd w:id="358"/>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LT NIR provides information on the changes in fuel use but only until 2</w:t>
      </w:r>
      <w:r>
        <w:rPr>
          <w:rFonts w:ascii="Times New Roman" w:hAnsi="Times New Roman" w:cs="Times New Roman"/>
          <w:noProof/>
          <w:sz w:val="24"/>
          <w:lang w:val="en-IE"/>
        </w:rPr>
        <w:t xml:space="preserve">018 and only for road transport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_Ref53502307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5.15.5</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As no future estimates were provided, one can only comment on a slight decrease in gasoline and LP</w:t>
      </w:r>
      <w:r>
        <w:rPr>
          <w:rFonts w:ascii="Times New Roman" w:hAnsi="Times New Roman" w:cs="Times New Roman"/>
          <w:noProof/>
          <w:sz w:val="24"/>
          <w:lang w:val="en-IE"/>
        </w:rPr>
        <w:t xml:space="preserve">G use for road and a comparable diesel increase. No growing use of biofuels or CNG is noticed, nor any noticeable consumption of electricity and LNG is reported. </w:t>
      </w:r>
    </w:p>
    <w:p w:rsidR="003C43BF" w:rsidRDefault="003C43BF">
      <w:pPr>
        <w:jc w:val="both"/>
        <w:rPr>
          <w:rFonts w:ascii="Times New Roman" w:hAnsi="Times New Roman" w:cs="Times New Roman"/>
          <w:noProof/>
          <w:sz w:val="24"/>
          <w:lang w:val="en-IE"/>
        </w:rPr>
      </w:pPr>
    </w:p>
    <w:p w:rsidR="003C43BF" w:rsidRDefault="006C3212">
      <w:pPr>
        <w:pStyle w:val="Caption"/>
        <w:rPr>
          <w:rFonts w:ascii="Times New Roman" w:hAnsi="Times New Roman" w:cs="Times New Roman"/>
          <w:b w:val="0"/>
          <w:i/>
          <w:noProof/>
          <w:sz w:val="20"/>
          <w:szCs w:val="18"/>
          <w:lang w:val="en-IE"/>
        </w:rPr>
      </w:pPr>
      <w:bookmarkStart w:id="359" w:name="_Ref53502307"/>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5.15.5</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359"/>
      <w:r>
        <w:rPr>
          <w:rFonts w:ascii="Times New Roman" w:hAnsi="Times New Roman" w:cs="Times New Roman"/>
          <w:b w:val="0"/>
          <w:i/>
          <w:noProof/>
          <w:sz w:val="20"/>
          <w:szCs w:val="18"/>
          <w:lang w:val="en-IE"/>
        </w:rPr>
        <w:t xml:space="preserve"> Changes in fuel use in transpo</w:t>
      </w:r>
      <w:r>
        <w:rPr>
          <w:rFonts w:ascii="Times New Roman" w:hAnsi="Times New Roman" w:cs="Times New Roman"/>
          <w:b w:val="0"/>
          <w:i/>
          <w:noProof/>
          <w:sz w:val="20"/>
          <w:szCs w:val="18"/>
          <w:lang w:val="en-IE"/>
        </w:rPr>
        <w:t>rt sector (2016-2018)</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noProof/>
          <w:sz w:val="24"/>
          <w:lang w:eastAsia="en-GB"/>
        </w:rPr>
        <w:drawing>
          <wp:inline distT="0" distB="0" distL="0" distR="0">
            <wp:extent cx="3973830" cy="2217420"/>
            <wp:effectExtent l="0" t="0" r="762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78617" cy="2220091"/>
                    </a:xfrm>
                    <a:prstGeom prst="rect">
                      <a:avLst/>
                    </a:prstGeom>
                    <a:noFill/>
                    <a:ln>
                      <a:noFill/>
                    </a:ln>
                  </pic:spPr>
                </pic:pic>
              </a:graphicData>
            </a:graphic>
          </wp:inline>
        </w:drawing>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360" w:name="_Toc55301901"/>
      <w:bookmarkStart w:id="361" w:name="_Toc56944213"/>
      <w:r>
        <w:rPr>
          <w:rFonts w:ascii="Times New Roman" w:hAnsi="Times New Roman" w:cs="Times New Roman"/>
          <w:noProof/>
          <w:sz w:val="24"/>
          <w:lang w:val="en-IE"/>
        </w:rPr>
        <w:t>Summary of the assessment</w:t>
      </w:r>
      <w:bookmarkEnd w:id="360"/>
      <w:bookmarkEnd w:id="361"/>
      <w:r>
        <w:rPr>
          <w:rFonts w:ascii="Times New Roman" w:hAnsi="Times New Roman" w:cs="Times New Roman"/>
          <w:noProof/>
          <w:sz w:val="24"/>
          <w:lang w:val="en-IE"/>
        </w:rPr>
        <w:tab/>
      </w:r>
    </w:p>
    <w:p w:rsidR="003C43BF" w:rsidRDefault="006C3212">
      <w:pPr>
        <w:jc w:val="both"/>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spacing w:after="0"/>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5.15.6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5944235" cy="4097020"/>
            <wp:effectExtent l="0" t="0" r="0" b="0"/>
            <wp:docPr id="7888" name="Picture 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4235" cy="4097020"/>
                    </a:xfrm>
                    <a:prstGeom prst="rect">
                      <a:avLst/>
                    </a:prstGeom>
                    <a:noFill/>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rPr>
          <w:rFonts w:ascii="Times New Roman" w:hAnsi="Times New Roman" w:cs="Times New Roman"/>
          <w:noProof/>
          <w:sz w:val="24"/>
          <w:lang w:val="en-IE"/>
        </w:rPr>
      </w:pPr>
      <w:r>
        <w:rPr>
          <w:rFonts w:ascii="Times New Roman" w:hAnsi="Times New Roman" w:cs="Times New Roman"/>
          <w:noProof/>
          <w:sz w:val="20"/>
          <w:lang w:val="en-IE"/>
        </w:rPr>
        <w:t>* Value taken from EAFO (absent in both NPF and NIR).</w:t>
      </w:r>
    </w:p>
    <w:p w:rsidR="003C43BF" w:rsidRDefault="006C3212">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LT NIR addresses most of the requirements of Annex I of the Directive, but only partially, and it does not provide specific information on the methodology applied to take account of the charging efficiency of high power recharging points. Also it does </w:t>
      </w:r>
      <w:r>
        <w:rPr>
          <w:rFonts w:ascii="Times New Roman" w:hAnsi="Times New Roman" w:cs="Times New Roman"/>
          <w:noProof/>
          <w:sz w:val="24"/>
          <w:lang w:val="en-IE"/>
        </w:rPr>
        <w:t xml:space="preserve">not provide considerations on any particular needs during the initial phase of AFI deployment. </w:t>
      </w:r>
    </w:p>
    <w:p w:rsidR="003C43BF" w:rsidRDefault="006C3212">
      <w:pPr>
        <w:tabs>
          <w:tab w:val="left" w:pos="966"/>
        </w:tabs>
        <w:jc w:val="both"/>
        <w:rPr>
          <w:rFonts w:ascii="Times New Roman" w:hAnsi="Times New Roman" w:cs="Times New Roman"/>
          <w:noProof/>
          <w:sz w:val="24"/>
          <w:lang w:val="en-IE"/>
        </w:rPr>
      </w:pPr>
      <w:r>
        <w:rPr>
          <w:rFonts w:ascii="Times New Roman" w:hAnsi="Times New Roman" w:cs="Times New Roman"/>
          <w:iCs/>
          <w:noProof/>
          <w:sz w:val="24"/>
          <w:lang w:val="en-IE"/>
        </w:rPr>
        <w:t>The LT NIR contains an extensive and wide-scope portfolio of measures, but often it lacks a sufficient description, which makes the assessment results less robu</w:t>
      </w:r>
      <w:r>
        <w:rPr>
          <w:rFonts w:ascii="Times New Roman" w:hAnsi="Times New Roman" w:cs="Times New Roman"/>
          <w:iCs/>
          <w:noProof/>
          <w:sz w:val="24"/>
          <w:lang w:val="en-IE"/>
        </w:rPr>
        <w:t>st. The majority of reported measures focus on electricity and CNG for road transport.</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Lithuanian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w:t>
      </w:r>
      <w:r>
        <w:rPr>
          <w:rFonts w:ascii="Times New Roman" w:hAnsi="Times New Roman" w:cs="Times New Roman"/>
          <w:noProof/>
          <w:sz w:val="24"/>
          <w:lang w:val="en-IE"/>
        </w:rPr>
        <w:t>t</w:t>
      </w:r>
    </w:p>
    <w:p w:rsidR="003C43BF" w:rsidRDefault="006C3212">
      <w:pPr>
        <w:pStyle w:val="ListParagraph"/>
        <w:numPr>
          <w:ilvl w:val="0"/>
          <w:numId w:val="15"/>
        </w:numPr>
        <w:tabs>
          <w:tab w:val="left" w:pos="360"/>
        </w:tabs>
        <w:spacing w:after="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t>
      </w:r>
      <w:r>
        <w:rPr>
          <w:rFonts w:ascii="Times New Roman" w:hAnsi="Times New Roman" w:cs="Times New Roman"/>
          <w:noProof/>
          <w:sz w:val="24"/>
          <w:lang w:val="en-IE" w:eastAsia="en-GB"/>
        </w:rPr>
        <w:t>Lituania reported a total of 1,556 electric vehicles in use in 2018 (</w:t>
      </w:r>
      <w:r>
        <w:rPr>
          <w:rFonts w:ascii="Times New Roman" w:hAnsi="Times New Roman" w:cs="Times New Roman"/>
          <w:noProof/>
          <w:sz w:val="24"/>
          <w:lang w:val="en-IE" w:eastAsia="en-GB"/>
        </w:rPr>
        <w:fldChar w:fldCharType="begin"/>
      </w:r>
      <w:r>
        <w:rPr>
          <w:rFonts w:ascii="Times New Roman" w:hAnsi="Times New Roman" w:cs="Times New Roman"/>
          <w:noProof/>
          <w:sz w:val="24"/>
          <w:lang w:val="en-IE" w:eastAsia="en-GB"/>
        </w:rPr>
        <w:instrText xml:space="preserve"> REF _Ref53502221 \h  \* MERGEFORMAT </w:instrText>
      </w:r>
      <w:r>
        <w:rPr>
          <w:rFonts w:ascii="Times New Roman" w:hAnsi="Times New Roman" w:cs="Times New Roman"/>
          <w:noProof/>
          <w:sz w:val="24"/>
          <w:lang w:val="en-IE" w:eastAsia="en-GB"/>
        </w:rPr>
      </w:r>
      <w:r>
        <w:rPr>
          <w:rFonts w:ascii="Times New Roman" w:hAnsi="Times New Roman" w:cs="Times New Roman"/>
          <w:noProof/>
          <w:sz w:val="24"/>
          <w:lang w:val="en-IE" w:eastAsia="en-GB"/>
        </w:rPr>
        <w:fldChar w:fldCharType="separate"/>
      </w:r>
      <w:r w:rsidRPr="006C3212">
        <w:rPr>
          <w:rFonts w:ascii="Times New Roman" w:hAnsi="Times New Roman" w:cs="Times New Roman"/>
          <w:iCs/>
          <w:noProof/>
          <w:color w:val="000000" w:themeColor="text1"/>
          <w:sz w:val="24"/>
          <w:lang w:val="en-IE"/>
        </w:rPr>
        <w:t>Table 5.15.3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eastAsia="en-GB"/>
        </w:rPr>
        <w:fldChar w:fldCharType="end"/>
      </w:r>
      <w:r>
        <w:rPr>
          <w:rFonts w:ascii="Times New Roman" w:hAnsi="Times New Roman" w:cs="Times New Roman"/>
          <w:noProof/>
          <w:sz w:val="24"/>
          <w:lang w:val="en-IE" w:eastAsia="en-GB"/>
        </w:rPr>
        <w:t xml:space="preserve">), of which 1,539 were passenger cars, 16 LCVs and 1 </w:t>
      </w:r>
      <w:r>
        <w:rPr>
          <w:rFonts w:ascii="Times New Roman" w:hAnsi="Times New Roman" w:cs="Times New Roman"/>
          <w:noProof/>
          <w:sz w:val="24"/>
          <w:lang w:val="en-IE" w:eastAsia="en-GB"/>
        </w:rPr>
        <w:t>HCV</w:t>
      </w:r>
      <w:r>
        <w:rPr>
          <w:rFonts w:ascii="Times New Roman" w:hAnsi="Times New Roman" w:cs="Times New Roman"/>
          <w:noProof/>
          <w:sz w:val="24"/>
          <w:lang w:val="en-IE"/>
        </w:rPr>
        <w:t>. The Lithuanian NIR</w:t>
      </w:r>
      <w:r>
        <w:rPr>
          <w:rFonts w:ascii="Times New Roman" w:hAnsi="Times New Roman" w:cs="Times New Roman"/>
          <w:noProof/>
          <w:sz w:val="24"/>
          <w:lang w:val="en-IE" w:eastAsia="en-GB"/>
        </w:rPr>
        <w:t xml:space="preserve"> presents a new plan with increased ambition compared to the NPF, with an estimate of</w:t>
      </w:r>
      <w:r>
        <w:rPr>
          <w:rFonts w:ascii="Times New Roman" w:hAnsi="Times New Roman" w:cs="Times New Roman"/>
          <w:noProof/>
          <w:sz w:val="24"/>
          <w:lang w:val="en-IE"/>
        </w:rPr>
        <w:t xml:space="preserve"> </w:t>
      </w:r>
      <w:r>
        <w:rPr>
          <w:rFonts w:ascii="Times New Roman" w:hAnsi="Times New Roman" w:cs="Times New Roman"/>
          <w:noProof/>
          <w:sz w:val="24"/>
          <w:lang w:val="en-IE" w:eastAsia="en-GB"/>
        </w:rPr>
        <w:t>230,332 passenger cars and 18,231 LCVs by 2030. The heavy-duty sector is excluded from future estimates in the LT NIR.</w:t>
      </w:r>
      <w:r>
        <w:rPr>
          <w:rFonts w:ascii="Times New Roman" w:hAnsi="Times New Roman" w:cs="Times New Roman"/>
          <w:noProof/>
          <w:sz w:val="24"/>
          <w:lang w:val="en-IE"/>
        </w:rPr>
        <w:t xml:space="preserve"> With respect to this plan, the 2018 progress is adequate. Similarly to the vehicles, </w:t>
      </w:r>
      <w:r>
        <w:rPr>
          <w:rFonts w:ascii="Times New Roman" w:hAnsi="Times New Roman" w:cs="Times New Roman"/>
          <w:noProof/>
          <w:sz w:val="24"/>
          <w:lang w:val="en-IE" w:eastAsia="en-GB"/>
        </w:rPr>
        <w:t xml:space="preserve">the level of ambition for </w:t>
      </w:r>
      <w:r>
        <w:rPr>
          <w:rFonts w:ascii="Times New Roman" w:hAnsi="Times New Roman" w:cs="Times New Roman"/>
          <w:noProof/>
          <w:sz w:val="24"/>
          <w:lang w:val="en-IE"/>
        </w:rPr>
        <w:t>infrastructure</w:t>
      </w:r>
      <w:r>
        <w:rPr>
          <w:rFonts w:ascii="Times New Roman" w:hAnsi="Times New Roman" w:cs="Times New Roman"/>
          <w:noProof/>
          <w:sz w:val="24"/>
          <w:lang w:val="en-IE" w:eastAsia="en-GB"/>
        </w:rPr>
        <w:t xml:space="preserve"> in the LT NIR is higher than presented in NPF</w:t>
      </w:r>
      <w:r>
        <w:rPr>
          <w:rFonts w:ascii="Times New Roman" w:hAnsi="Times New Roman" w:cs="Times New Roman"/>
          <w:noProof/>
          <w:sz w:val="24"/>
          <w:lang w:val="en-IE"/>
        </w:rPr>
        <w:t>. With 212 publically accessible recharging points recorded in 2018, Lithuania plans</w:t>
      </w:r>
      <w:r>
        <w:rPr>
          <w:rFonts w:ascii="Times New Roman" w:hAnsi="Times New Roman" w:cs="Times New Roman"/>
          <w:noProof/>
          <w:sz w:val="24"/>
          <w:lang w:val="en-IE"/>
        </w:rPr>
        <w:t xml:space="preserve"> to have 15,055 public and 60,000 private recharging points in 2030. Also the progress towards this target is assessed as adequate in 2018. The sufficiency ratio is adequate in 2018 and in 2030, however a big unbalance exists in the foreseen progression of</w:t>
      </w:r>
      <w:r>
        <w:rPr>
          <w:rFonts w:ascii="Times New Roman" w:hAnsi="Times New Roman" w:cs="Times New Roman"/>
          <w:noProof/>
          <w:sz w:val="24"/>
          <w:lang w:val="en-IE"/>
        </w:rPr>
        <w:t xml:space="preserve"> EVs and public recharging points between 2020 and 2025 (with a sufficiency index in 2025 equal to 166.24, thus highly inadequate).</w:t>
      </w:r>
    </w:p>
    <w:p w:rsidR="003C43BF" w:rsidRDefault="003C43BF">
      <w:pPr>
        <w:pStyle w:val="ListParagraph"/>
        <w:tabs>
          <w:tab w:val="left" w:pos="360"/>
        </w:tabs>
        <w:spacing w:after="0"/>
        <w:ind w:left="360"/>
        <w:jc w:val="both"/>
        <w:rPr>
          <w:rFonts w:ascii="Times New Roman" w:hAnsi="Times New Roman" w:cs="Times New Roman"/>
          <w:noProof/>
          <w:sz w:val="24"/>
          <w:lang w:val="en-IE"/>
        </w:rPr>
      </w:pPr>
    </w:p>
    <w:p w:rsidR="003C43BF" w:rsidRDefault="006C3212">
      <w:pPr>
        <w:pStyle w:val="ListParagraph"/>
        <w:numPr>
          <w:ilvl w:val="0"/>
          <w:numId w:val="15"/>
        </w:numPr>
        <w:tabs>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Lithuania recorded 300 CNG buses and coaches in 2018, out of a total CNG fleet of 405 vehicles. This indicates that C</w:t>
      </w:r>
      <w:r>
        <w:rPr>
          <w:rFonts w:ascii="Times New Roman" w:hAnsi="Times New Roman" w:cs="Times New Roman"/>
          <w:noProof/>
          <w:sz w:val="24"/>
          <w:lang w:val="en-IE"/>
        </w:rPr>
        <w:t>NG is the main alternative fuel used by public transport fleets in large cities in Lithuania. Lithuanian ambitions for the number of CNG vehicles and infrastructure in the LT NIR are again higher than presented in NPF. New estimates for CNG vehicles reveal</w:t>
      </w:r>
      <w:r>
        <w:rPr>
          <w:rFonts w:ascii="Times New Roman" w:hAnsi="Times New Roman" w:cs="Times New Roman"/>
          <w:noProof/>
          <w:sz w:val="24"/>
          <w:lang w:val="en-IE"/>
        </w:rPr>
        <w:t xml:space="preserve"> that the biggest growth is expected in numbers of CNG passenger cars (10,000 in 2030) and HCVs (1,000 in 2030). The progress in 2018 is slow. Lithuania reported four publicly accessible CNG refuelling stations in 2018 (plus six private). The LT NIR report</w:t>
      </w:r>
      <w:r>
        <w:rPr>
          <w:rFonts w:ascii="Times New Roman" w:hAnsi="Times New Roman" w:cs="Times New Roman"/>
          <w:noProof/>
          <w:sz w:val="24"/>
          <w:lang w:val="en-IE"/>
        </w:rPr>
        <w:t xml:space="preserve">s that Lithuania aims to achieve 8 public CNG refuelling points in 2020 (20% less than in the NPF) and 28 in 2030 (no target was present in the NPF). Also for CNG infrastructure the 2018 progress is slow, while the sufficiency index is considered adequate </w:t>
      </w:r>
      <w:r>
        <w:rPr>
          <w:rFonts w:ascii="Times New Roman" w:hAnsi="Times New Roman" w:cs="Times New Roman"/>
          <w:noProof/>
          <w:sz w:val="24"/>
          <w:lang w:val="en-IE"/>
        </w:rPr>
        <w:t xml:space="preserve">for the whole period 2016-2030. </w:t>
      </w:r>
    </w:p>
    <w:p w:rsidR="003C43BF" w:rsidRDefault="003C43BF">
      <w:pPr>
        <w:pStyle w:val="ListParagraph"/>
        <w:tabs>
          <w:tab w:val="left" w:pos="966"/>
        </w:tabs>
        <w:ind w:left="360"/>
        <w:jc w:val="both"/>
        <w:rPr>
          <w:rFonts w:ascii="Times New Roman" w:hAnsi="Times New Roman" w:cs="Times New Roman"/>
          <w:noProof/>
          <w:sz w:val="24"/>
          <w:lang w:val="en-IE"/>
        </w:rPr>
      </w:pPr>
    </w:p>
    <w:p w:rsidR="003C43BF" w:rsidRDefault="006C3212">
      <w:pPr>
        <w:pStyle w:val="ListParagraph"/>
        <w:numPr>
          <w:ilvl w:val="0"/>
          <w:numId w:val="15"/>
        </w:numPr>
        <w:tabs>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xml:space="preserve">– Lithuania reported 207 LNG vehicles in 2018, mainly buses and coaches (172). With regard to the next decade, the LT NIR proposes new (not present in NPF) estimates for 2025 and 2030, while 2020 is not addressed. The </w:t>
      </w:r>
      <w:r>
        <w:rPr>
          <w:rFonts w:ascii="Times New Roman" w:hAnsi="Times New Roman" w:cs="Times New Roman"/>
          <w:noProof/>
          <w:sz w:val="24"/>
          <w:lang w:val="en-IE"/>
        </w:rPr>
        <w:t xml:space="preserve">LT NIR aims to achieve 1,075 LNG vehicles in 2030. This estimated growth is planned mainly for the HCVs (1,000), but 50 LCVs and 25 buses and coaches are also expected in 2030. As for the infrastructure, the LT NIR reports two public LNG refuelling points </w:t>
      </w:r>
      <w:r>
        <w:rPr>
          <w:rFonts w:ascii="Times New Roman" w:hAnsi="Times New Roman" w:cs="Times New Roman"/>
          <w:noProof/>
          <w:sz w:val="24"/>
          <w:lang w:val="en-IE"/>
        </w:rPr>
        <w:t>in 2018 and a new target of five public refuelling points for 2030.</w:t>
      </w:r>
    </w:p>
    <w:p w:rsidR="003C43BF" w:rsidRDefault="003C43BF">
      <w:pPr>
        <w:pStyle w:val="ListParagraph"/>
        <w:tabs>
          <w:tab w:val="left" w:pos="966"/>
        </w:tabs>
        <w:ind w:left="360"/>
        <w:jc w:val="both"/>
        <w:rPr>
          <w:rFonts w:ascii="Times New Roman" w:hAnsi="Times New Roman" w:cs="Times New Roman"/>
          <w:noProof/>
          <w:sz w:val="24"/>
          <w:lang w:val="en-IE"/>
        </w:rPr>
      </w:pPr>
    </w:p>
    <w:p w:rsidR="003C43BF" w:rsidRDefault="006C3212">
      <w:pPr>
        <w:pStyle w:val="ListParagraph"/>
        <w:numPr>
          <w:ilvl w:val="0"/>
          <w:numId w:val="81"/>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There are currently no hydrogen vehicles in Lithuania but for 2030, 1,000 passenger cars, 100 LCVs, 50 HCVs and 100 buses and coaches are expected. The LT NIR does not report n</w:t>
      </w:r>
      <w:r>
        <w:rPr>
          <w:rFonts w:ascii="Times New Roman" w:hAnsi="Times New Roman" w:cs="Times New Roman"/>
          <w:noProof/>
          <w:sz w:val="24"/>
          <w:lang w:val="en-IE"/>
        </w:rPr>
        <w:t>or foresees any public hydrogen refuelling point in operation for the years from 2016 until 2020. However it provides new targets for 2025 and 2030 (not reported in NPF), respectively 2 and 10 refuelling points.</w:t>
      </w:r>
    </w:p>
    <w:p w:rsidR="003C43BF" w:rsidRDefault="003C43BF">
      <w:pPr>
        <w:pStyle w:val="ListParagraph"/>
        <w:tabs>
          <w:tab w:val="left" w:pos="966"/>
        </w:tabs>
        <w:ind w:left="360"/>
        <w:jc w:val="both"/>
        <w:rPr>
          <w:rFonts w:ascii="Times New Roman" w:hAnsi="Times New Roman" w:cs="Times New Roman"/>
          <w:noProof/>
          <w:sz w:val="24"/>
          <w:lang w:val="en-IE"/>
        </w:rPr>
      </w:pPr>
    </w:p>
    <w:p w:rsidR="003C43BF" w:rsidRDefault="006C3212">
      <w:pPr>
        <w:pStyle w:val="ListParagraph"/>
        <w:numPr>
          <w:ilvl w:val="0"/>
          <w:numId w:val="15"/>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LT NIR only provides the informa</w:t>
      </w:r>
      <w:r>
        <w:rPr>
          <w:rFonts w:ascii="Times New Roman" w:hAnsi="Times New Roman" w:cs="Times New Roman"/>
          <w:noProof/>
          <w:sz w:val="24"/>
          <w:lang w:val="en-IE"/>
        </w:rPr>
        <w:t>tion that “</w:t>
      </w:r>
      <w:r>
        <w:rPr>
          <w:rFonts w:ascii="Times New Roman" w:hAnsi="Times New Roman" w:cs="Times New Roman"/>
          <w:i/>
          <w:noProof/>
          <w:sz w:val="24"/>
          <w:lang w:val="en-IE"/>
        </w:rPr>
        <w:t xml:space="preserve">Biofuels are used for blending in petrol and diesel strictly in the manner provided for in national legislation. Lithuania aims to gradually transition to advanced biofuels produced from secondary waste. The ratios of biofuel blending in fossil </w:t>
      </w:r>
      <w:r>
        <w:rPr>
          <w:rFonts w:ascii="Times New Roman" w:hAnsi="Times New Roman" w:cs="Times New Roman"/>
          <w:i/>
          <w:noProof/>
          <w:sz w:val="24"/>
          <w:lang w:val="en-IE"/>
        </w:rPr>
        <w:t>fuels are increasing</w:t>
      </w:r>
      <w:r>
        <w:rPr>
          <w:rFonts w:ascii="Times New Roman" w:hAnsi="Times New Roman" w:cs="Times New Roman"/>
          <w:noProof/>
          <w:sz w:val="24"/>
          <w:lang w:val="en-IE"/>
        </w:rPr>
        <w:t>”.</w:t>
      </w:r>
    </w:p>
    <w:p w:rsidR="003C43BF" w:rsidRDefault="003C43BF">
      <w:pPr>
        <w:pStyle w:val="ListParagraph"/>
        <w:tabs>
          <w:tab w:val="left" w:pos="966"/>
        </w:tabs>
        <w:spacing w:before="120"/>
        <w:ind w:left="360"/>
        <w:jc w:val="both"/>
        <w:rPr>
          <w:rFonts w:ascii="Times New Roman" w:hAnsi="Times New Roman" w:cs="Times New Roman"/>
          <w:noProof/>
          <w:sz w:val="24"/>
          <w:lang w:val="en-IE"/>
        </w:rPr>
      </w:pPr>
    </w:p>
    <w:p w:rsidR="003C43BF" w:rsidRDefault="006C3212">
      <w:pPr>
        <w:pStyle w:val="ListParagraph"/>
        <w:numPr>
          <w:ilvl w:val="0"/>
          <w:numId w:val="81"/>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Lithuania reported 109,576 LPG vehicles in 2018, of which 108,565 passenger cars, 503 LCVs, 623 HCVs, and 87 buses and coaches. It also recorded 664 public LPG refuelling points in 2018. Regarding the next decade, the LT NIR d</w:t>
      </w:r>
      <w:r>
        <w:rPr>
          <w:rFonts w:ascii="Times New Roman" w:hAnsi="Times New Roman" w:cs="Times New Roman"/>
          <w:noProof/>
          <w:sz w:val="24"/>
          <w:lang w:val="en-IE"/>
        </w:rPr>
        <w:t>oes not propose any vehicle estimate and forecasts a slow but steady decline of LPG infrastructure.</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The LT NIR reports the plan to have 22 new electric locomotives in 2030 and a budget of 250 million € from EU funds for electrification of ra</w:t>
      </w:r>
      <w:r>
        <w:rPr>
          <w:rFonts w:ascii="Times New Roman" w:hAnsi="Times New Roman" w:cs="Times New Roman"/>
          <w:noProof/>
          <w:sz w:val="24"/>
          <w:lang w:val="en-IE"/>
        </w:rPr>
        <w:t>ilway in 2020.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1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LT NIR reports that, as Klaipėda State Seaport (KSS) is already equipped with facilities that can be used by operators of ships, no additional need of shore-side electricity supply facilities</w:t>
      </w:r>
      <w:r>
        <w:rPr>
          <w:rFonts w:ascii="Times New Roman" w:hAnsi="Times New Roman" w:cs="Times New Roman"/>
          <w:noProof/>
          <w:sz w:val="24"/>
          <w:lang w:val="en-IE"/>
        </w:rPr>
        <w:t xml:space="preserve"> is foreseen. Similarly, no plans about electric boats were revealed. </w:t>
      </w:r>
    </w:p>
    <w:p w:rsidR="003C43BF" w:rsidRDefault="006C3212">
      <w:pPr>
        <w:pStyle w:val="ListParagraph"/>
        <w:numPr>
          <w:ilvl w:val="0"/>
          <w:numId w:val="16"/>
        </w:numPr>
        <w:spacing w:after="160" w:line="259" w:lineRule="auto"/>
        <w:ind w:left="426"/>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Lithuania recorded one LNG refuelling point in its TEN-T Core port of Klaipėda in 2018. This LNG terminal has been in operation since December 2014, and recently the focus is put </w:t>
      </w:r>
      <w:r>
        <w:rPr>
          <w:rFonts w:ascii="Times New Roman" w:hAnsi="Times New Roman" w:cs="Times New Roman"/>
          <w:noProof/>
          <w:sz w:val="24"/>
          <w:lang w:val="en-IE"/>
        </w:rPr>
        <w:t>on Liquefied Natural Gas Distribution Station (LNG DS), which is an above-ground LNG terminal operated on a third-party access basis. The LT NIR confirms this infrastructure until 2030.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 (inland)</w:t>
      </w:r>
    </w:p>
    <w:p w:rsidR="003C43BF" w:rsidRDefault="006C3212">
      <w:pPr>
        <w:pStyle w:val="ListParagraph"/>
        <w:numPr>
          <w:ilvl w:val="0"/>
          <w:numId w:val="105"/>
        </w:numPr>
        <w:tabs>
          <w:tab w:val="left" w:pos="966"/>
        </w:tabs>
        <w:spacing w:after="160" w:line="259" w:lineRule="auto"/>
        <w:jc w:val="both"/>
        <w:rPr>
          <w:rFonts w:ascii="Times New Roman" w:hAnsi="Times New Roman" w:cs="Times New Roman"/>
          <w:noProof/>
          <w:color w:val="0070C0"/>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Lithuania did not record any shore-side electricity supply in 2018, but the LT NIR reports the plan to have three shore-side electricity supply for inland waterway vessels or recreational crafts in inland ports. The potential locations are Kaunas Lagoon</w:t>
      </w:r>
      <w:r>
        <w:rPr>
          <w:rFonts w:ascii="Times New Roman" w:hAnsi="Times New Roman" w:cs="Times New Roman"/>
          <w:noProof/>
          <w:sz w:val="24"/>
          <w:lang w:val="en-IE"/>
        </w:rPr>
        <w:t xml:space="preserve"> pier, Nida pier and Uostdvaris inland waterway port.</w:t>
      </w:r>
    </w:p>
    <w:p w:rsidR="003C43BF" w:rsidRDefault="006C3212">
      <w:pPr>
        <w:pStyle w:val="ListParagraph"/>
        <w:numPr>
          <w:ilvl w:val="0"/>
          <w:numId w:val="82"/>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LT NIR reports that the first LNG inland waterway vessels is foreseen for 2025, followed by other five by 2030. There was no LNG refuelling point for inland waterway vessels in 2018, but the L</w:t>
      </w:r>
      <w:r>
        <w:rPr>
          <w:rFonts w:ascii="Times New Roman" w:hAnsi="Times New Roman" w:cs="Times New Roman"/>
          <w:noProof/>
          <w:sz w:val="24"/>
          <w:lang w:val="en-IE"/>
        </w:rPr>
        <w:t xml:space="preserve">T NIR mentions the proposal by the Lithuanian Inland Waterway Authority to establish a LNG refuelling point in Marvele cargo pier (Kaunas).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83"/>
        </w:numPr>
        <w:spacing w:after="160" w:line="259" w:lineRule="auto"/>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Lithuania recorded 37 electric power supply points for stationary airplanes in use sinc</w:t>
      </w:r>
      <w:r>
        <w:rPr>
          <w:rFonts w:ascii="Times New Roman" w:hAnsi="Times New Roman" w:cs="Times New Roman"/>
          <w:noProof/>
          <w:sz w:val="24"/>
          <w:lang w:val="en-IE"/>
        </w:rPr>
        <w:t>e 2016. This number is expected to increase to 44 points in 2020, and 45 points in 2025 and 2030. Since according to the LT NIR Lithuania’s international airports already have the necessary infrastructure to supply electricity to stationary airplanes, no a</w:t>
      </w:r>
      <w:r>
        <w:rPr>
          <w:rFonts w:ascii="Times New Roman" w:hAnsi="Times New Roman" w:cs="Times New Roman"/>
          <w:noProof/>
          <w:sz w:val="24"/>
          <w:lang w:val="en-IE"/>
        </w:rPr>
        <w:t>dditional need for electricity supply facilities at airports is expected.</w:t>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LT NIR contains an extensive and wide-scope portfolio of </w:t>
      </w:r>
      <w:r>
        <w:rPr>
          <w:rFonts w:ascii="Times New Roman" w:hAnsi="Times New Roman" w:cs="Times New Roman"/>
          <w:b/>
          <w:iCs/>
          <w:noProof/>
          <w:sz w:val="24"/>
          <w:lang w:val="en-IE"/>
        </w:rPr>
        <w:t>measures</w:t>
      </w:r>
      <w:r>
        <w:rPr>
          <w:rFonts w:ascii="Times New Roman" w:hAnsi="Times New Roman" w:cs="Times New Roman"/>
          <w:iCs/>
          <w:noProof/>
          <w:sz w:val="24"/>
          <w:lang w:val="en-IE"/>
        </w:rPr>
        <w:t xml:space="preserve">, but often lacks a sufficient description, which makes the assessment results less robust. It presents 18 legal measures (versus 8 in the NPF) to promote AFs. Their description is short and mostly in the form of tables, but overall they show an increased </w:t>
      </w:r>
      <w:r>
        <w:rPr>
          <w:rFonts w:ascii="Times New Roman" w:hAnsi="Times New Roman" w:cs="Times New Roman"/>
          <w:iCs/>
          <w:noProof/>
          <w:sz w:val="24"/>
          <w:lang w:val="en-IE"/>
        </w:rPr>
        <w:t xml:space="preserve">ambition level compared to the NPF. As for the Policy and Deployment &amp; Manufacturing support measures, </w:t>
      </w:r>
      <w:r>
        <w:rPr>
          <w:rFonts w:ascii="Times New Roman" w:hAnsi="Times New Roman" w:cs="Times New Roman"/>
          <w:noProof/>
          <w:sz w:val="24"/>
          <w:lang w:val="en-IE"/>
        </w:rPr>
        <w:t>the main focus in the LT NIR is on electric vehicles, but CNG and LNG on roads are developing as well and concrete plans are also presented for hydrogen/</w:t>
      </w:r>
      <w:r>
        <w:rPr>
          <w:rFonts w:ascii="Times New Roman" w:hAnsi="Times New Roman" w:cs="Times New Roman"/>
          <w:noProof/>
          <w:sz w:val="24"/>
          <w:lang w:val="en-IE"/>
        </w:rPr>
        <w:t>road and LNG/waterborne (inland) transport.</w:t>
      </w:r>
      <w:r>
        <w:rPr>
          <w:rFonts w:ascii="Times New Roman" w:hAnsi="Times New Roman" w:cs="Times New Roman"/>
          <w:iCs/>
          <w:noProof/>
          <w:sz w:val="24"/>
          <w:lang w:val="en-IE"/>
        </w:rPr>
        <w:t xml:space="preserve"> </w:t>
      </w:r>
      <w:r>
        <w:rPr>
          <w:rFonts w:ascii="Times New Roman" w:hAnsi="Times New Roman" w:cs="Times New Roman"/>
          <w:noProof/>
          <w:sz w:val="24"/>
          <w:lang w:val="en-IE"/>
        </w:rPr>
        <w:t>Several clusters of measures have been identified, however their description and the level of details provided in the LT NIR are not sufficient to carry out a robust assessment. In terms of expected impact of the</w:t>
      </w:r>
      <w:r>
        <w:rPr>
          <w:rFonts w:ascii="Times New Roman" w:hAnsi="Times New Roman" w:cs="Times New Roman"/>
          <w:noProof/>
          <w:sz w:val="24"/>
          <w:lang w:val="en-IE"/>
        </w:rPr>
        <w:t xml:space="preserve">se measures to support the realisation of the AFV/AFI objectives as presented in the NPF and revised in the NIR, keeping in mind the caveat mentioned earlier, it can be said that the measures for the pairs electricity/road and CNG/road might have a medium </w:t>
      </w:r>
      <w:r>
        <w:rPr>
          <w:rFonts w:ascii="Times New Roman" w:hAnsi="Times New Roman" w:cs="Times New Roman"/>
          <w:noProof/>
          <w:sz w:val="24"/>
          <w:lang w:val="en-IE"/>
        </w:rPr>
        <w:t>impact, while all the others might have a lower impact. Compared to the NPF, the level of ambition of the Policy and Deployment &amp; Manufacturing measures support measures has increased for all pairs.</w:t>
      </w:r>
    </w:p>
    <w:p w:rsidR="003C43BF" w:rsidRDefault="003C43BF">
      <w:pPr>
        <w:spacing w:after="0"/>
        <w:jc w:val="both"/>
        <w:rPr>
          <w:rFonts w:ascii="Times New Roman" w:hAnsi="Times New Roman" w:cs="Times New Roman"/>
          <w:noProof/>
          <w:sz w:val="24"/>
          <w:lang w:val="en-IE"/>
        </w:rPr>
      </w:pP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The LT NIR reports on three RTD&amp;D projects versus none i</w:t>
      </w:r>
      <w:r>
        <w:rPr>
          <w:rFonts w:ascii="Times New Roman" w:hAnsi="Times New Roman" w:cs="Times New Roman"/>
          <w:noProof/>
          <w:sz w:val="24"/>
          <w:lang w:val="en-IE"/>
        </w:rPr>
        <w:t>n the NPF, showing an increased level of ambition also in this field. The first RTD&amp;D project is on buses powered by hydrogen-enriched natural gas (H2NG). The second measure is on the development of a LNG driven tugboat for shallow inland waterways. The th</w:t>
      </w:r>
      <w:r>
        <w:rPr>
          <w:rFonts w:ascii="Times New Roman" w:hAnsi="Times New Roman" w:cs="Times New Roman"/>
          <w:noProof/>
          <w:sz w:val="24"/>
          <w:lang w:val="en-IE"/>
        </w:rPr>
        <w:t>ird is on the participation in the multilateral pilot project initiated by the European Commission "</w:t>
      </w:r>
      <w:r>
        <w:rPr>
          <w:rFonts w:ascii="Times New Roman" w:hAnsi="Times New Roman" w:cs="Times New Roman"/>
          <w:i/>
          <w:noProof/>
          <w:sz w:val="24"/>
          <w:lang w:val="en-IE"/>
        </w:rPr>
        <w:t>Data collection related to recharging/refuelling points for alternative fuels and the unique identification codes related to e-Mobility actors</w:t>
      </w:r>
      <w:r>
        <w:rPr>
          <w:rFonts w:ascii="Times New Roman" w:hAnsi="Times New Roman" w:cs="Times New Roman"/>
          <w:noProof/>
          <w:sz w:val="24"/>
          <w:lang w:val="en-IE"/>
        </w:rPr>
        <w:t>".</w:t>
      </w:r>
    </w:p>
    <w:p w:rsidR="003C43BF" w:rsidRDefault="003C43BF">
      <w:pPr>
        <w:tabs>
          <w:tab w:val="left" w:pos="966"/>
        </w:tabs>
        <w:jc w:val="both"/>
        <w:rPr>
          <w:rFonts w:ascii="Times New Roman" w:hAnsi="Times New Roman" w:cs="Times New Roman"/>
          <w:noProof/>
          <w:sz w:val="24"/>
          <w:szCs w:val="24"/>
          <w:lang w:val="en-IE"/>
        </w:rPr>
      </w:pPr>
    </w:p>
    <w:p w:rsidR="003C43BF" w:rsidRDefault="006C3212">
      <w:pPr>
        <w:pStyle w:val="Heading3"/>
        <w:rPr>
          <w:rFonts w:ascii="Times New Roman" w:hAnsi="Times New Roman" w:cs="Times New Roman"/>
          <w:noProof/>
          <w:sz w:val="24"/>
          <w:szCs w:val="24"/>
          <w:lang w:val="en-IE"/>
        </w:rPr>
      </w:pPr>
      <w:bookmarkStart w:id="362" w:name="_Toc56944214"/>
      <w:r>
        <w:rPr>
          <w:rFonts w:ascii="Times New Roman" w:hAnsi="Times New Roman" w:cs="Times New Roman"/>
          <w:noProof/>
          <w:sz w:val="24"/>
          <w:szCs w:val="24"/>
          <w:lang w:val="en-IE"/>
        </w:rPr>
        <w:t>Final rema</w:t>
      </w:r>
      <w:r>
        <w:rPr>
          <w:rFonts w:ascii="Times New Roman" w:hAnsi="Times New Roman" w:cs="Times New Roman"/>
          <w:noProof/>
          <w:sz w:val="24"/>
          <w:szCs w:val="24"/>
          <w:lang w:val="en-IE"/>
        </w:rPr>
        <w:t>rks</w:t>
      </w:r>
      <w:bookmarkEnd w:id="362"/>
      <w:r>
        <w:rPr>
          <w:rFonts w:ascii="Times New Roman" w:hAnsi="Times New Roman" w:cs="Times New Roman"/>
          <w:noProof/>
          <w:sz w:val="24"/>
          <w:szCs w:val="24"/>
          <w:lang w:val="en-IE"/>
        </w:rPr>
        <w:t xml:space="preserve">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Lithuanian NIR provides a quite comprehensive report on the efforts to implement the Directive. The NIR complies, to a large extent, with the requirements of Annex I to the Directive and provides a relevant number of measures to support the uptake</w:t>
      </w:r>
      <w:r>
        <w:rPr>
          <w:rFonts w:ascii="Times New Roman" w:hAnsi="Times New Roman" w:cs="Times New Roman"/>
          <w:noProof/>
          <w:sz w:val="24"/>
          <w:szCs w:val="24"/>
          <w:lang w:val="en-IE"/>
        </w:rPr>
        <w:t xml:space="preserve"> of alternative fuels for transport. However, these measures lack granularity, which creates uncertainty about the impact of the overall Lithuanian approach for alternative fuels. Future reporting should provide further detail on measures planned to suppor</w:t>
      </w:r>
      <w:r>
        <w:rPr>
          <w:rFonts w:ascii="Times New Roman" w:hAnsi="Times New Roman" w:cs="Times New Roman"/>
          <w:noProof/>
          <w:sz w:val="24"/>
          <w:szCs w:val="24"/>
          <w:lang w:val="en-IE"/>
        </w:rPr>
        <w:t xml:space="preserve">t ramp up of use of alternative fuels in all mode of transport.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electricity, the NIR estimates that approximately 250,000 electric vehicles could be on the road by 2030, representing about 15% of the future fleet, as well as around 15,000 recharging p</w:t>
      </w:r>
      <w:r>
        <w:rPr>
          <w:rFonts w:ascii="Times New Roman" w:hAnsi="Times New Roman" w:cs="Times New Roman"/>
          <w:noProof/>
          <w:sz w:val="24"/>
          <w:szCs w:val="24"/>
          <w:lang w:val="en-IE"/>
        </w:rPr>
        <w:t xml:space="preserve">oints in the same year. Taking into account the current situation and expected trends, this level of ambition appears to be broadly consistent with the pace of deployment of electric vehicles considered necessary for a full transition to carbon neutrality </w:t>
      </w:r>
      <w:r>
        <w:rPr>
          <w:rFonts w:ascii="Times New Roman" w:hAnsi="Times New Roman" w:cs="Times New Roman"/>
          <w:noProof/>
          <w:sz w:val="24"/>
          <w:szCs w:val="24"/>
          <w:lang w:val="en-IE"/>
        </w:rPr>
        <w:t xml:space="preserve">by 2050. No direct information on charging efficiency is provided. The port of Klaipėda in the TEN-T Core Network is already equipped with shore-side </w:t>
      </w:r>
      <w:r>
        <w:rPr>
          <w:rFonts w:ascii="Times New Roman" w:hAnsi="Times New Roman" w:cs="Times New Roman"/>
          <w:noProof/>
          <w:color w:val="222222"/>
          <w:sz w:val="24"/>
          <w:lang w:val="en-IE"/>
        </w:rPr>
        <w:t>electricity</w:t>
      </w:r>
      <w:r>
        <w:rPr>
          <w:rFonts w:ascii="Times New Roman" w:hAnsi="Times New Roman" w:cs="Times New Roman"/>
          <w:noProof/>
          <w:sz w:val="24"/>
          <w:szCs w:val="24"/>
          <w:lang w:val="en-IE"/>
        </w:rPr>
        <w:t xml:space="preserve"> supply. Furthermore, Lithuania supports also the electrification for inland waterway vessels a</w:t>
      </w:r>
      <w:r>
        <w:rPr>
          <w:rFonts w:ascii="Times New Roman" w:hAnsi="Times New Roman" w:cs="Times New Roman"/>
          <w:noProof/>
          <w:sz w:val="24"/>
          <w:szCs w:val="24"/>
          <w:lang w:val="en-IE"/>
        </w:rPr>
        <w:t>nd recreational crafts in inland ports with shore-side electricity supply towards 2030. Lithuania’s international airports already have the necessary infrastructure to supply electricity to stationary airplanes. However, that the NIR outlines that the numb</w:t>
      </w:r>
      <w:r>
        <w:rPr>
          <w:rFonts w:ascii="Times New Roman" w:hAnsi="Times New Roman" w:cs="Times New Roman"/>
          <w:noProof/>
          <w:sz w:val="24"/>
          <w:szCs w:val="24"/>
          <w:lang w:val="en-IE"/>
        </w:rPr>
        <w:t>er of electricity supply to stationary aircraft should continue to grow to 45 in 2025, in an attempt to equip other airports. Future reporting should provide further information on the current and future share of electrified rail network. However, a budget</w:t>
      </w:r>
      <w:r>
        <w:rPr>
          <w:rFonts w:ascii="Times New Roman" w:hAnsi="Times New Roman" w:cs="Times New Roman"/>
          <w:noProof/>
          <w:sz w:val="24"/>
          <w:szCs w:val="24"/>
          <w:lang w:val="en-IE"/>
        </w:rPr>
        <w:t xml:space="preserve"> of 250 million € is devoted to further electrification of rail up to 2020. </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Currently there are no hydrogen vehicles in Lithuania. However, 1,000 passenger cars, 100 Light Commercial Vehicles, 50 Heavy-Duty Vehicles and 100 buses and coaches are estimated</w:t>
      </w:r>
      <w:r>
        <w:rPr>
          <w:rFonts w:ascii="Times New Roman" w:hAnsi="Times New Roman" w:cs="Times New Roman"/>
          <w:noProof/>
          <w:sz w:val="24"/>
          <w:szCs w:val="24"/>
          <w:lang w:val="en-IE"/>
        </w:rPr>
        <w:t xml:space="preserve"> for 2030. Likewise, hydrogen infrastructure deployment by 2030 is estimated to include at least 10 refuelling points, with an initial uptake of two refuelling points in 2025.</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Concerning natural gas, the NIR shows a limited ambition for CNG vehicles; it no</w:t>
      </w:r>
      <w:r>
        <w:rPr>
          <w:rFonts w:ascii="Times New Roman" w:hAnsi="Times New Roman" w:cs="Times New Roman"/>
          <w:noProof/>
          <w:sz w:val="24"/>
          <w:szCs w:val="24"/>
          <w:lang w:val="en-IE"/>
        </w:rPr>
        <w:t>tes about 12,300 vehicles and 28 refuelling points in place by 2030. A significant growth in LNG HDV is expected (1,075 HDV by 2030). Furthermore, there will be three LNG refuelling points by 2025 and five by 2030. This seems sufficient taking into account</w:t>
      </w:r>
      <w:r>
        <w:rPr>
          <w:rFonts w:ascii="Times New Roman" w:hAnsi="Times New Roman" w:cs="Times New Roman"/>
          <w:noProof/>
          <w:sz w:val="24"/>
          <w:szCs w:val="24"/>
          <w:lang w:val="en-IE"/>
        </w:rPr>
        <w:t xml:space="preserve"> the length of its TEN-T Road Core Network, provided that the refuelling points are widely distributed along the network. For waterborne transport, the first LNG inland waterway vessels is foreseen for 2025. In addition, Lithuania reports one LNG refuellin</w:t>
      </w:r>
      <w:r>
        <w:rPr>
          <w:rFonts w:ascii="Times New Roman" w:hAnsi="Times New Roman" w:cs="Times New Roman"/>
          <w:noProof/>
          <w:sz w:val="24"/>
          <w:szCs w:val="24"/>
          <w:lang w:val="en-IE"/>
        </w:rPr>
        <w:t>g point in its TEN-T Core Network port of Klaipėda.</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On LPG, Lithuania reported about 110.000 LPG vehicles in 2018, which corresponds to approximately 7% of its fleet. In terms of infrastructure, 664 public LPG refuelling points are reported, with a project</w:t>
      </w:r>
      <w:r>
        <w:rPr>
          <w:rFonts w:ascii="Times New Roman" w:hAnsi="Times New Roman" w:cs="Times New Roman"/>
          <w:noProof/>
          <w:sz w:val="24"/>
          <w:szCs w:val="24"/>
          <w:lang w:val="en-IE"/>
        </w:rPr>
        <w:t>ion of 545 for 2030. Despite the lack of LPG vehicles estimates for 2030, the infrastructure targets indicate an expected steady decline of those vehicles.</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Further information should be provided on the consumption of biofuels in road and air transport. Lit</w:t>
      </w:r>
      <w:r>
        <w:rPr>
          <w:rFonts w:ascii="Times New Roman" w:hAnsi="Times New Roman" w:cs="Times New Roman"/>
          <w:noProof/>
          <w:sz w:val="24"/>
          <w:szCs w:val="24"/>
          <w:lang w:val="en-IE"/>
        </w:rPr>
        <w:t xml:space="preserve">huania should provide more information in future reporting on efforts to promote the use of renewable fuels in transport, and particularly in aviation. </w:t>
      </w:r>
    </w:p>
    <w:p w:rsidR="003C43BF" w:rsidRDefault="006C3212">
      <w:pPr>
        <w:rPr>
          <w:rFonts w:ascii="Times New Roman" w:hAnsi="Times New Roman" w:cs="Times New Roman"/>
          <w:noProof/>
          <w:sz w:val="24"/>
          <w:szCs w:val="24"/>
          <w:lang w:val="en-IE"/>
        </w:rPr>
      </w:pPr>
      <w:r>
        <w:rPr>
          <w:rFonts w:ascii="Times New Roman" w:hAnsi="Times New Roman" w:cs="Times New Roman"/>
          <w:noProof/>
          <w:sz w:val="24"/>
          <w:szCs w:val="24"/>
          <w:lang w:val="en-IE"/>
        </w:rPr>
        <w:br w:type="page"/>
      </w:r>
    </w:p>
    <w:p w:rsidR="003C43BF" w:rsidRDefault="006C3212">
      <w:pPr>
        <w:pStyle w:val="Heading3"/>
        <w:ind w:left="720"/>
        <w:rPr>
          <w:rFonts w:ascii="Times New Roman" w:hAnsi="Times New Roman" w:cs="Times New Roman"/>
          <w:noProof/>
          <w:sz w:val="24"/>
          <w:lang w:val="en-IE"/>
        </w:rPr>
      </w:pPr>
      <w:bookmarkStart w:id="363" w:name="_Toc55301903"/>
      <w:bookmarkStart w:id="364" w:name="_Toc56944215"/>
      <w:r>
        <w:rPr>
          <w:rFonts w:ascii="Times New Roman" w:hAnsi="Times New Roman" w:cs="Times New Roman"/>
          <w:noProof/>
          <w:sz w:val="24"/>
          <w:lang w:val="en-IE"/>
        </w:rPr>
        <w:t>ANNEX - Description of the Member State</w:t>
      </w:r>
      <w:bookmarkEnd w:id="363"/>
      <w:bookmarkEnd w:id="364"/>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65,300 km², Lithuania has a population o</w:t>
      </w:r>
      <w:r>
        <w:rPr>
          <w:rFonts w:ascii="Times New Roman" w:hAnsi="Times New Roman" w:cs="Times New Roman"/>
          <w:noProof/>
          <w:color w:val="000000" w:themeColor="text1"/>
          <w:sz w:val="24"/>
          <w:lang w:val="en-IE"/>
        </w:rPr>
        <w:t>f 2.809 million people in 2018, which makes up for a population density of 43 inhabitants/km².</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6 urban agglomerations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Lithuania achieves a per capita gross domestic product at market prices of €16,170, which represents a per capita gross domestic product in purchasing power standards of 80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w:t>
      </w:r>
      <w:r>
        <w:rPr>
          <w:rFonts w:ascii="Times New Roman" w:hAnsi="Times New Roman" w:cs="Times New Roman"/>
          <w:i/>
          <w:noProof/>
          <w:sz w:val="24"/>
          <w:lang w:val="en-IE"/>
        </w:rPr>
        <w:t xml:space="preserve">the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Lithuania is 665 km. The total road network length is 21,242 km, of which 324 km are motorways.</w:t>
      </w:r>
    </w:p>
    <w:p w:rsidR="003C43BF" w:rsidRDefault="006C3212">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following lengths of the TEN-T Road Corridors are present in Lithuania: 20% (820 km) of the </w:t>
      </w:r>
      <w:r>
        <w:rPr>
          <w:rFonts w:ascii="Times New Roman" w:hAnsi="Times New Roman" w:cs="Times New Roman"/>
          <w:noProof/>
          <w:sz w:val="24"/>
          <w:lang w:val="en-IE"/>
        </w:rPr>
        <w:t>North Sea - Baltic Corridor.</w:t>
      </w:r>
    </w:p>
    <w:p w:rsidR="003C43BF" w:rsidRDefault="006C3212">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Through the TEN-T Road Corridors, Lithuania is connected with the following Member States:</w:t>
      </w:r>
      <w:r>
        <w:rPr>
          <w:rFonts w:ascii="Times New Roman" w:hAnsi="Times New Roman" w:cs="Times New Roman"/>
          <w:noProof/>
          <w:sz w:val="24"/>
          <w:lang w:val="en-IE"/>
        </w:rPr>
        <w:br/>
        <w:t xml:space="preserve">- Latvia (through the North Sea - Baltic Corridor), </w:t>
      </w:r>
      <w:r>
        <w:rPr>
          <w:rFonts w:ascii="Times New Roman" w:hAnsi="Times New Roman" w:cs="Times New Roman"/>
          <w:noProof/>
          <w:sz w:val="24"/>
          <w:lang w:val="en-IE"/>
        </w:rPr>
        <w:br/>
        <w:t>- Poland (through the North Sea - Baltic Corridor)</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Number of registered road vehicl</w:t>
      </w:r>
      <w:r>
        <w:rPr>
          <w:rFonts w:ascii="Times New Roman" w:hAnsi="Times New Roman" w:cs="Times New Roman"/>
          <w:i/>
          <w:noProof/>
          <w:sz w:val="24"/>
          <w:lang w:val="en-IE"/>
        </w:rPr>
        <w:t xml:space="preserve">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At the end of 2018, Lithuania accounts for 1,606,222 registered road vehicles of which 1,430,520 are categorized as passenger cars, 64,345 as light goods vehicles, 61,332 as heavy goods vehicles and 7,925 as buses and coaches. The motorisation rate is </w:t>
      </w:r>
      <w:r>
        <w:rPr>
          <w:rFonts w:ascii="Times New Roman" w:hAnsi="Times New Roman" w:cs="Times New Roman"/>
          <w:noProof/>
          <w:sz w:val="24"/>
          <w:lang w:val="en-IE"/>
        </w:rPr>
        <w:t>509 passenger cars per 1,000 inhabitants.</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 maritime port in the TEN-T Core Network (Klaipėda)</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maritime ports in the TEN-T Comprehensive Network</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inland ports</w:t>
      </w:r>
    </w:p>
    <w:p w:rsidR="003C43BF" w:rsidRDefault="003C43BF">
      <w:pPr>
        <w:pStyle w:val="Text1"/>
        <w:spacing w:after="0"/>
        <w:ind w:left="714"/>
        <w:rPr>
          <w:rFonts w:ascii="Times New Roman" w:hAnsi="Times New Roman" w:cs="Times New Roman"/>
          <w:noProof/>
          <w:sz w:val="24"/>
          <w:lang w:val="en-IE"/>
        </w:rPr>
      </w:pPr>
    </w:p>
    <w:p w:rsidR="003C43BF" w:rsidRDefault="006C3212">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1 </w:t>
      </w:r>
      <w:r>
        <w:rPr>
          <w:rFonts w:ascii="Times New Roman" w:hAnsi="Times New Roman" w:cs="Times New Roman"/>
          <w:noProof/>
          <w:sz w:val="24"/>
          <w:lang w:val="en-IE"/>
        </w:rPr>
        <w:t xml:space="preserve">airport in the TEN-T Core Network (Vilnius) </w:t>
      </w:r>
    </w:p>
    <w:p w:rsidR="003C43BF" w:rsidRDefault="006C3212">
      <w:pPr>
        <w:pStyle w:val="ListParagraph"/>
        <w:numPr>
          <w:ilvl w:val="0"/>
          <w:numId w:val="13"/>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2 airports in the TEN-T Comprehensive Network</w:t>
      </w:r>
    </w:p>
    <w:p w:rsidR="003C43BF" w:rsidRDefault="003C43BF">
      <w:pPr>
        <w:rPr>
          <w:rFonts w:ascii="Times New Roman" w:hAnsi="Times New Roman" w:cs="Times New Roman"/>
          <w:noProof/>
          <w:sz w:val="24"/>
          <w:lang w:val="en-IE"/>
        </w:rPr>
      </w:pPr>
    </w:p>
    <w:p w:rsidR="003C43BF" w:rsidRDefault="003C43BF">
      <w:pPr>
        <w:rPr>
          <w:rFonts w:ascii="Times New Roman" w:hAnsi="Times New Roman" w:cs="Times New Roman"/>
          <w:noProof/>
          <w:sz w:val="24"/>
          <w:lang w:val="en-IE"/>
        </w:rPr>
      </w:pPr>
    </w:p>
    <w:p w:rsidR="003C43BF" w:rsidRDefault="006C3212">
      <w:pPr>
        <w:pStyle w:val="Heading2"/>
        <w:rPr>
          <w:rFonts w:ascii="Times New Roman" w:hAnsi="Times New Roman" w:cs="Times New Roman"/>
          <w:noProof/>
          <w:sz w:val="24"/>
          <w:lang w:val="en-IE"/>
        </w:rPr>
      </w:pPr>
      <w:bookmarkStart w:id="365" w:name="_Toc55301904"/>
      <w:bookmarkStart w:id="366" w:name="_Toc56944216"/>
      <w:r>
        <w:rPr>
          <w:rFonts w:ascii="Times New Roman" w:hAnsi="Times New Roman" w:cs="Times New Roman"/>
          <w:noProof/>
          <w:sz w:val="24"/>
          <w:lang w:val="en-IE"/>
        </w:rPr>
        <w:t>Luxembourg (LU)</w:t>
      </w:r>
      <w:bookmarkEnd w:id="365"/>
      <w:bookmarkEnd w:id="366"/>
    </w:p>
    <w:p w:rsidR="003C43BF" w:rsidRDefault="006C3212">
      <w:pPr>
        <w:pStyle w:val="Heading3"/>
        <w:ind w:left="720"/>
        <w:rPr>
          <w:rFonts w:ascii="Times New Roman" w:hAnsi="Times New Roman" w:cs="Times New Roman"/>
          <w:noProof/>
          <w:sz w:val="24"/>
          <w:lang w:val="en-IE"/>
        </w:rPr>
      </w:pPr>
      <w:bookmarkStart w:id="367" w:name="_Toc55301905"/>
      <w:bookmarkStart w:id="368" w:name="_Toc56944217"/>
      <w:r>
        <w:rPr>
          <w:rFonts w:ascii="Times New Roman" w:hAnsi="Times New Roman" w:cs="Times New Roman"/>
          <w:noProof/>
          <w:sz w:val="24"/>
          <w:lang w:val="en-IE"/>
        </w:rPr>
        <w:t xml:space="preserve">Main messages from the </w:t>
      </w:r>
      <w:bookmarkEnd w:id="367"/>
      <w:bookmarkEnd w:id="368"/>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In its original assessment of the Luxembourgish NPF, the Commission concluded:</w:t>
      </w:r>
    </w:p>
    <w:p w:rsidR="003C43BF" w:rsidRDefault="006C3212">
      <w:pPr>
        <w:tabs>
          <w:tab w:val="left" w:pos="2160"/>
        </w:tabs>
        <w:jc w:val="both"/>
        <w:rPr>
          <w:rFonts w:ascii="Times New Roman" w:hAnsi="Times New Roman" w:cs="Times New Roman"/>
          <w:i/>
          <w:noProof/>
          <w:sz w:val="24"/>
          <w:lang w:val="en-IE"/>
        </w:rPr>
      </w:pPr>
      <w:r>
        <w:rPr>
          <w:rFonts w:ascii="Times New Roman" w:hAnsi="Times New Roman" w:cs="Times New Roman"/>
          <w:i/>
          <w:noProof/>
          <w:sz w:val="24"/>
          <w:lang w:val="en-IE"/>
        </w:rPr>
        <w:t>The Luxembourgish NPF broadly addresses the requirements of Article 3. It contains tables of the current state and future estimates for alternative fuels vehicles in the transport sector. For most fuels and modes, it establishes targets as required by Arti</w:t>
      </w:r>
      <w:r>
        <w:rPr>
          <w:rFonts w:ascii="Times New Roman" w:hAnsi="Times New Roman" w:cs="Times New Roman"/>
          <w:i/>
          <w:noProof/>
          <w:sz w:val="24"/>
          <w:lang w:val="en-IE"/>
        </w:rPr>
        <w:t xml:space="preserve">cle 3 of the Directive. It does not provide a target for its inland port in the TEN-T Core Network. </w:t>
      </w:r>
    </w:p>
    <w:p w:rsidR="003C43BF" w:rsidRDefault="006C3212">
      <w:pPr>
        <w:tabs>
          <w:tab w:val="left" w:pos="2160"/>
        </w:tabs>
        <w:jc w:val="both"/>
        <w:rPr>
          <w:rFonts w:ascii="Times New Roman" w:hAnsi="Times New Roman" w:cs="Times New Roman"/>
          <w:i/>
          <w:noProof/>
          <w:sz w:val="24"/>
          <w:lang w:val="en-IE"/>
        </w:rPr>
      </w:pPr>
      <w:r>
        <w:rPr>
          <w:rFonts w:ascii="Times New Roman" w:hAnsi="Times New Roman" w:cs="Times New Roman"/>
          <w:i/>
          <w:noProof/>
          <w:sz w:val="24"/>
          <w:lang w:val="en-IE"/>
        </w:rPr>
        <w:t>The Luxembourgish NPF puts the accent on electric vehicles deployment with ambitious plans in terms of recharging infrastructure and share of electric vehi</w:t>
      </w:r>
      <w:r>
        <w:rPr>
          <w:rFonts w:ascii="Times New Roman" w:hAnsi="Times New Roman" w:cs="Times New Roman"/>
          <w:i/>
          <w:noProof/>
          <w:sz w:val="24"/>
          <w:lang w:val="en-IE"/>
        </w:rPr>
        <w:t>cles on the road in 2020 (more than 9% from the total vehicle fleet). Bicycles and electric bikes also receive support. To be highlighted is the fact that Luxembourg has legislated a very detailed action plan for the implementation of the public recharging</w:t>
      </w:r>
      <w:r>
        <w:rPr>
          <w:rFonts w:ascii="Times New Roman" w:hAnsi="Times New Roman" w:cs="Times New Roman"/>
          <w:i/>
          <w:noProof/>
          <w:sz w:val="24"/>
          <w:lang w:val="en-IE"/>
        </w:rPr>
        <w:t xml:space="preserve"> infrastructure for electric vehicles (including the exact number of recharging points per commune and TEN-T Core Network segments). The NPF foresees a small increase of available ground power units for stationary airplanes. The Mertert inland port does no</w:t>
      </w:r>
      <w:r>
        <w:rPr>
          <w:rFonts w:ascii="Times New Roman" w:hAnsi="Times New Roman" w:cs="Times New Roman"/>
          <w:i/>
          <w:noProof/>
          <w:sz w:val="24"/>
          <w:lang w:val="en-IE"/>
        </w:rPr>
        <w:t>t have shore-side electricity and no targets are foreseen in the NPF.</w:t>
      </w:r>
    </w:p>
    <w:p w:rsidR="003C43BF" w:rsidRDefault="006C3212">
      <w:pPr>
        <w:tabs>
          <w:tab w:val="left" w:pos="2160"/>
        </w:tabs>
        <w:jc w:val="both"/>
        <w:rPr>
          <w:rFonts w:ascii="Times New Roman" w:hAnsi="Times New Roman" w:cs="Times New Roman"/>
          <w:i/>
          <w:noProof/>
          <w:sz w:val="24"/>
          <w:lang w:val="en-IE"/>
        </w:rPr>
      </w:pPr>
      <w:r>
        <w:rPr>
          <w:rFonts w:ascii="Times New Roman" w:hAnsi="Times New Roman" w:cs="Times New Roman"/>
          <w:i/>
          <w:noProof/>
          <w:sz w:val="24"/>
          <w:lang w:val="en-IE"/>
        </w:rPr>
        <w:t>While the spatial distribution of recharging points seems to cover appropriately the needs of electric vehicles in terms of distance requirements in Luxembourg, the ratio of more than 22</w:t>
      </w:r>
      <w:r>
        <w:rPr>
          <w:rFonts w:ascii="Times New Roman" w:hAnsi="Times New Roman" w:cs="Times New Roman"/>
          <w:i/>
          <w:noProof/>
          <w:sz w:val="24"/>
          <w:lang w:val="en-IE"/>
        </w:rPr>
        <w:t xml:space="preserve"> electric vehicles per one recharging point for 2020 could evolve to become a barrier for the further market deployment of electric vehicles. This could also lead to market fragmentation within the EU. It will be important to closely monitor this developme</w:t>
      </w:r>
      <w:r>
        <w:rPr>
          <w:rFonts w:ascii="Times New Roman" w:hAnsi="Times New Roman" w:cs="Times New Roman"/>
          <w:i/>
          <w:noProof/>
          <w:sz w:val="24"/>
          <w:lang w:val="en-IE"/>
        </w:rPr>
        <w:t>nt and correct the infrastructure targets in line with the market developments.</w:t>
      </w:r>
    </w:p>
    <w:p w:rsidR="003C43BF" w:rsidRDefault="006C3212">
      <w:pPr>
        <w:tabs>
          <w:tab w:val="left" w:pos="2160"/>
        </w:tabs>
        <w:jc w:val="both"/>
        <w:rPr>
          <w:rFonts w:ascii="Times New Roman" w:hAnsi="Times New Roman" w:cs="Times New Roman"/>
          <w:i/>
          <w:noProof/>
          <w:sz w:val="24"/>
          <w:lang w:val="en-IE"/>
        </w:rPr>
      </w:pPr>
      <w:r>
        <w:rPr>
          <w:rFonts w:ascii="Times New Roman" w:hAnsi="Times New Roman" w:cs="Times New Roman"/>
          <w:i/>
          <w:noProof/>
          <w:sz w:val="24"/>
          <w:lang w:val="en-IE"/>
        </w:rPr>
        <w:t>In the case of CNG, the Luxembourgish government is pessimistic regarding the economic viability for this fuel. Therefore, it plans the decrease of the number of refuelling poi</w:t>
      </w:r>
      <w:r>
        <w:rPr>
          <w:rFonts w:ascii="Times New Roman" w:hAnsi="Times New Roman" w:cs="Times New Roman"/>
          <w:i/>
          <w:noProof/>
          <w:sz w:val="24"/>
          <w:lang w:val="en-IE"/>
        </w:rPr>
        <w:t xml:space="preserve">nts to two CNG refuelling points considering this quantity to be sufficient in the medium term, estimating also a reduction of the CNG fleet.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Concerning LNG, the installation of a refuelling infrastructure for road transport is envisaged for 2020. Such an</w:t>
      </w:r>
      <w:r>
        <w:rPr>
          <w:rFonts w:ascii="Times New Roman" w:hAnsi="Times New Roman" w:cs="Times New Roman"/>
          <w:i/>
          <w:noProof/>
          <w:sz w:val="24"/>
          <w:lang w:val="en-IE"/>
        </w:rPr>
        <w:t xml:space="preserve"> infrastructure will be intended to refuel apart from the LNG vehicles registered in Luxembourg the heavy-duty vehicles transiting the country. LNG-powered vessels having a high autonomy, an LNG refuelling infrastructure in the port of Mertert is not deeme</w:t>
      </w:r>
      <w:r>
        <w:rPr>
          <w:rFonts w:ascii="Times New Roman" w:hAnsi="Times New Roman" w:cs="Times New Roman"/>
          <w:i/>
          <w:noProof/>
          <w:sz w:val="24"/>
          <w:lang w:val="en-IE"/>
        </w:rPr>
        <w:t>d as viable.</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For the moment, the Luxembourgish government decided not to include in the current stage refuelling points for hydrogen accessible to the public in its NPF.</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Luxembourgish NPF contains a comprehensive list of measures, most already in place</w:t>
      </w:r>
      <w:r>
        <w:rPr>
          <w:rFonts w:ascii="Times New Roman" w:hAnsi="Times New Roman" w:cs="Times New Roman"/>
          <w:i/>
          <w:noProof/>
          <w:sz w:val="24"/>
          <w:lang w:val="en-IE"/>
        </w:rPr>
        <w:t>. According to the assessment methodology, a High overall assessment score is derived for electricity for vehicles, a Medium overall score for hydrogen for vehicles and a Low overall score for CNG for vehicles. This is a consequence of the government estim</w:t>
      </w:r>
      <w:r>
        <w:rPr>
          <w:rFonts w:ascii="Times New Roman" w:hAnsi="Times New Roman" w:cs="Times New Roman"/>
          <w:i/>
          <w:noProof/>
          <w:sz w:val="24"/>
          <w:lang w:val="en-IE"/>
        </w:rPr>
        <w:t xml:space="preserve">ation that CNG will only play a marginal part in the future, the focus being placed on the promotion of electric mobility which is considered to be the most suited for the decarbonisation of the transport sector in the NPF. </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i/>
          <w:noProof/>
          <w:sz w:val="24"/>
          <w:lang w:val="en-IE"/>
        </w:rPr>
        <w:t>Two regulations (one Grand Duca</w:t>
      </w:r>
      <w:r>
        <w:rPr>
          <w:rFonts w:ascii="Times New Roman" w:hAnsi="Times New Roman" w:cs="Times New Roman"/>
          <w:i/>
          <w:noProof/>
          <w:sz w:val="24"/>
          <w:lang w:val="en-IE"/>
        </w:rPr>
        <w:t>l and another Ministerial) provide evidence that the interests of local authorities and stakeholders have been considered. Luxembourg is actively involved in coordinating its plans on alternative fuels infrastructure with the Benelux countries and has sign</w:t>
      </w:r>
      <w:r>
        <w:rPr>
          <w:rFonts w:ascii="Times New Roman" w:hAnsi="Times New Roman" w:cs="Times New Roman"/>
          <w:i/>
          <w:noProof/>
          <w:sz w:val="24"/>
          <w:lang w:val="en-IE"/>
        </w:rPr>
        <w:t>ed a collaboration agreement with them in this field. It may be advisable to extend this cooperation effort also towards other neighbouring countries such as France and Germany</w:t>
      </w:r>
      <w:r>
        <w:rPr>
          <w:rFonts w:ascii="Times New Roman" w:hAnsi="Times New Roman" w:cs="Times New Roman"/>
          <w:noProof/>
          <w:sz w:val="24"/>
          <w:lang w:val="en-IE"/>
        </w:rPr>
        <w:t>.</w:t>
      </w:r>
      <w:r>
        <w:rPr>
          <w:rFonts w:ascii="Times New Roman" w:hAnsi="Times New Roman" w:cs="Times New Roman"/>
          <w:noProof/>
          <w:color w:val="000000" w:themeColor="text1"/>
          <w:sz w:val="24"/>
          <w:lang w:val="en-IE"/>
        </w:rPr>
        <w:t xml:space="preserve"> </w:t>
      </w:r>
    </w:p>
    <w:p w:rsidR="003C43BF" w:rsidRDefault="006C3212">
      <w:pPr>
        <w:pStyle w:val="Heading3"/>
        <w:ind w:left="720"/>
        <w:rPr>
          <w:rFonts w:ascii="Times New Roman" w:hAnsi="Times New Roman" w:cs="Times New Roman"/>
          <w:noProof/>
          <w:color w:val="000000" w:themeColor="text1"/>
          <w:sz w:val="24"/>
          <w:lang w:val="en-IE"/>
        </w:rPr>
      </w:pPr>
      <w:bookmarkStart w:id="369" w:name="_Toc55301906"/>
      <w:bookmarkStart w:id="370" w:name="_Toc56944218"/>
      <w:r>
        <w:rPr>
          <w:rFonts w:ascii="Times New Roman" w:hAnsi="Times New Roman" w:cs="Times New Roman"/>
          <w:noProof/>
          <w:sz w:val="24"/>
          <w:lang w:val="en-IE"/>
        </w:rPr>
        <w:t>Overview of requirements’ fulfilment from Annex I of the Directive</w:t>
      </w:r>
      <w:bookmarkEnd w:id="369"/>
      <w:bookmarkEnd w:id="370"/>
      <w:r>
        <w:rPr>
          <w:rFonts w:ascii="Times New Roman" w:hAnsi="Times New Roman" w:cs="Times New Roman"/>
          <w:noProof/>
          <w:color w:val="000000" w:themeColor="text1"/>
          <w:sz w:val="24"/>
          <w:lang w:val="en-IE"/>
        </w:rPr>
        <w:tab/>
      </w:r>
    </w:p>
    <w:p w:rsidR="003C43BF" w:rsidRDefault="006C3212">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w:instrText>
      </w:r>
      <w:r>
        <w:rPr>
          <w:rFonts w:ascii="Times New Roman" w:hAnsi="Times New Roman" w:cs="Times New Roman"/>
          <w:b w:val="0"/>
          <w:i/>
          <w:iCs/>
          <w:noProof/>
          <w:color w:val="000000" w:themeColor="text1"/>
          <w:sz w:val="20"/>
          <w:szCs w:val="18"/>
          <w:lang w:val="en-IE"/>
        </w:rPr>
        <w:instrText xml:space="preserve">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5.16.2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rsidR="003C43BF" w:rsidRDefault="006C3212">
      <w:pPr>
        <w:spacing w:after="120" w:line="240" w:lineRule="auto"/>
        <w:jc w:val="both"/>
        <w:rPr>
          <w:rFonts w:ascii="Times New Roman" w:hAnsi="Times New Roman" w:cs="Times New Roman"/>
          <w:noProof/>
          <w:color w:val="222222"/>
          <w:sz w:val="24"/>
          <w:shd w:val="clear" w:color="auto" w:fill="FFFFFF"/>
          <w:lang w:val="en-IE"/>
        </w:rPr>
      </w:pPr>
      <w:r>
        <w:rPr>
          <w:rFonts w:ascii="Times New Roman" w:hAnsi="Times New Roman" w:cs="Times New Roman"/>
          <w:noProof/>
          <w:color w:val="222222"/>
          <w:sz w:val="24"/>
          <w:shd w:val="clear" w:color="auto" w:fill="FFFFFF"/>
          <w:lang w:eastAsia="en-GB"/>
        </w:rPr>
        <w:drawing>
          <wp:inline distT="0" distB="0" distL="0" distR="0">
            <wp:extent cx="5334635" cy="7208520"/>
            <wp:effectExtent l="0" t="0" r="0" b="0"/>
            <wp:docPr id="7889" name="Picture 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34635" cy="7208520"/>
                    </a:xfrm>
                    <a:prstGeom prst="rect">
                      <a:avLst/>
                    </a:prstGeom>
                    <a:noFill/>
                  </pic:spPr>
                </pic:pic>
              </a:graphicData>
            </a:graphic>
          </wp:inline>
        </w:drawing>
      </w:r>
    </w:p>
    <w:p w:rsidR="003C43BF" w:rsidRDefault="006C3212">
      <w:pPr>
        <w:pStyle w:val="Text1"/>
        <w:tabs>
          <w:tab w:val="left" w:pos="720"/>
        </w:tabs>
        <w:spacing w:before="240"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checklist shows the requirements of Annex I from the Directive that are covered in the LU NIR.</w:t>
      </w: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Regarding the combination of AF/AFV/AFI with transport mode, electricity is fully </w:t>
      </w:r>
      <w:r>
        <w:rPr>
          <w:rFonts w:ascii="Times New Roman" w:hAnsi="Times New Roman" w:cs="Times New Roman"/>
          <w:noProof/>
          <w:color w:val="000000" w:themeColor="text1"/>
          <w:sz w:val="24"/>
          <w:lang w:val="en-IE"/>
        </w:rPr>
        <w:t>covered for road and, to a lesser extent, for waterborne (inland) and air; CNG and LNG are covered for road; some other combinations are just mentioned (for example: hydrogen, LPG and biofuels for road, LNG for waterborne inland transport). All the other c</w:t>
      </w:r>
      <w:r>
        <w:rPr>
          <w:rFonts w:ascii="Times New Roman" w:hAnsi="Times New Roman" w:cs="Times New Roman"/>
          <w:noProof/>
          <w:color w:val="000000" w:themeColor="text1"/>
          <w:sz w:val="24"/>
          <w:lang w:val="en-IE"/>
        </w:rPr>
        <w:t>ombinations are either absent or not applicable.</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LU NIR reports 29 measures. </w:t>
      </w:r>
      <w:r>
        <w:rPr>
          <w:rFonts w:ascii="Times New Roman" w:hAnsi="Times New Roman" w:cs="Times New Roman"/>
          <w:iCs/>
          <w:noProof/>
          <w:sz w:val="24"/>
          <w:lang w:val="en-IE"/>
        </w:rPr>
        <w:t>Under the Policy and Deployment &amp; Manufacturing sections it was possible to identify three AF/transport mode clusters of measures, all assessable.</w:t>
      </w:r>
    </w:p>
    <w:p w:rsidR="003C43BF" w:rsidRDefault="003C43BF">
      <w:pPr>
        <w:spacing w:after="120" w:line="240" w:lineRule="auto"/>
        <w:jc w:val="both"/>
        <w:rPr>
          <w:rFonts w:ascii="Times New Roman" w:hAnsi="Times New Roman" w:cs="Times New Roman"/>
          <w:noProof/>
          <w:color w:val="222222"/>
          <w:sz w:val="24"/>
          <w:shd w:val="clear" w:color="auto" w:fill="FFFFFF"/>
          <w:lang w:val="en-IE"/>
        </w:rPr>
      </w:pPr>
    </w:p>
    <w:p w:rsidR="003C43BF" w:rsidRDefault="006C3212">
      <w:pPr>
        <w:pStyle w:val="Heading3"/>
        <w:ind w:left="720"/>
        <w:rPr>
          <w:rFonts w:ascii="Times New Roman" w:hAnsi="Times New Roman" w:cs="Times New Roman"/>
          <w:noProof/>
          <w:sz w:val="24"/>
          <w:lang w:val="en-IE"/>
        </w:rPr>
      </w:pPr>
      <w:bookmarkStart w:id="371" w:name="_Toc55301907"/>
      <w:bookmarkStart w:id="372" w:name="_Toc56944219"/>
      <w:r>
        <w:rPr>
          <w:rFonts w:ascii="Times New Roman" w:hAnsi="Times New Roman" w:cs="Times New Roman"/>
          <w:noProof/>
          <w:sz w:val="24"/>
          <w:lang w:val="en-IE"/>
        </w:rPr>
        <w:t xml:space="preserve">Quantitative assessment: </w:t>
      </w:r>
      <w:r>
        <w:rPr>
          <w:rFonts w:ascii="Times New Roman" w:hAnsi="Times New Roman" w:cs="Times New Roman"/>
          <w:noProof/>
          <w:sz w:val="24"/>
          <w:lang w:val="en-IE"/>
        </w:rPr>
        <w:t>Vehicles and infrastructure</w:t>
      </w:r>
      <w:bookmarkEnd w:id="371"/>
      <w:bookmarkEnd w:id="372"/>
      <w:r>
        <w:rPr>
          <w:rFonts w:ascii="Times New Roman" w:hAnsi="Times New Roman" w:cs="Times New Roman"/>
          <w:noProof/>
          <w:sz w:val="24"/>
          <w:lang w:val="en-IE"/>
        </w:rPr>
        <w:t xml:space="preserve"> </w:t>
      </w:r>
    </w:p>
    <w:p w:rsidR="003C43BF" w:rsidRDefault="006C3212">
      <w:pPr>
        <w:pStyle w:val="Caption"/>
        <w:keepNext/>
        <w:jc w:val="both"/>
        <w:rPr>
          <w:rFonts w:ascii="Times New Roman" w:hAnsi="Times New Roman" w:cs="Times New Roman"/>
          <w:b w:val="0"/>
          <w:i/>
          <w:noProof/>
          <w:sz w:val="20"/>
          <w:szCs w:val="18"/>
          <w:lang w:val="en-IE"/>
        </w:rPr>
      </w:pPr>
      <w:bookmarkStart w:id="373" w:name="_Ref52870176"/>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5.16.3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373"/>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 xml:space="preserve">National AFV estimates and AFI targets established in the NIR at the horizon 2020, 2025 and 2030 and their comparison with the NPF situation </w:t>
      </w:r>
    </w:p>
    <w:p w:rsidR="003C43BF" w:rsidRDefault="006C3212">
      <w:pPr>
        <w:spacing w:after="0"/>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55114" cy="7461250"/>
            <wp:effectExtent l="0" t="0" r="762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62505" cy="7470510"/>
                    </a:xfrm>
                    <a:prstGeom prst="rect">
                      <a:avLst/>
                    </a:prstGeom>
                    <a:noFill/>
                    <a:ln>
                      <a:noFill/>
                    </a:ln>
                  </pic:spPr>
                </pic:pic>
              </a:graphicData>
            </a:graphic>
          </wp:inline>
        </w:drawing>
      </w:r>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0"/>
          <w:lang w:val="en-IE"/>
        </w:rPr>
      </w:pPr>
      <w:r>
        <w:rPr>
          <w:rFonts w:ascii="Times New Roman" w:hAnsi="Times New Roman" w:cs="Times New Roman"/>
          <w:noProof/>
          <w:sz w:val="24"/>
          <w:lang w:eastAsia="en-GB"/>
        </w:rPr>
        <w:drawing>
          <wp:inline distT="0" distB="0" distL="0" distR="0">
            <wp:extent cx="3630304" cy="437362"/>
            <wp:effectExtent l="0" t="0" r="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Luxembourg reported for 2018 a total number of 3,373 electric vehicles in use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_Ref52870176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5.16.3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These electric vehicles were divided in 3,118 passenger cars (1,360 battery-electric and 1,758 plug-in hybrid electric), 192 light commercial vehicles LCVs (all battery-electric), 8 heavy commercial vehicles HCV (all battery-electric), and 55 buses and </w:t>
      </w:r>
      <w:r>
        <w:rPr>
          <w:rFonts w:ascii="Times New Roman" w:hAnsi="Times New Roman" w:cs="Times New Roman"/>
          <w:noProof/>
          <w:sz w:val="24"/>
          <w:lang w:val="en-IE"/>
        </w:rPr>
        <w:t xml:space="preserve">coaches (33 battery-electric and 22 plug-in hybrid electric).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Regarding the vehicle estimates for the next decade, the LU NPF had presented a scenario with a ramping up of electric passenger cars from less than 1,000 in 2016 to 40,000 in 2020, followed by</w:t>
      </w:r>
      <w:r>
        <w:rPr>
          <w:rFonts w:ascii="Times New Roman" w:hAnsi="Times New Roman" w:cs="Times New Roman"/>
          <w:noProof/>
          <w:sz w:val="24"/>
          <w:lang w:val="en-IE"/>
        </w:rPr>
        <w:t xml:space="preserve"> a moderate increase to 44,000 and 48,000 in 2025 and 2030 respectively. The LU NIR presents a new plan with a much higher ambition: whilst the estimate is lower in 2020 with 10,465 vehicles (74% less), it is by far more than compensated by the increase to</w:t>
      </w:r>
      <w:r>
        <w:rPr>
          <w:rFonts w:ascii="Times New Roman" w:hAnsi="Times New Roman" w:cs="Times New Roman"/>
          <w:noProof/>
          <w:sz w:val="24"/>
          <w:lang w:val="en-IE"/>
        </w:rPr>
        <w:t xml:space="preserve"> 101,300 and 202,600 vehicles in 2025 and 2030 respectively (130% and 322% more). The vast majority of the electric vehicles in 2030 will be passenger cars (200,000), but 1,000 battery-electric LCVs, 100 battery-electric HCVs, 1,400 battery-electric buses </w:t>
      </w:r>
      <w:r>
        <w:rPr>
          <w:rFonts w:ascii="Times New Roman" w:hAnsi="Times New Roman" w:cs="Times New Roman"/>
          <w:noProof/>
          <w:sz w:val="24"/>
          <w:lang w:val="en-IE"/>
        </w:rPr>
        <w:t>and coaches and 100 plug-in hybrid electric buses and coaches are also foreseen. Furthermore, the LU NIR provides information regarding electric powered two wheelers (PTW). From the 488 PTWs registered in 2018, future estimates in the NIR go up to 1,000, 2</w:t>
      </w:r>
      <w:r>
        <w:rPr>
          <w:rFonts w:ascii="Times New Roman" w:hAnsi="Times New Roman" w:cs="Times New Roman"/>
          <w:noProof/>
          <w:sz w:val="24"/>
          <w:lang w:val="en-IE"/>
        </w:rPr>
        <w:t xml:space="preserve">,500 and 5,000 for the years 2020, 2025 and 2030 respectively.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32.23% for 2020 and 1.66% for 2030. According to the assessment methodology described in Section 2.1, the 2018 situation corresponds to an </w:t>
      </w:r>
      <w:r>
        <w:rPr>
          <w:rFonts w:ascii="Times New Roman" w:hAnsi="Times New Roman" w:cs="Times New Roman"/>
          <w:b/>
          <w:i/>
          <w:iCs/>
          <w:noProof/>
          <w:sz w:val="24"/>
          <w:lang w:val="en-IE"/>
        </w:rPr>
        <w:t>adequat</w:t>
      </w:r>
      <w:r>
        <w:rPr>
          <w:rFonts w:ascii="Times New Roman" w:hAnsi="Times New Roman" w:cs="Times New Roman"/>
          <w:b/>
          <w:i/>
          <w:iCs/>
          <w:noProof/>
          <w:sz w:val="24"/>
          <w:lang w:val="en-IE"/>
        </w:rPr>
        <w:t>e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Luxembourg is equal to </w:t>
      </w:r>
      <w:r>
        <w:rPr>
          <w:rFonts w:ascii="Times New Roman" w:hAnsi="Times New Roman" w:cs="Times New Roman"/>
          <w:iCs/>
          <w:noProof/>
          <w:sz w:val="24"/>
          <w:lang w:val="en-IE"/>
        </w:rPr>
        <w:t>46%.</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Luxembourg recorded 841 publicly accessible</w:t>
      </w:r>
      <w:r>
        <w:rPr>
          <w:rFonts w:ascii="Times New Roman" w:hAnsi="Times New Roman" w:cs="Times New Roman"/>
          <w:noProof/>
          <w:sz w:val="24"/>
          <w:lang w:val="en-IE"/>
        </w:rPr>
        <w:t xml:space="preserv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_Ref52870176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5.16.3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four times more than in 2016. The NIR targets for 2020/2025/2030 are 1,635/5,160/10,320 recharging points, of which 35/160/320 are high power (&gt;22kW) recharging points. Compared to the NPF, the LU NIR now targets a slightly lower (-7%) number of recharg</w:t>
      </w:r>
      <w:r>
        <w:rPr>
          <w:rFonts w:ascii="Times New Roman" w:hAnsi="Times New Roman" w:cs="Times New Roman"/>
          <w:noProof/>
          <w:sz w:val="24"/>
          <w:lang w:val="en-IE"/>
        </w:rPr>
        <w:t xml:space="preserve">ing points in 2020, but much higher numbers for the years 2025 (+163%) and 2030 (+375%). These higher recharging infrastructure targets confirm the government’s plan to become </w:t>
      </w:r>
      <w:r>
        <w:rPr>
          <w:rFonts w:ascii="Times New Roman" w:hAnsi="Times New Roman" w:cs="Times New Roman"/>
          <w:i/>
          <w:noProof/>
          <w:sz w:val="24"/>
          <w:lang w:val="en-IE"/>
        </w:rPr>
        <w:t>“… one of the main players in electric mobility”</w:t>
      </w:r>
      <w:r>
        <w:rPr>
          <w:rFonts w:ascii="Times New Roman" w:hAnsi="Times New Roman" w:cs="Times New Roman"/>
          <w:noProof/>
          <w:sz w:val="24"/>
          <w:lang w:val="en-IE"/>
        </w:rPr>
        <w:t xml:space="preserve"> and the importance of road vehi</w:t>
      </w:r>
      <w:r>
        <w:rPr>
          <w:rFonts w:ascii="Times New Roman" w:hAnsi="Times New Roman" w:cs="Times New Roman"/>
          <w:noProof/>
          <w:sz w:val="24"/>
          <w:lang w:val="en-IE"/>
        </w:rPr>
        <w:t>cle electrification in the Luxembourgish AFI development.</w:t>
      </w:r>
    </w:p>
    <w:p w:rsidR="003C43BF" w:rsidRDefault="006C3212">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w:t>
      </w:r>
      <w:r>
        <w:rPr>
          <w:rFonts w:ascii="Times New Roman" w:hAnsi="Times New Roman" w:cs="Times New Roman"/>
          <w:noProof/>
          <w:sz w:val="24"/>
          <w:lang w:val="en-IE"/>
        </w:rPr>
        <w:t>publicly accessible</w:t>
      </w:r>
      <w:r>
        <w:rPr>
          <w:rFonts w:ascii="Times New Roman" w:hAnsi="Times New Roman" w:cs="Times New Roman"/>
          <w:iCs/>
          <w:noProof/>
          <w:sz w:val="24"/>
          <w:lang w:val="en-IE"/>
        </w:rPr>
        <w:t xml:space="preserve"> recharging infrastructure targets is 51.44% for 2020 and 8.15% for 2030. According to the assessment methodology described in Section 2.1, the 2018 </w:t>
      </w:r>
      <w:r>
        <w:rPr>
          <w:rFonts w:ascii="Times New Roman" w:hAnsi="Times New Roman" w:cs="Times New Roman"/>
          <w:iCs/>
          <w:noProof/>
          <w:sz w:val="24"/>
          <w:lang w:val="en-IE"/>
        </w:rPr>
        <w:t xml:space="preserve">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Luxembourg is equ</w:t>
      </w:r>
      <w:r>
        <w:rPr>
          <w:rFonts w:ascii="Times New Roman" w:hAnsi="Times New Roman" w:cs="Times New Roman"/>
          <w:iCs/>
          <w:noProof/>
          <w:color w:val="000000" w:themeColor="text1"/>
          <w:sz w:val="24"/>
          <w:lang w:val="en-IE"/>
        </w:rPr>
        <w:t>al to</w:t>
      </w:r>
      <w:r>
        <w:rPr>
          <w:rFonts w:ascii="Times New Roman" w:hAnsi="Times New Roman" w:cs="Times New Roman"/>
          <w:iCs/>
          <w:noProof/>
          <w:sz w:val="24"/>
          <w:lang w:val="en-IE"/>
        </w:rPr>
        <w:t xml:space="preserve"> 31%.</w:t>
      </w:r>
    </w:p>
    <w:p w:rsidR="003C43BF" w:rsidRDefault="003C43BF">
      <w:pPr>
        <w:tabs>
          <w:tab w:val="left" w:pos="360"/>
        </w:tabs>
        <w:jc w:val="both"/>
        <w:rPr>
          <w:rFonts w:ascii="Times New Roman" w:hAnsi="Times New Roman" w:cs="Times New Roman"/>
          <w:iCs/>
          <w:noProof/>
          <w:sz w:val="24"/>
          <w:lang w:val="en-IE"/>
        </w:rPr>
      </w:pPr>
    </w:p>
    <w:p w:rsidR="003C43BF" w:rsidRDefault="003C43BF">
      <w:pPr>
        <w:tabs>
          <w:tab w:val="left" w:pos="360"/>
        </w:tabs>
        <w:jc w:val="both"/>
        <w:rPr>
          <w:rFonts w:ascii="Times New Roman" w:hAnsi="Times New Roman" w:cs="Times New Roman"/>
          <w:i/>
          <w:noProof/>
          <w:sz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LU NIR, the following table shows the ratio between vehicles and publicly accessible recharging points (i.e. sufficiency index) for the pair electricity/road. It can be seen that whilst until 2020 each publicly accessible charging point serves</w:t>
      </w:r>
      <w:r>
        <w:rPr>
          <w:rFonts w:ascii="Times New Roman" w:hAnsi="Times New Roman" w:cs="Times New Roman"/>
          <w:noProof/>
          <w:sz w:val="24"/>
          <w:lang w:val="en-IE"/>
        </w:rPr>
        <w:t xml:space="preserve"> around five electric vehicles, the longer-term vehicle estimates and infrastructure targets foresee that one charging point needs to serve 20 vehicles from 2025 onwards. The LU NIR explains that the number is considered sufficient, based on a study conduc</w:t>
      </w:r>
      <w:r>
        <w:rPr>
          <w:rFonts w:ascii="Times New Roman" w:hAnsi="Times New Roman" w:cs="Times New Roman"/>
          <w:noProof/>
          <w:sz w:val="24"/>
          <w:lang w:val="en-IE"/>
        </w:rPr>
        <w:t>ted in 2011 showing that 95% of charging will be done at private charging points. However, considering the large distance to target already observed in the NPF and the very low share of high power charging points (3%) in the whole period, the future adequa</w:t>
      </w:r>
      <w:r>
        <w:rPr>
          <w:rFonts w:ascii="Times New Roman" w:hAnsi="Times New Roman" w:cs="Times New Roman"/>
          <w:noProof/>
          <w:sz w:val="24"/>
          <w:lang w:val="en-IE"/>
        </w:rPr>
        <w:t xml:space="preserve">cy of recharging infrastructure for electric vehicles remains uncertain. </w:t>
      </w:r>
    </w:p>
    <w:p w:rsidR="003C43BF" w:rsidRDefault="006C3212">
      <w:pPr>
        <w:jc w:val="both"/>
        <w:rPr>
          <w:rFonts w:ascii="Times New Roman" w:hAnsi="Times New Roman" w:cs="Times New Roman"/>
          <w:noProof/>
          <w:sz w:val="24"/>
          <w:highlight w:val="lightGray"/>
          <w:lang w:val="en-IE"/>
        </w:rPr>
      </w:pPr>
      <w:r>
        <w:rPr>
          <w:rFonts w:ascii="Times New Roman" w:hAnsi="Times New Roman" w:cs="Times New Roman"/>
          <w:noProof/>
          <w:sz w:val="24"/>
          <w:lang w:val="en-IE"/>
        </w:rPr>
        <w:t>Luxembourg announced in the NIR that an inventory of private charging points should be available for the next report.</w:t>
      </w:r>
    </w:p>
    <w:p w:rsidR="003C43BF" w:rsidRDefault="006C3212">
      <w:pPr>
        <w:jc w:val="both"/>
        <w:rPr>
          <w:rFonts w:ascii="Times New Roman" w:hAnsi="Times New Roman" w:cs="Times New Roman"/>
          <w:noProof/>
          <w:sz w:val="24"/>
          <w:highlight w:val="lightGray"/>
          <w:lang w:val="en-IE"/>
        </w:rPr>
      </w:pPr>
      <w:r>
        <w:rPr>
          <w:rFonts w:ascii="Times New Roman" w:hAnsi="Times New Roman" w:cs="Times New Roman"/>
          <w:noProof/>
          <w:sz w:val="24"/>
          <w:lang w:eastAsia="en-GB"/>
        </w:rPr>
        <w:drawing>
          <wp:inline distT="0" distB="0" distL="0" distR="0">
            <wp:extent cx="4869180" cy="502920"/>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69180" cy="502920"/>
                    </a:xfrm>
                    <a:prstGeom prst="rect">
                      <a:avLst/>
                    </a:prstGeom>
                    <a:noFill/>
                    <a:ln>
                      <a:noFill/>
                    </a:ln>
                  </pic:spPr>
                </pic:pic>
              </a:graphicData>
            </a:graphic>
          </wp:inline>
        </w:drawing>
      </w:r>
    </w:p>
    <w:p w:rsidR="003C43BF" w:rsidRDefault="003C43BF">
      <w:pPr>
        <w:rPr>
          <w:rFonts w:ascii="Times New Roman" w:hAnsi="Times New Roman" w:cs="Times New Roman"/>
          <w:noProof/>
          <w:sz w:val="24"/>
          <w:highlight w:val="lightGray"/>
          <w:lang w:val="en-IE"/>
        </w:rPr>
      </w:pPr>
    </w:p>
    <w:p w:rsidR="003C43BF" w:rsidRDefault="006C3212">
      <w:pPr>
        <w:pStyle w:val="Heading6"/>
        <w:numPr>
          <w:ilvl w:val="0"/>
          <w:numId w:val="0"/>
        </w:numPr>
        <w:rPr>
          <w:rFonts w:ascii="Times New Roman" w:hAnsi="Times New Roman" w:cs="Times New Roman"/>
          <w:noProof/>
          <w:color w:val="FFFFFF" w:themeColor="background1"/>
          <w:sz w:val="24"/>
          <w:lang w:val="en-IE"/>
        </w:rPr>
      </w:pPr>
      <w:r>
        <w:rPr>
          <w:rFonts w:ascii="Times New Roman" w:hAnsi="Times New Roman" w:cs="Times New Roman"/>
          <w:noProof/>
          <w:sz w:val="24"/>
          <w:lang w:val="en-IE"/>
        </w:rPr>
        <w:t xml:space="preserve">Information on charging efficiency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w:t>
      </w:r>
      <w:r>
        <w:rPr>
          <w:rFonts w:ascii="Times New Roman" w:hAnsi="Times New Roman" w:cs="Times New Roman"/>
          <w:noProof/>
          <w:sz w:val="24"/>
          <w:lang w:val="en-IE"/>
        </w:rPr>
        <w:t>ble in the Luxembourgish NIR</w:t>
      </w:r>
    </w:p>
    <w:p w:rsidR="003C43BF" w:rsidRDefault="003C43BF">
      <w:pPr>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CNG fleet in Luxembourg counted a total of 314 vehicles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_Ref52870176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5.16.3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195 passenger cars, 56 LCVs, 11 HCVs and 52 coaches and buses. According to the LU NIR, which broadly confirms the NPF estimates, CNG vehicle numbers in most categories will decreas</w:t>
      </w:r>
      <w:r>
        <w:rPr>
          <w:rFonts w:ascii="Times New Roman" w:hAnsi="Times New Roman" w:cs="Times New Roman"/>
          <w:noProof/>
          <w:sz w:val="24"/>
          <w:lang w:val="en-IE"/>
        </w:rPr>
        <w:t xml:space="preserve">e to a total of 100 vehicles in 2030, with the exception of buses and coaches increasing slightly to 65 in 2030.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the Luxembourgish NIR provided decreasing estimates for </w:t>
      </w:r>
      <w:r>
        <w:rPr>
          <w:rFonts w:ascii="Times New Roman" w:hAnsi="Times New Roman" w:cs="Times New Roman"/>
          <w:iCs/>
          <w:noProof/>
          <w:sz w:val="24"/>
          <w:lang w:val="en-IE"/>
        </w:rPr>
        <w:t>CNG vehicles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highlight w:val="lightGray"/>
          <w:lang w:val="en-IE"/>
        </w:rPr>
      </w:pPr>
      <w:r>
        <w:rPr>
          <w:rFonts w:ascii="Times New Roman" w:hAnsi="Times New Roman" w:cs="Times New Roman"/>
          <w:noProof/>
          <w:sz w:val="24"/>
          <w:lang w:val="en-IE"/>
        </w:rPr>
        <w:t>The Luxembourgish NIR indicates that 2 publicly accessible (and 1 private) CNG refuelling points were available in 2018. These numbers should be stable until 2020, after which only one public and one private CNG refuelling points should rema</w:t>
      </w:r>
      <w:r>
        <w:rPr>
          <w:rFonts w:ascii="Times New Roman" w:hAnsi="Times New Roman" w:cs="Times New Roman"/>
          <w:noProof/>
          <w:sz w:val="24"/>
          <w:lang w:val="en-IE"/>
        </w:rPr>
        <w:t>in until 2030.</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the Luxembourgish NIR provided decreasing targets for </w:t>
      </w:r>
      <w:r>
        <w:rPr>
          <w:rFonts w:ascii="Times New Roman" w:hAnsi="Times New Roman" w:cs="Times New Roman"/>
          <w:iCs/>
          <w:noProof/>
          <w:sz w:val="24"/>
          <w:lang w:val="en-IE"/>
        </w:rPr>
        <w:t>publicly accessible CNG refuelling infrastructure</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LU NIR, the following table shows the ratio between </w:t>
      </w:r>
      <w:r>
        <w:rPr>
          <w:rFonts w:ascii="Times New Roman" w:hAnsi="Times New Roman" w:cs="Times New Roman"/>
          <w:noProof/>
          <w:sz w:val="24"/>
          <w:lang w:val="en-IE"/>
        </w:rPr>
        <w:t>vehicles and publicly accessible refuelling points (i.e. sufficiency index) for the pair CNG/road. It can be seen that the sufficiency index is always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for the whole 2016-2030 period.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 </w:t>
      </w:r>
      <w:r>
        <w:rPr>
          <w:noProof/>
          <w:lang w:eastAsia="en-GB"/>
        </w:rPr>
        <w:drawing>
          <wp:inline distT="0" distB="0" distL="0" distR="0">
            <wp:extent cx="4919345" cy="389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19345" cy="389255"/>
                    </a:xfrm>
                    <a:prstGeom prst="rect">
                      <a:avLst/>
                    </a:prstGeom>
                    <a:noFill/>
                    <a:ln>
                      <a:noFill/>
                    </a:ln>
                  </pic:spPr>
                </pic:pic>
              </a:graphicData>
            </a:graphic>
          </wp:inline>
        </w:drawing>
      </w:r>
    </w:p>
    <w:p w:rsidR="003C43BF" w:rsidRDefault="003C43BF">
      <w:pPr>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w:t>
      </w:r>
      <w:r>
        <w:rPr>
          <w:rFonts w:ascii="Times New Roman" w:hAnsi="Times New Roman" w:cs="Times New Roman"/>
          <w:noProof/>
          <w:sz w:val="24"/>
          <w:lang w:val="en-IE"/>
        </w:rPr>
        <w:t>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Luxembourg recorded 13 LNG vehicles in total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_Ref52870176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5.16.3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consisting of HCVs exclusively. Concerning the estimates for the next decade, while the NPF had foreseen only an increase to 30 vehicles in 2020, the LU NIR now indicates 50 HDVs in 2020, an</w:t>
      </w:r>
      <w:r>
        <w:rPr>
          <w:rFonts w:ascii="Times New Roman" w:hAnsi="Times New Roman" w:cs="Times New Roman"/>
          <w:noProof/>
          <w:sz w:val="24"/>
          <w:lang w:val="en-IE"/>
        </w:rPr>
        <w:t xml:space="preserve">d 150 HCVs from 2025 until 2030. </w:t>
      </w:r>
    </w:p>
    <w:p w:rsidR="003C43BF" w:rsidRDefault="006C3212">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LNG vehicles estimates is 26% for 2020 and 8.67%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Luxembourg from 2016 until 2018 for LNG ve</w:t>
      </w:r>
      <w:r>
        <w:rPr>
          <w:rFonts w:ascii="Times New Roman" w:hAnsi="Times New Roman" w:cs="Times New Roman"/>
          <w:iCs/>
          <w:noProof/>
          <w:sz w:val="24"/>
          <w:lang w:val="en-IE"/>
        </w:rPr>
        <w:t xml:space="preserve">hicles deployment is 8.05% of the overall planned deployment during the period 2016-2030.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Luxembourg did not record any publicly accessible LNG refuelling point in 2018. The LU NIR does not plan to have any publicly accessible LNG refuellin</w:t>
      </w:r>
      <w:r>
        <w:rPr>
          <w:rFonts w:ascii="Times New Roman" w:hAnsi="Times New Roman" w:cs="Times New Roman"/>
          <w:noProof/>
          <w:sz w:val="24"/>
          <w:lang w:val="en-IE"/>
        </w:rPr>
        <w:t>g point until 2030, in contrast to the NPF where a target of one was present for 2020 and 2025. The LU NIR indicates that only one private LNG refuelling point was in use in 2018 and will continue until 2030.</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 xml:space="preserve">at the end of 2018 there were no </w:t>
      </w:r>
      <w:r>
        <w:rPr>
          <w:rFonts w:ascii="Times New Roman" w:hAnsi="Times New Roman" w:cs="Times New Roman"/>
          <w:noProof/>
          <w:sz w:val="24"/>
          <w:lang w:val="en-IE"/>
        </w:rPr>
        <w:t>publicly</w:t>
      </w:r>
      <w:r>
        <w:rPr>
          <w:rFonts w:ascii="Times New Roman" w:hAnsi="Times New Roman" w:cs="Times New Roman"/>
          <w:noProof/>
          <w:sz w:val="24"/>
          <w:lang w:val="en-IE"/>
        </w:rPr>
        <w:t xml:space="preserve"> accessible </w:t>
      </w:r>
      <w:r>
        <w:rPr>
          <w:rFonts w:ascii="Times New Roman" w:hAnsi="Times New Roman" w:cs="Times New Roman"/>
          <w:iCs/>
          <w:noProof/>
          <w:sz w:val="24"/>
          <w:lang w:val="en-IE"/>
        </w:rPr>
        <w:t>LNG road refuelling points deployed</w:t>
      </w:r>
      <w:r>
        <w:rPr>
          <w:rFonts w:ascii="Times New Roman" w:hAnsi="Times New Roman" w:cs="Times New Roman"/>
          <w:noProof/>
          <w:sz w:val="24"/>
          <w:lang w:val="en-IE"/>
        </w:rPr>
        <w:t xml:space="preserve">, the 2018 </w:t>
      </w:r>
      <w:r>
        <w:rPr>
          <w:rFonts w:ascii="Times New Roman" w:hAnsi="Times New Roman" w:cs="Times New Roman"/>
          <w:b/>
          <w:i/>
          <w:iCs/>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iCs/>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For the same reason, it is not possible to compute the sufficiency index.</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At this moment, hydrogen is not considered in the </w:t>
      </w:r>
      <w:r>
        <w:rPr>
          <w:rFonts w:ascii="Times New Roman" w:hAnsi="Times New Roman" w:cs="Times New Roman"/>
          <w:noProof/>
          <w:sz w:val="24"/>
          <w:lang w:val="en-IE"/>
        </w:rPr>
        <w:t>Luxembourg fuel mix, therefore no information was provided in the Luxembourgish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There was no hydrogen infrastructure registered in 2018 and no plan for the future, however the LU NIR declares that “</w:t>
      </w:r>
      <w:r>
        <w:rPr>
          <w:rFonts w:ascii="Times New Roman" w:hAnsi="Times New Roman" w:cs="Times New Roman"/>
          <w:i/>
          <w:noProof/>
          <w:sz w:val="24"/>
          <w:lang w:val="en-IE"/>
        </w:rPr>
        <w:t>the government has committed, in its c</w:t>
      </w:r>
      <w:r>
        <w:rPr>
          <w:rFonts w:ascii="Times New Roman" w:hAnsi="Times New Roman" w:cs="Times New Roman"/>
          <w:i/>
          <w:noProof/>
          <w:sz w:val="24"/>
          <w:lang w:val="en-IE"/>
        </w:rPr>
        <w:t>oalition agreement 2018-2023 (</w:t>
      </w:r>
      <w:r>
        <w:rPr>
          <w:rStyle w:val="FootnoteReference"/>
          <w:rFonts w:ascii="Times New Roman" w:hAnsi="Times New Roman" w:cs="Times New Roman"/>
          <w:i/>
          <w:noProof/>
          <w:sz w:val="24"/>
          <w:lang w:val="en-IE"/>
        </w:rPr>
        <w:footnoteReference w:id="55"/>
      </w:r>
      <w:r>
        <w:rPr>
          <w:rFonts w:ascii="Times New Roman" w:hAnsi="Times New Roman" w:cs="Times New Roman"/>
          <w:i/>
          <w:noProof/>
          <w:sz w:val="24"/>
          <w:lang w:val="en-IE"/>
        </w:rPr>
        <w:t>), to arrange for at least one hydrogen refuelling station to be installed at one of the motorway service areas”</w:t>
      </w:r>
      <w:r>
        <w:rPr>
          <w:rFonts w:ascii="Times New Roman" w:hAnsi="Times New Roman" w:cs="Times New Roman"/>
          <w:noProof/>
          <w:sz w:val="24"/>
          <w:lang w:val="en-IE"/>
        </w:rPr>
        <w:t>. This could take place by 2025.</w:t>
      </w:r>
    </w:p>
    <w:p w:rsidR="003C43BF" w:rsidRDefault="003C43BF">
      <w:pPr>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highlight w:val="lightGray"/>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bioethanol vehicle fleet in Luxembourg consisted of 56 vehicles in 2018, not differing much from the numbers in previous years (57 and 61 in 2016 and 2017, respectively). This fleet is made up of passenger cars, with the exception of one LCV, operation</w:t>
      </w:r>
      <w:r>
        <w:rPr>
          <w:rFonts w:ascii="Times New Roman" w:hAnsi="Times New Roman" w:cs="Times New Roman"/>
          <w:noProof/>
          <w:sz w:val="24"/>
          <w:lang w:val="en-IE"/>
        </w:rPr>
        <w:t xml:space="preserve">al since 2017. There are no estimates for the next decade in the LU NIR. For this reason,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highlight w:val="lightGray"/>
          <w:lang w:val="en-IE"/>
        </w:rPr>
      </w:pPr>
      <w:r>
        <w:rPr>
          <w:rFonts w:ascii="Times New Roman" w:hAnsi="Times New Roman" w:cs="Times New Roman"/>
          <w:noProof/>
          <w:sz w:val="24"/>
          <w:lang w:val="en-IE"/>
        </w:rPr>
        <w:t>Information is not available in the Luxembourgish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Because of the lack of data, the s</w:t>
      </w:r>
      <w:r>
        <w:rPr>
          <w:rFonts w:ascii="Times New Roman" w:hAnsi="Times New Roman" w:cs="Times New Roman"/>
          <w:noProof/>
          <w:sz w:val="24"/>
          <w:lang w:val="en-IE"/>
        </w:rPr>
        <w:t>ufficiency index could not be computed.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Luxembourg registered 377 LPG vehicles in 2018, of which 271 were passenger cars. Another 98 LCVs and 8 HCVs completed the LPG fleet. No estimates for the LPG fleet development in the years 2020-2030 are made in the LU NIR. For this reason, the 2018 </w:t>
      </w:r>
      <w:r>
        <w:rPr>
          <w:rFonts w:ascii="Times New Roman" w:hAnsi="Times New Roman" w:cs="Times New Roman"/>
          <w:b/>
          <w:i/>
          <w:noProof/>
          <w:sz w:val="24"/>
          <w:lang w:val="en-IE"/>
        </w:rPr>
        <w:t>attain</w:t>
      </w:r>
      <w:r>
        <w:rPr>
          <w:rFonts w:ascii="Times New Roman" w:hAnsi="Times New Roman" w:cs="Times New Roman"/>
          <w:b/>
          <w:i/>
          <w:noProof/>
          <w:sz w:val="24"/>
          <w:lang w:val="en-IE"/>
        </w:rPr>
        <w:t>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According to the information provided by Luxembourg with the NIR, 14 public LPG refuelling points were operational in Luxembourg in 2018. No predictions for the development of the LPG refuelling point</w:t>
      </w:r>
      <w:r>
        <w:rPr>
          <w:rFonts w:ascii="Times New Roman" w:hAnsi="Times New Roman" w:cs="Times New Roman"/>
          <w:noProof/>
          <w:sz w:val="24"/>
          <w:lang w:val="en-IE"/>
        </w:rPr>
        <w:t xml:space="preserve">s in the years 2020-2030 are made in the LU NIR. For this reason,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Based on the LU NIR, the following table shows the ratio between vehicles and publicly accessible refuelling points (i.e. suffic</w:t>
      </w:r>
      <w:r>
        <w:rPr>
          <w:rFonts w:ascii="Times New Roman" w:hAnsi="Times New Roman" w:cs="Times New Roman"/>
          <w:noProof/>
          <w:sz w:val="24"/>
          <w:lang w:val="en-IE"/>
        </w:rPr>
        <w:t xml:space="preserve">iency index) for the pair LPG/road for the years 2016-2018.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14900" cy="3886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14900" cy="388620"/>
                    </a:xfrm>
                    <a:prstGeom prst="rect">
                      <a:avLst/>
                    </a:prstGeom>
                    <a:noFill/>
                    <a:ln>
                      <a:noFill/>
                    </a:ln>
                  </pic:spPr>
                </pic:pic>
              </a:graphicData>
            </a:graphic>
          </wp:inline>
        </w:drawing>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Luxembourgish NIR.</w:t>
      </w:r>
    </w:p>
    <w:p w:rsidR="003C43BF" w:rsidRDefault="003C43BF">
      <w:pPr>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Not applicable since Luxembourg has no maritime ports in the TEN-T Core Network.</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w:t>
      </w:r>
      <w:r>
        <w:rPr>
          <w:rStyle w:val="Heading4Char"/>
          <w:rFonts w:ascii="Times New Roman" w:hAnsi="Times New Roman" w:cs="Times New Roman"/>
          <w:noProof/>
          <w:sz w:val="24"/>
          <w:lang w:val="en-IE"/>
        </w:rPr>
        <w:t>rne transport (inland)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LU NIR counts one electric inland waterway vessel since 2016. This number remains constant for the period up to 2030. </w:t>
      </w:r>
    </w:p>
    <w:p w:rsidR="003C43BF" w:rsidRDefault="006C3212">
      <w:pPr>
        <w:pStyle w:val="Heading6"/>
        <w:numPr>
          <w:ilvl w:val="0"/>
          <w:numId w:val="0"/>
        </w:numPr>
        <w:rPr>
          <w:rStyle w:val="Heading4Char"/>
          <w:rFonts w:ascii="Times New Roman" w:hAnsi="Times New Roman" w:cs="Times New Roman"/>
          <w:i w:val="0"/>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Luxembourg recorded five shore-side electricity supplies in 2018 and </w:t>
      </w:r>
      <w:r>
        <w:rPr>
          <w:rFonts w:ascii="Times New Roman" w:hAnsi="Times New Roman" w:cs="Times New Roman"/>
          <w:noProof/>
          <w:sz w:val="24"/>
          <w:lang w:val="en-IE"/>
        </w:rPr>
        <w:t>presents a target of six in 2020 and of 10 from 2025 to 2030.</w:t>
      </w:r>
    </w:p>
    <w:p w:rsidR="003C43BF" w:rsidRDefault="006C3212">
      <w:pPr>
        <w:tabs>
          <w:tab w:val="left" w:pos="360"/>
        </w:tabs>
        <w:spacing w:after="120" w:line="240" w:lineRule="auto"/>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targets for </w:t>
      </w:r>
      <w:r>
        <w:rPr>
          <w:rFonts w:ascii="Times New Roman" w:hAnsi="Times New Roman" w:cs="Times New Roman"/>
          <w:noProof/>
          <w:sz w:val="24"/>
          <w:lang w:val="en-IE"/>
        </w:rPr>
        <w:t xml:space="preserve">shore-side electricity supply points in inland ports </w:t>
      </w:r>
      <w:r>
        <w:rPr>
          <w:rFonts w:ascii="Times New Roman" w:hAnsi="Times New Roman" w:cs="Times New Roman"/>
          <w:iCs/>
          <w:noProof/>
          <w:sz w:val="24"/>
          <w:lang w:val="en-IE"/>
        </w:rPr>
        <w:t xml:space="preserve">is 83.33% for 2020 and 50%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Luxembourg from 2016 until 2018 for the deployment of </w:t>
      </w:r>
      <w:r>
        <w:rPr>
          <w:rFonts w:ascii="Times New Roman" w:hAnsi="Times New Roman" w:cs="Times New Roman"/>
          <w:noProof/>
          <w:sz w:val="24"/>
          <w:lang w:val="en-IE"/>
        </w:rPr>
        <w:t xml:space="preserve">shore-side electricity supply points in inland ports </w:t>
      </w:r>
      <w:r>
        <w:rPr>
          <w:rFonts w:ascii="Times New Roman" w:hAnsi="Times New Roman" w:cs="Times New Roman"/>
          <w:iCs/>
          <w:noProof/>
          <w:sz w:val="24"/>
          <w:lang w:val="en-IE"/>
        </w:rPr>
        <w:t>is 50% of the overall</w:t>
      </w:r>
      <w:r>
        <w:rPr>
          <w:rFonts w:ascii="Times New Roman" w:hAnsi="Times New Roman" w:cs="Times New Roman"/>
          <w:iCs/>
          <w:noProof/>
          <w:sz w:val="24"/>
          <w:lang w:val="en-IE"/>
        </w:rPr>
        <w:t xml:space="preserve"> planned deployment during the period 2016-2030.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LU NIR lists one LNG powered vessel in 2018 expected to remain in service for the next decade.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Luxembourgish NIR confirms the NPF strategy that no LNG refuelling faciliti</w:t>
      </w:r>
      <w:r>
        <w:rPr>
          <w:rFonts w:ascii="Times New Roman" w:hAnsi="Times New Roman" w:cs="Times New Roman"/>
          <w:noProof/>
          <w:sz w:val="24"/>
          <w:lang w:val="en-IE"/>
        </w:rPr>
        <w:t>es for inland waterway navigation are foreseen until 2030.</w:t>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on electric airplanes is not available in the LU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currently existing 44 electricity supply points </w:t>
      </w:r>
      <w:r>
        <w:rPr>
          <w:rFonts w:ascii="Times New Roman" w:hAnsi="Times New Roman" w:cs="Times New Roman"/>
          <w:noProof/>
          <w:sz w:val="24"/>
          <w:lang w:val="en-IE"/>
        </w:rPr>
        <w:t>for stationary aircraft at the TEN-T Core Luxembourg airport are considered sufficient and remain, according to the NIR, constant over coming years. The LU NIR mentions as well that 28 of the electricity supply points consist of Ground Power Units (GPUs) (</w:t>
      </w:r>
      <w:r>
        <w:rPr>
          <w:rFonts w:ascii="Times New Roman" w:hAnsi="Times New Roman" w:cs="Times New Roman"/>
          <w:noProof/>
          <w:sz w:val="24"/>
          <w:lang w:val="en-IE"/>
        </w:rPr>
        <w:t>diesel engines coupled to generators).</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is unavailable in the Luxembourgish NIR.</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Information is unavailable in the Luxembourgish NIR.</w:t>
      </w:r>
    </w:p>
    <w:p w:rsidR="003C43BF" w:rsidRDefault="003C43BF">
      <w:pPr>
        <w:tabs>
          <w:tab w:val="left" w:pos="360"/>
        </w:tabs>
        <w:spacing w:before="12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374" w:name="_Toc55301908"/>
      <w:bookmarkStart w:id="375" w:name="_Toc56944220"/>
      <w:r>
        <w:rPr>
          <w:rFonts w:ascii="Times New Roman" w:hAnsi="Times New Roman" w:cs="Times New Roman"/>
          <w:noProof/>
          <w:sz w:val="24"/>
          <w:lang w:val="en-IE"/>
        </w:rPr>
        <w:t>Measures assessment</w:t>
      </w:r>
      <w:bookmarkEnd w:id="374"/>
      <w:bookmarkEnd w:id="375"/>
      <w:r>
        <w:rPr>
          <w:rFonts w:ascii="Times New Roman" w:hAnsi="Times New Roman" w:cs="Times New Roman"/>
          <w:noProof/>
          <w:sz w:val="24"/>
          <w:lang w:val="en-IE"/>
        </w:rPr>
        <w:t xml:space="preserve"> </w:t>
      </w:r>
    </w:p>
    <w:p w:rsidR="003C43BF" w:rsidRDefault="006C3212">
      <w:pPr>
        <w:tabs>
          <w:tab w:val="left" w:pos="291"/>
          <w:tab w:val="right" w:leader="dot" w:pos="9040"/>
        </w:tabs>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Luxembourgish NIR presents an extended portfolio of</w:t>
      </w:r>
      <w:r>
        <w:rPr>
          <w:rFonts w:ascii="Times New Roman" w:hAnsi="Times New Roman" w:cs="Times New Roman"/>
          <w:noProof/>
          <w:color w:val="000000" w:themeColor="text1"/>
          <w:sz w:val="24"/>
          <w:lang w:val="en-IE"/>
        </w:rPr>
        <w:t xml:space="preserve"> measures compared to the NPF. However, the overall strategy remains the same,</w:t>
      </w:r>
      <w:r>
        <w:rPr>
          <w:rFonts w:ascii="Times New Roman" w:hAnsi="Times New Roman" w:cs="Times New Roman"/>
          <w:iCs/>
          <w:noProof/>
          <w:sz w:val="24"/>
          <w:lang w:val="en-IE"/>
        </w:rPr>
        <w:t xml:space="preserve"> with almost total focus on the combination electricity/road (targeting both AFI and AFV), and only some generic reference to other AFs/transport modes.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Luxem</w:t>
      </w:r>
      <w:r>
        <w:rPr>
          <w:rFonts w:ascii="Times New Roman" w:hAnsi="Times New Roman" w:cs="Times New Roman"/>
          <w:noProof/>
          <w:sz w:val="24"/>
          <w:lang w:val="en-IE"/>
        </w:rPr>
        <w:t xml:space="preserve">bourgish NIR contains 12 legal measures, including five new measures compared to the NPF. These measures represent a step forward to create a legally solid background to support the realisation of the AFV/AFI objectives as described in the NPF and revised </w:t>
      </w:r>
      <w:r>
        <w:rPr>
          <w:rFonts w:ascii="Times New Roman" w:hAnsi="Times New Roman" w:cs="Times New Roman"/>
          <w:noProof/>
          <w:sz w:val="24"/>
          <w:lang w:val="en-IE"/>
        </w:rPr>
        <w:t>in the NIR. The level of ambition of the legal measures has increased in the NIR, compared to the NPF.</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All legal measures described in the Luxembourgish NIR fall under legislative and regulatory measures, and most of them target ro</w:t>
      </w:r>
      <w:r>
        <w:rPr>
          <w:rFonts w:ascii="Times New Roman" w:hAnsi="Times New Roman" w:cs="Times New Roman"/>
          <w:noProof/>
          <w:sz w:val="24"/>
          <w:lang w:val="en-IE"/>
        </w:rPr>
        <w:t>ad transport and electrification (addressing AFV and both public and private AFI). One legal measure introduced the obligation of owning a “zero-emission taxi” (i.e. BEV or fuel cell vehicles) in order to be eligible for any future operating licence. Ten m</w:t>
      </w:r>
      <w:r>
        <w:rPr>
          <w:rFonts w:ascii="Times New Roman" w:hAnsi="Times New Roman" w:cs="Times New Roman"/>
          <w:noProof/>
          <w:sz w:val="24"/>
          <w:lang w:val="en-IE"/>
        </w:rPr>
        <w:t>easures were already in place in 2019. The remaining two have been adopted, and present an update or extension of two other measures. The first is the Grand-Ducal Regulation of 20 December 2019, amending the Grand-Ducal Regulation of 7 March 2019 and intro</w:t>
      </w:r>
      <w:r>
        <w:rPr>
          <w:rFonts w:ascii="Times New Roman" w:hAnsi="Times New Roman" w:cs="Times New Roman"/>
          <w:noProof/>
          <w:sz w:val="24"/>
          <w:lang w:val="en-IE"/>
        </w:rPr>
        <w:t>ducing financial aid for the promotion of zero or low CO₂ emission road vehicles. The second is the Grand-Ducal Regulation of 20 December 2019, amending the Grand-Ducal Regulation of 23 December 2016 and implementing Article 104(3) of the amended Income Ta</w:t>
      </w:r>
      <w:r>
        <w:rPr>
          <w:rFonts w:ascii="Times New Roman" w:hAnsi="Times New Roman" w:cs="Times New Roman"/>
          <w:noProof/>
          <w:sz w:val="24"/>
          <w:lang w:val="en-IE"/>
        </w:rPr>
        <w:t>x Law of 4 December 1967. The first measure addresses electric vehicles (both BEV and PHEV) and hydrogen vehicles. The second one targets all company cars with an internal combustion engine and the application of the WLTP test cycle for the type-approval o</w:t>
      </w:r>
      <w:r>
        <w:rPr>
          <w:rFonts w:ascii="Times New Roman" w:hAnsi="Times New Roman" w:cs="Times New Roman"/>
          <w:noProof/>
          <w:sz w:val="24"/>
          <w:lang w:val="en-IE"/>
        </w:rPr>
        <w:t xml:space="preserve">f vehicles.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No administrative measures are reported in the NIR of Luxembourg.</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Luxembourgish NIR contains eight policy measures, which were all in place in 2019, and are different from the policy measures identified in t</w:t>
      </w:r>
      <w:r>
        <w:rPr>
          <w:rFonts w:ascii="Times New Roman" w:hAnsi="Times New Roman" w:cs="Times New Roman"/>
          <w:noProof/>
          <w:sz w:val="24"/>
          <w:lang w:val="en-IE"/>
        </w:rPr>
        <w:t xml:space="preserve">he NPF. All measures focus on road transport. Seven policy measures target electricity as fuel, two of them in combination with hydrogen. One measure is related to CNG buses and infrastructure for public transport.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Measures to ensure national targets and </w:t>
      </w:r>
      <w:r>
        <w:rPr>
          <w:rFonts w:ascii="Times New Roman" w:hAnsi="Times New Roman" w:cs="Times New Roman"/>
          <w:noProof/>
          <w:sz w:val="24"/>
          <w:lang w:val="en-IE"/>
        </w:rPr>
        <w:t>objectives</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Of all the policy measures described in the Luxembourgish NIR, four are categorised as measures to ensure national targets and objectives. The measures focus on road/electricity, with hydrogen included in two of them. These are:</w:t>
      </w:r>
    </w:p>
    <w:p w:rsidR="003C43BF" w:rsidRDefault="006C3212">
      <w:pPr>
        <w:pStyle w:val="ListParagraph"/>
        <w:numPr>
          <w:ilvl w:val="0"/>
          <w:numId w:val="57"/>
        </w:num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A tax allowance </w:t>
      </w:r>
      <w:r>
        <w:rPr>
          <w:rFonts w:ascii="Times New Roman" w:hAnsi="Times New Roman" w:cs="Times New Roman"/>
          <w:noProof/>
          <w:sz w:val="24"/>
          <w:lang w:val="en-IE"/>
        </w:rPr>
        <w:t>scheme, which was initially allowed only for BEV, fuel cell vehicles and bicycles with electric pedal assistance. This measure was later extended also to PHEV emitting less than 50 gCO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/km and was integrated with a revision of the benefit in kind, calculat</w:t>
      </w:r>
      <w:r>
        <w:rPr>
          <w:rFonts w:ascii="Times New Roman" w:hAnsi="Times New Roman" w:cs="Times New Roman"/>
          <w:noProof/>
          <w:sz w:val="24"/>
          <w:lang w:val="en-IE"/>
        </w:rPr>
        <w:t>ed on the basis of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 with a further penalty for diesel vehicles.</w:t>
      </w:r>
    </w:p>
    <w:p w:rsidR="003C43BF" w:rsidRDefault="006C3212">
      <w:pPr>
        <w:pStyle w:val="ListParagraph"/>
        <w:numPr>
          <w:ilvl w:val="0"/>
          <w:numId w:val="57"/>
        </w:num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obligation for government services to buy only BEV or, where appropriate, PHEV from 2018. Ordinary administrative-type cars with internal combustion engines (petrol or diesel)</w:t>
      </w:r>
      <w:r>
        <w:rPr>
          <w:rFonts w:ascii="Times New Roman" w:hAnsi="Times New Roman" w:cs="Times New Roman"/>
          <w:noProof/>
          <w:sz w:val="24"/>
          <w:lang w:val="en-IE"/>
        </w:rPr>
        <w:t xml:space="preserve"> can only be purchased in exceptional circumstances, and with the necessary authorisation. </w:t>
      </w:r>
    </w:p>
    <w:p w:rsidR="003C43BF" w:rsidRDefault="006C3212">
      <w:pPr>
        <w:pStyle w:val="ListParagraph"/>
        <w:numPr>
          <w:ilvl w:val="0"/>
          <w:numId w:val="57"/>
        </w:num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An information campaign to raise public awareness regarding sustainable mobility and to inform municipalities, employers and citizens about the measures and incenti</w:t>
      </w:r>
      <w:r>
        <w:rPr>
          <w:rFonts w:ascii="Times New Roman" w:hAnsi="Times New Roman" w:cs="Times New Roman"/>
          <w:noProof/>
          <w:sz w:val="24"/>
          <w:lang w:val="en-IE"/>
        </w:rPr>
        <w:t>ves in place to support the uptake of alternative fuels solutions for mobility.</w:t>
      </w:r>
    </w:p>
    <w:p w:rsidR="003C43BF" w:rsidRDefault="006C3212">
      <w:pPr>
        <w:pStyle w:val="ListParagraph"/>
        <w:numPr>
          <w:ilvl w:val="0"/>
          <w:numId w:val="57"/>
        </w:num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Financial incentives for the purchase of BEV and fuel cell vehicles (€5,000), PHEV emitting less than 50 gCO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/km (€2,500) and up to €500 for battery-electric quadricycles, moto</w:t>
      </w:r>
      <w:r>
        <w:rPr>
          <w:rFonts w:ascii="Times New Roman" w:hAnsi="Times New Roman" w:cs="Times New Roman"/>
          <w:noProof/>
          <w:sz w:val="24"/>
          <w:lang w:val="en-IE"/>
        </w:rPr>
        <w:t>rcycles and mopeds.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Four policy measures can be categorised as measures that can promote AFI in public transport services. They deal with the deployment of alternative fuel buses and related infras</w:t>
      </w:r>
      <w:r>
        <w:rPr>
          <w:rFonts w:ascii="Times New Roman" w:hAnsi="Times New Roman" w:cs="Times New Roman"/>
          <w:noProof/>
          <w:sz w:val="24"/>
          <w:lang w:val="en-IE"/>
        </w:rPr>
        <w:t>tructure by four public transport operators in Luxembourg, three focussing on BEV and PHEV buses and one on CNG buses.</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Concerning the measures that can promote the deployme</w:t>
      </w:r>
      <w:r>
        <w:rPr>
          <w:rFonts w:ascii="Times New Roman" w:hAnsi="Times New Roman" w:cs="Times New Roman"/>
          <w:noProof/>
          <w:color w:val="000000" w:themeColor="text1"/>
          <w:sz w:val="24"/>
          <w:lang w:val="en-IE"/>
        </w:rPr>
        <w:t>nt of private electro-mobility infrastructure, the LU NIR mentions one measure in the Policy section, which is also included in the list of the Legal measures. It establishes obligations to install recharging point in private buildings and provide requirem</w:t>
      </w:r>
      <w:r>
        <w:rPr>
          <w:rFonts w:ascii="Times New Roman" w:hAnsi="Times New Roman" w:cs="Times New Roman"/>
          <w:noProof/>
          <w:color w:val="000000" w:themeColor="text1"/>
          <w:sz w:val="24"/>
          <w:lang w:val="en-IE"/>
        </w:rPr>
        <w:t xml:space="preserve">ents to do so, however it does not report quantitative information that would allow an assessment. </w:t>
      </w:r>
    </w:p>
    <w:p w:rsidR="003C43BF" w:rsidRDefault="003C43BF">
      <w:pPr>
        <w:jc w:val="both"/>
        <w:rPr>
          <w:rFonts w:ascii="Times New Roman" w:hAnsi="Times New Roman" w:cs="Times New Roman"/>
          <w:noProof/>
          <w:color w:val="000000" w:themeColor="text1"/>
          <w:sz w:val="24"/>
          <w:lang w:val="en-IE"/>
        </w:rPr>
      </w:pPr>
    </w:p>
    <w:p w:rsidR="003C43BF" w:rsidRDefault="006C3212">
      <w:pPr>
        <w:pStyle w:val="Heading4"/>
        <w:rPr>
          <w:rFonts w:ascii="Times New Roman" w:hAnsi="Times New Roman" w:cs="Times New Roman"/>
          <w:noProof/>
          <w:sz w:val="24"/>
          <w:lang w:val="en-IE"/>
        </w:rPr>
      </w:pPr>
      <w:bookmarkStart w:id="376" w:name="_Ref40423496"/>
      <w:r>
        <w:rPr>
          <w:rFonts w:ascii="Times New Roman" w:hAnsi="Times New Roman" w:cs="Times New Roman"/>
          <w:noProof/>
          <w:sz w:val="24"/>
          <w:lang w:val="en-IE"/>
        </w:rPr>
        <w:t>Deployment and manufacturing support</w:t>
      </w:r>
      <w:bookmarkEnd w:id="376"/>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Luxembourgish NIR contains three measures in place during the implementation period to support AFI deployment and</w:t>
      </w:r>
      <w:r>
        <w:rPr>
          <w:rFonts w:ascii="Times New Roman" w:hAnsi="Times New Roman" w:cs="Times New Roman"/>
          <w:noProof/>
          <w:sz w:val="24"/>
          <w:lang w:val="en-IE"/>
        </w:rPr>
        <w:t xml:space="preserve"> manufacturing. All were different to the one measure identified in the NPF.</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Luxembourgish NIR reports two AFI deployment measures. One relates to the deployment of 1,600 charging points for electric vehicles by end 2020, coming with a budget of 10 million €. The second one is the modernisation of two CNG refuelling points, fin</w:t>
      </w:r>
      <w:r>
        <w:rPr>
          <w:rFonts w:ascii="Times New Roman" w:hAnsi="Times New Roman" w:cs="Times New Roman"/>
          <w:noProof/>
          <w:color w:val="000000" w:themeColor="text1"/>
          <w:sz w:val="24"/>
          <w:lang w:val="en-IE"/>
        </w:rPr>
        <w:t xml:space="preserve">ished in 2018 with a budget of €100,000.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Luxembourgish NIR lists one measure to support a manufacturing plant for electric scooters. State funding in 2017 amounted to about €70,000.</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 xml:space="preserve">Consideration of </w:t>
      </w:r>
      <w:r>
        <w:rPr>
          <w:rFonts w:ascii="Times New Roman" w:hAnsi="Times New Roman" w:cs="Times New Roman"/>
          <w:noProof/>
          <w:sz w:val="24"/>
          <w:lang w:val="en-IE"/>
        </w:rPr>
        <w:t>any particular needs during the initial phase of the deployment of alternative fuels infrastructures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Luxembourgish NIR.</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_Ref52870235 \h  \* </w:instrText>
      </w:r>
      <w:r>
        <w:rPr>
          <w:rFonts w:ascii="Times New Roman" w:hAnsi="Times New Roman" w:cs="Times New Roman"/>
          <w:noProof/>
          <w:sz w:val="24"/>
          <w:lang w:val="en-IE"/>
        </w:rPr>
        <w:instrText xml:space="preserve">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5.16.4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w:t>
      </w:r>
      <w:r>
        <w:rPr>
          <w:rFonts w:ascii="Times New Roman" w:hAnsi="Times New Roman" w:cs="Times New Roman"/>
          <w:noProof/>
          <w:sz w:val="24"/>
          <w:lang w:val="en-IE"/>
        </w:rPr>
        <w:t>t can be seen, three clusters could be identified in the LU NIR. The electricity/road cluster is the only having a high score and being comprehensive; the clusters for the pairs CNG/road and hydrogen/road receive a medium score and are not comprehensive. N</w:t>
      </w:r>
      <w:r>
        <w:rPr>
          <w:rFonts w:ascii="Times New Roman" w:hAnsi="Times New Roman" w:cs="Times New Roman"/>
          <w:noProof/>
          <w:sz w:val="24"/>
          <w:lang w:val="en-IE"/>
        </w:rPr>
        <w:t>o measure was mentioned in the LU NIR related to LNG. In terms of expected impact of these measures to support the realisation of the AFV/AFI objectives as presented in the NPF and revised in the NIR, the measures for the pair electricity/road result to ha</w:t>
      </w:r>
      <w:r>
        <w:rPr>
          <w:rFonts w:ascii="Times New Roman" w:hAnsi="Times New Roman" w:cs="Times New Roman"/>
          <w:noProof/>
          <w:sz w:val="24"/>
          <w:lang w:val="en-IE"/>
        </w:rPr>
        <w:t xml:space="preserve">ve a high impact, those for the pairs CNG/road and hydrogen/road have a low impact.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Compared to the NPF, the level of ambition of the Policy and Deployment &amp; Manufacturing support measures has increased for all three clusters.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Text1"/>
        <w:tabs>
          <w:tab w:val="left" w:pos="720"/>
        </w:tabs>
        <w:ind w:left="0"/>
        <w:jc w:val="both"/>
        <w:rPr>
          <w:rFonts w:ascii="Times New Roman" w:hAnsi="Times New Roman" w:cs="Times New Roman"/>
          <w:noProof/>
          <w:sz w:val="24"/>
          <w:lang w:val="en-IE"/>
        </w:rPr>
      </w:pPr>
      <w:bookmarkStart w:id="377" w:name="_Ref52870235"/>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5.16.4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377"/>
      <w:r>
        <w:rPr>
          <w:rFonts w:ascii="Times New Roman" w:hAnsi="Times New Roman" w:cs="Times New Roman"/>
          <w:i/>
          <w:noProof/>
          <w:sz w:val="20"/>
          <w:szCs w:val="18"/>
          <w:lang w:val="en-IE"/>
        </w:rPr>
        <w:t xml:space="preserve"> Quantitative assessment of Policy and Deployment &amp; Manufacturing support measures</w:t>
      </w:r>
      <w:r>
        <w:rPr>
          <w:rFonts w:ascii="Times New Roman" w:hAnsi="Times New Roman" w:cs="Times New Roman"/>
          <w:noProof/>
          <w:sz w:val="24"/>
          <w:lang w:val="en-IE"/>
        </w:rPr>
        <w:t xml:space="preserve"> </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5699760" cy="15087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99760" cy="1508760"/>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rsidR="003C43BF" w:rsidRDefault="003C43BF">
      <w:pPr>
        <w:jc w:val="both"/>
        <w:rPr>
          <w:rFonts w:ascii="Times New Roman" w:eastAsia="Calibri" w:hAnsi="Times New Roman" w:cs="Times New Roman"/>
          <w:noProof/>
          <w:sz w:val="20"/>
          <w:szCs w:val="18"/>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w:t>
      </w:r>
      <w:r>
        <w:rPr>
          <w:rFonts w:ascii="Times New Roman" w:hAnsi="Times New Roman" w:cs="Times New Roman"/>
          <w:noProof/>
          <w:sz w:val="24"/>
          <w:lang w:val="en-IE"/>
        </w:rPr>
        <w:t>ration</w:t>
      </w:r>
    </w:p>
    <w:p w:rsidR="003C43BF" w:rsidRDefault="006C3212">
      <w:pPr>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The Luxembourgish NIR lists four RTD&amp;D projects. The projects are new and differ from those presented in the NPF. For this reason, it is not possible to provide a comparison in terms of ambition between the NIR and the NPF. The </w:t>
      </w:r>
      <w:r>
        <w:rPr>
          <w:rFonts w:ascii="Times New Roman" w:hAnsi="Times New Roman" w:cs="Times New Roman"/>
          <w:noProof/>
          <w:color w:val="000000" w:themeColor="text1"/>
          <w:sz w:val="24"/>
          <w:lang w:val="en-IE"/>
        </w:rPr>
        <w:t>MERLIN (</w:t>
      </w:r>
      <w:r>
        <w:rPr>
          <w:rStyle w:val="FootnoteReference"/>
          <w:rFonts w:ascii="Times New Roman" w:hAnsi="Times New Roman" w:cs="Times New Roman"/>
          <w:noProof/>
          <w:color w:val="000000" w:themeColor="text1"/>
          <w:sz w:val="24"/>
          <w:lang w:val="en-IE" w:bidi="en-US"/>
        </w:rPr>
        <w:footnoteReference w:id="56"/>
      </w:r>
      <w:r>
        <w:rPr>
          <w:rFonts w:ascii="Times New Roman" w:hAnsi="Times New Roman" w:cs="Times New Roman"/>
          <w:noProof/>
          <w:color w:val="000000" w:themeColor="text1"/>
          <w:sz w:val="24"/>
          <w:lang w:val="en-IE"/>
        </w:rPr>
        <w:t xml:space="preserve">) project, which is funded by the </w:t>
      </w:r>
      <w:r>
        <w:rPr>
          <w:rFonts w:ascii="Times New Roman" w:hAnsi="Times New Roman" w:cs="Times New Roman"/>
          <w:noProof/>
          <w:sz w:val="24"/>
          <w:lang w:val="en-IE"/>
        </w:rPr>
        <w:t>European Regional Development Fund (</w:t>
      </w:r>
      <w:r>
        <w:rPr>
          <w:rFonts w:ascii="Times New Roman" w:hAnsi="Times New Roman" w:cs="Times New Roman"/>
          <w:noProof/>
          <w:color w:val="000000" w:themeColor="text1"/>
          <w:sz w:val="24"/>
          <w:lang w:val="en-IE"/>
        </w:rPr>
        <w:t>ERDF), aims to develop a platform for assessing the impact of the country’s various mobility solutions. The eCoBus (</w:t>
      </w:r>
      <w:r>
        <w:rPr>
          <w:rStyle w:val="FootnoteReference"/>
          <w:rFonts w:ascii="Times New Roman" w:hAnsi="Times New Roman" w:cs="Times New Roman"/>
          <w:noProof/>
          <w:color w:val="000000" w:themeColor="text1"/>
          <w:sz w:val="24"/>
          <w:lang w:val="en-IE" w:bidi="en-US"/>
        </w:rPr>
        <w:footnoteReference w:id="57"/>
      </w:r>
      <w:r>
        <w:rPr>
          <w:rFonts w:ascii="Times New Roman" w:hAnsi="Times New Roman" w:cs="Times New Roman"/>
          <w:noProof/>
          <w:color w:val="000000" w:themeColor="text1"/>
          <w:sz w:val="24"/>
          <w:lang w:val="en-IE"/>
        </w:rPr>
        <w:t>) project, funded by the</w:t>
      </w:r>
      <w:r>
        <w:rPr>
          <w:rFonts w:ascii="Times New Roman" w:hAnsi="Times New Roman" w:cs="Times New Roman"/>
          <w:noProof/>
          <w:sz w:val="24"/>
          <w:lang w:val="en-IE"/>
        </w:rPr>
        <w:t xml:space="preserve"> Luxembourg National Research Fund (FNR)</w:t>
      </w:r>
      <w:r>
        <w:rPr>
          <w:rFonts w:ascii="Times New Roman" w:hAnsi="Times New Roman" w:cs="Times New Roman"/>
          <w:noProof/>
          <w:color w:val="000000" w:themeColor="text1"/>
          <w:sz w:val="24"/>
          <w:lang w:val="en-IE"/>
        </w:rPr>
        <w:t>, aim</w:t>
      </w:r>
      <w:r>
        <w:rPr>
          <w:rFonts w:ascii="Times New Roman" w:hAnsi="Times New Roman" w:cs="Times New Roman"/>
          <w:noProof/>
          <w:color w:val="000000" w:themeColor="text1"/>
          <w:sz w:val="24"/>
          <w:lang w:val="en-IE"/>
        </w:rPr>
        <w:t>s to develop a cooperative and integrated intelligent transport system (ITS), which will coordinate electric buses, recharging infrastructure and traffic management. The PorSi3DLIB project is a public-private cooperation, also funded by the FNR, focusing o</w:t>
      </w:r>
      <w:r>
        <w:rPr>
          <w:rFonts w:ascii="Times New Roman" w:hAnsi="Times New Roman" w:cs="Times New Roman"/>
          <w:noProof/>
          <w:color w:val="000000" w:themeColor="text1"/>
          <w:sz w:val="24"/>
          <w:lang w:val="en-IE"/>
        </w:rPr>
        <w:t>n developing new Li-ion 3D batteries.</w:t>
      </w:r>
      <w:r>
        <w:rPr>
          <w:rFonts w:ascii="Times New Roman" w:hAnsi="Times New Roman" w:cs="Times New Roman"/>
          <w:noProof/>
          <w:sz w:val="24"/>
          <w:lang w:val="en-IE"/>
        </w:rPr>
        <w:t xml:space="preserve"> Finally, the “ID and Data Collection for Sustainable Fuels” (IDACS) project, in which Luxembourg participates with 14 other Member States of the European Union, is another very important technological development proje</w:t>
      </w:r>
      <w:r>
        <w:rPr>
          <w:rFonts w:ascii="Times New Roman" w:hAnsi="Times New Roman" w:cs="Times New Roman"/>
          <w:noProof/>
          <w:sz w:val="24"/>
          <w:lang w:val="en-IE"/>
        </w:rPr>
        <w:t>ct involving alternative fuels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total budget of these four projects sums up to 2.404 million €, with a portion of 1.299 million € (54%) for the two projects financed by national sources.</w:t>
      </w:r>
    </w:p>
    <w:p w:rsidR="003C43BF" w:rsidRDefault="006C3212">
      <w:pPr>
        <w:jc w:val="both"/>
        <w:rPr>
          <w:rFonts w:ascii="Times New Roman" w:hAnsi="Times New Roman" w:cs="Times New Roman"/>
          <w:noProof/>
          <w:color w:val="000000" w:themeColor="text1"/>
          <w:sz w:val="24"/>
          <w:highlight w:val="lightGray"/>
          <w:lang w:val="en-IE"/>
        </w:rPr>
      </w:pPr>
      <w:r>
        <w:rPr>
          <w:rFonts w:ascii="Times New Roman" w:hAnsi="Times New Roman" w:cs="Times New Roman"/>
          <w:noProof/>
          <w:sz w:val="24"/>
          <w:lang w:val="en-IE"/>
        </w:rPr>
        <w:t xml:space="preserve"> </w:t>
      </w:r>
    </w:p>
    <w:p w:rsidR="003C43BF" w:rsidRDefault="006C3212">
      <w:pPr>
        <w:pStyle w:val="Heading3"/>
        <w:ind w:left="720"/>
        <w:rPr>
          <w:rFonts w:ascii="Times New Roman" w:hAnsi="Times New Roman" w:cs="Times New Roman"/>
          <w:noProof/>
          <w:sz w:val="24"/>
          <w:lang w:val="en-IE"/>
        </w:rPr>
      </w:pPr>
      <w:bookmarkStart w:id="378" w:name="_Toc55301909"/>
      <w:bookmarkStart w:id="379" w:name="_Toc56944221"/>
      <w:r>
        <w:rPr>
          <w:rFonts w:ascii="Times New Roman" w:hAnsi="Times New Roman" w:cs="Times New Roman"/>
          <w:noProof/>
          <w:sz w:val="24"/>
          <w:lang w:val="en-IE"/>
        </w:rPr>
        <w:t>Additional information on alternative fuels infr</w:t>
      </w:r>
      <w:r>
        <w:rPr>
          <w:rFonts w:ascii="Times New Roman" w:hAnsi="Times New Roman" w:cs="Times New Roman"/>
          <w:noProof/>
          <w:sz w:val="24"/>
          <w:lang w:val="en-IE"/>
        </w:rPr>
        <w:t>astructure developments</w:t>
      </w:r>
      <w:bookmarkEnd w:id="378"/>
      <w:bookmarkEnd w:id="379"/>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Luxembourgish NIR indicates that official statistics on electricity use for private charging of electric vehicles will be available in 2020. It can also be expected that the project IDACS, carried out by Luxembourg in cooperatio</w:t>
      </w:r>
      <w:r>
        <w:rPr>
          <w:rFonts w:ascii="Times New Roman" w:hAnsi="Times New Roman" w:cs="Times New Roman"/>
          <w:noProof/>
          <w:sz w:val="24"/>
          <w:lang w:val="en-IE"/>
        </w:rPr>
        <w:t>n with additional 14 European Member States over the years 2019-2021, will deliver further information on alternative fuels infrastructure, including all fuels.</w:t>
      </w:r>
    </w:p>
    <w:p w:rsidR="003C43BF" w:rsidRDefault="003C43BF">
      <w:pPr>
        <w:rPr>
          <w:rFonts w:ascii="Times New Roman" w:hAnsi="Times New Roman" w:cs="Times New Roman"/>
          <w:noProof/>
          <w:sz w:val="24"/>
          <w:highlight w:val="lightGray"/>
          <w:lang w:val="en-IE"/>
        </w:rPr>
      </w:pPr>
    </w:p>
    <w:p w:rsidR="003C43BF" w:rsidRDefault="003C43BF">
      <w:pPr>
        <w:rPr>
          <w:rFonts w:ascii="Times New Roman" w:hAnsi="Times New Roman" w:cs="Times New Roman"/>
          <w:noProof/>
          <w:sz w:val="24"/>
          <w:highlight w:val="lightGray"/>
          <w:lang w:val="en-IE"/>
        </w:rPr>
      </w:pPr>
    </w:p>
    <w:p w:rsidR="003C43BF" w:rsidRDefault="003C43BF">
      <w:pPr>
        <w:rPr>
          <w:rFonts w:ascii="Times New Roman" w:hAnsi="Times New Roman" w:cs="Times New Roman"/>
          <w:noProof/>
          <w:sz w:val="24"/>
          <w:highlight w:val="lightGray"/>
          <w:lang w:val="en-IE"/>
        </w:rPr>
      </w:pPr>
    </w:p>
    <w:p w:rsidR="003C43BF" w:rsidRDefault="003C43BF">
      <w:pPr>
        <w:rPr>
          <w:rFonts w:ascii="Times New Roman" w:hAnsi="Times New Roman" w:cs="Times New Roman"/>
          <w:noProof/>
          <w:sz w:val="24"/>
          <w:highlight w:val="lightGray"/>
          <w:lang w:val="en-IE"/>
        </w:rPr>
      </w:pPr>
    </w:p>
    <w:p w:rsidR="003C43BF" w:rsidRDefault="006C3212">
      <w:pPr>
        <w:pStyle w:val="Heading3"/>
        <w:ind w:left="720"/>
        <w:rPr>
          <w:rFonts w:ascii="Times New Roman" w:hAnsi="Times New Roman" w:cs="Times New Roman"/>
          <w:noProof/>
          <w:sz w:val="24"/>
          <w:lang w:val="en-IE"/>
        </w:rPr>
      </w:pPr>
      <w:bookmarkStart w:id="380" w:name="_Toc55301910"/>
      <w:bookmarkStart w:id="381" w:name="_Toc56944222"/>
      <w:r>
        <w:rPr>
          <w:rFonts w:ascii="Times New Roman" w:hAnsi="Times New Roman" w:cs="Times New Roman"/>
          <w:noProof/>
          <w:sz w:val="24"/>
          <w:lang w:val="en-IE"/>
        </w:rPr>
        <w:t>Summary of the assessment</w:t>
      </w:r>
      <w:bookmarkEnd w:id="380"/>
      <w:bookmarkEnd w:id="381"/>
      <w:r>
        <w:rPr>
          <w:rFonts w:ascii="Times New Roman" w:hAnsi="Times New Roman" w:cs="Times New Roman"/>
          <w:noProof/>
          <w:sz w:val="24"/>
          <w:lang w:val="en-IE"/>
        </w:rPr>
        <w:tab/>
      </w:r>
    </w:p>
    <w:p w:rsidR="003C43BF" w:rsidRDefault="006C3212">
      <w:pPr>
        <w:spacing w:after="120" w:line="240" w:lineRule="auto"/>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5.16.6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4706620"/>
            <wp:effectExtent l="0" t="0" r="0" b="0"/>
            <wp:docPr id="7891" name="Picture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4235" cy="4706620"/>
                    </a:xfrm>
                    <a:prstGeom prst="rect">
                      <a:avLst/>
                    </a:prstGeom>
                    <a:noFill/>
                  </pic:spPr>
                </pic:pic>
              </a:graphicData>
            </a:graphic>
          </wp:inline>
        </w:drawing>
      </w:r>
    </w:p>
    <w:p w:rsidR="003C43BF" w:rsidRDefault="006C3212">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3C43BF">
      <w:pPr>
        <w:tabs>
          <w:tab w:val="left" w:pos="966"/>
        </w:tabs>
        <w:jc w:val="both"/>
        <w:rPr>
          <w:rFonts w:ascii="Times New Roman" w:hAnsi="Times New Roman" w:cs="Times New Roman"/>
          <w:noProof/>
          <w:color w:val="000000" w:themeColor="text1"/>
          <w:sz w:val="24"/>
          <w:lang w:val="en-IE"/>
        </w:rPr>
      </w:pPr>
    </w:p>
    <w:p w:rsidR="003C43BF" w:rsidRDefault="006C3212">
      <w:pPr>
        <w:tabs>
          <w:tab w:val="left" w:pos="966"/>
        </w:tabs>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its NIR, </w:t>
      </w:r>
      <w:r>
        <w:rPr>
          <w:rFonts w:ascii="Times New Roman" w:hAnsi="Times New Roman" w:cs="Times New Roman"/>
          <w:noProof/>
          <w:sz w:val="24"/>
          <w:lang w:val="en-IE"/>
        </w:rPr>
        <w:t>Luxembourg confirms and strengthens the NPF strategy to focus on electro-mobility for road transport. Concerning CNG, the LU NIR foresees only a marginal role and specifically f</w:t>
      </w:r>
      <w:r>
        <w:rPr>
          <w:rFonts w:ascii="Times New Roman" w:hAnsi="Times New Roman" w:cs="Times New Roman"/>
          <w:noProof/>
          <w:sz w:val="24"/>
          <w:lang w:val="en-IE"/>
        </w:rPr>
        <w:t>or public transport (where the co-existence of BEV and PHEV buses and coaches will also be relevant). Regarding LNG, the LU NIR does not present a defined strategy. For hydrogen vehicles the same type of incentives of BEV vehicles are foreseen, but this AF</w:t>
      </w:r>
      <w:r>
        <w:rPr>
          <w:rFonts w:ascii="Times New Roman" w:hAnsi="Times New Roman" w:cs="Times New Roman"/>
          <w:noProof/>
          <w:sz w:val="24"/>
          <w:lang w:val="en-IE"/>
        </w:rPr>
        <w:t xml:space="preserve"> is currently excluded from the Luxembourgish plans on AF. Finally, biofuels and LPG are and will continue to be marginal. The measures put in place by Luxembourg are coherent with this vision. </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main outcomes of the technical assessment of the Luxembou</w:t>
      </w:r>
      <w:r>
        <w:rPr>
          <w:rFonts w:ascii="Times New Roman" w:hAnsi="Times New Roman" w:cs="Times New Roman"/>
          <w:noProof/>
          <w:sz w:val="24"/>
          <w:lang w:val="en-IE"/>
        </w:rPr>
        <w:t xml:space="preserve">rgish NIR on vehicles estimates and infrastructure targets can be summarised as follows: </w:t>
      </w:r>
    </w:p>
    <w:p w:rsidR="003C43BF" w:rsidRDefault="003C43BF">
      <w:pPr>
        <w:spacing w:after="0" w:line="240" w:lineRule="auto"/>
        <w:jc w:val="both"/>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Text1"/>
        <w:numPr>
          <w:ilvl w:val="0"/>
          <w:numId w:val="55"/>
        </w:numPr>
        <w:tabs>
          <w:tab w:val="left" w:pos="720"/>
        </w:tabs>
        <w:spacing w:after="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 2018 Luxembourg recorded 3,373 EVs and 841 publicly accessible recharging points. EVs included 8 HCVs and 55 buses and coaches. As fo</w:t>
      </w:r>
      <w:r>
        <w:rPr>
          <w:rFonts w:ascii="Times New Roman" w:hAnsi="Times New Roman" w:cs="Times New Roman"/>
          <w:noProof/>
          <w:sz w:val="24"/>
          <w:lang w:val="en-IE"/>
        </w:rPr>
        <w:t>r the next decade, the LU NIR presents a new plan with a much higher ambition compared to the NPF: for EVs, whilst the estimate is lower in 2020, it is more than compensated by the increase until 2030 (322% more), when 202,600 EVs are foreseen (of which 1,</w:t>
      </w:r>
      <w:r>
        <w:rPr>
          <w:rFonts w:ascii="Times New Roman" w:hAnsi="Times New Roman" w:cs="Times New Roman"/>
          <w:noProof/>
          <w:sz w:val="24"/>
          <w:lang w:val="en-IE"/>
        </w:rPr>
        <w:t>000 LVCs, 100 HCVs and 1,500 buses and coaches). The same situation is observed for the recharging infrastructure, where the LU NIR now targets a slightly lower (-7%) number of recharging points in 2020, but much higher numbers for the years 2025 (+163%) a</w:t>
      </w:r>
      <w:r>
        <w:rPr>
          <w:rFonts w:ascii="Times New Roman" w:hAnsi="Times New Roman" w:cs="Times New Roman"/>
          <w:noProof/>
          <w:sz w:val="24"/>
          <w:lang w:val="en-IE"/>
        </w:rPr>
        <w:t>nd 2030 (+375%). With reference to this new scenario, Luxembourg is progressing adequately both in terms of EV and infrastructure. However, the calculated Luxembourgish sufficiency index is becoming potentially inadequate for the years 2025 and 2030.</w:t>
      </w:r>
    </w:p>
    <w:p w:rsidR="003C43BF" w:rsidRDefault="006C3212">
      <w:pPr>
        <w:pStyle w:val="Text1"/>
        <w:numPr>
          <w:ilvl w:val="0"/>
          <w:numId w:val="55"/>
        </w:numPr>
        <w:tabs>
          <w:tab w:val="left" w:pos="720"/>
        </w:tabs>
        <w:spacing w:after="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w:t>
      </w:r>
      <w:r>
        <w:rPr>
          <w:rFonts w:ascii="Times New Roman" w:hAnsi="Times New Roman" w:cs="Times New Roman"/>
          <w:noProof/>
          <w:sz w:val="24"/>
          <w:lang w:val="en-IE"/>
        </w:rPr>
        <w:t xml:space="preserve"> Luxembourg recorded a small number of 314 CNG vehicles in 2018, including 11 heavy-duty vehicles and 52 buses and coaches. The CNG fleet is expected to shrink to a total of 100 in 2030, with only the number of buses and coaches increasing slightly to 65. </w:t>
      </w:r>
      <w:r>
        <w:rPr>
          <w:rFonts w:ascii="Times New Roman" w:hAnsi="Times New Roman" w:cs="Times New Roman"/>
          <w:noProof/>
          <w:sz w:val="24"/>
          <w:lang w:val="en-IE"/>
        </w:rPr>
        <w:t xml:space="preserve">In line with the expected reduction in vehicles, the public infrastructure has been reduced, with two modernised refuelling stations remaining. This is considered sufficient by Luxembourg to cover current and future needs, and is confirmed by the adequate </w:t>
      </w:r>
      <w:r>
        <w:rPr>
          <w:rFonts w:ascii="Times New Roman" w:hAnsi="Times New Roman" w:cs="Times New Roman"/>
          <w:noProof/>
          <w:sz w:val="24"/>
          <w:lang w:val="en-IE"/>
        </w:rPr>
        <w:t>sufficiency index.</w:t>
      </w:r>
    </w:p>
    <w:p w:rsidR="003C43BF" w:rsidRDefault="006C3212">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xml:space="preserve">– The Luxembourg fleet consisted in 2018 of 13 LNG heavy-duty vehicles. An increase to 150 vehicles by 2030 is estimated, but no public LNG refuelling point is planned until 2030. There was however one private LNG refuelling point in service, which should </w:t>
      </w:r>
      <w:r>
        <w:rPr>
          <w:rFonts w:ascii="Times New Roman" w:hAnsi="Times New Roman" w:cs="Times New Roman"/>
          <w:noProof/>
          <w:sz w:val="24"/>
          <w:lang w:val="en-IE"/>
        </w:rPr>
        <w:t xml:space="preserve">continue until 2030. </w:t>
      </w:r>
    </w:p>
    <w:p w:rsidR="003C43BF" w:rsidRDefault="006C3212">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At this moment hydrogen is not considered in the Luxembourgish fuel mix. There were no hydrogen vehicles/infrastructure registered in 2018 and no clear quantitative objectives provided for the future. However, the LU NIR de</w:t>
      </w:r>
      <w:r>
        <w:rPr>
          <w:rFonts w:ascii="Times New Roman" w:hAnsi="Times New Roman" w:cs="Times New Roman"/>
          <w:noProof/>
          <w:sz w:val="24"/>
          <w:lang w:val="en-IE"/>
        </w:rPr>
        <w:t>clares that “</w:t>
      </w:r>
      <w:r>
        <w:rPr>
          <w:rFonts w:ascii="Times New Roman" w:hAnsi="Times New Roman" w:cs="Times New Roman"/>
          <w:i/>
          <w:noProof/>
          <w:sz w:val="24"/>
          <w:lang w:val="en-IE"/>
        </w:rPr>
        <w:t>the government has committed, in its coalition agreement 2018-2023 (</w:t>
      </w:r>
      <w:r>
        <w:rPr>
          <w:rStyle w:val="FootnoteReference"/>
          <w:rFonts w:ascii="Times New Roman" w:hAnsi="Times New Roman" w:cs="Times New Roman"/>
          <w:i/>
          <w:noProof/>
          <w:sz w:val="24"/>
          <w:lang w:val="en-IE"/>
        </w:rPr>
        <w:footnoteReference w:id="58"/>
      </w:r>
      <w:r>
        <w:rPr>
          <w:rFonts w:ascii="Times New Roman" w:hAnsi="Times New Roman" w:cs="Times New Roman"/>
          <w:i/>
          <w:noProof/>
          <w:sz w:val="24"/>
          <w:lang w:val="en-IE"/>
        </w:rPr>
        <w:t>), to arrange for at least one hydrogen refuelling station to be installed at one of the motorway service areas”</w:t>
      </w:r>
      <w:r>
        <w:rPr>
          <w:rFonts w:ascii="Times New Roman" w:hAnsi="Times New Roman" w:cs="Times New Roman"/>
          <w:noProof/>
          <w:sz w:val="24"/>
          <w:lang w:val="en-IE"/>
        </w:rPr>
        <w:t xml:space="preserve"> and this could take place by 2025.</w:t>
      </w:r>
    </w:p>
    <w:p w:rsidR="003C43BF" w:rsidRDefault="006C3212">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color w:val="000000" w:themeColor="text1"/>
          <w:sz w:val="24"/>
          <w:lang w:val="en-IE"/>
        </w:rPr>
        <w:t>Biofuels</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 xml:space="preserve">– In Luxembourg, </w:t>
      </w:r>
      <w:r>
        <w:rPr>
          <w:rFonts w:ascii="Times New Roman" w:hAnsi="Times New Roman" w:cs="Times New Roman"/>
          <w:noProof/>
          <w:sz w:val="24"/>
          <w:lang w:val="en-IE"/>
        </w:rPr>
        <w:t>56 ethanol fuelled vehicles were registered in 2018. No information on future vehicles developments and on refuelling infrastructure was provided.</w:t>
      </w:r>
    </w:p>
    <w:p w:rsidR="003C43BF" w:rsidRDefault="006C3212">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xml:space="preserve">– The LPG fleet of 377 vehicles registered in 2018 by Luxembourg included 8 heavy-duty vehicles. No </w:t>
      </w:r>
      <w:r>
        <w:rPr>
          <w:rFonts w:ascii="Times New Roman" w:hAnsi="Times New Roman" w:cs="Times New Roman"/>
          <w:noProof/>
          <w:sz w:val="24"/>
          <w:lang w:val="en-IE"/>
        </w:rPr>
        <w:t>assessment on LPG can be made since no information on future development and infrastructure was provided.</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Information is unavailable in the LU NIR.</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LU NIR reports one electric ves</w:t>
      </w:r>
      <w:r>
        <w:rPr>
          <w:rFonts w:ascii="Times New Roman" w:hAnsi="Times New Roman" w:cs="Times New Roman"/>
          <w:noProof/>
          <w:sz w:val="24"/>
          <w:lang w:val="en-IE"/>
        </w:rPr>
        <w:t xml:space="preserve">sel in service since 2016. It also recorded 5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supplies in 2018 and presents a target of 6 in 2020 and of 10 from 2025 to 2030.</w:t>
      </w:r>
    </w:p>
    <w:p w:rsidR="003C43BF" w:rsidRDefault="006C3212">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LU NIR lists one LNG powered vessel in 2018 and for the next decade. Due to the large autonomy o</w:t>
      </w:r>
      <w:r>
        <w:rPr>
          <w:rFonts w:ascii="Times New Roman" w:hAnsi="Times New Roman" w:cs="Times New Roman"/>
          <w:noProof/>
          <w:sz w:val="24"/>
          <w:lang w:val="en-IE"/>
        </w:rPr>
        <w:t>f LNG vessels, LNG refuelling infrastructure at the inland port Merter is not considered viable.</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Electricity supply for stationary aircraft </w:t>
      </w:r>
      <w:r>
        <w:rPr>
          <w:rFonts w:ascii="Times New Roman" w:hAnsi="Times New Roman" w:cs="Times New Roman"/>
          <w:noProof/>
          <w:sz w:val="24"/>
          <w:lang w:val="en-IE"/>
        </w:rPr>
        <w:t>– The infrastructure to supply electricity for stationary aircraft at the Luxembourg airport is considered sufficient (44 units) and no increase is foreseen. The LU NIR mentions that 28 supply points consist in ground power units (diesel engines coupled to</w:t>
      </w:r>
      <w:r>
        <w:rPr>
          <w:rFonts w:ascii="Times New Roman" w:hAnsi="Times New Roman" w:cs="Times New Roman"/>
          <w:noProof/>
          <w:sz w:val="24"/>
          <w:lang w:val="en-IE"/>
        </w:rPr>
        <w:t xml:space="preserve"> electricity generators) and no information is provided for the rest. </w:t>
      </w:r>
    </w:p>
    <w:p w:rsidR="003C43BF" w:rsidRDefault="003C43BF">
      <w:pPr>
        <w:pStyle w:val="ListParagraph"/>
        <w:tabs>
          <w:tab w:val="left" w:pos="966"/>
        </w:tabs>
        <w:spacing w:before="120"/>
        <w:ind w:left="426"/>
        <w:jc w:val="both"/>
        <w:rPr>
          <w:rFonts w:ascii="Times New Roman" w:hAnsi="Times New Roman" w:cs="Times New Roman"/>
          <w:noProof/>
          <w:sz w:val="24"/>
          <w:lang w:val="en-IE"/>
        </w:rPr>
      </w:pPr>
    </w:p>
    <w:p w:rsidR="003C43BF" w:rsidRDefault="006C3212">
      <w:pPr>
        <w:pStyle w:val="Text1"/>
        <w:tabs>
          <w:tab w:val="left" w:pos="720"/>
        </w:tabs>
        <w:spacing w:after="120"/>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Luxembourgish NIR presents an extended portfolio of </w:t>
      </w:r>
      <w:r>
        <w:rPr>
          <w:rFonts w:ascii="Times New Roman" w:hAnsi="Times New Roman" w:cs="Times New Roman"/>
          <w:b/>
          <w:noProof/>
          <w:color w:val="000000" w:themeColor="text1"/>
          <w:sz w:val="24"/>
          <w:lang w:val="en-IE"/>
        </w:rPr>
        <w:t>measures</w:t>
      </w:r>
      <w:r>
        <w:rPr>
          <w:rFonts w:ascii="Times New Roman" w:hAnsi="Times New Roman" w:cs="Times New Roman"/>
          <w:noProof/>
          <w:color w:val="000000" w:themeColor="text1"/>
          <w:sz w:val="24"/>
          <w:lang w:val="en-IE"/>
        </w:rPr>
        <w:t xml:space="preserve"> compared to the NPF. However, the overall strategy remains the same,</w:t>
      </w:r>
      <w:r>
        <w:rPr>
          <w:rFonts w:ascii="Times New Roman" w:hAnsi="Times New Roman" w:cs="Times New Roman"/>
          <w:iCs/>
          <w:noProof/>
          <w:sz w:val="24"/>
          <w:lang w:val="en-IE"/>
        </w:rPr>
        <w:t xml:space="preserve"> with almost total focus on the combination electri</w:t>
      </w:r>
      <w:r>
        <w:rPr>
          <w:rFonts w:ascii="Times New Roman" w:hAnsi="Times New Roman" w:cs="Times New Roman"/>
          <w:iCs/>
          <w:noProof/>
          <w:sz w:val="24"/>
          <w:lang w:val="en-IE"/>
        </w:rPr>
        <w:t xml:space="preserve">city/road (targeting both AFI and AFV), and only some generic reference to other AFs/transport modes. The Legal </w:t>
      </w:r>
      <w:r>
        <w:rPr>
          <w:rFonts w:ascii="Times New Roman" w:hAnsi="Times New Roman" w:cs="Times New Roman"/>
          <w:noProof/>
          <w:sz w:val="24"/>
          <w:lang w:val="en-IE"/>
        </w:rPr>
        <w:t>measures represent a step forward, and with higher ambition, to create a legally solid background to support the uptake of electro-mobility. The</w:t>
      </w:r>
      <w:r>
        <w:rPr>
          <w:rFonts w:ascii="Times New Roman" w:hAnsi="Times New Roman" w:cs="Times New Roman"/>
          <w:noProof/>
          <w:sz w:val="24"/>
          <w:lang w:val="en-IE"/>
        </w:rPr>
        <w:t xml:space="preserve"> Policy and Deployment measures are coherently designed to realise these objectives. In terms of their expected impact to support the realisation of the AFV/AFI objectives as presented in the NPF and revised in the NIR, the measures for the pair electricit</w:t>
      </w:r>
      <w:r>
        <w:rPr>
          <w:rFonts w:ascii="Times New Roman" w:hAnsi="Times New Roman" w:cs="Times New Roman"/>
          <w:noProof/>
          <w:sz w:val="24"/>
          <w:lang w:val="en-IE"/>
        </w:rPr>
        <w:t xml:space="preserve">y/road result to have a high impact, while those for the pairs CNG/road and hydrogen/road have a low impact. The RTD&amp;D measures confirm and complete the overall strategy of Luxembourg to become </w:t>
      </w:r>
      <w:r>
        <w:rPr>
          <w:rFonts w:ascii="Times New Roman" w:hAnsi="Times New Roman" w:cs="Times New Roman"/>
          <w:i/>
          <w:noProof/>
          <w:sz w:val="24"/>
          <w:lang w:val="en-IE"/>
        </w:rPr>
        <w:t>“… one of the main players in electric mobility”.</w:t>
      </w:r>
    </w:p>
    <w:p w:rsidR="003C43BF" w:rsidRDefault="003C43BF">
      <w:pPr>
        <w:rPr>
          <w:rFonts w:ascii="Times New Roman" w:hAnsi="Times New Roman" w:cs="Times New Roman"/>
          <w:noProof/>
          <w:sz w:val="24"/>
          <w:szCs w:val="24"/>
          <w:lang w:val="en-IE"/>
        </w:rPr>
      </w:pPr>
    </w:p>
    <w:p w:rsidR="003C43BF" w:rsidRDefault="006C3212">
      <w:pPr>
        <w:pStyle w:val="Heading3"/>
        <w:rPr>
          <w:rFonts w:ascii="Times New Roman" w:hAnsi="Times New Roman" w:cs="Times New Roman"/>
          <w:noProof/>
          <w:sz w:val="24"/>
          <w:szCs w:val="24"/>
          <w:lang w:val="en-IE"/>
        </w:rPr>
      </w:pPr>
      <w:bookmarkStart w:id="382" w:name="_Toc56944223"/>
      <w:r>
        <w:rPr>
          <w:rFonts w:ascii="Times New Roman" w:hAnsi="Times New Roman" w:cs="Times New Roman"/>
          <w:noProof/>
          <w:sz w:val="24"/>
          <w:szCs w:val="24"/>
          <w:lang w:val="en-IE"/>
        </w:rPr>
        <w:t>Final remar</w:t>
      </w:r>
      <w:r>
        <w:rPr>
          <w:rFonts w:ascii="Times New Roman" w:hAnsi="Times New Roman" w:cs="Times New Roman"/>
          <w:noProof/>
          <w:sz w:val="24"/>
          <w:szCs w:val="24"/>
          <w:lang w:val="en-IE"/>
        </w:rPr>
        <w:t>ks</w:t>
      </w:r>
      <w:bookmarkEnd w:id="382"/>
      <w:r>
        <w:rPr>
          <w:rFonts w:ascii="Times New Roman" w:hAnsi="Times New Roman" w:cs="Times New Roman"/>
          <w:noProof/>
          <w:sz w:val="24"/>
          <w:szCs w:val="24"/>
          <w:lang w:val="en-IE"/>
        </w:rPr>
        <w:t xml:space="preserve"> </w:t>
      </w:r>
    </w:p>
    <w:p w:rsidR="003C43BF" w:rsidRDefault="006C3212">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 xml:space="preserve">The Luxembourgish NIR provides a comprehensive report on efforts to implement the Directive. The NIR is in line with the provisions of Annex I to the Directive. All alternative fuels are addressed in the NIR. However, the focus is on electro-mobility, </w:t>
      </w:r>
      <w:r>
        <w:rPr>
          <w:rFonts w:ascii="Times New Roman" w:hAnsi="Times New Roman" w:cs="Times New Roman"/>
          <w:iCs/>
          <w:noProof/>
          <w:sz w:val="24"/>
          <w:szCs w:val="24"/>
          <w:lang w:val="en-IE"/>
        </w:rPr>
        <w:t>as confirmed also by the measures included in the NIR.</w:t>
      </w:r>
    </w:p>
    <w:p w:rsidR="003C43BF" w:rsidRDefault="006C3212">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As regards electricity, the NIR estimates that there could be around 203,000 electric vehicles on the roads by 2030, representing about 34% of the future fleet by that time, as well as around 10,300 re</w:t>
      </w:r>
      <w:r>
        <w:rPr>
          <w:rFonts w:ascii="Times New Roman" w:hAnsi="Times New Roman" w:cs="Times New Roman"/>
          <w:iCs/>
          <w:noProof/>
          <w:sz w:val="24"/>
          <w:szCs w:val="24"/>
          <w:lang w:val="en-IE"/>
        </w:rPr>
        <w:t>charging points in the same year. Taking into account the current situation and expected trends, this level of ambition appears to be fully consistent with the pace of deployment of electric vehicles considered necessary for a full transition to carbon neu</w:t>
      </w:r>
      <w:r>
        <w:rPr>
          <w:rFonts w:ascii="Times New Roman" w:hAnsi="Times New Roman" w:cs="Times New Roman"/>
          <w:iCs/>
          <w:noProof/>
          <w:sz w:val="24"/>
          <w:szCs w:val="24"/>
          <w:lang w:val="en-IE"/>
        </w:rPr>
        <w:t xml:space="preserve">trality by 2050. No information on charging efficiency is provided. Five shore-side </w:t>
      </w:r>
      <w:r>
        <w:rPr>
          <w:rFonts w:ascii="Times New Roman" w:hAnsi="Times New Roman" w:cs="Times New Roman"/>
          <w:noProof/>
          <w:color w:val="222222"/>
          <w:sz w:val="24"/>
          <w:lang w:val="en-IE"/>
        </w:rPr>
        <w:t>electricity</w:t>
      </w:r>
      <w:r>
        <w:rPr>
          <w:rFonts w:ascii="Times New Roman" w:hAnsi="Times New Roman" w:cs="Times New Roman"/>
          <w:iCs/>
          <w:noProof/>
          <w:sz w:val="24"/>
          <w:szCs w:val="24"/>
          <w:lang w:val="en-IE"/>
        </w:rPr>
        <w:t xml:space="preserve"> supply facilities have been installed in Luxembourg's inland ports already. This number is noted to increase to 10 by 2025. Luxembourg's national airport has already installed 44 electricity supply points for stationary aircraft. Further information shoul</w:t>
      </w:r>
      <w:r>
        <w:rPr>
          <w:rFonts w:ascii="Times New Roman" w:hAnsi="Times New Roman" w:cs="Times New Roman"/>
          <w:iCs/>
          <w:noProof/>
          <w:sz w:val="24"/>
          <w:szCs w:val="24"/>
          <w:lang w:val="en-IE"/>
        </w:rPr>
        <w:t xml:space="preserve">d be provided on the current and planned electrification of the rail network. </w:t>
      </w:r>
    </w:p>
    <w:p w:rsidR="003C43BF" w:rsidRDefault="006C3212">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Regarding hydrogen for transport, the NIR estimates one hydrogen refuelling station planned for 2025. No information was provided on the number of future FCHVs. It would be rele</w:t>
      </w:r>
      <w:r>
        <w:rPr>
          <w:rFonts w:ascii="Times New Roman" w:hAnsi="Times New Roman" w:cs="Times New Roman"/>
          <w:iCs/>
          <w:noProof/>
          <w:sz w:val="24"/>
          <w:szCs w:val="24"/>
          <w:lang w:val="en-IE"/>
        </w:rPr>
        <w:t>vant that Luxembourg provides more information on how to ensure EU-wide connectivity for this alternative fuel.</w:t>
      </w:r>
    </w:p>
    <w:p w:rsidR="003C43BF" w:rsidRDefault="006C3212">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Concerning natural gas, there were 314 CNG vehicles in Luxemburg. A significant decrease in the existing CNG – mainly public fleet – is expected</w:t>
      </w:r>
      <w:r>
        <w:rPr>
          <w:rFonts w:ascii="Times New Roman" w:hAnsi="Times New Roman" w:cs="Times New Roman"/>
          <w:iCs/>
          <w:noProof/>
          <w:sz w:val="24"/>
          <w:szCs w:val="24"/>
          <w:lang w:val="en-IE"/>
        </w:rPr>
        <w:t xml:space="preserve"> (100 CNG vehicles by 2030). The number of LNG vehicles is anticipated to increase from 13 in 2018 to 150 by 2030. However, the NIR does not provide any indication on the planned LNG refuelling points for road transport. The NIR reports one LNG-powered ves</w:t>
      </w:r>
      <w:r>
        <w:rPr>
          <w:rFonts w:ascii="Times New Roman" w:hAnsi="Times New Roman" w:cs="Times New Roman"/>
          <w:iCs/>
          <w:noProof/>
          <w:sz w:val="24"/>
          <w:szCs w:val="24"/>
          <w:lang w:val="en-IE"/>
        </w:rPr>
        <w:t xml:space="preserve">sel. No targets are provided for LNG refuelling points in inland ports. In this respect, Luxembourg needs to provide more information in future reporting. </w:t>
      </w:r>
    </w:p>
    <w:p w:rsidR="003C43BF" w:rsidRDefault="006C3212">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 xml:space="preserve">There was already a small fleet of 377 LPG vehicles in Luxembourg by 2018. The fact that no </w:t>
      </w:r>
      <w:r>
        <w:rPr>
          <w:rFonts w:ascii="Times New Roman" w:hAnsi="Times New Roman" w:cs="Times New Roman"/>
          <w:iCs/>
          <w:noProof/>
          <w:sz w:val="24"/>
          <w:szCs w:val="24"/>
          <w:lang w:val="en-IE"/>
        </w:rPr>
        <w:t>estimates are provided for the next decade indicates a lack of interest by Luxembourg in this vehicle’s technology.</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iCs/>
          <w:noProof/>
          <w:sz w:val="24"/>
          <w:szCs w:val="24"/>
          <w:lang w:val="en-IE"/>
        </w:rPr>
        <w:t>Further information should be provided on the consumption of biofuels for road and air transport. Luxembourg should provide more information</w:t>
      </w:r>
      <w:r>
        <w:rPr>
          <w:rFonts w:ascii="Times New Roman" w:hAnsi="Times New Roman" w:cs="Times New Roman"/>
          <w:iCs/>
          <w:noProof/>
          <w:sz w:val="24"/>
          <w:szCs w:val="24"/>
          <w:lang w:val="en-IE"/>
        </w:rPr>
        <w:t xml:space="preserve"> in future reporting on efforts to promote the use of renewable fuels in transport, and particularly in aviation.</w:t>
      </w:r>
    </w:p>
    <w:p w:rsidR="003C43BF" w:rsidRDefault="006C3212">
      <w:pPr>
        <w:rPr>
          <w:rFonts w:ascii="Times New Roman" w:hAnsi="Times New Roman" w:cs="Times New Roman"/>
          <w:noProof/>
          <w:sz w:val="24"/>
          <w:szCs w:val="24"/>
          <w:highlight w:val="lightGray"/>
          <w:lang w:val="en-IE"/>
        </w:rPr>
      </w:pPr>
      <w:r>
        <w:rPr>
          <w:rFonts w:ascii="Times New Roman" w:hAnsi="Times New Roman" w:cs="Times New Roman"/>
          <w:noProof/>
          <w:sz w:val="24"/>
          <w:szCs w:val="24"/>
          <w:highlight w:val="lightGray"/>
          <w:lang w:val="en-IE"/>
        </w:rPr>
        <w:br w:type="page"/>
      </w:r>
    </w:p>
    <w:p w:rsidR="003C43BF" w:rsidRDefault="006C3212">
      <w:pPr>
        <w:pStyle w:val="Heading3"/>
        <w:ind w:left="720"/>
        <w:rPr>
          <w:rFonts w:ascii="Times New Roman" w:hAnsi="Times New Roman" w:cs="Times New Roman"/>
          <w:noProof/>
          <w:sz w:val="24"/>
          <w:lang w:val="en-IE"/>
        </w:rPr>
      </w:pPr>
      <w:bookmarkStart w:id="383" w:name="_Toc55301912"/>
      <w:bookmarkStart w:id="384" w:name="_Toc56944224"/>
      <w:r>
        <w:rPr>
          <w:rFonts w:ascii="Times New Roman" w:hAnsi="Times New Roman" w:cs="Times New Roman"/>
          <w:noProof/>
          <w:sz w:val="24"/>
          <w:lang w:val="en-IE"/>
        </w:rPr>
        <w:t>ANNEX - Description of the Member State</w:t>
      </w:r>
      <w:bookmarkEnd w:id="383"/>
      <w:bookmarkEnd w:id="384"/>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2,600 km², Luxembourg has a population of 602,000 people in 2018, which makes u</w:t>
      </w:r>
      <w:r>
        <w:rPr>
          <w:rFonts w:ascii="Times New Roman" w:hAnsi="Times New Roman" w:cs="Times New Roman"/>
          <w:noProof/>
          <w:color w:val="000000" w:themeColor="text1"/>
          <w:sz w:val="24"/>
          <w:lang w:val="en-IE"/>
        </w:rPr>
        <w:t>p for a population density of 232 inhabitants/km².</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1 urban agglomeration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Luxembourg achieves a per capita gross domestic product at market prices of €98,640, which represents a per capita </w:t>
      </w:r>
      <w:r>
        <w:rPr>
          <w:rFonts w:ascii="Times New Roman" w:hAnsi="Times New Roman" w:cs="Times New Roman"/>
          <w:noProof/>
          <w:sz w:val="24"/>
          <w:lang w:val="en-IE"/>
        </w:rPr>
        <w:t xml:space="preserve">gross domestic product in purchasing power standards of 261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length of the road TEN-T Core Network in Luxembourg is 69 km. The total road network length is </w:t>
      </w:r>
      <w:r>
        <w:rPr>
          <w:rFonts w:ascii="Times New Roman" w:hAnsi="Times New Roman" w:cs="Times New Roman"/>
          <w:noProof/>
          <w:sz w:val="24"/>
          <w:lang w:val="en-IE"/>
        </w:rPr>
        <w:t>2,889 km, of which 165 km are motorways.</w:t>
      </w:r>
    </w:p>
    <w:p w:rsidR="003C43BF" w:rsidRDefault="006C3212">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Luxembourg: 1% (32 km) of the North Sea - Mediterranean Corridor.</w:t>
      </w:r>
    </w:p>
    <w:p w:rsidR="003C43BF" w:rsidRDefault="006C3212">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 xml:space="preserve">Through the TEN-T Road Corridors, Luxembourg is connected with the following Member </w:t>
      </w:r>
      <w:r>
        <w:rPr>
          <w:rFonts w:ascii="Times New Roman" w:hAnsi="Times New Roman" w:cs="Times New Roman"/>
          <w:noProof/>
          <w:sz w:val="24"/>
          <w:lang w:val="en-IE"/>
        </w:rPr>
        <w:t>States:</w:t>
      </w:r>
      <w:r>
        <w:rPr>
          <w:rFonts w:ascii="Times New Roman" w:hAnsi="Times New Roman" w:cs="Times New Roman"/>
          <w:noProof/>
          <w:sz w:val="24"/>
          <w:lang w:val="en-IE"/>
        </w:rPr>
        <w:br/>
        <w:t xml:space="preserve">- Belgium (through the North Sea - Mediterranean Corridor), </w:t>
      </w:r>
      <w:r>
        <w:rPr>
          <w:rFonts w:ascii="Times New Roman" w:hAnsi="Times New Roman" w:cs="Times New Roman"/>
          <w:noProof/>
          <w:sz w:val="24"/>
          <w:lang w:val="en-IE"/>
        </w:rPr>
        <w:br/>
        <w:t>- France (through the North Sea - Mediterranean Corridor)</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Luxembourg accounts for 492,481 registered road vehicles of which 415,145</w:t>
      </w:r>
      <w:r>
        <w:rPr>
          <w:rFonts w:ascii="Times New Roman" w:hAnsi="Times New Roman" w:cs="Times New Roman"/>
          <w:noProof/>
          <w:sz w:val="24"/>
          <w:lang w:val="en-IE"/>
        </w:rPr>
        <w:t xml:space="preserve"> are categorized as passenger cars, 34,833 as light goods vehicles, 10,161 as heavy goods vehicles and 2,042 as buses and coaches. The motorisation rate is 690 passenger cars per 1,000 inhabitants.</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maritime por</w:t>
      </w:r>
      <w:r>
        <w:rPr>
          <w:rFonts w:ascii="Times New Roman" w:hAnsi="Times New Roman" w:cs="Times New Roman"/>
          <w:noProof/>
          <w:sz w:val="24"/>
          <w:lang w:val="en-IE"/>
        </w:rPr>
        <w:t>ts</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 inland port in the TEN-T Core Network (Luxembourg-Mertert)</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inland ports in the TEN-T Comprehensive Network</w:t>
      </w:r>
    </w:p>
    <w:p w:rsidR="003C43BF" w:rsidRDefault="003C43BF">
      <w:pPr>
        <w:pStyle w:val="Text1"/>
        <w:spacing w:after="0"/>
        <w:ind w:left="714"/>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Through the 37 km inland waterways TEN-T Core Network, Luxembourg is connected with Germany by the Rhine – Alpine and the North Sea – Medite</w:t>
      </w:r>
      <w:r>
        <w:rPr>
          <w:rFonts w:ascii="Times New Roman" w:hAnsi="Times New Roman" w:cs="Times New Roman"/>
          <w:noProof/>
          <w:sz w:val="24"/>
          <w:lang w:val="en-IE"/>
        </w:rPr>
        <w:t xml:space="preserve">rranean Corridor, and with France by the North Sea – Mediterranean Corridor. </w:t>
      </w:r>
    </w:p>
    <w:p w:rsidR="003C43BF" w:rsidRDefault="006C3212">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Core Network (Luxembourg)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airports in the TEN-T Comprehensive Network</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2"/>
        <w:rPr>
          <w:rFonts w:ascii="Times New Roman" w:hAnsi="Times New Roman" w:cs="Times New Roman"/>
          <w:noProof/>
          <w:sz w:val="24"/>
          <w:lang w:val="en-IE"/>
        </w:rPr>
      </w:pPr>
      <w:bookmarkStart w:id="385" w:name="_Toc55301913"/>
      <w:bookmarkStart w:id="386" w:name="_Toc56944225"/>
      <w:r>
        <w:rPr>
          <w:rFonts w:ascii="Times New Roman" w:hAnsi="Times New Roman" w:cs="Times New Roman"/>
          <w:noProof/>
          <w:sz w:val="24"/>
          <w:lang w:val="en-IE"/>
        </w:rPr>
        <w:t>Hungary (HU)</w:t>
      </w:r>
      <w:bookmarkEnd w:id="385"/>
      <w:bookmarkEnd w:id="386"/>
    </w:p>
    <w:p w:rsidR="003C43BF" w:rsidRDefault="006C3212">
      <w:pPr>
        <w:pStyle w:val="Heading3"/>
        <w:ind w:left="720"/>
        <w:rPr>
          <w:rFonts w:ascii="Times New Roman" w:hAnsi="Times New Roman" w:cs="Times New Roman"/>
          <w:noProof/>
          <w:sz w:val="24"/>
          <w:lang w:val="en-IE"/>
        </w:rPr>
      </w:pPr>
      <w:bookmarkStart w:id="387" w:name="_Toc55301914"/>
      <w:bookmarkStart w:id="388" w:name="_Toc56944226"/>
      <w:r>
        <w:rPr>
          <w:rFonts w:ascii="Times New Roman" w:hAnsi="Times New Roman" w:cs="Times New Roman"/>
          <w:noProof/>
          <w:sz w:val="24"/>
          <w:lang w:val="en-IE"/>
        </w:rPr>
        <w:t xml:space="preserve">Main messages from the </w:t>
      </w:r>
      <w:bookmarkEnd w:id="387"/>
      <w:bookmarkEnd w:id="388"/>
      <w:r>
        <w:rPr>
          <w:rFonts w:ascii="Times New Roman" w:hAnsi="Times New Roman" w:cs="Times New Roman"/>
          <w:noProof/>
          <w:sz w:val="24"/>
          <w:lang w:val="en-IE"/>
        </w:rPr>
        <w:t>Commission assessment of the NPF</w:t>
      </w:r>
    </w:p>
    <w:p w:rsidR="003C43BF" w:rsidRDefault="006C3212">
      <w:pPr>
        <w:pStyle w:val="Text1"/>
        <w:spacing w:after="120" w:line="240" w:lineRule="auto"/>
        <w:ind w:left="0"/>
        <w:jc w:val="both"/>
        <w:rPr>
          <w:rFonts w:ascii="Times New Roman" w:hAnsi="Times New Roman" w:cs="Times New Roman"/>
          <w:noProof/>
          <w:color w:val="000000" w:themeColor="text1"/>
          <w:sz w:val="24"/>
          <w:highlight w:val="lightGray"/>
          <w:lang w:val="en-IE"/>
        </w:rPr>
      </w:pPr>
      <w:r>
        <w:rPr>
          <w:rFonts w:ascii="Times New Roman" w:hAnsi="Times New Roman" w:cs="Times New Roman"/>
          <w:noProof/>
          <w:color w:val="000000" w:themeColor="text1"/>
          <w:sz w:val="24"/>
          <w:lang w:val="en-IE"/>
        </w:rPr>
        <w:t>In its original assessment of the Hungarian NPF the Commission concluded:</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Hungarian NPF addresses most of the requirements of Article 3. It contains a comprehensive discussion of the current state and future scenarios for most alternative fuels in the transport sector. For all fuels and some modes, it establishes targets as </w:t>
      </w:r>
      <w:r>
        <w:rPr>
          <w:rFonts w:ascii="Times New Roman" w:hAnsi="Times New Roman" w:cs="Times New Roman"/>
          <w:i/>
          <w:noProof/>
          <w:sz w:val="24"/>
          <w:lang w:val="en-IE"/>
        </w:rPr>
        <w:t xml:space="preserve">required by Article 3 of the Directive.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It contains a large bandwidth of estimates for the future deployment of EV ranging for the 2 extreme EV penetration scenarios from 0.3% to 1.4% electric vehicles on the road in 2020. The given recharging points targ</w:t>
      </w:r>
      <w:r>
        <w:rPr>
          <w:rFonts w:ascii="Times New Roman" w:hAnsi="Times New Roman" w:cs="Times New Roman"/>
          <w:i/>
          <w:noProof/>
          <w:sz w:val="24"/>
          <w:lang w:val="en-IE"/>
        </w:rPr>
        <w:t>et and especially high power recharging infrastructure seems to cover the needs of electric vehicles in terms of number of publicly accessible recharging points as well as distance requirements in Hungary. The NPF mentions that new gates at the Liszt Feren</w:t>
      </w:r>
      <w:r>
        <w:rPr>
          <w:rFonts w:ascii="Times New Roman" w:hAnsi="Times New Roman" w:cs="Times New Roman"/>
          <w:i/>
          <w:noProof/>
          <w:sz w:val="24"/>
          <w:lang w:val="en-IE"/>
        </w:rPr>
        <w:t>c International Airport will feature ground power units, but no quantitative targets are provided. For shore-side electricity it targets a modest growth at its ports.</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For CNG cars, the estimated shares are slightly higher than for EV. Hungary currently doe</w:t>
      </w:r>
      <w:r>
        <w:rPr>
          <w:rFonts w:ascii="Times New Roman" w:hAnsi="Times New Roman" w:cs="Times New Roman"/>
          <w:i/>
          <w:noProof/>
          <w:sz w:val="24"/>
          <w:lang w:val="en-IE"/>
        </w:rPr>
        <w:t>s not meet the threshold of at least one CNG refuelling point per 600 CNG vehicles on the road. The NPF states very high estimates for CNG vehicles that would also for the future lead to a sufficiency index of less than one refuelling point per 600 CNG veh</w:t>
      </w:r>
      <w:r>
        <w:rPr>
          <w:rFonts w:ascii="Times New Roman" w:hAnsi="Times New Roman" w:cs="Times New Roman"/>
          <w:i/>
          <w:noProof/>
          <w:sz w:val="24"/>
          <w:lang w:val="en-IE"/>
        </w:rPr>
        <w:t>icles. Regarding the 2025 minimum coverage target in terms of distance requirements, the existing measure for the deployment of CNG refuelling points seems sufficient. Hungary already counts a high number of CNG trucks and buses and the NPF contains very a</w:t>
      </w:r>
      <w:r>
        <w:rPr>
          <w:rFonts w:ascii="Times New Roman" w:hAnsi="Times New Roman" w:cs="Times New Roman"/>
          <w:i/>
          <w:noProof/>
          <w:sz w:val="24"/>
          <w:lang w:val="en-IE"/>
        </w:rPr>
        <w:t xml:space="preserve">mbitious estimates for 2020.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Hungarian NPF has firm plans for building 5 LNG road refuelling points for 2020. Beyond, for 2025 it targets, between 36 and 182 LNG refuelling points for heavy-duty vehicles in road transport and plans a pilot liquefactio</w:t>
      </w:r>
      <w:r>
        <w:rPr>
          <w:rFonts w:ascii="Times New Roman" w:hAnsi="Times New Roman" w:cs="Times New Roman"/>
          <w:i/>
          <w:noProof/>
          <w:sz w:val="24"/>
          <w:lang w:val="en-IE"/>
        </w:rPr>
        <w:t>n plant for vessels and heavy-duty trucks. It also describes a project for an LNG ship-to-ship bunkering vessel. Moreover, the NPF states that Hungary should already in 2020 appropriately cover with LNG infrastructure, both the TEN-T Corridors and the Comp</w:t>
      </w:r>
      <w:r>
        <w:rPr>
          <w:rFonts w:ascii="Times New Roman" w:hAnsi="Times New Roman" w:cs="Times New Roman"/>
          <w:i/>
          <w:noProof/>
          <w:sz w:val="24"/>
          <w:lang w:val="en-IE"/>
        </w:rPr>
        <w:t xml:space="preserve">rehensive Network, for road and inland waterways. </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Hungary, in its NPF, has established targets for the deployment of a hydrogen refuelling infrastructure, accessible to the public.</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The Hungarian NPF contains a comprehensive list of measures that could hav</w:t>
      </w:r>
      <w:r>
        <w:rPr>
          <w:rFonts w:ascii="Times New Roman" w:hAnsi="Times New Roman" w:cs="Times New Roman"/>
          <w:i/>
          <w:noProof/>
          <w:sz w:val="24"/>
          <w:lang w:val="en-IE"/>
        </w:rPr>
        <w:t>e a medium impact on overcoming deployment barriers, especially in electro-mobility. Most of the existing or planned measures end in 2018 or earlier, with no prolongation foreseen. It may be challenging to achieve NPF targets and corresponding vehicle depl</w:t>
      </w:r>
      <w:r>
        <w:rPr>
          <w:rFonts w:ascii="Times New Roman" w:hAnsi="Times New Roman" w:cs="Times New Roman"/>
          <w:i/>
          <w:noProof/>
          <w:sz w:val="24"/>
          <w:lang w:val="en-IE"/>
        </w:rPr>
        <w:t>oyment estimates for electricity until 2020 even in the low penetration scenario. For CNG, the described measures may create a too low impact vis-à-vis the high estimates. The NPF does not list any measures in support of LNG refuelling point deployment.</w:t>
      </w:r>
    </w:p>
    <w:p w:rsidR="003C43BF" w:rsidRDefault="006C3212">
      <w:pPr>
        <w:jc w:val="both"/>
        <w:rPr>
          <w:rFonts w:ascii="Times New Roman" w:hAnsi="Times New Roman" w:cs="Times New Roman"/>
          <w:i/>
          <w:noProof/>
          <w:sz w:val="24"/>
          <w:lang w:val="en-IE"/>
        </w:rPr>
      </w:pPr>
      <w:r>
        <w:rPr>
          <w:rFonts w:ascii="Times New Roman" w:hAnsi="Times New Roman" w:cs="Times New Roman"/>
          <w:i/>
          <w:noProof/>
          <w:sz w:val="24"/>
          <w:lang w:val="en-IE"/>
        </w:rPr>
        <w:t>Co</w:t>
      </w:r>
      <w:r>
        <w:rPr>
          <w:rFonts w:ascii="Times New Roman" w:hAnsi="Times New Roman" w:cs="Times New Roman"/>
          <w:i/>
          <w:noProof/>
          <w:sz w:val="24"/>
          <w:lang w:val="en-IE"/>
        </w:rPr>
        <w:t>operation with neighbouring Member States is not mentioned in the NPF. It may be advisable for Hungary to coordinate its NPF with neighbouring Member States.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br w:type="page"/>
      </w:r>
    </w:p>
    <w:p w:rsidR="003C43BF" w:rsidRDefault="006C3212">
      <w:pPr>
        <w:pStyle w:val="Heading3"/>
        <w:ind w:left="720"/>
        <w:rPr>
          <w:rFonts w:ascii="Times New Roman" w:hAnsi="Times New Roman" w:cs="Times New Roman"/>
          <w:noProof/>
          <w:color w:val="000000" w:themeColor="text1"/>
          <w:sz w:val="24"/>
          <w:lang w:val="en-IE"/>
        </w:rPr>
      </w:pPr>
      <w:bookmarkStart w:id="389" w:name="_Toc55301915"/>
      <w:bookmarkStart w:id="390" w:name="_Toc56944227"/>
      <w:r>
        <w:rPr>
          <w:rFonts w:ascii="Times New Roman" w:hAnsi="Times New Roman" w:cs="Times New Roman"/>
          <w:noProof/>
          <w:sz w:val="24"/>
          <w:lang w:val="en-IE"/>
        </w:rPr>
        <w:t>Overview of requirements’ fulfilment from Annex I of the Directive</w:t>
      </w:r>
      <w:bookmarkEnd w:id="389"/>
      <w:bookmarkEnd w:id="390"/>
      <w:r>
        <w:rPr>
          <w:rFonts w:ascii="Times New Roman" w:hAnsi="Times New Roman" w:cs="Times New Roman"/>
          <w:noProof/>
          <w:color w:val="000000" w:themeColor="text1"/>
          <w:sz w:val="24"/>
          <w:lang w:val="en-IE"/>
        </w:rPr>
        <w:tab/>
      </w:r>
    </w:p>
    <w:p w:rsidR="003C43BF" w:rsidRDefault="006C3212">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5.17.2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rsidR="003C43BF" w:rsidRDefault="006C3212">
      <w:pPr>
        <w:spacing w:after="120" w:line="240" w:lineRule="auto"/>
        <w:jc w:val="both"/>
        <w:rPr>
          <w:rFonts w:ascii="Times New Roman" w:hAnsi="Times New Roman" w:cs="Times New Roman"/>
          <w:noProof/>
          <w:color w:val="222222"/>
          <w:sz w:val="24"/>
          <w:shd w:val="clear" w:color="auto" w:fill="FFFFFF"/>
          <w:lang w:val="en-IE"/>
        </w:rPr>
      </w:pPr>
      <w:r>
        <w:rPr>
          <w:rFonts w:ascii="Times New Roman" w:hAnsi="Times New Roman" w:cs="Times New Roman"/>
          <w:noProof/>
          <w:color w:val="222222"/>
          <w:sz w:val="24"/>
          <w:shd w:val="clear" w:color="auto" w:fill="FFFFFF"/>
          <w:lang w:eastAsia="en-GB"/>
        </w:rPr>
        <w:drawing>
          <wp:inline distT="0" distB="0" distL="0" distR="0">
            <wp:extent cx="5419725" cy="7913370"/>
            <wp:effectExtent l="0" t="0" r="9525" b="0"/>
            <wp:docPr id="7892" name="Picture 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19725" cy="7913370"/>
                    </a:xfrm>
                    <a:prstGeom prst="rect">
                      <a:avLst/>
                    </a:prstGeom>
                    <a:noFill/>
                  </pic:spPr>
                </pic:pic>
              </a:graphicData>
            </a:graphic>
          </wp:inline>
        </w:drawing>
      </w:r>
    </w:p>
    <w:p w:rsidR="003C43BF" w:rsidRDefault="006C3212">
      <w:pPr>
        <w:pStyle w:val="Text1"/>
        <w:tabs>
          <w:tab w:val="left" w:pos="720"/>
        </w:tabs>
        <w:spacing w:before="240"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checklist shows the requirements of Annex I from the Directive that are covered in the HU NIR.</w:t>
      </w: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Regarding the combination of AF/AFV/AFI with transport mode, electricity is covered for all modes; CNG, </w:t>
      </w:r>
      <w:r>
        <w:rPr>
          <w:rFonts w:ascii="Times New Roman" w:hAnsi="Times New Roman" w:cs="Times New Roman"/>
          <w:noProof/>
          <w:color w:val="000000" w:themeColor="text1"/>
          <w:sz w:val="24"/>
          <w:lang w:val="en-IE"/>
        </w:rPr>
        <w:t>LNG, hydrogen and LPG are covered for road transport; LNG also for waterborne inland transport; all the other combinations are either absent or not applicable.</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Hungarian NIR reports 22 measures. </w:t>
      </w:r>
      <w:r>
        <w:rPr>
          <w:rFonts w:ascii="Times New Roman" w:hAnsi="Times New Roman" w:cs="Times New Roman"/>
          <w:iCs/>
          <w:noProof/>
          <w:sz w:val="24"/>
          <w:lang w:val="en-IE"/>
        </w:rPr>
        <w:t xml:space="preserve">Under the Policy and Deployment &amp; Manufacturing sections </w:t>
      </w:r>
      <w:r>
        <w:rPr>
          <w:rFonts w:ascii="Times New Roman" w:hAnsi="Times New Roman" w:cs="Times New Roman"/>
          <w:iCs/>
          <w:noProof/>
          <w:sz w:val="24"/>
          <w:lang w:val="en-IE"/>
        </w:rPr>
        <w:t>it was possible to identify five AF/transport mode clusters of measures, of which four were assessable.</w:t>
      </w:r>
    </w:p>
    <w:p w:rsidR="003C43BF" w:rsidRDefault="003C43BF">
      <w:pPr>
        <w:spacing w:after="120" w:line="240" w:lineRule="auto"/>
        <w:jc w:val="both"/>
        <w:rPr>
          <w:rFonts w:ascii="Times New Roman" w:hAnsi="Times New Roman" w:cs="Times New Roman"/>
          <w:noProof/>
          <w:color w:val="222222"/>
          <w:sz w:val="24"/>
          <w:shd w:val="clear" w:color="auto" w:fill="FFFFFF"/>
          <w:lang w:val="en-IE"/>
        </w:rPr>
      </w:pPr>
    </w:p>
    <w:p w:rsidR="003C43BF" w:rsidRDefault="006C3212">
      <w:pPr>
        <w:pStyle w:val="Heading3"/>
        <w:ind w:left="720"/>
        <w:rPr>
          <w:rFonts w:ascii="Times New Roman" w:hAnsi="Times New Roman" w:cs="Times New Roman"/>
          <w:noProof/>
          <w:sz w:val="24"/>
          <w:lang w:val="en-IE"/>
        </w:rPr>
      </w:pPr>
      <w:bookmarkStart w:id="391" w:name="_Toc55301916"/>
      <w:bookmarkStart w:id="392" w:name="_Toc56944228"/>
      <w:r>
        <w:rPr>
          <w:rFonts w:ascii="Times New Roman" w:hAnsi="Times New Roman" w:cs="Times New Roman"/>
          <w:noProof/>
          <w:sz w:val="24"/>
          <w:lang w:val="en-IE"/>
        </w:rPr>
        <w:t>Quantitative assessment: Vehicles and infrastructure</w:t>
      </w:r>
      <w:bookmarkEnd w:id="391"/>
      <w:bookmarkEnd w:id="392"/>
      <w:r>
        <w:rPr>
          <w:rFonts w:ascii="Times New Roman" w:hAnsi="Times New Roman" w:cs="Times New Roman"/>
          <w:noProof/>
          <w:sz w:val="24"/>
          <w:lang w:val="en-IE"/>
        </w:rPr>
        <w:t xml:space="preserve"> </w:t>
      </w:r>
    </w:p>
    <w:p w:rsidR="003C43BF" w:rsidRDefault="006C3212">
      <w:pPr>
        <w:pStyle w:val="Text1"/>
        <w:pBdr>
          <w:top w:val="single" w:sz="4" w:space="1" w:color="auto"/>
          <w:left w:val="single" w:sz="4" w:space="4" w:color="auto"/>
          <w:bottom w:val="single" w:sz="4" w:space="1" w:color="auto"/>
          <w:right w:val="single" w:sz="4" w:space="4" w:color="auto"/>
        </w:pBdr>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It is important to note that the Hungarian NIR provides two different scenarios in terms of AFV e</w:t>
      </w:r>
      <w:r>
        <w:rPr>
          <w:rFonts w:ascii="Times New Roman" w:hAnsi="Times New Roman" w:cs="Times New Roman"/>
          <w:noProof/>
          <w:color w:val="000000" w:themeColor="text1"/>
          <w:sz w:val="24"/>
          <w:lang w:val="en-IE"/>
        </w:rPr>
        <w:t>stimates and AFI targets: the WEM scenario (“with existing measures”) and WAM scenario (“with additional measures”). These two scenarios show different outcomes for each AFI/AFV development and market penetration in 2025 and 2030. WEM presents a more reali</w:t>
      </w:r>
      <w:r>
        <w:rPr>
          <w:rFonts w:ascii="Times New Roman" w:hAnsi="Times New Roman" w:cs="Times New Roman"/>
          <w:noProof/>
          <w:color w:val="000000" w:themeColor="text1"/>
          <w:sz w:val="24"/>
          <w:lang w:val="en-IE"/>
        </w:rPr>
        <w:t>stic scenario considering the measures implemented, and WAM presents a slightly more ambitious scenario in AFV/AFI deployment with anticipated measures. In this assessment report, the WEM (“with existing measures”) scenario is the only one used in the quan</w:t>
      </w:r>
      <w:r>
        <w:rPr>
          <w:rFonts w:ascii="Times New Roman" w:hAnsi="Times New Roman" w:cs="Times New Roman"/>
          <w:noProof/>
          <w:color w:val="000000" w:themeColor="text1"/>
          <w:sz w:val="24"/>
          <w:lang w:val="en-IE"/>
        </w:rPr>
        <w:t>titative assessment as well as the measure assessment.</w:t>
      </w:r>
    </w:p>
    <w:p w:rsidR="003C43BF" w:rsidRDefault="006C3212">
      <w:pPr>
        <w:pStyle w:val="Caption"/>
        <w:keepNext/>
        <w:jc w:val="both"/>
        <w:rPr>
          <w:rFonts w:ascii="Times New Roman" w:hAnsi="Times New Roman" w:cs="Times New Roman"/>
          <w:b w:val="0"/>
          <w:i/>
          <w:noProof/>
          <w:sz w:val="20"/>
          <w:szCs w:val="18"/>
          <w:lang w:val="en-IE"/>
        </w:rPr>
      </w:pPr>
      <w:bookmarkStart w:id="393" w:name="_Ref53128691"/>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5.17.3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393"/>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 xml:space="preserve">National AFV estimates and AFI targets established in the NIR at the horizon 2020, 2025 and 2030 and their comparison with the NPF situation </w:t>
      </w:r>
    </w:p>
    <w:p w:rsidR="003C43BF" w:rsidRDefault="006C3212">
      <w:pPr>
        <w:pStyle w:val="Caption"/>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3600" cy="7359491"/>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7359491"/>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0"/>
          <w:lang w:val="en-IE"/>
        </w:rPr>
      </w:pPr>
      <w:r>
        <w:rPr>
          <w:rFonts w:ascii="Times New Roman" w:hAnsi="Times New Roman" w:cs="Times New Roman"/>
          <w:noProof/>
          <w:sz w:val="24"/>
          <w:lang w:eastAsia="en-GB"/>
        </w:rPr>
        <w:drawing>
          <wp:inline distT="0" distB="0" distL="0" distR="0">
            <wp:extent cx="3630304" cy="437362"/>
            <wp:effectExtent l="0" t="0" r="0"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eastAsia="en-GB"/>
        </w:rPr>
      </w:pPr>
      <w:r>
        <w:rPr>
          <w:rFonts w:ascii="Times New Roman" w:hAnsi="Times New Roman" w:cs="Times New Roman"/>
          <w:noProof/>
          <w:sz w:val="24"/>
          <w:lang w:val="en-IE"/>
        </w:rPr>
        <w:t>Hungary recorded 9,240 electric vehicles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_Ref53128691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5.17.3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8,844 were passenger cars (3,781 BEV), 372 LCVs (all BEV), 1 battery-electric HCV and 23 buses and coaches (all BEV). The HU NI</w:t>
      </w:r>
      <w:r>
        <w:rPr>
          <w:rFonts w:ascii="Times New Roman" w:hAnsi="Times New Roman" w:cs="Times New Roman"/>
          <w:noProof/>
          <w:sz w:val="24"/>
          <w:lang w:val="en-IE"/>
        </w:rPr>
        <w:t>R reports an estimate of 23,260 EVs in 2020, 193,700 EVs in 2025, and 389,800 EVs in 2030, of which 320,000 passenger cars (135,000 BEV), 60,000 LCVs (30,000 BEV), 8,500 HCVs (all BEV) and 1,300 buses and coaches (all BEV). Compared to the NPF, the Hungari</w:t>
      </w:r>
      <w:r>
        <w:rPr>
          <w:rFonts w:ascii="Times New Roman" w:hAnsi="Times New Roman" w:cs="Times New Roman"/>
          <w:noProof/>
          <w:sz w:val="24"/>
          <w:lang w:val="en-IE"/>
        </w:rPr>
        <w:t xml:space="preserve">an NIR reflects a higher policy ambition – the 2020 estimate is 14.43% higher, the 2025 estimate is nearly 140% higher and the 2030 estimate is almost 115% higher than the NPF estimates.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the EV estimates set for 2020 and 2030 is 39.</w:t>
      </w:r>
      <w:r>
        <w:rPr>
          <w:rFonts w:ascii="Times New Roman" w:hAnsi="Times New Roman" w:cs="Times New Roman"/>
          <w:iCs/>
          <w:noProof/>
          <w:sz w:val="24"/>
          <w:lang w:val="en-IE"/>
        </w:rPr>
        <w:t xml:space="preserve">72% and 2.37% </w:t>
      </w:r>
      <w:r>
        <w:rPr>
          <w:rFonts w:ascii="Times New Roman" w:hAnsi="Times New Roman" w:cs="Times New Roman"/>
          <w:iCs/>
          <w:noProof/>
          <w:color w:val="000000" w:themeColor="text1"/>
          <w:sz w:val="24"/>
          <w:lang w:val="en-IE"/>
        </w:rPr>
        <w:t>respectively</w:t>
      </w:r>
      <w:r>
        <w:rPr>
          <w:rFonts w:ascii="Times New Roman" w:hAnsi="Times New Roman" w:cs="Times New Roman"/>
          <w:iCs/>
          <w:noProof/>
          <w:sz w:val="24"/>
          <w:lang w:val="en-IE"/>
        </w:rPr>
        <w:t xml:space="preserve">.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w:t>
      </w:r>
      <w:r>
        <w:rPr>
          <w:rFonts w:ascii="Times New Roman" w:hAnsi="Times New Roman" w:cs="Times New Roman"/>
          <w:iCs/>
          <w:noProof/>
          <w:color w:val="000000" w:themeColor="text1"/>
          <w:sz w:val="24"/>
          <w:lang w:val="en-IE"/>
        </w:rPr>
        <w:t xml:space="preserve"> period 2016-2030 for EV fleet evolution planned by Hungary is equal to </w:t>
      </w:r>
      <w:r>
        <w:rPr>
          <w:rFonts w:ascii="Times New Roman" w:hAnsi="Times New Roman" w:cs="Times New Roman"/>
          <w:iCs/>
          <w:noProof/>
          <w:sz w:val="24"/>
          <w:lang w:val="en-IE"/>
        </w:rPr>
        <w:t>47%.</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Hungary recorded 671 public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_Ref53128691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5.17.3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630 normal power (≤22kW) recharging points and 41 high power (&gt;22kW). The NIR targets for the public recharging points are 1,500 for 2020 and 14,600 for 2025. For 2030, the NIR repo</w:t>
      </w:r>
      <w:r>
        <w:rPr>
          <w:rFonts w:ascii="Times New Roman" w:hAnsi="Times New Roman" w:cs="Times New Roman"/>
          <w:noProof/>
          <w:sz w:val="24"/>
          <w:lang w:val="en-IE"/>
        </w:rPr>
        <w:t>rts a target of 35,000 publicly accessible recharging points, of which 26,200 normal power and 8,800 high power recharging points. Compared to the NPF, the 2020 NIR target reflects a 33% lower ambition, however, the ambition grows considerably in 2025, wit</w:t>
      </w:r>
      <w:r>
        <w:rPr>
          <w:rFonts w:ascii="Times New Roman" w:hAnsi="Times New Roman" w:cs="Times New Roman"/>
          <w:noProof/>
          <w:sz w:val="24"/>
          <w:lang w:val="en-IE"/>
        </w:rPr>
        <w:t xml:space="preserve">h an 80,25% increase and in 2030, with a 93,37% increase. </w:t>
      </w:r>
    </w:p>
    <w:p w:rsidR="003C43BF" w:rsidRDefault="006C3212">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the publicly accessible recharging infrastructure targets set </w:t>
      </w:r>
      <w:r>
        <w:rPr>
          <w:rFonts w:ascii="Times New Roman" w:hAnsi="Times New Roman" w:cs="Times New Roman"/>
          <w:iCs/>
          <w:noProof/>
          <w:color w:val="000000" w:themeColor="text1"/>
          <w:sz w:val="24"/>
          <w:lang w:val="en-IE"/>
        </w:rPr>
        <w:t xml:space="preserve">for 2020 and 2030 </w:t>
      </w:r>
      <w:r>
        <w:rPr>
          <w:rFonts w:ascii="Times New Roman" w:hAnsi="Times New Roman" w:cs="Times New Roman"/>
          <w:iCs/>
          <w:noProof/>
          <w:sz w:val="24"/>
          <w:lang w:val="en-IE"/>
        </w:rPr>
        <w:t xml:space="preserve">is </w:t>
      </w:r>
      <w:r>
        <w:rPr>
          <w:rFonts w:ascii="Times New Roman" w:hAnsi="Times New Roman" w:cs="Times New Roman"/>
          <w:iCs/>
          <w:noProof/>
          <w:color w:val="000000" w:themeColor="text1"/>
          <w:sz w:val="24"/>
          <w:lang w:val="en-IE"/>
        </w:rPr>
        <w:t>44.73% and 1.92% respectively</w:t>
      </w:r>
      <w:r>
        <w:rPr>
          <w:rFonts w:ascii="Times New Roman" w:hAnsi="Times New Roman" w:cs="Times New Roman"/>
          <w:iCs/>
          <w:noProof/>
          <w:sz w:val="24"/>
          <w:lang w:val="en-IE"/>
        </w:rPr>
        <w:t>. According to the assessment methodology described in Section</w:t>
      </w:r>
      <w:r>
        <w:rPr>
          <w:rFonts w:ascii="Times New Roman" w:hAnsi="Times New Roman" w:cs="Times New Roman"/>
          <w:iCs/>
          <w:noProof/>
          <w:sz w:val="24"/>
          <w:lang w:val="en-IE"/>
        </w:rPr>
        <w:t xml:space="preserve">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Hu</w:t>
      </w:r>
      <w:r>
        <w:rPr>
          <w:rFonts w:ascii="Times New Roman" w:hAnsi="Times New Roman" w:cs="Times New Roman"/>
          <w:iCs/>
          <w:noProof/>
          <w:color w:val="000000" w:themeColor="text1"/>
          <w:sz w:val="24"/>
          <w:lang w:val="en-IE"/>
        </w:rPr>
        <w:t>ngary is equal to</w:t>
      </w:r>
      <w:r>
        <w:rPr>
          <w:rFonts w:ascii="Times New Roman" w:hAnsi="Times New Roman" w:cs="Times New Roman"/>
          <w:iCs/>
          <w:noProof/>
          <w:sz w:val="24"/>
          <w:lang w:val="en-IE"/>
        </w:rPr>
        <w:t xml:space="preserve"> 45%.</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HU NIR, the following table shows the ratio between vehicles and publicly accessible recharging points (i.e. sufficiency index) for the pair electricity/road. The 2016 sufficiency index is based on the number of public recharging points taken </w:t>
      </w:r>
      <w:r>
        <w:rPr>
          <w:rFonts w:ascii="Times New Roman" w:hAnsi="Times New Roman" w:cs="Times New Roman"/>
          <w:noProof/>
          <w:sz w:val="24"/>
          <w:lang w:val="en-IE"/>
        </w:rPr>
        <w:t>from EAFO, as the HU NIR has not provided any value. It can be seen that the sufficiency index is above 10 from 2018 until 2030, but with a decreasing trend from 2020 onward. In the light of the non-negligible share of high power charging points in the nex</w:t>
      </w:r>
      <w:r>
        <w:rPr>
          <w:rFonts w:ascii="Times New Roman" w:hAnsi="Times New Roman" w:cs="Times New Roman"/>
          <w:noProof/>
          <w:sz w:val="24"/>
          <w:lang w:val="en-IE"/>
        </w:rPr>
        <w:t xml:space="preserve">t decade (25% in 2030) the sufficiency index can be considered adequate.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4892040" cy="495300"/>
            <wp:effectExtent l="0" t="0" r="381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92040" cy="495300"/>
                    </a:xfrm>
                    <a:prstGeom prst="rect">
                      <a:avLst/>
                    </a:prstGeom>
                    <a:noFill/>
                    <a:ln>
                      <a:noFill/>
                    </a:ln>
                  </pic:spPr>
                </pic:pic>
              </a:graphicData>
            </a:graphic>
          </wp:inline>
        </w:drawing>
      </w:r>
    </w:p>
    <w:p w:rsidR="003C43BF" w:rsidRDefault="003C43BF">
      <w:pPr>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HU NIR.</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Hungary reported that 3,233 CNG vehicles were in use in 2018, of which 2,259 were pass</w:t>
      </w:r>
      <w:r>
        <w:rPr>
          <w:rFonts w:ascii="Times New Roman" w:hAnsi="Times New Roman" w:cs="Times New Roman"/>
          <w:noProof/>
          <w:sz w:val="24"/>
          <w:lang w:val="en-IE"/>
        </w:rPr>
        <w:t>enger cars, 603 LCVs, 104 HCVs and 267 buses and coaches. For the next decade the Hungarian NIR reports an estimate of 7,000 CNG vehicles in 2020, 15,100 CNG vehicles in 2025 and 40,000 CNG vehicle estimate, of which 39,000 passenger cars, 700 LCVs, 100 HC</w:t>
      </w:r>
      <w:r>
        <w:rPr>
          <w:rFonts w:ascii="Times New Roman" w:hAnsi="Times New Roman" w:cs="Times New Roman"/>
          <w:noProof/>
          <w:sz w:val="24"/>
          <w:lang w:val="en-IE"/>
        </w:rPr>
        <w:t>Vs and 200 buses and coaches. It is evident that the number of passenger cars rises steadily while the LCVs, HCVs and buses and coaches stagnate from 2018 to 2030. The NIR estimates for CNG passenger vehicles for 2020, 2025 and 2030 are respectively 82,50%</w:t>
      </w:r>
      <w:r>
        <w:rPr>
          <w:rFonts w:ascii="Times New Roman" w:hAnsi="Times New Roman" w:cs="Times New Roman"/>
          <w:noProof/>
          <w:sz w:val="24"/>
          <w:lang w:val="en-IE"/>
        </w:rPr>
        <w:t xml:space="preserve">, 92.94% and 87,76% lower than the NPF. This signals a lower ambition in the HU NIR towards CNG market development than originally estimated in the NPF. </w:t>
      </w:r>
    </w:p>
    <w:p w:rsidR="003C43BF" w:rsidRDefault="006C3212">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CNG vehicles estimates is 46.19% for 2020 and 8.08% for 2030. According </w:t>
      </w:r>
      <w:r>
        <w:rPr>
          <w:rFonts w:ascii="Times New Roman" w:hAnsi="Times New Roman" w:cs="Times New Roman"/>
          <w:iCs/>
          <w:noProof/>
          <w:sz w:val="24"/>
          <w:lang w:val="en-IE"/>
        </w:rPr>
        <w:t xml:space="preserve">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 envisaged CNG vehicles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Hungary is equal to</w:t>
      </w:r>
      <w:r>
        <w:rPr>
          <w:rFonts w:ascii="Times New Roman" w:hAnsi="Times New Roman" w:cs="Times New Roman"/>
          <w:iCs/>
          <w:noProof/>
          <w:sz w:val="24"/>
          <w:lang w:val="en-IE"/>
        </w:rPr>
        <w:t xml:space="preserve"> 21%.</w:t>
      </w:r>
      <w:r>
        <w:rPr>
          <w:rFonts w:ascii="Times New Roman" w:hAnsi="Times New Roman" w:cs="Times New Roman"/>
          <w:noProof/>
          <w:sz w:val="28"/>
          <w:szCs w:val="24"/>
          <w:lang w:val="en-IE"/>
        </w:rPr>
        <w:t xml:space="preserv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Hungarian NIR indicates that 13 publicly accessible CNG refuelling points were available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_Ref53128691 \h  \* ME</w:instrText>
      </w:r>
      <w:r>
        <w:rPr>
          <w:rFonts w:ascii="Times New Roman" w:hAnsi="Times New Roman" w:cs="Times New Roman"/>
          <w:noProof/>
          <w:sz w:val="24"/>
          <w:lang w:val="en-IE"/>
        </w:rPr>
        <w:instrText xml:space="preserv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5.17.3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 NIR reports a target of 12 publicly accessible refuelling points in 2020, one less than in 2018. In 2025, the NIR target is 25 publicly accessible CNG refuell</w:t>
      </w:r>
      <w:r>
        <w:rPr>
          <w:rFonts w:ascii="Times New Roman" w:hAnsi="Times New Roman" w:cs="Times New Roman"/>
          <w:noProof/>
          <w:sz w:val="24"/>
          <w:lang w:val="en-IE"/>
        </w:rPr>
        <w:t>ing points and in 2030 the target is 66. Similarly to the CNG vehicle estimates, also for CNG infrastructure, the NIR shows lower ambition and targets compared to the NPF. In particular, the HU NIR states a 81% lower target in 2020, a 83% lower target in 2</w:t>
      </w:r>
      <w:r>
        <w:rPr>
          <w:rFonts w:ascii="Times New Roman" w:hAnsi="Times New Roman" w:cs="Times New Roman"/>
          <w:noProof/>
          <w:sz w:val="24"/>
          <w:lang w:val="en-IE"/>
        </w:rPr>
        <w:t>025 and a nearly 77% lower target in 2030. The NIR report does clarify that this updated report takes into consideration the development and market penetration of all fuel technologies.</w:t>
      </w:r>
    </w:p>
    <w:p w:rsidR="003C43BF" w:rsidRDefault="006C3212">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CNG refuelling infrastructure targets is 111% for 2020 and 19.71%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CNG refuelling infrastructure evolution planned by Hungary is equal to</w:t>
      </w:r>
      <w:r>
        <w:rPr>
          <w:rFonts w:ascii="Times New Roman" w:hAnsi="Times New Roman" w:cs="Times New Roman"/>
          <w:iCs/>
          <w:noProof/>
          <w:sz w:val="24"/>
          <w:lang w:val="en-IE"/>
        </w:rPr>
        <w:t xml:space="preserve"> 15%.</w:t>
      </w:r>
      <w:r>
        <w:rPr>
          <w:rFonts w:ascii="Times New Roman" w:hAnsi="Times New Roman" w:cs="Times New Roman"/>
          <w:noProof/>
          <w:sz w:val="28"/>
          <w:szCs w:val="24"/>
          <w:lang w:val="en-IE"/>
        </w:rPr>
        <w:t xml:space="preserve">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HU NIR, the following table shows the ratio between vehi</w:t>
      </w:r>
      <w:r>
        <w:rPr>
          <w:rFonts w:ascii="Times New Roman" w:hAnsi="Times New Roman" w:cs="Times New Roman"/>
          <w:noProof/>
          <w:sz w:val="24"/>
          <w:lang w:val="en-IE"/>
        </w:rPr>
        <w:t>cles and publicly accessible refuelling points (i.e. sufficiency index) for the pair CNG/road. It can be seen that sufficiency index is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for the 2016-2020 period, and only slightly above 600 thresholds i</w:t>
      </w:r>
      <w:r>
        <w:rPr>
          <w:rFonts w:ascii="Times New Roman" w:hAnsi="Times New Roman" w:cs="Times New Roman"/>
          <w:noProof/>
          <w:sz w:val="24"/>
          <w:lang w:val="en-IE"/>
        </w:rPr>
        <w:t xml:space="preserve">n 2025 and 2030, therefore the sufficiency index is considered adequate. </w:t>
      </w:r>
    </w:p>
    <w:p w:rsidR="003C43BF" w:rsidRDefault="006C3212">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eastAsia="en-GB"/>
        </w:rPr>
        <w:drawing>
          <wp:inline distT="0" distB="0" distL="0" distR="0">
            <wp:extent cx="4961255" cy="389255"/>
            <wp:effectExtent l="0" t="0" r="0" b="0"/>
            <wp:docPr id="3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61255" cy="389255"/>
                    </a:xfrm>
                    <a:prstGeom prst="rect">
                      <a:avLst/>
                    </a:prstGeom>
                    <a:noFill/>
                    <a:ln>
                      <a:noFill/>
                    </a:ln>
                  </pic:spPr>
                </pic:pic>
              </a:graphicData>
            </a:graphic>
          </wp:inline>
        </w:drawing>
      </w:r>
    </w:p>
    <w:p w:rsidR="003C43BF" w:rsidRDefault="003C43BF">
      <w:pPr>
        <w:jc w:val="both"/>
        <w:rPr>
          <w:rFonts w:ascii="Times New Roman" w:hAnsi="Times New Roman" w:cs="Times New Roman"/>
          <w:noProof/>
          <w:color w:val="000000" w:themeColor="text1"/>
          <w:sz w:val="28"/>
          <w:szCs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Hungarian NIR indicates that natural gas is the most common alternative fuel to for the long distance transport. Hungary reported that the use of LNG is expected to appear in 2025, when 2,020 LNG vehicles are estimated to be in use, of which 2,000 HCVs</w:t>
      </w:r>
      <w:r>
        <w:rPr>
          <w:rFonts w:ascii="Times New Roman" w:hAnsi="Times New Roman" w:cs="Times New Roman"/>
          <w:noProof/>
          <w:sz w:val="24"/>
          <w:lang w:val="en-IE"/>
        </w:rPr>
        <w:t xml:space="preserve"> and 20 buses and coaches. In 2030, the estimated number is 8,030 LNG vehicles, of which 8,000 HCVs and 30 buses and coaches. Hungary does not provide any LNG vehicles estimate in 2020, while the NPF had estimated 2,550 vehicles. A decrease in ambition bet</w:t>
      </w:r>
      <w:r>
        <w:rPr>
          <w:rFonts w:ascii="Times New Roman" w:hAnsi="Times New Roman" w:cs="Times New Roman"/>
          <w:noProof/>
          <w:sz w:val="24"/>
          <w:lang w:val="en-IE"/>
        </w:rPr>
        <w:t xml:space="preserve">ween NIR and NPF is observed also for LNG vehicles, with almost 68% and 44% lower estimates in 2025 and 2030, respectively.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at the end of 2018 there are no LNG vehicles 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w:t>
      </w:r>
      <w:r>
        <w:rPr>
          <w:rStyle w:val="Heading4Char"/>
          <w:rFonts w:ascii="Times New Roman" w:hAnsi="Times New Roman" w:cs="Times New Roman"/>
          <w:noProof/>
          <w:sz w:val="24"/>
          <w:lang w:val="en-IE"/>
        </w:rPr>
        <w:t>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Hungarian NIR indicates that there was no LNG refuelling points in use in 2018. The HU NIR reports a target of one public LNG refuelling station in 2020, of 15 in 2025, and of 40 in 2030. In comparison with the NPF and in line with LNG vehicle estima</w:t>
      </w:r>
      <w:r>
        <w:rPr>
          <w:rFonts w:ascii="Times New Roman" w:hAnsi="Times New Roman" w:cs="Times New Roman"/>
          <w:noProof/>
          <w:sz w:val="24"/>
          <w:lang w:val="en-IE"/>
        </w:rPr>
        <w:t xml:space="preserve">tes, the NIR reports a significant reduction in ambition towards LNG infrastructure targets. In 2020, the NIR reports a 95% lower target in publicly available LNG refuelling points, and a lower target around 82% for both 2025 and 2030.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at the end of</w:t>
      </w:r>
      <w:r>
        <w:rPr>
          <w:rFonts w:ascii="Times New Roman" w:hAnsi="Times New Roman" w:cs="Times New Roman"/>
          <w:iCs/>
          <w:noProof/>
          <w:color w:val="000000" w:themeColor="text1"/>
          <w:sz w:val="24"/>
          <w:lang w:val="en-IE"/>
        </w:rPr>
        <w:t xml:space="preserve"> 2018 there are no LNG refuelling points 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HU NIR, the following table shows the ratio between vehicles and publicly accessible refuelling points (i.e. sufficiency index) for the pair LNG/road. Clearly, only the 2025 and 2030 sufficiency indexes could be computed.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61255" cy="389255"/>
            <wp:effectExtent l="0" t="0" r="0" b="0"/>
            <wp:docPr id="35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61255" cy="389255"/>
                    </a:xfrm>
                    <a:prstGeom prst="rect">
                      <a:avLst/>
                    </a:prstGeom>
                    <a:noFill/>
                    <a:ln>
                      <a:noFill/>
                    </a:ln>
                  </pic:spPr>
                </pic:pic>
              </a:graphicData>
            </a:graphic>
          </wp:inline>
        </w:drawing>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There was no hydrogen powered vehicles recorded in Hungary in 2018, and there is no vehicle estimate provided for 2020. In 2025, the Hungarian NIR estimates 330 hydrogen vehicles, of which 200 passenger cars, 60 LCVs, 50 HCVs and 20 buses and coaches. In </w:t>
      </w:r>
      <w:r>
        <w:rPr>
          <w:rFonts w:ascii="Times New Roman" w:hAnsi="Times New Roman" w:cs="Times New Roman"/>
          <w:noProof/>
          <w:sz w:val="24"/>
          <w:lang w:val="en-IE"/>
        </w:rPr>
        <w:t>2030, the NIR estimates 1,460 vehicles, of which 700 passenger cars, 200 LCVs, 500 HCVs and 60 buses and coaches. Compared to the NPF, the HU NIR does not provide any number for 2020 while the NPF had estimated 35 vehicles. In 2025 and 2030 however, the es</w:t>
      </w:r>
      <w:r>
        <w:rPr>
          <w:rFonts w:ascii="Times New Roman" w:hAnsi="Times New Roman" w:cs="Times New Roman"/>
          <w:noProof/>
          <w:sz w:val="24"/>
          <w:lang w:val="en-IE"/>
        </w:rPr>
        <w:t xml:space="preserve">timates for hydrogen vehicles raise significantly. The Hungarian NIR reports a 340% higher estimate for 2025, and a 873% higher estimate for 2030.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Due to the absence of</w:t>
      </w:r>
      <w:r>
        <w:rPr>
          <w:rFonts w:ascii="Times New Roman" w:hAnsi="Times New Roman" w:cs="Times New Roman"/>
          <w:iCs/>
          <w:noProof/>
          <w:color w:val="000000" w:themeColor="text1"/>
          <w:sz w:val="24"/>
          <w:lang w:val="en-IE"/>
        </w:rPr>
        <w:t xml:space="preserve"> hydrogen vehicles in use</w:t>
      </w:r>
      <w:r>
        <w:rPr>
          <w:rFonts w:ascii="Times New Roman" w:hAnsi="Times New Roman" w:cs="Times New Roman"/>
          <w:noProof/>
          <w:sz w:val="24"/>
          <w:lang w:val="en-IE"/>
        </w:rPr>
        <w:t xml:space="preserve"> at the end of 2018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 xml:space="preserve">progress </w:t>
      </w:r>
      <w:r>
        <w:rPr>
          <w:rFonts w:ascii="Times New Roman" w:hAnsi="Times New Roman" w:cs="Times New Roman"/>
          <w:noProof/>
          <w:sz w:val="24"/>
          <w:lang w:val="en-IE"/>
        </w:rPr>
        <w:t xml:space="preserve">have not </w:t>
      </w:r>
      <w:r>
        <w:rPr>
          <w:rFonts w:ascii="Times New Roman" w:hAnsi="Times New Roman" w:cs="Times New Roman"/>
          <w:noProof/>
          <w:sz w:val="24"/>
          <w:lang w:val="en-IE"/>
        </w:rPr>
        <w:t>been calculated.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indicates that no publicly accessible hydrogen refuelling points were available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_Ref53128691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5.17.3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and there is no infrastructure target for 2020. The target for 2025 is equal to six, of which four will be 350 bar and two will be 700 bar points. The HU NIR also reports a target of 26 hydro</w:t>
      </w:r>
      <w:r>
        <w:rPr>
          <w:rFonts w:ascii="Times New Roman" w:hAnsi="Times New Roman" w:cs="Times New Roman"/>
          <w:noProof/>
          <w:sz w:val="24"/>
          <w:lang w:val="en-IE"/>
        </w:rPr>
        <w:t>gen refuelling points for 2030, of which 17 will be 350 bar and 9 will be 700 bar. Compared to the NPF estimates, the NIR reports a 20% higher target for 2025 and a 85% higher target for 2030, reflecting an increased ambition in hydrogen infrastructure dep</w:t>
      </w:r>
      <w:r>
        <w:rPr>
          <w:rFonts w:ascii="Times New Roman" w:hAnsi="Times New Roman" w:cs="Times New Roman"/>
          <w:noProof/>
          <w:sz w:val="24"/>
          <w:lang w:val="en-IE"/>
        </w:rPr>
        <w:t>loyment.</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Due to the absence of</w:t>
      </w:r>
      <w:r>
        <w:rPr>
          <w:rFonts w:ascii="Times New Roman" w:hAnsi="Times New Roman" w:cs="Times New Roman"/>
          <w:iCs/>
          <w:noProof/>
          <w:color w:val="000000" w:themeColor="text1"/>
          <w:sz w:val="24"/>
          <w:lang w:val="en-IE"/>
        </w:rPr>
        <w:t xml:space="preserve"> hydrogen refuelling points deployed</w:t>
      </w:r>
      <w:r>
        <w:rPr>
          <w:rFonts w:ascii="Times New Roman" w:hAnsi="Times New Roman" w:cs="Times New Roman"/>
          <w:noProof/>
          <w:sz w:val="24"/>
          <w:lang w:val="en-IE"/>
        </w:rPr>
        <w:t xml:space="preserve"> at the end of 2018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calculated.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HU NIR, the following table shows the ratio between vehicles and infrastructure (i.e. suffic</w:t>
      </w:r>
      <w:r>
        <w:rPr>
          <w:rFonts w:ascii="Times New Roman" w:hAnsi="Times New Roman" w:cs="Times New Roman"/>
          <w:noProof/>
          <w:sz w:val="24"/>
          <w:lang w:val="en-IE"/>
        </w:rPr>
        <w:t>iency index) for the pair hydrogen/road for the 2025-2030 period.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61255" cy="389255"/>
            <wp:effectExtent l="0" t="0" r="0" b="0"/>
            <wp:docPr id="3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61255" cy="389255"/>
                    </a:xfrm>
                    <a:prstGeom prst="rect">
                      <a:avLst/>
                    </a:prstGeom>
                    <a:noFill/>
                    <a:ln>
                      <a:noFill/>
                    </a:ln>
                  </pic:spPr>
                </pic:pic>
              </a:graphicData>
            </a:graphic>
          </wp:inline>
        </w:drawing>
      </w:r>
    </w:p>
    <w:p w:rsidR="003C43BF" w:rsidRDefault="003C43BF">
      <w:pPr>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does not provide the number of biofuels vehicles in use in 2018 nor any future vehicle estimates, however it does note that biofuel is the most importa</w:t>
      </w:r>
      <w:r>
        <w:rPr>
          <w:rFonts w:ascii="Times New Roman" w:hAnsi="Times New Roman" w:cs="Times New Roman"/>
          <w:noProof/>
          <w:sz w:val="24"/>
          <w:lang w:val="en-IE"/>
        </w:rPr>
        <w:t>nt alternative fuel in road transport, due to the obligatory blending rate. The HU NIR states that next to electro-mobility, biofuels will be the most important contributor to achieve the national energy and climate targets for transport. In 2018, the shar</w:t>
      </w:r>
      <w:r>
        <w:rPr>
          <w:rFonts w:ascii="Times New Roman" w:hAnsi="Times New Roman" w:cs="Times New Roman"/>
          <w:noProof/>
          <w:sz w:val="24"/>
          <w:lang w:val="en-IE"/>
        </w:rPr>
        <w:t>e of biofuels in the national fuel mix was 4.2%. It is expected to be 4.4% in 2020, 5% in 2025 and 5.1% in 2030. The NIR does not specify what type of biofuels are considered.</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Due to the lack of specific information,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w:t>
      </w:r>
      <w:r>
        <w:rPr>
          <w:rFonts w:ascii="Times New Roman" w:hAnsi="Times New Roman" w:cs="Times New Roman"/>
          <w:noProof/>
          <w:sz w:val="24"/>
          <w:lang w:val="en-IE"/>
        </w:rPr>
        <w:t>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szCs w:val="24"/>
          <w:lang w:val="en-IE"/>
        </w:rPr>
      </w:pPr>
      <w:r>
        <w:rPr>
          <w:rFonts w:ascii="Times New Roman" w:hAnsi="Times New Roman" w:cs="Times New Roman"/>
          <w:noProof/>
          <w:sz w:val="24"/>
          <w:lang w:val="en-IE"/>
        </w:rPr>
        <w:t xml:space="preserve">The </w:t>
      </w:r>
      <w:r>
        <w:rPr>
          <w:rFonts w:ascii="Times New Roman" w:hAnsi="Times New Roman" w:cs="Times New Roman"/>
          <w:noProof/>
          <w:sz w:val="24"/>
          <w:szCs w:val="24"/>
        </w:rPr>
        <w:t xml:space="preserve">Hungarian NIR does not report any dedicated biofuels refuelling points in use in 2018, nor does it provide future targets. However, the NIR states that Hungary will encourage both consumption and domestic production of </w:t>
      </w:r>
      <w:r>
        <w:rPr>
          <w:rFonts w:ascii="Times New Roman" w:hAnsi="Times New Roman" w:cs="Times New Roman"/>
          <w:noProof/>
          <w:sz w:val="24"/>
          <w:szCs w:val="24"/>
        </w:rPr>
        <w:t>second-generation biofuels</w:t>
      </w:r>
      <w:r>
        <w:rPr>
          <w:rFonts w:ascii="Times New Roman" w:hAnsi="Times New Roman" w:cs="Times New Roman"/>
          <w:noProof/>
          <w:sz w:val="24"/>
          <w:szCs w:val="24"/>
          <w:lang w:val="en-IE"/>
        </w:rPr>
        <w:t>.</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Due to the lack of specific information,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states a strong message that the financial support for LPG infrastructure is not foreseen in the future and t</w:t>
      </w:r>
      <w:r>
        <w:rPr>
          <w:rFonts w:ascii="Times New Roman" w:hAnsi="Times New Roman" w:cs="Times New Roman"/>
          <w:noProof/>
          <w:sz w:val="24"/>
          <w:lang w:val="en-IE"/>
        </w:rPr>
        <w:t>hat the demand for LPG vehicles is expected to decline.</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Hungary recorded 28,528 vehicles in 2018, out of which 27,642 passenger cars, 881 LCVs and 5 HCVs. For the next decade the HU NIR estimates 26,000 LPG vehicles in 2020, 19,000 in 2025 and 14,</w:t>
      </w:r>
      <w:r>
        <w:rPr>
          <w:rFonts w:ascii="Times New Roman" w:hAnsi="Times New Roman" w:cs="Times New Roman"/>
          <w:noProof/>
          <w:sz w:val="24"/>
          <w:lang w:val="en-IE"/>
        </w:rPr>
        <w:t xml:space="preserve">000 in 2030, which represents a steady decline. Compared to the NPF, the NIR reports a 45% lower estimate in 2025 and a nearly 69% lower estimate in 2030, which reflects the lower level of ambition towards the LPG future estimates. </w:t>
      </w:r>
    </w:p>
    <w:p w:rsidR="003C43BF" w:rsidRDefault="006C3212">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Since the HU NIR foresees a decreasing trend, </w:t>
      </w: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Hungary recorded 529 publicly accessible LPG refuelling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_Ref53128691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5.17.3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 HU NIR reports the same target also for 2020. In 2025 and in 2030, the NIR targets respectively 500 and 460 publicly accessible LPG refuelling points. Compared to the NPF, the NIR target</w:t>
      </w:r>
      <w:r>
        <w:rPr>
          <w:rFonts w:ascii="Times New Roman" w:hAnsi="Times New Roman" w:cs="Times New Roman"/>
          <w:noProof/>
          <w:sz w:val="24"/>
          <w:lang w:val="en-IE"/>
        </w:rPr>
        <w:t>s are 16% lower in 2020, 23% lower in 2025 and 34.3% lower in 2030, reflecting the reduced ambition towards LPG market development.</w:t>
      </w:r>
    </w:p>
    <w:p w:rsidR="003C43BF" w:rsidRDefault="006C3212">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Since a decreasing trend is foreseen by the HU NIR, </w:t>
      </w: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w:t>
      </w:r>
      <w:r>
        <w:rPr>
          <w:rFonts w:ascii="Times New Roman" w:hAnsi="Times New Roman" w:cs="Times New Roman"/>
          <w:noProof/>
          <w:sz w:val="24"/>
          <w:lang w:val="en-IE"/>
        </w:rPr>
        <w:t xml:space="preserve"> the HU NIR, the following table shows the ratio between vehicles and publicly accessible refuelling points (i.e. sufficiency index) for the pair LPG/road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xml:space="preserve">). </w:t>
      </w:r>
    </w:p>
    <w:tbl>
      <w:tblPr>
        <w:tblW w:w="7800" w:type="dxa"/>
        <w:tblLook w:val="04A0" w:firstRow="1" w:lastRow="0" w:firstColumn="1" w:lastColumn="0" w:noHBand="0" w:noVBand="1"/>
      </w:tblPr>
      <w:tblGrid>
        <w:gridCol w:w="763"/>
        <w:gridCol w:w="1337"/>
        <w:gridCol w:w="965"/>
        <w:gridCol w:w="947"/>
        <w:gridCol w:w="947"/>
        <w:gridCol w:w="947"/>
        <w:gridCol w:w="947"/>
        <w:gridCol w:w="947"/>
      </w:tblGrid>
      <w:tr w:rsidR="003C43BF">
        <w:trPr>
          <w:trHeight w:val="300"/>
        </w:trPr>
        <w:tc>
          <w:tcPr>
            <w:tcW w:w="20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Sufficiency Index</w:t>
            </w:r>
          </w:p>
        </w:tc>
        <w:tc>
          <w:tcPr>
            <w:tcW w:w="98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2016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2017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2018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2025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2030</w:t>
            </w:r>
          </w:p>
        </w:tc>
      </w:tr>
      <w:tr w:rsidR="003C43BF">
        <w:trPr>
          <w:trHeight w:val="300"/>
        </w:trPr>
        <w:tc>
          <w:tcPr>
            <w:tcW w:w="638" w:type="dxa"/>
            <w:tcBorders>
              <w:top w:val="nil"/>
              <w:left w:val="single" w:sz="8" w:space="0" w:color="auto"/>
              <w:bottom w:val="single" w:sz="8" w:space="0" w:color="auto"/>
              <w:right w:val="single" w:sz="8" w:space="0" w:color="auto"/>
            </w:tcBorders>
            <w:shd w:val="clear" w:color="auto" w:fill="auto"/>
            <w:noWrap/>
            <w:vAlign w:val="bottom"/>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Road</w:t>
            </w:r>
          </w:p>
        </w:tc>
        <w:tc>
          <w:tcPr>
            <w:tcW w:w="1382"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b/>
                <w:bCs/>
                <w:noProof/>
                <w:color w:val="000000"/>
                <w:sz w:val="24"/>
                <w:lang w:val="en-IE" w:eastAsia="en-GB"/>
              </w:rPr>
            </w:pPr>
            <w:r>
              <w:rPr>
                <w:rFonts w:ascii="Times New Roman" w:eastAsia="Times New Roman" w:hAnsi="Times New Roman" w:cs="Times New Roman"/>
                <w:b/>
                <w:bCs/>
                <w:noProof/>
                <w:color w:val="000000"/>
                <w:sz w:val="24"/>
                <w:lang w:val="en-IE" w:eastAsia="en-GB"/>
              </w:rPr>
              <w:t>LPG</w:t>
            </w:r>
          </w:p>
        </w:tc>
        <w:tc>
          <w:tcPr>
            <w:tcW w:w="98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48.10</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49.26</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53.93</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49.15</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38.00</w:t>
            </w:r>
          </w:p>
        </w:tc>
        <w:tc>
          <w:tcPr>
            <w:tcW w:w="960" w:type="dxa"/>
            <w:tcBorders>
              <w:top w:val="nil"/>
              <w:left w:val="nil"/>
              <w:bottom w:val="single" w:sz="8" w:space="0" w:color="auto"/>
              <w:right w:val="single" w:sz="8" w:space="0" w:color="auto"/>
            </w:tcBorders>
            <w:shd w:val="clear" w:color="auto" w:fill="auto"/>
            <w:vAlign w:val="center"/>
            <w:hideMark/>
          </w:tcPr>
          <w:p w:rsidR="003C43BF" w:rsidRDefault="006C3212">
            <w:pPr>
              <w:spacing w:after="0" w:line="240" w:lineRule="auto"/>
              <w:jc w:val="center"/>
              <w:rPr>
                <w:rFonts w:ascii="Times New Roman" w:eastAsia="Times New Roman" w:hAnsi="Times New Roman" w:cs="Times New Roman"/>
                <w:noProof/>
                <w:color w:val="000000"/>
                <w:sz w:val="24"/>
                <w:lang w:val="en-IE" w:eastAsia="en-GB"/>
              </w:rPr>
            </w:pPr>
            <w:r>
              <w:rPr>
                <w:rFonts w:ascii="Times New Roman" w:eastAsia="Times New Roman" w:hAnsi="Times New Roman" w:cs="Times New Roman"/>
                <w:noProof/>
                <w:color w:val="000000"/>
                <w:sz w:val="24"/>
                <w:lang w:val="en-IE" w:eastAsia="en-GB"/>
              </w:rPr>
              <w:t>30.43</w:t>
            </w:r>
          </w:p>
        </w:tc>
      </w:tr>
    </w:tbl>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HU NIR reports 672 electric locomotives in 2018, and estimates 680 electric locomotives in 2020, 673 in 2025 and 663 in 2030. The NPF however did not report any estimates for locomotives.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reports that 40% (i.e. 3113 km) of the total railways is electrified. Concerning energy consumption for rail transport, in 2018 it was composed by 70% electricity and 30% petroleum.</w:t>
      </w:r>
    </w:p>
    <w:p w:rsidR="003C43BF" w:rsidRDefault="003C43BF">
      <w:pPr>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Not </w:t>
      </w:r>
      <w:r>
        <w:rPr>
          <w:rFonts w:ascii="Times New Roman" w:hAnsi="Times New Roman" w:cs="Times New Roman"/>
          <w:noProof/>
          <w:sz w:val="24"/>
          <w:lang w:val="en-IE"/>
        </w:rPr>
        <w:t>applicable since Hungary has no maritime ports in the TEN-T Core Network.</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recorded 145 electric vessels in use in 2018, and estimates 210 vessels in 2020, 330 vessels in 2025 and 450 in 2</w:t>
      </w:r>
      <w:r>
        <w:rPr>
          <w:rFonts w:ascii="Times New Roman" w:hAnsi="Times New Roman" w:cs="Times New Roman"/>
          <w:noProof/>
          <w:sz w:val="24"/>
          <w:lang w:val="en-IE"/>
        </w:rPr>
        <w:t>030. There are no estimates provided by the NPF to be compared with the NIR.</w:t>
      </w:r>
    </w:p>
    <w:p w:rsidR="003C43BF" w:rsidRDefault="006C3212">
      <w:pPr>
        <w:tabs>
          <w:tab w:val="left" w:pos="360"/>
        </w:tabs>
        <w:spacing w:line="276" w:lineRule="auto"/>
        <w:jc w:val="both"/>
        <w:rPr>
          <w:rFonts w:ascii="Times New Roman" w:eastAsia="Calibri" w:hAnsi="Times New Roman" w:cs="Times New Roman"/>
          <w:iCs/>
          <w:noProof/>
          <w:color w:val="000000"/>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the foreseen deployment of electric inland waterway vessels is 69.05% for 2020 and 32.22% for 2030. </w:t>
      </w:r>
      <w:r>
        <w:rPr>
          <w:rFonts w:ascii="Times New Roman" w:hAnsi="Times New Roman" w:cs="Times New Roman"/>
          <w:noProof/>
          <w:color w:val="000000" w:themeColor="text1"/>
          <w:sz w:val="24"/>
          <w:shd w:val="clear" w:color="auto" w:fill="FFFFFF"/>
          <w:lang w:val="en-IE"/>
        </w:rPr>
        <w:t>According to the assessment methodology described in </w:t>
      </w:r>
      <w:r>
        <w:rPr>
          <w:rFonts w:ascii="Times New Roman" w:hAnsi="Times New Roman" w:cs="Times New Roman"/>
          <w:iCs/>
          <w:noProof/>
          <w:sz w:val="24"/>
          <w:lang w:val="en-IE"/>
        </w:rPr>
        <w:t>Sec</w:t>
      </w:r>
      <w:r>
        <w:rPr>
          <w:rFonts w:ascii="Times New Roman" w:hAnsi="Times New Roman" w:cs="Times New Roman"/>
          <w:iCs/>
          <w:noProof/>
          <w:sz w:val="24"/>
          <w:lang w:val="en-IE"/>
        </w:rPr>
        <w:t>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w:t>
      </w:r>
      <w:r>
        <w:rPr>
          <w:rFonts w:ascii="Times New Roman" w:hAnsi="Times New Roman" w:cs="Times New Roman"/>
          <w:iCs/>
          <w:noProof/>
          <w:color w:val="000000" w:themeColor="text1"/>
          <w:sz w:val="24"/>
          <w:lang w:val="en-IE"/>
        </w:rPr>
        <w:t>Hungary</w:t>
      </w:r>
      <w:r>
        <w:rPr>
          <w:rFonts w:ascii="Times New Roman" w:hAnsi="Times New Roman" w:cs="Times New Roman"/>
          <w:noProof/>
          <w:color w:val="000000" w:themeColor="text1"/>
          <w:sz w:val="24"/>
          <w:shd w:val="clear" w:color="auto" w:fill="FFFFFF"/>
          <w:lang w:val="en-IE"/>
        </w:rPr>
        <w:t xml:space="preserve"> recorded </w:t>
      </w:r>
      <w:r>
        <w:rPr>
          <w:rFonts w:ascii="Times New Roman" w:eastAsia="Calibri" w:hAnsi="Times New Roman" w:cs="Times New Roman"/>
          <w:iCs/>
          <w:noProof/>
          <w:color w:val="000000"/>
          <w:sz w:val="24"/>
          <w:lang w:val="en-IE"/>
        </w:rPr>
        <w:t xml:space="preserve">from 2016 until 2018 </w:t>
      </w:r>
      <w:r>
        <w:rPr>
          <w:rFonts w:ascii="Times New Roman" w:hAnsi="Times New Roman" w:cs="Times New Roman"/>
          <w:noProof/>
          <w:color w:val="000000" w:themeColor="text1"/>
          <w:sz w:val="24"/>
          <w:shd w:val="clear" w:color="auto" w:fill="FFFFFF"/>
          <w:lang w:val="en-IE"/>
        </w:rPr>
        <w:t>for the deployment</w:t>
      </w:r>
      <w:r>
        <w:rPr>
          <w:rFonts w:ascii="Times New Roman" w:hAnsi="Times New Roman" w:cs="Times New Roman"/>
          <w:noProof/>
          <w:sz w:val="24"/>
          <w:lang w:val="en-IE"/>
        </w:rPr>
        <w:t xml:space="preserve"> of electric inland waterway vessels</w:t>
      </w:r>
      <w:r>
        <w:rPr>
          <w:rFonts w:ascii="Times New Roman" w:hAnsi="Times New Roman" w:cs="Times New Roman"/>
          <w:noProof/>
          <w:color w:val="000000" w:themeColor="text1"/>
          <w:sz w:val="24"/>
          <w:shd w:val="clear" w:color="auto" w:fill="FFFFFF"/>
          <w:lang w:val="en-IE"/>
        </w:rPr>
        <w:t xml:space="preserve"> in inland ports </w:t>
      </w:r>
      <w:r>
        <w:rPr>
          <w:rFonts w:ascii="Times New Roman" w:eastAsia="Calibri" w:hAnsi="Times New Roman" w:cs="Times New Roman"/>
          <w:iCs/>
          <w:noProof/>
          <w:color w:val="000000"/>
          <w:sz w:val="24"/>
          <w:lang w:val="en-IE"/>
        </w:rPr>
        <w:t xml:space="preserve">corresponds to 13.84% of the overall planned deployment during the period 2016-2030. </w:t>
      </w:r>
    </w:p>
    <w:p w:rsidR="003C43BF" w:rsidRDefault="003C43BF">
      <w:pPr>
        <w:tabs>
          <w:tab w:val="left" w:pos="360"/>
        </w:tabs>
        <w:spacing w:line="276" w:lineRule="auto"/>
        <w:jc w:val="both"/>
        <w:rPr>
          <w:rFonts w:ascii="Times New Roman" w:eastAsia="Calibri" w:hAnsi="Times New Roman" w:cs="Times New Roman"/>
          <w:noProof/>
          <w:color w:val="000000"/>
          <w:sz w:val="28"/>
          <w:szCs w:val="24"/>
          <w:lang w:val="en-IE"/>
        </w:rPr>
      </w:pP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Hungary reported 28 </w:t>
      </w:r>
      <w:r>
        <w:rPr>
          <w:rFonts w:ascii="Times New Roman" w:hAnsi="Times New Roman" w:cs="Times New Roman"/>
          <w:noProof/>
          <w:sz w:val="24"/>
          <w:lang w:val="en-IE"/>
        </w:rPr>
        <w:t>shore-side electricity supply points for inland waterway vessels in inland ports in 2018, and the target for the 2020 is 36 shore-side supply points. The target of 36 remains until 2030, and this is equal to the target reported in the NPF.</w:t>
      </w:r>
    </w:p>
    <w:p w:rsidR="003C43BF" w:rsidRDefault="006C3212">
      <w:pPr>
        <w:tabs>
          <w:tab w:val="left" w:pos="360"/>
        </w:tabs>
        <w:spacing w:line="276" w:lineRule="auto"/>
        <w:jc w:val="both"/>
        <w:rPr>
          <w:rFonts w:ascii="Times New Roman" w:eastAsia="Calibri" w:hAnsi="Times New Roman" w:cs="Times New Roman"/>
          <w:noProof/>
          <w:color w:val="000000"/>
          <w:sz w:val="28"/>
          <w:szCs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w:t>
      </w:r>
      <w:r>
        <w:rPr>
          <w:rFonts w:ascii="Times New Roman" w:hAnsi="Times New Roman" w:cs="Times New Roman"/>
          <w:b/>
          <w:i/>
          <w:noProof/>
          <w:sz w:val="24"/>
          <w:lang w:val="en-IE"/>
        </w:rPr>
        <w:t>ent</w:t>
      </w:r>
      <w:r>
        <w:rPr>
          <w:rFonts w:ascii="Times New Roman" w:hAnsi="Times New Roman" w:cs="Times New Roman"/>
          <w:noProof/>
          <w:sz w:val="24"/>
          <w:lang w:val="en-IE"/>
        </w:rPr>
        <w:t xml:space="preserve"> of shore-side electricity supply points in </w:t>
      </w:r>
      <w:r>
        <w:rPr>
          <w:rFonts w:ascii="Times New Roman" w:hAnsi="Times New Roman" w:cs="Times New Roman"/>
          <w:noProof/>
          <w:color w:val="000000" w:themeColor="text1"/>
          <w:sz w:val="24"/>
          <w:shd w:val="clear" w:color="auto" w:fill="FFFFFF"/>
          <w:lang w:val="en-IE"/>
        </w:rPr>
        <w:t>inland</w:t>
      </w:r>
      <w:r>
        <w:rPr>
          <w:rFonts w:ascii="Times New Roman" w:hAnsi="Times New Roman" w:cs="Times New Roman"/>
          <w:noProof/>
          <w:sz w:val="24"/>
          <w:lang w:val="en-IE"/>
        </w:rPr>
        <w:t xml:space="preserve"> ports is constant and equal to 77.78% for 2020, 2025 and 2030. </w:t>
      </w:r>
      <w:r>
        <w:rPr>
          <w:rFonts w:ascii="Times New Roman" w:hAnsi="Times New Roman" w:cs="Times New Roman"/>
          <w:noProof/>
          <w:color w:val="000000" w:themeColor="text1"/>
          <w:sz w:val="24"/>
          <w:shd w:val="clear" w:color="auto" w:fill="FFFFFF"/>
          <w:lang w:val="en-IE"/>
        </w:rPr>
        <w:t>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w:t>
      </w:r>
      <w:r>
        <w:rPr>
          <w:rFonts w:ascii="Times New Roman" w:hAnsi="Times New Roman" w:cs="Times New Roman"/>
          <w:iCs/>
          <w:noProof/>
          <w:color w:val="000000" w:themeColor="text1"/>
          <w:sz w:val="24"/>
          <w:lang w:val="en-IE"/>
        </w:rPr>
        <w:t>Hungary</w:t>
      </w:r>
      <w:r>
        <w:rPr>
          <w:rFonts w:ascii="Times New Roman" w:hAnsi="Times New Roman" w:cs="Times New Roman"/>
          <w:noProof/>
          <w:color w:val="000000" w:themeColor="text1"/>
          <w:sz w:val="24"/>
          <w:shd w:val="clear" w:color="auto" w:fill="FFFFFF"/>
          <w:lang w:val="en-IE"/>
        </w:rPr>
        <w:t xml:space="preserve"> recorded </w:t>
      </w:r>
      <w:r>
        <w:rPr>
          <w:rFonts w:ascii="Times New Roman" w:eastAsia="Calibri" w:hAnsi="Times New Roman" w:cs="Times New Roman"/>
          <w:iCs/>
          <w:noProof/>
          <w:color w:val="000000"/>
          <w:sz w:val="24"/>
          <w:lang w:val="en-IE"/>
        </w:rPr>
        <w:t>from 2016 until 2018</w:t>
      </w:r>
      <w:r>
        <w:rPr>
          <w:rFonts w:ascii="Times New Roman" w:hAnsi="Times New Roman" w:cs="Times New Roman"/>
          <w:noProof/>
          <w:color w:val="000000" w:themeColor="text1"/>
          <w:sz w:val="24"/>
          <w:shd w:val="clear" w:color="auto" w:fill="FFFFFF"/>
          <w:lang w:val="en-IE"/>
        </w:rPr>
        <w:t xml:space="preserve"> for the deployment of </w:t>
      </w:r>
      <w:r>
        <w:rPr>
          <w:rFonts w:ascii="Times New Roman" w:hAnsi="Times New Roman" w:cs="Times New Roman"/>
          <w:noProof/>
          <w:sz w:val="24"/>
          <w:lang w:val="en-IE"/>
        </w:rPr>
        <w:t>shore-side electricity supply points</w:t>
      </w:r>
      <w:r>
        <w:rPr>
          <w:rFonts w:ascii="Times New Roman" w:hAnsi="Times New Roman" w:cs="Times New Roman"/>
          <w:noProof/>
          <w:color w:val="000000" w:themeColor="text1"/>
          <w:sz w:val="24"/>
          <w:shd w:val="clear" w:color="auto" w:fill="FFFFFF"/>
          <w:lang w:val="en-IE"/>
        </w:rPr>
        <w:t xml:space="preserve"> in inland ports </w:t>
      </w:r>
      <w:r>
        <w:rPr>
          <w:rFonts w:ascii="Times New Roman" w:eastAsia="Calibri" w:hAnsi="Times New Roman" w:cs="Times New Roman"/>
          <w:iCs/>
          <w:noProof/>
          <w:color w:val="000000"/>
          <w:sz w:val="24"/>
          <w:lang w:val="en-IE"/>
        </w:rPr>
        <w:t xml:space="preserve">corresponds to 0.02% of the overall planned deployment during the period 2016-2030. </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Hungarian NIR reports that there were no LNG inland waterway vessels in use in 2018. For 2025 and for </w:t>
      </w:r>
      <w:r>
        <w:rPr>
          <w:rFonts w:ascii="Times New Roman" w:hAnsi="Times New Roman" w:cs="Times New Roman"/>
          <w:noProof/>
          <w:sz w:val="24"/>
          <w:lang w:val="en-IE"/>
        </w:rPr>
        <w:t>2030 there is one estimated LNG vessel. In the NPF there were no estimates to be compared with the NIR.</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 xml:space="preserve">at the end of 2018 there are no </w:t>
      </w:r>
      <w:r>
        <w:rPr>
          <w:rFonts w:ascii="Times New Roman" w:hAnsi="Times New Roman" w:cs="Times New Roman"/>
          <w:noProof/>
          <w:sz w:val="24"/>
          <w:lang w:val="en-IE"/>
        </w:rPr>
        <w:t xml:space="preserve">LNG vessels </w:t>
      </w:r>
      <w:r>
        <w:rPr>
          <w:rFonts w:ascii="Times New Roman" w:hAnsi="Times New Roman" w:cs="Times New Roman"/>
          <w:iCs/>
          <w:noProof/>
          <w:color w:val="000000" w:themeColor="text1"/>
          <w:sz w:val="24"/>
          <w:lang w:val="en-IE"/>
        </w:rPr>
        <w:t>deployed in the inland ports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Hungary reported that there were no LNG inland waterway refuelling points in 2018. The HU NIR presents a target of one for 2020, of nine for 2025 and of ten for 2030. Compared to the NPF, this represents a 50% higher target in 2025 and a 25% higher target </w:t>
      </w:r>
      <w:r>
        <w:rPr>
          <w:rFonts w:ascii="Times New Roman" w:hAnsi="Times New Roman" w:cs="Times New Roman"/>
          <w:noProof/>
          <w:sz w:val="24"/>
          <w:lang w:val="en-IE"/>
        </w:rPr>
        <w:t>in 2030, which reflects a higher ambition in LNG infrastructure deployment for inland waterways.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 xml:space="preserve">at the end of 2018 there are no </w:t>
      </w:r>
      <w:r>
        <w:rPr>
          <w:rFonts w:ascii="Times New Roman" w:hAnsi="Times New Roman" w:cs="Times New Roman"/>
          <w:noProof/>
          <w:color w:val="000000" w:themeColor="text1"/>
          <w:sz w:val="24"/>
          <w:lang w:val="en-IE"/>
        </w:rPr>
        <w:t xml:space="preserve">LNG supply points </w:t>
      </w:r>
      <w:r>
        <w:rPr>
          <w:rFonts w:ascii="Times New Roman" w:hAnsi="Times New Roman" w:cs="Times New Roman"/>
          <w:iCs/>
          <w:noProof/>
          <w:color w:val="000000" w:themeColor="text1"/>
          <w:sz w:val="24"/>
          <w:lang w:val="en-IE"/>
        </w:rPr>
        <w:t>deployed in the inland ports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w:t>
      </w:r>
      <w:r>
        <w:rPr>
          <w:rStyle w:val="Heading4Char"/>
          <w:rFonts w:ascii="Times New Roman" w:hAnsi="Times New Roman" w:cs="Times New Roman"/>
          <w:iCs/>
          <w:noProof/>
          <w:sz w:val="24"/>
          <w:lang w:val="en-IE"/>
        </w:rPr>
        <w:t xml:space="preserv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reports two electric airplanes in use in 2018, and it provides an estimate of three electric airplanes from 2020 until 2030. The NPF did not report any estimates for the comparison.</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 xml:space="preserve">Infrastructure (for stationary </w:t>
      </w:r>
      <w:r>
        <w:rPr>
          <w:rStyle w:val="Heading4Char"/>
          <w:rFonts w:ascii="Times New Roman" w:hAnsi="Times New Roman" w:cs="Times New Roman"/>
          <w:noProof/>
          <w:sz w:val="24"/>
          <w:lang w:val="en-IE"/>
        </w:rPr>
        <w:t>airplanes)</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Hungary reported 52 electricity supplies for stationary airplanes in use in 2018, and similarly to the NPF, the HU NIR does not provide and future targets. For this reason it is not possible to calculate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w:t>
      </w:r>
      <w:r>
        <w:rPr>
          <w:rStyle w:val="Heading4Char"/>
          <w:rFonts w:ascii="Times New Roman" w:hAnsi="Times New Roman" w:cs="Times New Roman"/>
          <w:iCs/>
          <w:noProof/>
          <w:sz w:val="24"/>
          <w:lang w:val="en-IE"/>
        </w:rPr>
        <w:t>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Hungarian NIR. </w:t>
      </w:r>
    </w:p>
    <w:p w:rsidR="003C43BF" w:rsidRDefault="003C43BF">
      <w:pPr>
        <w:tabs>
          <w:tab w:val="left" w:pos="360"/>
        </w:tabs>
        <w:spacing w:before="120"/>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394" w:name="_Toc55301917"/>
      <w:bookmarkStart w:id="395" w:name="_Toc56944229"/>
      <w:r>
        <w:rPr>
          <w:rFonts w:ascii="Times New Roman" w:hAnsi="Times New Roman" w:cs="Times New Roman"/>
          <w:noProof/>
          <w:sz w:val="24"/>
          <w:lang w:val="en-IE"/>
        </w:rPr>
        <w:t>Measures assessment</w:t>
      </w:r>
      <w:bookmarkEnd w:id="394"/>
      <w:bookmarkEnd w:id="395"/>
      <w:r>
        <w:rPr>
          <w:rFonts w:ascii="Times New Roman" w:hAnsi="Times New Roman" w:cs="Times New Roman"/>
          <w:noProof/>
          <w:sz w:val="24"/>
          <w:lang w:val="en-IE"/>
        </w:rPr>
        <w:t xml:space="preserve"> </w:t>
      </w:r>
    </w:p>
    <w:p w:rsidR="003C43BF" w:rsidRDefault="006C3212">
      <w:pPr>
        <w:tabs>
          <w:tab w:val="left" w:pos="291"/>
          <w:tab w:val="right" w:leader="dot" w:pos="9040"/>
        </w:tabs>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Hungarian NIR contains a portfolio of measures that is numerically equivalent to the one in the NPF, however it appears overall more focused and aligned to the revised AFV estimates and AFI targets. </w:t>
      </w:r>
      <w:r>
        <w:rPr>
          <w:rFonts w:ascii="Times New Roman" w:hAnsi="Times New Roman" w:cs="Times New Roman"/>
          <w:iCs/>
          <w:noProof/>
          <w:sz w:val="24"/>
          <w:lang w:val="en-IE"/>
        </w:rPr>
        <w:t>The measures cover mostly road transport, in particul</w:t>
      </w:r>
      <w:r>
        <w:rPr>
          <w:rFonts w:ascii="Times New Roman" w:hAnsi="Times New Roman" w:cs="Times New Roman"/>
          <w:iCs/>
          <w:noProof/>
          <w:sz w:val="24"/>
          <w:lang w:val="en-IE"/>
        </w:rPr>
        <w:t xml:space="preserve">ar electricity and to a lesser extent CNG, LPG and LNG. The latter is considered also for waterborne inland transport. Biofuels are also covered but only in the Legal measures.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contains seven legal measures (in the NPF th</w:t>
      </w:r>
      <w:r>
        <w:rPr>
          <w:rFonts w:ascii="Times New Roman" w:hAnsi="Times New Roman" w:cs="Times New Roman"/>
          <w:noProof/>
          <w:sz w:val="24"/>
          <w:lang w:val="en-IE"/>
        </w:rPr>
        <w:t xml:space="preserve">ere were eight). Of these seven measures, three were also in the NPF, while four are newly introduced in the NIR. Thus, the legal measures are a mix of updated NPF measures and new NIR measures and they present an increased level of ambition.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Legislative </w:t>
      </w:r>
      <w:r>
        <w:rPr>
          <w:rFonts w:ascii="Times New Roman" w:hAnsi="Times New Roman" w:cs="Times New Roman"/>
          <w:noProof/>
          <w:sz w:val="24"/>
          <w:lang w:val="en-IE"/>
        </w:rPr>
        <w:t>&amp;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All the seven legal measures listed in the NIR belong to legislative &amp; regulatory category. They address a combination of alternative fuels and modes, with the majority addressing the road transport.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first legal measure aims at revising t</w:t>
      </w:r>
      <w:r>
        <w:rPr>
          <w:rFonts w:ascii="Times New Roman" w:hAnsi="Times New Roman" w:cs="Times New Roman"/>
          <w:noProof/>
          <w:sz w:val="24"/>
          <w:lang w:val="en-IE"/>
        </w:rPr>
        <w:t>he Governmental Decree 186/2019 (VII.26), so that in 2020 the minimum blend of biofuels in road transport would be raised from 6.4% to 8.4%. An information from the NPF states that Hungary aims to reach 10% overall, thus this represent a step forward towar</w:t>
      </w:r>
      <w:r>
        <w:rPr>
          <w:rFonts w:ascii="Times New Roman" w:hAnsi="Times New Roman" w:cs="Times New Roman"/>
          <w:noProof/>
          <w:sz w:val="24"/>
          <w:lang w:val="en-IE"/>
        </w:rPr>
        <w:t xml:space="preserve">ds meeting the target.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Secondly, two measures aim to revise a bill on electro mobility to better organise services, i.e. to clarify reporting obligations, licencing and reporting rules, for both AFV and AFI. The fourth legal measure had been listed in the</w:t>
      </w:r>
      <w:r>
        <w:rPr>
          <w:rFonts w:ascii="Times New Roman" w:hAnsi="Times New Roman" w:cs="Times New Roman"/>
          <w:noProof/>
          <w:sz w:val="24"/>
          <w:lang w:val="en-IE"/>
        </w:rPr>
        <w:t xml:space="preserve"> NPF and considers green licence plates for electric cars. These plates would allow owners of electric vehicles to obtain tax allowances, free parking and more generally, they would help to raise public awareness.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fifth legal measure aims at the deploy</w:t>
      </w:r>
      <w:r>
        <w:rPr>
          <w:rFonts w:ascii="Times New Roman" w:hAnsi="Times New Roman" w:cs="Times New Roman"/>
          <w:noProof/>
          <w:sz w:val="24"/>
          <w:lang w:val="en-IE"/>
        </w:rPr>
        <w:t>ment of recharging infrastructure, setting the obligation to consider recharging points in residential environments and in parking spaces.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two last legal measures are under consideration. The sixth legal measure aims at amending the rules on establishi</w:t>
      </w:r>
      <w:r>
        <w:rPr>
          <w:rFonts w:ascii="Times New Roman" w:hAnsi="Times New Roman" w:cs="Times New Roman"/>
          <w:noProof/>
          <w:sz w:val="24"/>
          <w:lang w:val="en-IE"/>
        </w:rPr>
        <w:t xml:space="preserve">ng, operating and decommissioning of port and ferry crossings to create more favourable rules for LNG infrastructure development in inland water transportation. Lastly, there is a measure under discussion to incentivise the production of advanced biofuels </w:t>
      </w:r>
      <w:r>
        <w:rPr>
          <w:rFonts w:ascii="Times New Roman" w:hAnsi="Times New Roman" w:cs="Times New Roman"/>
          <w:noProof/>
          <w:sz w:val="24"/>
          <w:lang w:val="en-IE"/>
        </w:rPr>
        <w:t xml:space="preserve">and to investigate policies and measures to encourage production.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does not provide specific information on administrative measures.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contains 10 policy measures, of which eight aim to ensu</w:t>
      </w:r>
      <w:r>
        <w:rPr>
          <w:rFonts w:ascii="Times New Roman" w:hAnsi="Times New Roman" w:cs="Times New Roman"/>
          <w:noProof/>
          <w:sz w:val="24"/>
          <w:lang w:val="en-IE"/>
        </w:rPr>
        <w:t>re national targets and objectives, while two measures aim to promote AFI in public transport services. Compared to the policy measures identified in the NPF, a similar level of ambition can be considered. Most policy measures in the Hungarian NIR are fina</w:t>
      </w:r>
      <w:r>
        <w:rPr>
          <w:rFonts w:ascii="Times New Roman" w:hAnsi="Times New Roman" w:cs="Times New Roman"/>
          <w:noProof/>
          <w:sz w:val="24"/>
          <w:lang w:val="en-IE"/>
        </w:rPr>
        <w:t>ncial incentives.</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Of the eight policy measures to ensure national targets and objectives, six are financial, one is educational and one is classified as other. </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Five measures are addressing AFVs while </w:t>
      </w:r>
      <w:r>
        <w:rPr>
          <w:rFonts w:ascii="Times New Roman" w:hAnsi="Times New Roman" w:cs="Times New Roman"/>
          <w:noProof/>
          <w:sz w:val="24"/>
          <w:lang w:val="en-IE"/>
        </w:rPr>
        <w:t>three measures are addressing combinations of AF, AFV and AFI. They mainly cover road transport. One of the most significant measure is the updated version of the Jedlik Anyos plan, i.e. a ten-year plan addressing electro-mobility, aiming to roll out 450.0</w:t>
      </w:r>
      <w:r>
        <w:rPr>
          <w:rFonts w:ascii="Times New Roman" w:hAnsi="Times New Roman" w:cs="Times New Roman"/>
          <w:noProof/>
          <w:sz w:val="24"/>
          <w:lang w:val="en-IE"/>
        </w:rPr>
        <w:t>00 EVs and deploy 45.000 recharging points by 2030. This comprehensive plan indicates a level of commitment to meet the 2030 estimates and targets for electro mobility. In fact it aims at exceeding the objectives of the WEM scenario (see the box at beginni</w:t>
      </w:r>
      <w:r>
        <w:rPr>
          <w:rFonts w:ascii="Times New Roman" w:hAnsi="Times New Roman" w:cs="Times New Roman"/>
          <w:noProof/>
          <w:sz w:val="24"/>
          <w:lang w:val="en-IE"/>
        </w:rPr>
        <w:t>ng of Section 5.17.3). Furthermore, other significant measures regarding the electro-mobility include annual subsidy scheme for purchasing EVs, non-refundable grants to lease EVs and various forms of grants and subsidies to deploy recharging infrastructure</w:t>
      </w:r>
      <w:r>
        <w:rPr>
          <w:rFonts w:ascii="Times New Roman" w:hAnsi="Times New Roman" w:cs="Times New Roman"/>
          <w:noProof/>
          <w:sz w:val="24"/>
          <w:lang w:val="en-IE"/>
        </w:rPr>
        <w:t xml:space="preserve"> at national level. The remaining measures address various forms of tax reliefs and toll exemptions to decrease ownership costs of EVs, and they were also present in the NPF.</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There are two policy m</w:t>
      </w:r>
      <w:r>
        <w:rPr>
          <w:rFonts w:ascii="Times New Roman" w:hAnsi="Times New Roman" w:cs="Times New Roman"/>
          <w:noProof/>
          <w:sz w:val="24"/>
          <w:lang w:val="en-IE"/>
        </w:rPr>
        <w:t>easures listed in the NIR promoting AFI in public transport services. The first measure is a so-called Green Bus Programme that aims to replace 1,290 operating buses with 294 EURO-6 diesel buses, 99 CNG buses and 897 electric buses by 2029. This would be d</w:t>
      </w:r>
      <w:r>
        <w:rPr>
          <w:rFonts w:ascii="Times New Roman" w:hAnsi="Times New Roman" w:cs="Times New Roman"/>
          <w:noProof/>
          <w:sz w:val="24"/>
          <w:lang w:val="en-IE"/>
        </w:rPr>
        <w:t xml:space="preserve">one through national subsidies for local authorities to cover 20% of the cost. Along with the conversion of the buses, the measure also foresees the appropriate recharging/refuelling infrastructure. </w:t>
      </w:r>
    </w:p>
    <w:p w:rsidR="003C43BF" w:rsidRDefault="006C3212">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second measure aims at supporting the use of LNG/LBG</w:t>
      </w:r>
      <w:r>
        <w:rPr>
          <w:rFonts w:ascii="Times New Roman" w:hAnsi="Times New Roman" w:cs="Times New Roman"/>
          <w:noProof/>
          <w:sz w:val="24"/>
          <w:lang w:val="en-IE"/>
        </w:rPr>
        <w:t xml:space="preserve"> in both heavy-duty road transport and waterborne inland transport. This measure was in the process of being adopted, with no specific timeline or description provided on how it will exactly address public transport. </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w:t>
      </w:r>
      <w:r>
        <w:rPr>
          <w:rFonts w:ascii="Times New Roman" w:hAnsi="Times New Roman" w:cs="Times New Roman"/>
          <w:noProof/>
          <w:sz w:val="24"/>
          <w:lang w:val="en-IE"/>
        </w:rPr>
        <w:t>nt of private electro-mobility 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Hungarian NIR does not report any measures to promote the deployment of private electro-mobility infrastructure. </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Hungarian NIR reports two measures</w:t>
      </w:r>
      <w:r>
        <w:rPr>
          <w:rFonts w:ascii="Times New Roman" w:hAnsi="Times New Roman" w:cs="Times New Roman"/>
          <w:noProof/>
          <w:color w:val="000000" w:themeColor="text1"/>
          <w:sz w:val="24"/>
          <w:lang w:val="en-IE"/>
        </w:rPr>
        <w:t xml:space="preserve"> concerning AFI deployment, both aiming at the pair electricity/road. The first measure provided direct national subsidies to municipalities to install recharging stations. As a result of this measure, 49 charging points were installed in 2016. The second </w:t>
      </w:r>
      <w:r>
        <w:rPr>
          <w:rFonts w:ascii="Times New Roman" w:hAnsi="Times New Roman" w:cs="Times New Roman"/>
          <w:noProof/>
          <w:color w:val="000000" w:themeColor="text1"/>
          <w:sz w:val="24"/>
          <w:lang w:val="en-IE"/>
        </w:rPr>
        <w:t xml:space="preserve">measure consisted of non-refundable grants given to the state-owned bus company to install fast charging points in 2017. </w:t>
      </w:r>
    </w:p>
    <w:p w:rsidR="003C43BF" w:rsidRDefault="006C3212">
      <w:pPr>
        <w:spacing w:after="120" w:line="240" w:lineRule="auto"/>
        <w:jc w:val="both"/>
        <w:rPr>
          <w:rFonts w:ascii="Times New Roman" w:hAnsi="Times New Roman" w:cs="Times New Roman"/>
          <w:noProof/>
          <w:color w:val="FF0000"/>
          <w:sz w:val="24"/>
          <w:lang w:val="en-IE"/>
        </w:rPr>
      </w:pPr>
      <w:r>
        <w:rPr>
          <w:rFonts w:ascii="Times New Roman" w:hAnsi="Times New Roman" w:cs="Times New Roman"/>
          <w:noProof/>
          <w:color w:val="000000" w:themeColor="text1"/>
          <w:sz w:val="24"/>
          <w:lang w:val="en-IE"/>
        </w:rPr>
        <w:t xml:space="preserve">No other fuels or modes of transport are mentioned in deployment and manufacturing support measure package.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Support of manufacturing </w:t>
      </w:r>
      <w:r>
        <w:rPr>
          <w:rFonts w:ascii="Times New Roman" w:hAnsi="Times New Roman" w:cs="Times New Roman"/>
          <w:noProof/>
          <w:sz w:val="24"/>
          <w:lang w:val="en-IE"/>
        </w:rPr>
        <w:t>plants for AF technologies</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The Hungarian NIR does not provide information regarding the support of manufacturing plants for AF technologies</w:t>
      </w:r>
      <w:r>
        <w:rPr>
          <w:rFonts w:ascii="Times New Roman" w:hAnsi="Times New Roman" w:cs="Times New Roman"/>
          <w:noProof/>
          <w:color w:val="000000" w:themeColor="text1"/>
          <w:sz w:val="24"/>
          <w:lang w:val="en-IE"/>
        </w:rPr>
        <w:t>.</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w:t>
      </w:r>
      <w:r>
        <w:rPr>
          <w:rFonts w:ascii="Times New Roman" w:hAnsi="Times New Roman" w:cs="Times New Roman"/>
          <w:noProof/>
          <w:sz w:val="24"/>
          <w:lang w:val="en-IE"/>
        </w:rPr>
        <w:t>es</w:t>
      </w:r>
    </w:p>
    <w:p w:rsidR="003C43BF" w:rsidRDefault="006C3212">
      <w:pPr>
        <w:tabs>
          <w:tab w:val="left" w:pos="360"/>
        </w:tabs>
        <w:jc w:val="both"/>
        <w:rPr>
          <w:rFonts w:ascii="Times New Roman" w:hAnsi="Times New Roman" w:cs="Times New Roman"/>
          <w:i/>
          <w:noProof/>
          <w:color w:val="7030A0"/>
          <w:sz w:val="24"/>
          <w:lang w:val="en-IE"/>
        </w:rPr>
      </w:pPr>
      <w:r>
        <w:rPr>
          <w:rFonts w:ascii="Times New Roman" w:hAnsi="Times New Roman" w:cs="Times New Roman"/>
          <w:noProof/>
          <w:sz w:val="24"/>
          <w:lang w:val="en-IE"/>
        </w:rPr>
        <w:t>The Hungarian NIR reports an elaborate summary on different AFI market development since the NPF report. The HU NIR states that between 2016 and 2018 the number of EVs doubled, while the number of charging points grew 14 times as a result of policies an</w:t>
      </w:r>
      <w:r>
        <w:rPr>
          <w:rFonts w:ascii="Times New Roman" w:hAnsi="Times New Roman" w:cs="Times New Roman"/>
          <w:noProof/>
          <w:sz w:val="24"/>
          <w:lang w:val="en-IE"/>
        </w:rPr>
        <w:t>d measures, such as tax incentives and direct financial support. The HU NIR reports that circumstances have changed in the case of fuel cells and LNG, as the technology did not advance as expected in 2016. The NIR states that only in the case that fuel cel</w:t>
      </w:r>
      <w:r>
        <w:rPr>
          <w:rFonts w:ascii="Times New Roman" w:hAnsi="Times New Roman" w:cs="Times New Roman"/>
          <w:noProof/>
          <w:sz w:val="24"/>
          <w:lang w:val="en-IE"/>
        </w:rPr>
        <w:t>l technology becomes viable, policies and measures to incentivise its spread will be introduced. On biofuels, Hungary reported increase in use since 2016, and the need to incentivise domestic biofuels production, especially second-generation biofuels.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w:t>
      </w:r>
      <w:r>
        <w:rPr>
          <w:rFonts w:ascii="Times New Roman" w:hAnsi="Times New Roman" w:cs="Times New Roman"/>
          <w:noProof/>
          <w:sz w:val="24"/>
          <w:lang w:val="en-IE"/>
        </w:rPr>
        <w:t>titative assessment of Policy and Deployment &amp; Manufacturing measures</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_Ref53128771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5.17.4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w:t>
      </w:r>
      <w:r>
        <w:rPr>
          <w:rFonts w:ascii="Times New Roman" w:hAnsi="Times New Roman" w:cs="Times New Roman"/>
          <w:noProof/>
          <w:sz w:val="24"/>
          <w:lang w:val="en-IE"/>
        </w:rPr>
        <w:t xml:space="preserve">g measures in the Hungarian NIR,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five clusters of measures were identified, on electricity, CNG, LNG and LPG for road and on LNG for inland waterborne transpor</w:t>
      </w:r>
      <w:r>
        <w:rPr>
          <w:rFonts w:ascii="Times New Roman" w:hAnsi="Times New Roman" w:cs="Times New Roman"/>
          <w:noProof/>
          <w:sz w:val="24"/>
          <w:lang w:val="en-IE"/>
        </w:rPr>
        <w:t>t. Only the cluster for the pair electricity/road obtains a high overall score and results comprehensive. The CNG/road and LNG/road clusters are assessed as having a medium score and LPG/road a low score. The LNG/ waterborne inland cluster could not be ass</w:t>
      </w:r>
      <w:r>
        <w:rPr>
          <w:rFonts w:ascii="Times New Roman" w:hAnsi="Times New Roman" w:cs="Times New Roman"/>
          <w:noProof/>
          <w:sz w:val="24"/>
          <w:lang w:val="en-IE"/>
        </w:rPr>
        <w:t>essed and since it does not cover in details AFI and AFV deployment, it is not comprehensive. In terms of expected impact of these measures to support the realisation of the AFV/AFI objectives as presented in the NPF and revised in the NIR, the measures fo</w:t>
      </w:r>
      <w:r>
        <w:rPr>
          <w:rFonts w:ascii="Times New Roman" w:hAnsi="Times New Roman" w:cs="Times New Roman"/>
          <w:noProof/>
          <w:sz w:val="24"/>
          <w:lang w:val="en-IE"/>
        </w:rPr>
        <w:t>r the pair electricity/road have a high impact, while those for the pairs and CNG/road, LNG/road, and LPG/road have a low impact.</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iCs/>
          <w:noProof/>
          <w:sz w:val="24"/>
          <w:lang w:val="en-IE"/>
        </w:rPr>
        <w:t>Co</w:t>
      </w:r>
      <w:r>
        <w:rPr>
          <w:rFonts w:ascii="Times New Roman" w:hAnsi="Times New Roman" w:cs="Times New Roman"/>
          <w:noProof/>
          <w:sz w:val="24"/>
          <w:lang w:val="en-IE"/>
        </w:rPr>
        <w:t xml:space="preserve">mpared to the NPF, the level of ambition of the Policy and Deployment &amp; Manufacturing support measures has increased only for the pair electricity/road. </w:t>
      </w:r>
    </w:p>
    <w:p w:rsidR="003C43BF" w:rsidRDefault="006C3212">
      <w:pPr>
        <w:rPr>
          <w:rFonts w:ascii="Times New Roman" w:hAnsi="Times New Roman" w:cs="Times New Roman"/>
          <w:noProof/>
          <w:sz w:val="24"/>
          <w:lang w:val="en-IE"/>
        </w:rPr>
      </w:pPr>
      <w:bookmarkStart w:id="396" w:name="_Ref53128771"/>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5.17.4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396"/>
      <w:r>
        <w:rPr>
          <w:rFonts w:ascii="Times New Roman" w:hAnsi="Times New Roman" w:cs="Times New Roman"/>
          <w:i/>
          <w:noProof/>
          <w:sz w:val="20"/>
          <w:szCs w:val="18"/>
          <w:lang w:val="en-IE"/>
        </w:rPr>
        <w:t xml:space="preserve"> Quantitative assessment of Policy and De</w:t>
      </w:r>
      <w:r>
        <w:rPr>
          <w:rFonts w:ascii="Times New Roman" w:hAnsi="Times New Roman" w:cs="Times New Roman"/>
          <w:i/>
          <w:noProof/>
          <w:sz w:val="20"/>
          <w:szCs w:val="18"/>
          <w:lang w:val="en-IE"/>
        </w:rPr>
        <w:t>ployment &amp; Manufacturing support measures</w:t>
      </w:r>
    </w:p>
    <w:p w:rsidR="003C43BF" w:rsidRDefault="006C3212">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eastAsia="en-GB"/>
        </w:rPr>
        <w:drawing>
          <wp:inline distT="0" distB="0" distL="0" distR="0">
            <wp:extent cx="5638800" cy="151003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38800" cy="1510030"/>
                    </a:xfrm>
                    <a:prstGeom prst="rect">
                      <a:avLst/>
                    </a:prstGeom>
                    <a:noFill/>
                    <a:ln>
                      <a:noFill/>
                    </a:ln>
                  </pic:spPr>
                </pic:pic>
              </a:graphicData>
            </a:graphic>
          </wp:inline>
        </w:drawing>
      </w:r>
    </w:p>
    <w:p w:rsidR="003C43BF" w:rsidRDefault="006C3212">
      <w:pPr>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t>
      </w:r>
      <w:r>
        <w:rPr>
          <w:rFonts w:ascii="Times New Roman" w:eastAsia="Calibri" w:hAnsi="Times New Roman" w:cs="Times New Roman"/>
          <w:noProof/>
          <w:sz w:val="20"/>
          <w:szCs w:val="18"/>
          <w:lang w:val="en-IE"/>
        </w:rPr>
        <w:t>wer’.</w:t>
      </w:r>
    </w:p>
    <w:p w:rsidR="003C43BF" w:rsidRDefault="003C43BF">
      <w:pPr>
        <w:jc w:val="both"/>
        <w:rPr>
          <w:rFonts w:ascii="Times New Roman" w:eastAsia="Calibri" w:hAnsi="Times New Roman" w:cs="Times New Roman"/>
          <w:noProof/>
          <w:sz w:val="20"/>
          <w:szCs w:val="18"/>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Hungarian NIR lists three RTD&amp;D projects, all newly introduced in the NIR. They are all co-founded through the Connecting Europe Facility Transport programme (CEF). Two projects aim at </w:t>
      </w:r>
      <w:r>
        <w:rPr>
          <w:rFonts w:ascii="Times New Roman" w:hAnsi="Times New Roman" w:cs="Times New Roman"/>
          <w:noProof/>
          <w:sz w:val="24"/>
          <w:lang w:val="en-IE"/>
        </w:rPr>
        <w:t>fostering the deployment of LNG/LBG refuelling points, one for waterborne inland and one for road transport. The third project addresses the deployment of innovative (self-service, 24/7) CNG/CBG refuelling points for road transport across Hungary. The fund</w:t>
      </w:r>
      <w:r>
        <w:rPr>
          <w:rFonts w:ascii="Times New Roman" w:hAnsi="Times New Roman" w:cs="Times New Roman"/>
          <w:noProof/>
          <w:sz w:val="24"/>
          <w:lang w:val="en-IE"/>
        </w:rPr>
        <w:t>s for these projects are 85% taken from the European Commission (CEF programme) and 15% from the national funds.</w:t>
      </w:r>
    </w:p>
    <w:p w:rsidR="003C43BF" w:rsidRDefault="003C43BF">
      <w:pPr>
        <w:spacing w:after="120" w:line="240" w:lineRule="auto"/>
        <w:jc w:val="both"/>
        <w:rPr>
          <w:rFonts w:ascii="Times New Roman" w:hAnsi="Times New Roman" w:cs="Times New Roman"/>
          <w:noProof/>
          <w:color w:val="000000" w:themeColor="text1"/>
          <w:sz w:val="24"/>
          <w:lang w:val="en-IE"/>
        </w:rPr>
      </w:pPr>
    </w:p>
    <w:p w:rsidR="003C43BF" w:rsidRDefault="006C3212">
      <w:pPr>
        <w:pStyle w:val="Heading3"/>
        <w:ind w:left="720"/>
        <w:rPr>
          <w:rFonts w:ascii="Times New Roman" w:hAnsi="Times New Roman" w:cs="Times New Roman"/>
          <w:noProof/>
          <w:sz w:val="24"/>
          <w:lang w:val="en-IE"/>
        </w:rPr>
      </w:pPr>
      <w:bookmarkStart w:id="397" w:name="_Toc55301918"/>
      <w:bookmarkStart w:id="398" w:name="_Toc56944230"/>
      <w:r>
        <w:rPr>
          <w:rFonts w:ascii="Times New Roman" w:hAnsi="Times New Roman" w:cs="Times New Roman"/>
          <w:noProof/>
          <w:sz w:val="24"/>
          <w:lang w:val="en-IE"/>
        </w:rPr>
        <w:t>Additional information on alternative fuels infrastructure developments</w:t>
      </w:r>
      <w:bookmarkEnd w:id="397"/>
      <w:bookmarkEnd w:id="398"/>
    </w:p>
    <w:p w:rsidR="006C3212" w:rsidRPr="006C3212" w:rsidRDefault="006C3212" w:rsidP="006C3212">
      <w:pPr>
        <w:jc w:val="both"/>
        <w:rPr>
          <w:rFonts w:ascii="Times New Roman" w:hAnsi="Times New Roman" w:cs="Times New Roman"/>
          <w:iCs/>
          <w:noProof/>
          <w:color w:val="000000" w:themeColor="text1"/>
          <w:sz w:val="24"/>
          <w:lang w:val="en-IE"/>
        </w:rPr>
      </w:pPr>
      <w:r>
        <w:rPr>
          <w:rFonts w:ascii="Times New Roman" w:hAnsi="Times New Roman" w:cs="Times New Roman"/>
          <w:noProof/>
          <w:sz w:val="24"/>
          <w:lang w:val="en-IE"/>
        </w:rPr>
        <w:t xml:space="preserve">The Hungarian NIR provides a complete information on fuel use in road </w:t>
      </w:r>
      <w:r>
        <w:rPr>
          <w:rFonts w:ascii="Times New Roman" w:hAnsi="Times New Roman" w:cs="Times New Roman"/>
          <w:noProof/>
          <w:sz w:val="24"/>
          <w:lang w:val="en-IE"/>
        </w:rPr>
        <w:t>transport for the past and for the next decade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_Ref53128803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br w:type="page"/>
      </w:r>
    </w:p>
    <w:p w:rsidR="003C43BF" w:rsidRDefault="006C3212">
      <w:pPr>
        <w:jc w:val="both"/>
        <w:rPr>
          <w:rFonts w:ascii="Times New Roman" w:hAnsi="Times New Roman" w:cs="Times New Roman"/>
          <w:noProof/>
          <w:sz w:val="24"/>
          <w:lang w:val="en-IE"/>
        </w:rPr>
      </w:pPr>
      <w:r w:rsidRPr="006C3212">
        <w:rPr>
          <w:rFonts w:ascii="Times New Roman" w:hAnsi="Times New Roman" w:cs="Times New Roman"/>
          <w:iCs/>
          <w:noProof/>
          <w:color w:val="000000" w:themeColor="text1"/>
          <w:sz w:val="24"/>
          <w:lang w:val="en-IE"/>
        </w:rPr>
        <w:t>Table</w:t>
      </w:r>
      <w:r>
        <w:rPr>
          <w:rFonts w:ascii="Times New Roman" w:hAnsi="Times New Roman" w:cs="Times New Roman"/>
          <w:i/>
          <w:iCs/>
          <w:noProof/>
          <w:color w:val="000000" w:themeColor="text1"/>
          <w:sz w:val="20"/>
          <w:szCs w:val="18"/>
          <w:lang w:val="en-IE"/>
        </w:rPr>
        <w:t xml:space="preserve"> 5.17.5</w:t>
      </w:r>
      <w:r>
        <w:rPr>
          <w:rFonts w:ascii="Times New Roman" w:hAnsi="Times New Roman" w:cs="Times New Roman"/>
          <w:i/>
          <w:iCs/>
          <w:noProof/>
          <w:color w:val="000000" w:themeColor="text1"/>
          <w:sz w:val="20"/>
          <w:szCs w:val="18"/>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In 2018, the HU NIR reports that 64% of all fuel used in the road transport was diesel, </w:t>
      </w:r>
      <w:r>
        <w:rPr>
          <w:rFonts w:ascii="Times New Roman" w:hAnsi="Times New Roman" w:cs="Times New Roman"/>
          <w:noProof/>
          <w:sz w:val="24"/>
          <w:lang w:val="en-IE"/>
        </w:rPr>
        <w:t>followed by gasoline with 31%, biofuels with 4% and LPG with 1%. In 2030 the HU NIR estimates that diesel will remain the dominant fuel with 51% of the national fuel mix, followed by gasoline with 35%, biofuels with 5%, electricity with 4%, LNG with 2%, an</w:t>
      </w:r>
      <w:r>
        <w:rPr>
          <w:rFonts w:ascii="Times New Roman" w:hAnsi="Times New Roman" w:cs="Times New Roman"/>
          <w:noProof/>
          <w:sz w:val="24"/>
          <w:lang w:val="en-IE"/>
        </w:rPr>
        <w:t>d CNG with 1%. Interestingly, the LPG will phase out already in 2025.</w:t>
      </w:r>
    </w:p>
    <w:p w:rsidR="003C43BF" w:rsidRDefault="006C3212">
      <w:pPr>
        <w:rPr>
          <w:rFonts w:ascii="Times New Roman" w:hAnsi="Times New Roman" w:cs="Times New Roman"/>
          <w:i/>
          <w:iCs/>
          <w:noProof/>
          <w:color w:val="000000" w:themeColor="text1"/>
          <w:sz w:val="20"/>
          <w:szCs w:val="18"/>
          <w:lang w:val="en-IE"/>
        </w:rPr>
      </w:pPr>
      <w:bookmarkStart w:id="399" w:name="_Ref53128803"/>
      <w:r>
        <w:rPr>
          <w:rFonts w:ascii="Times New Roman" w:hAnsi="Times New Roman" w:cs="Times New Roman"/>
          <w:i/>
          <w:iCs/>
          <w:noProof/>
          <w:color w:val="000000" w:themeColor="text1"/>
          <w:sz w:val="20"/>
          <w:szCs w:val="18"/>
          <w:lang w:val="en-IE"/>
        </w:rPr>
        <w:br w:type="page"/>
      </w:r>
    </w:p>
    <w:p w:rsidR="003C43BF" w:rsidRDefault="006C3212">
      <w:pPr>
        <w:rPr>
          <w:rFonts w:ascii="Times New Roman" w:hAnsi="Times New Roman" w:cs="Times New Roman"/>
          <w:noProof/>
          <w:sz w:val="24"/>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5.17.5</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399"/>
      <w:r>
        <w:rPr>
          <w:rFonts w:ascii="Times New Roman" w:hAnsi="Times New Roman" w:cs="Times New Roman"/>
          <w:i/>
          <w:noProof/>
          <w:sz w:val="20"/>
          <w:szCs w:val="18"/>
          <w:lang w:val="en-IE"/>
        </w:rPr>
        <w:t xml:space="preserve"> Changes in fuel use in transport sector (2016-2030)</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5707380" cy="2712720"/>
            <wp:effectExtent l="0" t="0" r="762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07380" cy="2712720"/>
                    </a:xfrm>
                    <a:prstGeom prst="rect">
                      <a:avLst/>
                    </a:prstGeom>
                    <a:noFill/>
                    <a:ln>
                      <a:noFill/>
                    </a:ln>
                  </pic:spPr>
                </pic:pic>
              </a:graphicData>
            </a:graphic>
          </wp:inline>
        </w:drawing>
      </w: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400" w:name="_Toc55301919"/>
      <w:bookmarkStart w:id="401" w:name="_Toc56944231"/>
      <w:r>
        <w:rPr>
          <w:rFonts w:ascii="Times New Roman" w:hAnsi="Times New Roman" w:cs="Times New Roman"/>
          <w:noProof/>
          <w:sz w:val="24"/>
          <w:lang w:val="en-IE"/>
        </w:rPr>
        <w:t>Summary of the assessment</w:t>
      </w:r>
      <w:bookmarkEnd w:id="400"/>
      <w:bookmarkEnd w:id="401"/>
      <w:r>
        <w:rPr>
          <w:rFonts w:ascii="Times New Roman" w:hAnsi="Times New Roman" w:cs="Times New Roman"/>
          <w:noProof/>
          <w:sz w:val="24"/>
          <w:lang w:val="en-IE"/>
        </w:rPr>
        <w:tab/>
      </w:r>
    </w:p>
    <w:p w:rsidR="003C43BF" w:rsidRDefault="006C3212">
      <w:pPr>
        <w:spacing w:after="120" w:line="240" w:lineRule="auto"/>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5.17.6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4011295"/>
            <wp:effectExtent l="0" t="0" r="0" b="8255"/>
            <wp:docPr id="7900" name="Picture 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4235" cy="4011295"/>
                    </a:xfrm>
                    <a:prstGeom prst="rect">
                      <a:avLst/>
                    </a:prstGeom>
                    <a:noFill/>
                  </pic:spPr>
                </pic:pic>
              </a:graphicData>
            </a:graphic>
          </wp:inline>
        </w:drawing>
      </w:r>
    </w:p>
    <w:p w:rsidR="003C43BF" w:rsidRDefault="006C3212">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3C43BF">
      <w:pPr>
        <w:spacing w:after="120" w:line="240" w:lineRule="auto"/>
        <w:rPr>
          <w:rFonts w:ascii="Times New Roman" w:hAnsi="Times New Roman" w:cs="Times New Roman"/>
          <w:noProof/>
          <w:sz w:val="20"/>
          <w:lang w:val="en-IE"/>
        </w:rPr>
      </w:pPr>
    </w:p>
    <w:p w:rsidR="003C43BF" w:rsidRDefault="006C3212">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 xml:space="preserve">The Hungarian NIR is an updated and more focused version of the NPF as it considers the development of various alternative fuels over the past few years, adjusting the estimates and targets accordingly. </w:t>
      </w:r>
      <w:r>
        <w:rPr>
          <w:rFonts w:ascii="Times New Roman" w:hAnsi="Times New Roman" w:cs="Times New Roman"/>
          <w:noProof/>
          <w:color w:val="000000" w:themeColor="text1"/>
          <w:sz w:val="24"/>
          <w:lang w:val="en-IE"/>
        </w:rPr>
        <w:t>Regarding the combination of AF/AFV/AFI with transpor</w:t>
      </w:r>
      <w:r>
        <w:rPr>
          <w:rFonts w:ascii="Times New Roman" w:hAnsi="Times New Roman" w:cs="Times New Roman"/>
          <w:noProof/>
          <w:color w:val="000000" w:themeColor="text1"/>
          <w:sz w:val="24"/>
          <w:lang w:val="en-IE"/>
        </w:rPr>
        <w:t xml:space="preserve">t mode, electricity is covered for all modes; CNG, LPG, LNG and hydrogen for road transport, LNG also for waterborne inland transport; all the other combinations are either absent or not applicable. </w:t>
      </w:r>
      <w:r>
        <w:rPr>
          <w:rFonts w:ascii="Times New Roman" w:hAnsi="Times New Roman" w:cs="Times New Roman"/>
          <w:noProof/>
          <w:sz w:val="24"/>
          <w:lang w:val="en-IE"/>
        </w:rPr>
        <w:t>LPG is seen as inadequate in the Hungarian future fuel mi</w:t>
      </w:r>
      <w:r>
        <w:rPr>
          <w:rFonts w:ascii="Times New Roman" w:hAnsi="Times New Roman" w:cs="Times New Roman"/>
          <w:noProof/>
          <w:sz w:val="24"/>
          <w:lang w:val="en-IE"/>
        </w:rPr>
        <w:t>x and will be gradually phased out.</w:t>
      </w:r>
    </w:p>
    <w:p w:rsidR="003C43BF" w:rsidRDefault="006C3212">
      <w:pPr>
        <w:tabs>
          <w:tab w:val="left" w:pos="291"/>
          <w:tab w:val="right" w:leader="dot" w:pos="904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Most of the measures address the pair electricity/road in detail, both in terms of vehicles and of recharging point</w:t>
      </w:r>
      <w:r>
        <w:rPr>
          <w:rFonts w:ascii="Times New Roman" w:hAnsi="Times New Roman" w:cs="Times New Roman"/>
          <w:iCs/>
          <w:noProof/>
          <w:sz w:val="24"/>
          <w:lang w:val="en-IE"/>
        </w:rPr>
        <w:t>s. The NIR also reports some measures targeting CNG and LNG for road, and LNG for waterborne inland trans</w:t>
      </w:r>
      <w:r>
        <w:rPr>
          <w:rFonts w:ascii="Times New Roman" w:hAnsi="Times New Roman" w:cs="Times New Roman"/>
          <w:iCs/>
          <w:noProof/>
          <w:sz w:val="24"/>
          <w:lang w:val="en-IE"/>
        </w:rPr>
        <w:t>port. Biofuels are also covered, but only in the Legal measures.</w:t>
      </w:r>
    </w:p>
    <w:p w:rsidR="003C43BF" w:rsidRDefault="006C3212">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Hungarian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rsidR="003C43BF" w:rsidRDefault="006C3212">
      <w:pPr>
        <w:pStyle w:val="Text1"/>
        <w:numPr>
          <w:ilvl w:val="0"/>
          <w:numId w:val="55"/>
        </w:numPr>
        <w:tabs>
          <w:tab w:val="left" w:pos="720"/>
        </w:tabs>
        <w:spacing w:after="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 2018 Hungary recorded 9,240 EVs (of which 1 HCV and 23 buses and coaches) and 671 publicly accessible recharging points. Regarding the future estimates and targets, the HU NIR reports 389,800 EVs (320,000 passenger cars, 60,000 LCVs, 8,500 HCVs and 1</w:t>
      </w:r>
      <w:r>
        <w:rPr>
          <w:rFonts w:ascii="Times New Roman" w:hAnsi="Times New Roman" w:cs="Times New Roman"/>
          <w:noProof/>
          <w:sz w:val="24"/>
          <w:lang w:val="en-IE"/>
        </w:rPr>
        <w:t>,300 buses and coaches) and 35,000 publicly accessible recharging points (25% high power) in 2030. This represents an increase in ambition of around 100% for both AFV and AFI. The 2018 progress is adequate both for vehicles and infrastructure. The sufficie</w:t>
      </w:r>
      <w:r>
        <w:rPr>
          <w:rFonts w:ascii="Times New Roman" w:hAnsi="Times New Roman" w:cs="Times New Roman"/>
          <w:noProof/>
          <w:sz w:val="24"/>
          <w:lang w:val="en-IE"/>
        </w:rPr>
        <w:t>ncy index is also adequate for the whole period.</w:t>
      </w:r>
    </w:p>
    <w:p w:rsidR="003C43BF" w:rsidRDefault="006C3212">
      <w:pPr>
        <w:pStyle w:val="ListParagraph"/>
        <w:numPr>
          <w:ilvl w:val="0"/>
          <w:numId w:val="54"/>
        </w:numPr>
        <w:tabs>
          <w:tab w:val="left" w:pos="966"/>
        </w:tabs>
        <w:spacing w:after="24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Hungary reported that 3,233 CNG vehicles (of which 104 HCVs and 267 buses and coaches) and 13 publicly accessible refuelling point were in use in 2018. The Hungarian NIR indicates a steady increase of </w:t>
      </w:r>
      <w:r>
        <w:rPr>
          <w:rFonts w:ascii="Times New Roman" w:hAnsi="Times New Roman" w:cs="Times New Roman"/>
          <w:noProof/>
          <w:sz w:val="24"/>
          <w:lang w:val="en-IE"/>
        </w:rPr>
        <w:t>both CNG AFV and AFI by 2030. Regarding the future estimates and targets, the HU NIR reports an estimate of 40,000 CNG vehicles (39,000 passenger cars, 700 LCVs, 100 HCVs and 200 buses and coaches) and 66 refuelling points in 2030. This represent an overal</w:t>
      </w:r>
      <w:r>
        <w:rPr>
          <w:rFonts w:ascii="Times New Roman" w:hAnsi="Times New Roman" w:cs="Times New Roman"/>
          <w:noProof/>
          <w:sz w:val="24"/>
          <w:lang w:val="en-IE"/>
        </w:rPr>
        <w:t>l decrease in ambition of around 80% compared to the estimates and targets in the NPF. The 2018 progress is slow for the vehicles and adequate for the infrastructure. The sufficiency index is adequate until 2030.</w:t>
      </w:r>
    </w:p>
    <w:p w:rsidR="003C43BF" w:rsidRDefault="006C3212">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Natural gas is seen as the most commo</w:t>
      </w:r>
      <w:r>
        <w:rPr>
          <w:rFonts w:ascii="Times New Roman" w:hAnsi="Times New Roman" w:cs="Times New Roman"/>
          <w:noProof/>
          <w:sz w:val="24"/>
          <w:lang w:val="en-IE"/>
        </w:rPr>
        <w:t>n alternative fuel to for the long distance transport in Hungary. However, similarly to the CNG, there is a considerable decrease in ambition between NIR and NPF, both in estimates and targets. The HU NIR reports that the use of LNG is expected to appear i</w:t>
      </w:r>
      <w:r>
        <w:rPr>
          <w:rFonts w:ascii="Times New Roman" w:hAnsi="Times New Roman" w:cs="Times New Roman"/>
          <w:noProof/>
          <w:sz w:val="24"/>
          <w:lang w:val="en-IE"/>
        </w:rPr>
        <w:t>n 2025 and that by 2030 there will be 8,030 LNG vehicles (8,000 HCVs and 30 buses and coaches) and 40 publicly accessible refuelling points. The NIR estimate of LNG vehicles for 2030 is 43.45% lower and the related infrastructure target is 82.14% lower tha</w:t>
      </w:r>
      <w:r>
        <w:rPr>
          <w:rFonts w:ascii="Times New Roman" w:hAnsi="Times New Roman" w:cs="Times New Roman"/>
          <w:noProof/>
          <w:sz w:val="24"/>
          <w:lang w:val="en-IE"/>
        </w:rPr>
        <w:t xml:space="preserve">n in the NPF. </w:t>
      </w:r>
    </w:p>
    <w:p w:rsidR="003C43BF" w:rsidRDefault="006C3212">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There were no hydrogen vehicles recorded in Hungary in 2018. For 2030 the HU NIR presents an estimate of 1,460 hydrogen-powered vehicles and a target of 26 publicly accessible refuelling points. This represents a 873% higher vehic</w:t>
      </w:r>
      <w:r>
        <w:rPr>
          <w:rFonts w:ascii="Times New Roman" w:hAnsi="Times New Roman" w:cs="Times New Roman"/>
          <w:noProof/>
          <w:sz w:val="24"/>
          <w:lang w:val="en-IE"/>
        </w:rPr>
        <w:t xml:space="preserve">le estimate and a 85.71% higher infrastructure target for 2030 compared to the NPF. </w:t>
      </w:r>
    </w:p>
    <w:p w:rsidR="003C43BF" w:rsidRDefault="006C3212">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color w:val="000000" w:themeColor="text1"/>
          <w:sz w:val="24"/>
          <w:lang w:val="en-IE"/>
        </w:rPr>
        <w:t>Biofuels</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 The HU NIR reports that biofuels is the most important alternative fuel in road transport, due to the obligatory blending rate, but it does not provide any spec</w:t>
      </w:r>
      <w:r>
        <w:rPr>
          <w:rFonts w:ascii="Times New Roman" w:hAnsi="Times New Roman" w:cs="Times New Roman"/>
          <w:noProof/>
          <w:sz w:val="24"/>
          <w:lang w:val="en-IE"/>
        </w:rPr>
        <w:t>ific information for the future period.</w:t>
      </w:r>
    </w:p>
    <w:p w:rsidR="003C43BF" w:rsidRDefault="006C3212">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Hungary recorded 28,528 vehicles in 2018 and 529 publicly accessible refuelling points. In 2030 the HU NIR estimates 14,000 LPG vehicles and sets a target of 460 refuelling points, which represents a steady dec</w:t>
      </w:r>
      <w:r>
        <w:rPr>
          <w:rFonts w:ascii="Times New Roman" w:hAnsi="Times New Roman" w:cs="Times New Roman"/>
          <w:noProof/>
          <w:sz w:val="24"/>
          <w:lang w:val="en-IE"/>
        </w:rPr>
        <w:t xml:space="preserve">line and lower level of ambition towards LPG.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56"/>
        </w:numPr>
        <w:tabs>
          <w:tab w:val="left" w:pos="966"/>
        </w:tabs>
        <w:spacing w:after="160" w:line="259" w:lineRule="auto"/>
        <w:ind w:left="426" w:hanging="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Hungarian NIR reports 672 electric locomotives in 2018, and estimates 680 electric locomotives in 2020, 673 in 2025 and 663 in 2030. The NIR also reports that, while 40% of the</w:t>
      </w:r>
      <w:r>
        <w:rPr>
          <w:rFonts w:ascii="Times New Roman" w:hAnsi="Times New Roman" w:cs="Times New Roman"/>
          <w:noProof/>
          <w:sz w:val="24"/>
          <w:lang w:val="en-IE"/>
        </w:rPr>
        <w:t xml:space="preserve"> Hungarian railways is electrified, 70% of the total energy consumption for rail transport is based on electricity. </w:t>
      </w:r>
    </w:p>
    <w:p w:rsidR="003C43BF" w:rsidRDefault="006C3212">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rsidR="003C43BF" w:rsidRDefault="006C3212">
      <w:pPr>
        <w:pStyle w:val="ListParagraph"/>
        <w:numPr>
          <w:ilvl w:val="0"/>
          <w:numId w:val="74"/>
        </w:numPr>
        <w:tabs>
          <w:tab w:val="left" w:pos="966"/>
        </w:tabs>
        <w:spacing w:after="160" w:line="259" w:lineRule="auto"/>
        <w:ind w:left="426" w:hanging="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Hungarian NIR recorded 145 electric vessels in use in 2018, and estimates 210 vessels in 20</w:t>
      </w:r>
      <w:r>
        <w:rPr>
          <w:rFonts w:ascii="Times New Roman" w:hAnsi="Times New Roman" w:cs="Times New Roman"/>
          <w:noProof/>
          <w:sz w:val="24"/>
          <w:lang w:val="en-IE"/>
        </w:rPr>
        <w:t>20, 330 vessels in 2025 and 450 in 2030. Hungary reported 28 shore-side electricity supply points in inland ports in 2018, and the target for the 2020 is of 36 shore-side supply points that will remain until 2030. This is a confirmation of the targets repo</w:t>
      </w:r>
      <w:r>
        <w:rPr>
          <w:rFonts w:ascii="Times New Roman" w:hAnsi="Times New Roman" w:cs="Times New Roman"/>
          <w:noProof/>
          <w:sz w:val="24"/>
          <w:lang w:val="en-IE"/>
        </w:rPr>
        <w:t>rted in the NPF</w:t>
      </w:r>
    </w:p>
    <w:p w:rsidR="003C43BF" w:rsidRDefault="006C3212">
      <w:pPr>
        <w:pStyle w:val="ListParagraph"/>
        <w:numPr>
          <w:ilvl w:val="0"/>
          <w:numId w:val="74"/>
        </w:numPr>
        <w:spacing w:after="120" w:line="240" w:lineRule="auto"/>
        <w:ind w:left="426" w:hanging="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Hungarian NIR reports that there are no LNG inland waterway vessels in use in 2018, while the estimate for 2025 and for 2030 is equal to one. Similarly, there were no LNG inland waterway refuelling points in 2018. The HU NIR prese</w:t>
      </w:r>
      <w:r>
        <w:rPr>
          <w:rFonts w:ascii="Times New Roman" w:hAnsi="Times New Roman" w:cs="Times New Roman"/>
          <w:noProof/>
          <w:sz w:val="24"/>
          <w:lang w:val="en-IE"/>
        </w:rPr>
        <w:t>nts targets of 1 LNG refuelling point for 2020, 9 for 2025 and 10 for 2030. Compared to the NPF, this represents a 50% higher target in 2025 and 25% higher target in 2030.</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Electricity </w:t>
      </w:r>
      <w:r>
        <w:rPr>
          <w:rFonts w:ascii="Times New Roman" w:hAnsi="Times New Roman" w:cs="Times New Roman"/>
          <w:noProof/>
          <w:sz w:val="24"/>
          <w:lang w:val="en-IE"/>
        </w:rPr>
        <w:t xml:space="preserve">– The Hungarian NIR reports two electric airplanes in use </w:t>
      </w:r>
      <w:r>
        <w:rPr>
          <w:rFonts w:ascii="Times New Roman" w:hAnsi="Times New Roman" w:cs="Times New Roman"/>
          <w:noProof/>
          <w:sz w:val="24"/>
          <w:lang w:val="en-IE"/>
        </w:rPr>
        <w:t>in 2018. It also provides an estimate of three electric airplanes from 2020 until 2030. Hungary reported 53 electricity supplies in use in 2018 for stationary airplanes, with no reported future targets.</w:t>
      </w:r>
    </w:p>
    <w:p w:rsidR="003C43BF" w:rsidRDefault="003C43BF">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The Hungarian NIR contains a portfolio of </w:t>
      </w:r>
      <w:r>
        <w:rPr>
          <w:rFonts w:ascii="Times New Roman" w:hAnsi="Times New Roman" w:cs="Times New Roman"/>
          <w:b/>
          <w:noProof/>
          <w:color w:val="000000" w:themeColor="text1"/>
          <w:sz w:val="24"/>
          <w:lang w:val="en-IE"/>
        </w:rPr>
        <w:t>measures</w:t>
      </w:r>
      <w:r>
        <w:rPr>
          <w:rFonts w:ascii="Times New Roman" w:hAnsi="Times New Roman" w:cs="Times New Roman"/>
          <w:noProof/>
          <w:color w:val="000000" w:themeColor="text1"/>
          <w:sz w:val="24"/>
          <w:lang w:val="en-IE"/>
        </w:rPr>
        <w:t xml:space="preserve"> t</w:t>
      </w:r>
      <w:r>
        <w:rPr>
          <w:rFonts w:ascii="Times New Roman" w:hAnsi="Times New Roman" w:cs="Times New Roman"/>
          <w:noProof/>
          <w:color w:val="000000" w:themeColor="text1"/>
          <w:sz w:val="24"/>
          <w:lang w:val="en-IE"/>
        </w:rPr>
        <w:t>hat is numerically equivalent to the one in the NPF, however it appears overall more focused. The portfolio consists of 22 measures, of which 6 Legal, 10 Policy, 2 Deployment and 3 RTD&amp;D. A significant number of the measures in place are financial and targ</w:t>
      </w:r>
      <w:r>
        <w:rPr>
          <w:rFonts w:ascii="Times New Roman" w:hAnsi="Times New Roman" w:cs="Times New Roman"/>
          <w:noProof/>
          <w:color w:val="000000" w:themeColor="text1"/>
          <w:sz w:val="24"/>
          <w:lang w:val="en-IE"/>
        </w:rPr>
        <w:t xml:space="preserve">et national co-funding scheme for electric vehicles or electricity infrastructure deployment. </w:t>
      </w:r>
      <w:r>
        <w:rPr>
          <w:rFonts w:ascii="Times New Roman" w:hAnsi="Times New Roman" w:cs="Times New Roman"/>
          <w:noProof/>
          <w:sz w:val="24"/>
          <w:lang w:val="en-IE"/>
        </w:rPr>
        <w:t>One of the most significant measure is the updated version of the Jedlik Anyos plan, a ten-year plan addressing electro-mobility, aiming to roll out 450.000 EVs a</w:t>
      </w:r>
      <w:r>
        <w:rPr>
          <w:rFonts w:ascii="Times New Roman" w:hAnsi="Times New Roman" w:cs="Times New Roman"/>
          <w:noProof/>
          <w:sz w:val="24"/>
          <w:lang w:val="en-IE"/>
        </w:rPr>
        <w:t>nd deploy 45.000 recharging points by 2030. This plan indicates a high level of commitment to meet or even exceed the 2030 WEM estimates and targets for electro-mobility (see the box at beginning of Section 5.17.3). Legislative and regulatory measures cove</w:t>
      </w:r>
      <w:r>
        <w:rPr>
          <w:rFonts w:ascii="Times New Roman" w:hAnsi="Times New Roman" w:cs="Times New Roman"/>
          <w:noProof/>
          <w:sz w:val="24"/>
          <w:lang w:val="en-IE"/>
        </w:rPr>
        <w:t>r different acts on updating the rules and bills on electric AFI deployment, on the increase of minimum biofuels blend level and incentivising domestic biofuels production. One act aims at creating more favourable rules for LNG infrastructure development f</w:t>
      </w:r>
      <w:r>
        <w:rPr>
          <w:rFonts w:ascii="Times New Roman" w:hAnsi="Times New Roman" w:cs="Times New Roman"/>
          <w:noProof/>
          <w:sz w:val="24"/>
          <w:lang w:val="en-IE"/>
        </w:rPr>
        <w:t xml:space="preserve">or inland waterway transport.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Concerning the Policy and Deployment &amp; Manufacturing support measures, five clusters of measures were identified, on electricity, CNG, LNG and LPG for road and on LNG for inland waterborne transport (but this last was not ass</w:t>
      </w:r>
      <w:r>
        <w:rPr>
          <w:rFonts w:ascii="Times New Roman" w:hAnsi="Times New Roman" w:cs="Times New Roman"/>
          <w:noProof/>
          <w:sz w:val="24"/>
          <w:lang w:val="en-IE"/>
        </w:rPr>
        <w:t>essable). In terms of expected impact of these measures to support the realisation of the AFV/AFI objectives as presented in the NPF and revised in the NIR, the measures for the pair electricity/road have a high impact, while those for the pairs and CNG/ro</w:t>
      </w:r>
      <w:r>
        <w:rPr>
          <w:rFonts w:ascii="Times New Roman" w:hAnsi="Times New Roman" w:cs="Times New Roman"/>
          <w:noProof/>
          <w:sz w:val="24"/>
          <w:lang w:val="en-IE"/>
        </w:rPr>
        <w:t>ad, LNG/road, and LPG/road have a low impact.</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 xml:space="preserve">The Hungarian NIR lists three RTD&amp;D projects, financed through the Connecting Europe Facility transport programme (CEF). Two projects address the deployment of LNG/LBG infrastructure, one for waterborne inland </w:t>
      </w:r>
      <w:r>
        <w:rPr>
          <w:rFonts w:ascii="Times New Roman" w:hAnsi="Times New Roman" w:cs="Times New Roman"/>
          <w:noProof/>
          <w:sz w:val="24"/>
          <w:lang w:val="en-IE"/>
        </w:rPr>
        <w:t xml:space="preserve">and one for road transport. The third project addresses innovative CNG/CBG refuelling points for road transport across Hungary. </w:t>
      </w:r>
    </w:p>
    <w:p w:rsidR="003C43BF" w:rsidRDefault="003C43BF">
      <w:pPr>
        <w:rPr>
          <w:rFonts w:ascii="Times New Roman" w:hAnsi="Times New Roman" w:cs="Times New Roman"/>
          <w:noProof/>
          <w:sz w:val="24"/>
          <w:szCs w:val="24"/>
          <w:highlight w:val="lightGray"/>
          <w:lang w:val="en-IE"/>
        </w:rPr>
      </w:pPr>
    </w:p>
    <w:p w:rsidR="003C43BF" w:rsidRDefault="006C3212">
      <w:pPr>
        <w:pStyle w:val="Heading3"/>
        <w:rPr>
          <w:rFonts w:ascii="Times New Roman" w:hAnsi="Times New Roman" w:cs="Times New Roman"/>
          <w:noProof/>
          <w:sz w:val="24"/>
          <w:lang w:val="en-IE"/>
        </w:rPr>
      </w:pPr>
      <w:bookmarkStart w:id="402" w:name="_Toc56944232"/>
      <w:r>
        <w:rPr>
          <w:rFonts w:ascii="Times New Roman" w:hAnsi="Times New Roman" w:cs="Times New Roman"/>
          <w:noProof/>
          <w:sz w:val="24"/>
          <w:lang w:val="en-IE"/>
        </w:rPr>
        <w:t>Final remarks</w:t>
      </w:r>
      <w:bookmarkEnd w:id="402"/>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Hungarian NIR provides a quite comprehensive report on the efforts to implement the Directive. It meets alm</w:t>
      </w:r>
      <w:r>
        <w:rPr>
          <w:rFonts w:ascii="Times New Roman" w:hAnsi="Times New Roman" w:cs="Times New Roman"/>
          <w:noProof/>
          <w:sz w:val="24"/>
          <w:lang w:val="en-IE"/>
        </w:rPr>
        <w:t xml:space="preserve">ost all the requirements of Annex I to the Directive. All alternative fuels are addressed. The NIR provides estimates for alternative fuel vehicles and targets for the relevant infrastructures. The measures provided in the NIR cover mostly road transport, </w:t>
      </w:r>
      <w:r>
        <w:rPr>
          <w:rFonts w:ascii="Times New Roman" w:hAnsi="Times New Roman" w:cs="Times New Roman"/>
          <w:noProof/>
          <w:sz w:val="24"/>
          <w:lang w:val="en-IE"/>
        </w:rPr>
        <w:t xml:space="preserve">in particular electro-mobility and, to a lesser extent, CNG, LPG and LNG.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regard to electricity, the NIR estimates that some 390,000 electric vehicles could be on the roads by 2030, representing about 8.6% of the fleet by that time. Taking into accou</w:t>
      </w:r>
      <w:r>
        <w:rPr>
          <w:rFonts w:ascii="Times New Roman" w:hAnsi="Times New Roman" w:cs="Times New Roman"/>
          <w:noProof/>
          <w:sz w:val="24"/>
          <w:lang w:val="en-IE"/>
        </w:rPr>
        <w:t>nt the current situation and expected trends, this level of ambition does not appear to be fully compatible with the pace of deployment of electric vehicles considered necessary for a full transition to carbon neutrality by 2050. No information on charging</w:t>
      </w:r>
      <w:r>
        <w:rPr>
          <w:rFonts w:ascii="Times New Roman" w:hAnsi="Times New Roman" w:cs="Times New Roman"/>
          <w:noProof/>
          <w:sz w:val="24"/>
          <w:lang w:val="en-IE"/>
        </w:rPr>
        <w:t xml:space="preserve"> efficiency is provided. The NIR also notes the ambition to electrify inland waterway transport. In 2018, there were already 145 electric vessels in use, and it is estimated that by 2030 there could be 450. In addition, in 2018 there were 28 shore-side </w:t>
      </w:r>
      <w:r>
        <w:rPr>
          <w:rFonts w:ascii="Times New Roman" w:hAnsi="Times New Roman" w:cs="Times New Roman"/>
          <w:noProof/>
          <w:color w:val="222222"/>
          <w:sz w:val="24"/>
          <w:lang w:val="en-IE"/>
        </w:rPr>
        <w:t>ele</w:t>
      </w:r>
      <w:r>
        <w:rPr>
          <w:rFonts w:ascii="Times New Roman" w:hAnsi="Times New Roman" w:cs="Times New Roman"/>
          <w:noProof/>
          <w:color w:val="222222"/>
          <w:sz w:val="24"/>
          <w:lang w:val="en-IE"/>
        </w:rPr>
        <w:t>ctricity</w:t>
      </w:r>
      <w:r>
        <w:rPr>
          <w:rFonts w:ascii="Times New Roman" w:hAnsi="Times New Roman" w:cs="Times New Roman"/>
          <w:noProof/>
          <w:sz w:val="24"/>
          <w:lang w:val="en-IE"/>
        </w:rPr>
        <w:t xml:space="preserve"> supply facilities in inland ports. This number should increase to 36 by 2030. Fifty-two electricity supply points provided electricity for stationary aircraft in 2018. Concerning rail transport, 40% of Hungary's railway lines are electrified. Futu</w:t>
      </w:r>
      <w:r>
        <w:rPr>
          <w:rFonts w:ascii="Times New Roman" w:hAnsi="Times New Roman" w:cs="Times New Roman"/>
          <w:noProof/>
          <w:sz w:val="24"/>
          <w:lang w:val="en-IE"/>
        </w:rPr>
        <w:t>re reporting should provide further information on the share of rail electrification.</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hydrogen for transport, the NIR does not report current numbers on vehicles or infrastructure. However, it estimates six hydrogen refuelling points and a small </w:t>
      </w:r>
      <w:r>
        <w:rPr>
          <w:rFonts w:ascii="Times New Roman" w:hAnsi="Times New Roman" w:cs="Times New Roman"/>
          <w:noProof/>
          <w:sz w:val="24"/>
          <w:lang w:val="en-IE"/>
        </w:rPr>
        <w:t>fleet of 330 FCHVs by 2025. The NIR expects these figures to increase by 2030 to a fleet of 1,460 FCHVs and 26 refuelling points. The number of refuelling points seems sufficient taking into account the length of the Hungarian TEN-T Road Core Network, prov</w:t>
      </w:r>
      <w:r>
        <w:rPr>
          <w:rFonts w:ascii="Times New Roman" w:hAnsi="Times New Roman" w:cs="Times New Roman"/>
          <w:noProof/>
          <w:sz w:val="24"/>
          <w:lang w:val="en-IE"/>
        </w:rPr>
        <w:t xml:space="preserve">ided that the refuelling station are widely distributed along the network.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As for natural gas, in 2018 there was a small fleet of 3,223 CNG vehicles and 13 refuelling points in Hungary. These figures are expected to increase to 40,000 vehicles and 66 refu</w:t>
      </w:r>
      <w:r>
        <w:rPr>
          <w:rFonts w:ascii="Times New Roman" w:hAnsi="Times New Roman" w:cs="Times New Roman"/>
          <w:noProof/>
          <w:sz w:val="24"/>
          <w:lang w:val="en-IE"/>
        </w:rPr>
        <w:t>elling points by 2030, showing a lower level of ambition in the NIR on CNG compared to the NPF. Hungary has still a significant level of ambition regarding LNG for road transport (although again lower than in the NPF); the NIR targets 15 LNG refuelling poi</w:t>
      </w:r>
      <w:r>
        <w:rPr>
          <w:rFonts w:ascii="Times New Roman" w:hAnsi="Times New Roman" w:cs="Times New Roman"/>
          <w:noProof/>
          <w:sz w:val="24"/>
          <w:lang w:val="en-IE"/>
        </w:rPr>
        <w:t>nts in 2025 and 40 in 2030. This seems sufficient taking into account the length of the Hungarian TEN-T Road Core Network, provided that the refuelling points are widely distributed along the network. The NIR also presents a target of nine LNG refuelling p</w:t>
      </w:r>
      <w:r>
        <w:rPr>
          <w:rFonts w:ascii="Times New Roman" w:hAnsi="Times New Roman" w:cs="Times New Roman"/>
          <w:noProof/>
          <w:sz w:val="24"/>
          <w:lang w:val="en-IE"/>
        </w:rPr>
        <w:t xml:space="preserve">oints for the inland ports by 2025 and 10 by 2030. These figures seem sufficient when considering that Hungary has two inland ports in the TEN-T Core Network and six inland ports in the Comprehensive TEN-T Core Network.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There was a significant fleet of LP</w:t>
      </w:r>
      <w:r>
        <w:rPr>
          <w:rFonts w:ascii="Times New Roman" w:hAnsi="Times New Roman" w:cs="Times New Roman"/>
          <w:noProof/>
          <w:sz w:val="24"/>
          <w:lang w:val="en-IE"/>
        </w:rPr>
        <w:t xml:space="preserve">G vehicles (28,520) and refuelling points (529) in 2018. The NIR expects the number of LPG vehicles to decrease significantly by 2030.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regards biofuels, Hungary </w:t>
      </w:r>
      <w:r>
        <w:rPr>
          <w:rFonts w:ascii="Times New Roman" w:hAnsi="Times New Roman" w:cs="Times New Roman"/>
          <w:noProof/>
          <w:sz w:val="24"/>
          <w:szCs w:val="24"/>
        </w:rPr>
        <w:t>will encourage both consumption and domestic production of second-generation biofuels</w:t>
      </w:r>
      <w:r>
        <w:rPr>
          <w:rFonts w:ascii="Times New Roman" w:hAnsi="Times New Roman" w:cs="Times New Roman"/>
          <w:noProof/>
          <w:sz w:val="24"/>
          <w:lang w:val="en-IE"/>
        </w:rPr>
        <w:t xml:space="preserve"> towar</w:t>
      </w:r>
      <w:r>
        <w:rPr>
          <w:rFonts w:ascii="Times New Roman" w:hAnsi="Times New Roman" w:cs="Times New Roman"/>
          <w:noProof/>
          <w:sz w:val="24"/>
          <w:lang w:val="en-IE"/>
        </w:rPr>
        <w:t>ds 2030, in accordance with the recast Renewable Energy Directive. Hungary should provide more information in future reporting on efforts to promote the use of renewable fuels in transport, and particularly in aviation.</w:t>
      </w:r>
    </w:p>
    <w:p w:rsidR="003C43BF" w:rsidRDefault="003C43BF">
      <w:pPr>
        <w:jc w:val="both"/>
        <w:rPr>
          <w:rFonts w:ascii="Times New Roman" w:hAnsi="Times New Roman" w:cs="Times New Roman"/>
          <w:noProof/>
          <w:color w:val="00B050"/>
          <w:lang w:val="en-IE"/>
        </w:rPr>
      </w:pPr>
    </w:p>
    <w:p w:rsidR="003C43BF" w:rsidRDefault="006C3212">
      <w:pPr>
        <w:rPr>
          <w:rFonts w:ascii="Times New Roman" w:hAnsi="Times New Roman" w:cs="Times New Roman"/>
          <w:noProof/>
          <w:lang w:val="en-IE"/>
        </w:rPr>
      </w:pPr>
      <w:r>
        <w:rPr>
          <w:rFonts w:ascii="Times New Roman" w:hAnsi="Times New Roman" w:cs="Times New Roman"/>
          <w:noProof/>
          <w:lang w:val="en-IE"/>
        </w:rPr>
        <w:br w:type="page"/>
      </w:r>
    </w:p>
    <w:p w:rsidR="003C43BF" w:rsidRDefault="006C3212">
      <w:pPr>
        <w:pStyle w:val="Heading3"/>
        <w:ind w:left="720"/>
        <w:rPr>
          <w:rFonts w:ascii="Times New Roman" w:hAnsi="Times New Roman" w:cs="Times New Roman"/>
          <w:noProof/>
          <w:sz w:val="24"/>
          <w:lang w:val="en-IE"/>
        </w:rPr>
      </w:pPr>
      <w:bookmarkStart w:id="403" w:name="_Toc55301921"/>
      <w:bookmarkStart w:id="404" w:name="_Toc56944233"/>
      <w:r>
        <w:rPr>
          <w:rFonts w:ascii="Times New Roman" w:hAnsi="Times New Roman" w:cs="Times New Roman"/>
          <w:noProof/>
          <w:sz w:val="24"/>
          <w:lang w:val="en-IE"/>
        </w:rPr>
        <w:t>ANNEX - Description of the Member</w:t>
      </w:r>
      <w:r>
        <w:rPr>
          <w:rFonts w:ascii="Times New Roman" w:hAnsi="Times New Roman" w:cs="Times New Roman"/>
          <w:noProof/>
          <w:sz w:val="24"/>
          <w:lang w:val="en-IE"/>
        </w:rPr>
        <w:t xml:space="preserve"> State</w:t>
      </w:r>
      <w:bookmarkEnd w:id="403"/>
      <w:bookmarkEnd w:id="404"/>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93,000 km², Hungary has a population of 9.778 million people in 2018, which makes up for a population density of 105 inhabitants/km².</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18 urban agglomerations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Hungary achieves a per capita gross domestic product at market prices of €13,690, which represents a per capita gross domestic product in purchasing power standards of 71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Length of th</w:t>
      </w:r>
      <w:r>
        <w:rPr>
          <w:rFonts w:ascii="Times New Roman" w:hAnsi="Times New Roman" w:cs="Times New Roman"/>
          <w:i/>
          <w:noProof/>
          <w:sz w:val="24"/>
          <w:lang w:val="en-IE"/>
        </w:rPr>
        <w:t xml:space="preserve">e 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Hungary is 1,090 km. The total road network length is 31,993 km, of which 1,982 km are motorways.</w:t>
      </w:r>
    </w:p>
    <w:p w:rsidR="003C43BF" w:rsidRDefault="006C3212">
      <w:pPr>
        <w:spacing w:line="276"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following parts of the TEN-T Road Corridors are present in Hungary: 11% (604 km) of the Medi</w:t>
      </w:r>
      <w:r>
        <w:rPr>
          <w:rFonts w:ascii="Times New Roman" w:hAnsi="Times New Roman" w:cs="Times New Roman"/>
          <w:noProof/>
          <w:color w:val="000000" w:themeColor="text1"/>
          <w:sz w:val="24"/>
          <w:lang w:val="en-IE"/>
        </w:rPr>
        <w:t>terranean Corridor, 9% (469 km) of the Orient/ East - Mediterranean Corridor and 10% (469 km) of the Rhine - Danube Corridor.</w:t>
      </w:r>
    </w:p>
    <w:p w:rsidR="003C43BF" w:rsidRDefault="006C3212">
      <w:pPr>
        <w:spacing w:line="276" w:lineRule="auto"/>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Through the TEN-T Road Corridors, Hungary is connected with the following </w:t>
      </w:r>
      <w:r>
        <w:rPr>
          <w:rFonts w:ascii="Times New Roman" w:hAnsi="Times New Roman" w:cs="Times New Roman"/>
          <w:noProof/>
          <w:sz w:val="24"/>
          <w:lang w:val="en-IE"/>
        </w:rPr>
        <w:t>Member State</w:t>
      </w:r>
      <w:r>
        <w:rPr>
          <w:rFonts w:ascii="Times New Roman" w:hAnsi="Times New Roman" w:cs="Times New Roman"/>
          <w:noProof/>
          <w:color w:val="000000" w:themeColor="text1"/>
          <w:sz w:val="24"/>
          <w:lang w:val="en-IE"/>
        </w:rPr>
        <w:t>s:</w:t>
      </w:r>
      <w:r>
        <w:rPr>
          <w:rFonts w:ascii="Times New Roman" w:hAnsi="Times New Roman" w:cs="Times New Roman"/>
          <w:noProof/>
          <w:color w:val="000000" w:themeColor="text1"/>
          <w:sz w:val="24"/>
          <w:lang w:val="en-IE"/>
        </w:rPr>
        <w:br/>
        <w:t>- Austria (through the Orient / East Medi</w:t>
      </w:r>
      <w:r>
        <w:rPr>
          <w:rFonts w:ascii="Times New Roman" w:hAnsi="Times New Roman" w:cs="Times New Roman"/>
          <w:noProof/>
          <w:color w:val="000000" w:themeColor="text1"/>
          <w:sz w:val="24"/>
          <w:lang w:val="en-IE"/>
        </w:rPr>
        <w:t>terranean and the Rhine - Danube Corridor)</w:t>
      </w:r>
      <w:r>
        <w:rPr>
          <w:rFonts w:ascii="Times New Roman" w:hAnsi="Times New Roman" w:cs="Times New Roman"/>
          <w:noProof/>
          <w:color w:val="000000" w:themeColor="text1"/>
          <w:sz w:val="24"/>
          <w:lang w:val="en-IE"/>
        </w:rPr>
        <w:br/>
        <w:t>- Slovakia (through the Orient / East Mediterranean and the Rhine - Danube Corridor)</w:t>
      </w:r>
      <w:r>
        <w:rPr>
          <w:rFonts w:ascii="Times New Roman" w:hAnsi="Times New Roman" w:cs="Times New Roman"/>
          <w:noProof/>
          <w:color w:val="000000" w:themeColor="text1"/>
          <w:sz w:val="24"/>
          <w:lang w:val="en-IE"/>
        </w:rPr>
        <w:br/>
        <w:t>- Romania (through the Orient / East Mediterranean and the Rhine - Danube Corridor)</w:t>
      </w:r>
      <w:r>
        <w:rPr>
          <w:rFonts w:ascii="Times New Roman" w:hAnsi="Times New Roman" w:cs="Times New Roman"/>
          <w:noProof/>
          <w:color w:val="000000" w:themeColor="text1"/>
          <w:sz w:val="24"/>
          <w:lang w:val="en-IE"/>
        </w:rPr>
        <w:br/>
        <w:t>- Croatia (through the Mediterranean Corrido</w:t>
      </w:r>
      <w:r>
        <w:rPr>
          <w:rFonts w:ascii="Times New Roman" w:hAnsi="Times New Roman" w:cs="Times New Roman"/>
          <w:noProof/>
          <w:color w:val="000000" w:themeColor="text1"/>
          <w:sz w:val="24"/>
          <w:lang w:val="en-IE"/>
        </w:rPr>
        <w:t>r)</w:t>
      </w:r>
      <w:r>
        <w:rPr>
          <w:rFonts w:ascii="Times New Roman" w:hAnsi="Times New Roman" w:cs="Times New Roman"/>
          <w:noProof/>
          <w:color w:val="000000" w:themeColor="text1"/>
          <w:sz w:val="24"/>
          <w:lang w:val="en-IE"/>
        </w:rPr>
        <w:br/>
        <w:t>- Slovenia (through the Mediterranean Corridor)</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2017, Hungary accounts for 4,398,832 registered road vehicles of which 3,641,823 are categorized as passenger cars, 444,588 as light goods vehicles, 125,88</w:t>
      </w:r>
      <w:r>
        <w:rPr>
          <w:rFonts w:ascii="Times New Roman" w:hAnsi="Times New Roman" w:cs="Times New Roman"/>
          <w:noProof/>
          <w:sz w:val="24"/>
          <w:lang w:val="en-IE"/>
        </w:rPr>
        <w:t>7 as heavy goods vehicles and 19,134 as buses and coaches. The motorisation rate is 372 passenger cars per 1,000 inhabitants.</w:t>
      </w:r>
    </w:p>
    <w:p w:rsidR="003C43BF" w:rsidRDefault="006C3212">
      <w:pPr>
        <w:pStyle w:val="Text1"/>
        <w:tabs>
          <w:tab w:val="left" w:pos="720"/>
        </w:tabs>
        <w:spacing w:after="120"/>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maritime ports</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inland ports in the TEN-T Core Network (Budapest Csepel, Komárom)</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6</w:t>
      </w:r>
      <w:r>
        <w:rPr>
          <w:rFonts w:ascii="Times New Roman" w:hAnsi="Times New Roman" w:cs="Times New Roman"/>
          <w:noProof/>
          <w:sz w:val="24"/>
          <w:lang w:val="en-IE"/>
        </w:rPr>
        <w:t xml:space="preserve"> inland ports in the TEN-T Comprehensive Network</w:t>
      </w:r>
    </w:p>
    <w:p w:rsidR="003C43BF" w:rsidRDefault="003C43BF">
      <w:pPr>
        <w:pStyle w:val="Text1"/>
        <w:spacing w:after="0"/>
        <w:ind w:left="714"/>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Through the 405 km inland waterways TEN-T Core Network, Hungary is connected with Croatia and Slovakia by the Rhine - Danube Corridor. </w:t>
      </w:r>
    </w:p>
    <w:p w:rsidR="003C43BF" w:rsidRDefault="006C3212">
      <w:pPr>
        <w:pStyle w:val="Text1"/>
        <w:tabs>
          <w:tab w:val="left" w:pos="720"/>
        </w:tabs>
        <w:spacing w:after="120"/>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 airport in the TEN-T C</w:t>
      </w:r>
      <w:r>
        <w:rPr>
          <w:rFonts w:ascii="Times New Roman" w:hAnsi="Times New Roman" w:cs="Times New Roman"/>
          <w:noProof/>
          <w:sz w:val="24"/>
          <w:lang w:val="en-IE"/>
        </w:rPr>
        <w:t xml:space="preserve">ore Network (Budapest-Liszt Ferenc) </w:t>
      </w:r>
    </w:p>
    <w:p w:rsidR="003C43BF" w:rsidRDefault="006C3212">
      <w:pPr>
        <w:pStyle w:val="BalloonText"/>
        <w:numPr>
          <w:ilvl w:val="0"/>
          <w:numId w:val="13"/>
        </w:numPr>
        <w:tabs>
          <w:tab w:val="left" w:pos="720"/>
        </w:tabs>
        <w:rPr>
          <w:rFonts w:ascii="Times New Roman" w:hAnsi="Times New Roman" w:cs="Times New Roman"/>
          <w:noProof/>
          <w:sz w:val="24"/>
          <w:lang w:val="en-IE"/>
        </w:rPr>
      </w:pPr>
      <w:r>
        <w:rPr>
          <w:rFonts w:ascii="Times New Roman" w:hAnsi="Times New Roman" w:cs="Times New Roman"/>
          <w:noProof/>
          <w:sz w:val="24"/>
          <w:szCs w:val="22"/>
          <w:lang w:val="en-IE"/>
        </w:rPr>
        <w:t>2 airports in the TEN-T Comprehensive Network</w:t>
      </w:r>
      <w:r>
        <w:rPr>
          <w:rFonts w:ascii="Times New Roman" w:hAnsi="Times New Roman" w:cs="Times New Roman"/>
          <w:noProof/>
          <w:sz w:val="24"/>
          <w:szCs w:val="22"/>
          <w:lang w:val="en-IE"/>
        </w:rPr>
        <w:br w:type="page"/>
      </w:r>
    </w:p>
    <w:p w:rsidR="003C43BF" w:rsidRDefault="006C3212">
      <w:pPr>
        <w:pStyle w:val="Heading2"/>
        <w:rPr>
          <w:rFonts w:ascii="Times New Roman" w:hAnsi="Times New Roman" w:cs="Times New Roman"/>
          <w:noProof/>
          <w:sz w:val="24"/>
          <w:lang w:val="en-IE"/>
        </w:rPr>
      </w:pPr>
      <w:bookmarkStart w:id="405" w:name="_Toc55301922"/>
      <w:bookmarkStart w:id="406" w:name="_Toc56944234"/>
      <w:r>
        <w:rPr>
          <w:rFonts w:ascii="Times New Roman" w:hAnsi="Times New Roman" w:cs="Times New Roman"/>
          <w:noProof/>
          <w:sz w:val="24"/>
          <w:lang w:val="en-IE"/>
        </w:rPr>
        <w:t>Malta (MT)</w:t>
      </w:r>
      <w:bookmarkEnd w:id="405"/>
      <w:bookmarkEnd w:id="406"/>
    </w:p>
    <w:p w:rsidR="003C43BF" w:rsidRDefault="006C3212">
      <w:pPr>
        <w:pStyle w:val="Heading3"/>
        <w:ind w:left="720"/>
        <w:rPr>
          <w:rFonts w:ascii="Times New Roman" w:hAnsi="Times New Roman" w:cs="Times New Roman"/>
          <w:noProof/>
          <w:sz w:val="24"/>
          <w:lang w:val="en-IE"/>
        </w:rPr>
      </w:pPr>
      <w:bookmarkStart w:id="407" w:name="_Toc55301923"/>
      <w:bookmarkStart w:id="408" w:name="_Toc56944235"/>
      <w:r>
        <w:rPr>
          <w:rFonts w:ascii="Times New Roman" w:hAnsi="Times New Roman" w:cs="Times New Roman"/>
          <w:noProof/>
          <w:sz w:val="24"/>
          <w:lang w:val="en-IE"/>
        </w:rPr>
        <w:t xml:space="preserve">Main messages from the </w:t>
      </w:r>
      <w:bookmarkEnd w:id="407"/>
      <w:bookmarkEnd w:id="408"/>
      <w:r>
        <w:rPr>
          <w:rFonts w:ascii="Times New Roman" w:hAnsi="Times New Roman" w:cs="Times New Roman"/>
          <w:noProof/>
          <w:sz w:val="24"/>
          <w:lang w:val="en-IE"/>
        </w:rPr>
        <w:t>Commission assessment of the NPF</w:t>
      </w:r>
    </w:p>
    <w:p w:rsidR="003C43BF" w:rsidRDefault="006C3212">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its original assessment of the Maltese NPF, the Commission concluded: </w:t>
      </w:r>
    </w:p>
    <w:p w:rsidR="003C43BF" w:rsidRDefault="006C3212">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Maltese NPF addresses only </w:t>
      </w:r>
      <w:r>
        <w:rPr>
          <w:rFonts w:ascii="Times New Roman" w:hAnsi="Times New Roman" w:cs="Times New Roman"/>
          <w:i/>
          <w:noProof/>
          <w:sz w:val="24"/>
          <w:lang w:val="en-IE"/>
        </w:rPr>
        <w:t>partly the requirements of Article 3 of the Directive, focussing on electric vehicles and infrastructure for road. For determining the fuel or fuels (other than electricity) that are the most feasible for use in road transport in Malta, the Maltese governm</w:t>
      </w:r>
      <w:r>
        <w:rPr>
          <w:rFonts w:ascii="Times New Roman" w:hAnsi="Times New Roman" w:cs="Times New Roman"/>
          <w:i/>
          <w:noProof/>
          <w:sz w:val="24"/>
          <w:lang w:val="en-IE"/>
        </w:rPr>
        <w:t>ent will be commissioning in 2018 the ‘Alternative Fuels in Road Transport Study’. Another study aiming at providing recommendations regarding the development of LNG as a marine fuel is currently underway.</w:t>
      </w:r>
    </w:p>
    <w:p w:rsidR="003C43BF" w:rsidRDefault="006C3212">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In the case of electricity for road transport, whi</w:t>
      </w:r>
      <w:r>
        <w:rPr>
          <w:rFonts w:ascii="Times New Roman" w:hAnsi="Times New Roman" w:cs="Times New Roman"/>
          <w:i/>
          <w:noProof/>
          <w:sz w:val="24"/>
          <w:lang w:val="en-IE"/>
        </w:rPr>
        <w:t>ch constitutes the focus of the Maltese NPF, the requirements of the Directive were fulfilled. The NPF contains, with around 1.7% share by 2020, high estimates for the future deployment of EVs, when compared with its current EV share of less than 0.1%. Alr</w:t>
      </w:r>
      <w:r>
        <w:rPr>
          <w:rFonts w:ascii="Times New Roman" w:hAnsi="Times New Roman" w:cs="Times New Roman"/>
          <w:i/>
          <w:noProof/>
          <w:sz w:val="24"/>
          <w:lang w:val="en-IE"/>
        </w:rPr>
        <w:t>eady today, the spatial distribution of recharging points appropriately covers the needs of electric vehicles in terms of distance requirements in Malta. The given publicly accessible recharging points target is in line with the requirements of the Directi</w:t>
      </w:r>
      <w:r>
        <w:rPr>
          <w:rFonts w:ascii="Times New Roman" w:hAnsi="Times New Roman" w:cs="Times New Roman"/>
          <w:i/>
          <w:noProof/>
          <w:sz w:val="24"/>
          <w:lang w:val="en-IE"/>
        </w:rPr>
        <w:t>ve for 2020 and the assessment threshold of less than 10 EVs per recharging point is fulfilled. The proposed set of measures for electro-mobility could support reaching the declared objectives since it was evaluated as being comprehensive and having a medi</w:t>
      </w:r>
      <w:r>
        <w:rPr>
          <w:rFonts w:ascii="Times New Roman" w:hAnsi="Times New Roman" w:cs="Times New Roman"/>
          <w:i/>
          <w:noProof/>
          <w:sz w:val="24"/>
          <w:lang w:val="en-IE"/>
        </w:rPr>
        <w:t>um overall assessment score.</w:t>
      </w:r>
    </w:p>
    <w:p w:rsidR="003C43BF" w:rsidRDefault="006C3212">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NPF does not contain concrete targets to increase the availability of electricity supply at airports for stationary airplanes. </w:t>
      </w:r>
      <w:r>
        <w:rPr>
          <w:rFonts w:ascii="Times New Roman" w:hAnsi="Times New Roman" w:cs="Times New Roman"/>
          <w:i/>
          <w:noProof/>
          <w:color w:val="000000" w:themeColor="text1"/>
          <w:sz w:val="24"/>
          <w:lang w:val="en-IE"/>
        </w:rPr>
        <w:t>In the case of shore-side supply in its maritime ports no targets are provided, but</w:t>
      </w:r>
      <w:r>
        <w:rPr>
          <w:rFonts w:ascii="Times New Roman" w:hAnsi="Times New Roman" w:cs="Times New Roman"/>
          <w:i/>
          <w:noProof/>
          <w:sz w:val="24"/>
          <w:lang w:val="en-IE"/>
        </w:rPr>
        <w:t xml:space="preserve"> an action pl</w:t>
      </w:r>
      <w:r>
        <w:rPr>
          <w:rFonts w:ascii="Times New Roman" w:hAnsi="Times New Roman" w:cs="Times New Roman"/>
          <w:i/>
          <w:noProof/>
          <w:sz w:val="24"/>
          <w:lang w:val="en-IE"/>
        </w:rPr>
        <w:t>an for its implementation at the TEN-T Core Network ports of Valetta and Marsaxlokk is expected to be finalised by the end of 2018.</w:t>
      </w:r>
    </w:p>
    <w:p w:rsidR="003C43BF" w:rsidRDefault="006C3212">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Besides electro-mobility, the national strategy for the other alternative fuels is briefly or inadequately treated in the Ma</w:t>
      </w:r>
      <w:r>
        <w:rPr>
          <w:rFonts w:ascii="Times New Roman" w:hAnsi="Times New Roman" w:cs="Times New Roman"/>
          <w:i/>
          <w:noProof/>
          <w:sz w:val="24"/>
          <w:lang w:val="en-IE"/>
        </w:rPr>
        <w:t>ltese NPF, being dependent on the results of currently ongoing studies. For CNG and LNG fuels, the NPF contains neither future estimates for vehicles and vessels nor targets for refuelling infrastructure. The lack of ambition for natural gas can be partial</w:t>
      </w:r>
      <w:r>
        <w:rPr>
          <w:rFonts w:ascii="Times New Roman" w:hAnsi="Times New Roman" w:cs="Times New Roman"/>
          <w:i/>
          <w:noProof/>
          <w:sz w:val="24"/>
          <w:lang w:val="en-IE"/>
        </w:rPr>
        <w:t xml:space="preserve">ly explained by the small market size in Malta and the lack of current interconnections with other natural gas networks. The best option known for Malta to be supplied with natural gas is the 159 km gas pipeline connecting Malta to Sicily but the earliest </w:t>
      </w:r>
      <w:r>
        <w:rPr>
          <w:rFonts w:ascii="Times New Roman" w:hAnsi="Times New Roman" w:cs="Times New Roman"/>
          <w:i/>
          <w:noProof/>
          <w:sz w:val="24"/>
          <w:lang w:val="en-IE"/>
        </w:rPr>
        <w:t>commercial operation of this pipeline is targeted for 2024.</w:t>
      </w:r>
    </w:p>
    <w:p w:rsidR="003C43BF" w:rsidRDefault="006C3212">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The Maltese NPF does not contain any targets for hydrogen in transport.</w:t>
      </w:r>
    </w:p>
    <w:p w:rsidR="003C43BF" w:rsidRDefault="006C3212">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The Maltese NPF contains a quite large portfolio of measures and most of them are already existing or adopted. The vast majo</w:t>
      </w:r>
      <w:r>
        <w:rPr>
          <w:rFonts w:ascii="Times New Roman" w:hAnsi="Times New Roman" w:cs="Times New Roman"/>
          <w:i/>
          <w:noProof/>
          <w:sz w:val="24"/>
          <w:lang w:val="en-IE"/>
        </w:rPr>
        <w:t xml:space="preserve">rity of the measures targets electricity for road and includes </w:t>
      </w:r>
      <w:r>
        <w:rPr>
          <w:rFonts w:ascii="Times New Roman" w:hAnsi="Times New Roman" w:cs="Times New Roman"/>
          <w:i/>
          <w:noProof/>
          <w:color w:val="000000" w:themeColor="text1"/>
          <w:sz w:val="24"/>
          <w:lang w:val="en-IE"/>
        </w:rPr>
        <w:t>substantial direct incentives for purchase and tax incentives.</w:t>
      </w:r>
      <w:r>
        <w:rPr>
          <w:rFonts w:ascii="Times New Roman" w:hAnsi="Times New Roman" w:cs="Times New Roman"/>
          <w:i/>
          <w:noProof/>
          <w:sz w:val="24"/>
          <w:lang w:val="en-IE"/>
        </w:rPr>
        <w:t xml:space="preserve"> Longer durations for the validity of financial support measures could provide certainty for market actors and hence increase the l</w:t>
      </w:r>
      <w:r>
        <w:rPr>
          <w:rFonts w:ascii="Times New Roman" w:hAnsi="Times New Roman" w:cs="Times New Roman"/>
          <w:i/>
          <w:noProof/>
          <w:sz w:val="24"/>
          <w:lang w:val="en-IE"/>
        </w:rPr>
        <w:t xml:space="preserve">ikelihood that the national targets and objectives of the NPF can be reached. The NPF also contains several support measures to promote the use of electricity in public transport which address mainly public procurement. Bicycles and electric bikes as well </w:t>
      </w:r>
      <w:r>
        <w:rPr>
          <w:rFonts w:ascii="Times New Roman" w:hAnsi="Times New Roman" w:cs="Times New Roman"/>
          <w:i/>
          <w:noProof/>
          <w:sz w:val="24"/>
          <w:lang w:val="en-IE"/>
        </w:rPr>
        <w:t>as their infrastructure also receive support. No future measures are discussed to promote the deployment of private electro-mobility infrastructure.</w:t>
      </w:r>
    </w:p>
    <w:p w:rsidR="003C43BF" w:rsidRDefault="006C3212">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Maltese NPF does not specify to which extent interests of regional and local authorities, as well as </w:t>
      </w:r>
      <w:r>
        <w:rPr>
          <w:rFonts w:ascii="Times New Roman" w:hAnsi="Times New Roman" w:cs="Times New Roman"/>
          <w:i/>
          <w:noProof/>
          <w:sz w:val="24"/>
          <w:lang w:val="en-IE"/>
        </w:rPr>
        <w:t xml:space="preserve">those of the stakeholders concerned have been considered in its drafting. However, it mentions plans to establish a stakeholder group (e.g. including representative of the private sector, NGOs, ministries and public entities) which will be involved in the </w:t>
      </w:r>
      <w:r>
        <w:rPr>
          <w:rFonts w:ascii="Times New Roman" w:hAnsi="Times New Roman" w:cs="Times New Roman"/>
          <w:i/>
          <w:noProof/>
          <w:sz w:val="24"/>
          <w:lang w:val="en-IE"/>
        </w:rPr>
        <w:t>drafting of the updated NPF.</w:t>
      </w:r>
    </w:p>
    <w:p w:rsidR="003C43BF" w:rsidRDefault="006C3212">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Several European projects are mentioned in the Maltese NPF, mainly regarding cooperation with Italy. Two of them concern the promotion of electro-mobility while one is related to the connection of Malta to the European Gas Netw</w:t>
      </w:r>
      <w:r>
        <w:rPr>
          <w:rFonts w:ascii="Times New Roman" w:hAnsi="Times New Roman" w:cs="Times New Roman"/>
          <w:i/>
          <w:noProof/>
          <w:sz w:val="24"/>
          <w:lang w:val="en-IE"/>
        </w:rPr>
        <w:t xml:space="preserve">ork. </w:t>
      </w: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409" w:name="_Toc55301924"/>
      <w:bookmarkStart w:id="410" w:name="_Toc56944236"/>
      <w:r>
        <w:rPr>
          <w:rFonts w:ascii="Times New Roman" w:hAnsi="Times New Roman" w:cs="Times New Roman"/>
          <w:noProof/>
          <w:sz w:val="24"/>
          <w:lang w:val="en-IE"/>
        </w:rPr>
        <w:t>Overview of requirements’ fulfilment from Annex I of the Directive</w:t>
      </w:r>
      <w:bookmarkEnd w:id="409"/>
      <w:bookmarkEnd w:id="410"/>
      <w:r>
        <w:rPr>
          <w:rFonts w:ascii="Times New Roman" w:hAnsi="Times New Roman" w:cs="Times New Roman"/>
          <w:noProof/>
          <w:color w:val="000000" w:themeColor="text1"/>
          <w:sz w:val="24"/>
          <w:lang w:val="en-IE"/>
        </w:rPr>
        <w:tab/>
      </w:r>
    </w:p>
    <w:p w:rsidR="003C43BF" w:rsidRDefault="006C3212">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5.18.2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rsidR="003C43BF" w:rsidRDefault="006C3212">
      <w:pPr>
        <w:pStyle w:val="Text1"/>
        <w:tabs>
          <w:tab w:val="left" w:pos="720"/>
        </w:tabs>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426075" cy="7468235"/>
            <wp:effectExtent l="0" t="0" r="3175" b="0"/>
            <wp:docPr id="7901" name="Picture 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26075" cy="7468235"/>
                    </a:xfrm>
                    <a:prstGeom prst="rect">
                      <a:avLst/>
                    </a:prstGeom>
                    <a:noFill/>
                  </pic:spPr>
                </pic:pic>
              </a:graphicData>
            </a:graphic>
          </wp:inline>
        </w:drawing>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checklist shows the requirements of Annex I from the Directive that are covered in the MT NIR.</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partially covered for road and maritime transport; CNG, LNG and LPG are partially covered for road transport; LNG is also mentioned for maritime transport; other combinations are e</w:t>
      </w:r>
      <w:r>
        <w:rPr>
          <w:rFonts w:ascii="Times New Roman" w:hAnsi="Times New Roman" w:cs="Times New Roman"/>
          <w:noProof/>
          <w:sz w:val="24"/>
          <w:lang w:val="en-IE"/>
        </w:rPr>
        <w:t>ither absent or not applicable.</w:t>
      </w:r>
    </w:p>
    <w:p w:rsidR="003C43BF" w:rsidRDefault="006C3212">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Maltese NIR reports 30 measures. </w:t>
      </w:r>
      <w:r>
        <w:rPr>
          <w:rFonts w:ascii="Times New Roman" w:hAnsi="Times New Roman" w:cs="Times New Roman"/>
          <w:iCs/>
          <w:noProof/>
          <w:sz w:val="24"/>
          <w:lang w:val="en-IE"/>
        </w:rPr>
        <w:t>Under the Policy and Deployment &amp; Manufacturing sections it was possible to identify three AF/transport mode clusters of measures, all assessable.</w:t>
      </w: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411" w:name="_Toc55301925"/>
      <w:bookmarkStart w:id="412" w:name="_Toc56944237"/>
      <w:r>
        <w:rPr>
          <w:rFonts w:ascii="Times New Roman" w:hAnsi="Times New Roman" w:cs="Times New Roman"/>
          <w:noProof/>
          <w:sz w:val="24"/>
          <w:lang w:val="en-IE"/>
        </w:rPr>
        <w:t>Quantitative assessment: Vehicles and i</w:t>
      </w:r>
      <w:r>
        <w:rPr>
          <w:rFonts w:ascii="Times New Roman" w:hAnsi="Times New Roman" w:cs="Times New Roman"/>
          <w:noProof/>
          <w:sz w:val="24"/>
          <w:lang w:val="en-IE"/>
        </w:rPr>
        <w:t>nfrastructure</w:t>
      </w:r>
      <w:bookmarkEnd w:id="411"/>
      <w:bookmarkEnd w:id="412"/>
      <w:r>
        <w:rPr>
          <w:rFonts w:ascii="Times New Roman" w:hAnsi="Times New Roman" w:cs="Times New Roman"/>
          <w:noProof/>
          <w:sz w:val="24"/>
          <w:lang w:val="en-IE"/>
        </w:rPr>
        <w:t xml:space="preserve"> </w:t>
      </w:r>
    </w:p>
    <w:p w:rsidR="003C43BF" w:rsidRDefault="006C3212">
      <w:pPr>
        <w:pStyle w:val="Caption"/>
        <w:keepNext/>
        <w:jc w:val="both"/>
        <w:rPr>
          <w:rFonts w:ascii="Times New Roman" w:hAnsi="Times New Roman" w:cs="Times New Roman"/>
          <w:b w:val="0"/>
          <w:i/>
          <w:noProof/>
          <w:sz w:val="20"/>
          <w:szCs w:val="18"/>
          <w:lang w:val="en-IE"/>
        </w:rPr>
      </w:pPr>
      <w:bookmarkStart w:id="413" w:name="_Ref52873230"/>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5.18.3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413"/>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 xml:space="preserve">National AFV estimates and AFI targets established in the NIR at the horizon 2020, 2025 and 2030 and their comparison with the NPF situation </w:t>
      </w:r>
    </w:p>
    <w:p w:rsidR="003C43BF" w:rsidRDefault="006C3212">
      <w:pPr>
        <w:pStyle w:val="Caption"/>
        <w:keepNext/>
        <w:jc w:val="both"/>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5648960" cy="4403425"/>
            <wp:effectExtent l="0" t="0" r="8890" b="0"/>
            <wp:docPr id="7902" name="Picture 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55980" cy="4408897"/>
                    </a:xfrm>
                    <a:prstGeom prst="rect">
                      <a:avLst/>
                    </a:prstGeom>
                    <a:noFill/>
                  </pic:spPr>
                </pic:pic>
              </a:graphicData>
            </a:graphic>
          </wp:inline>
        </w:drawing>
      </w:r>
      <w:r>
        <w:rPr>
          <w:rFonts w:ascii="Times New Roman" w:hAnsi="Times New Roman" w:cs="Times New Roman"/>
          <w:noProof/>
          <w:sz w:val="24"/>
          <w:lang w:val="en-IE"/>
        </w:rPr>
        <w:t xml:space="preserve"> </w:t>
      </w:r>
    </w:p>
    <w:p w:rsidR="003C43BF" w:rsidRDefault="006C3212">
      <w:pPr>
        <w:rPr>
          <w:rFonts w:ascii="Times New Roman" w:hAnsi="Times New Roman" w:cs="Times New Roman"/>
          <w:noProof/>
          <w:color w:val="000000" w:themeColor="text1"/>
          <w:sz w:val="20"/>
          <w:szCs w:val="18"/>
          <w:lang w:val="en-IE"/>
        </w:rPr>
      </w:pPr>
      <w:r>
        <w:rPr>
          <w:rFonts w:ascii="Times New Roman" w:hAnsi="Times New Roman" w:cs="Times New Roman"/>
          <w:noProof/>
          <w:sz w:val="24"/>
          <w:lang w:eastAsia="en-GB"/>
        </w:rPr>
        <w:drawing>
          <wp:anchor distT="0" distB="0" distL="114300" distR="114300" simplePos="0" relativeHeight="251660288" behindDoc="0" locked="0" layoutInCell="1" allowOverlap="1">
            <wp:simplePos x="0" y="0"/>
            <wp:positionH relativeFrom="margin">
              <wp:align>left</wp:align>
            </wp:positionH>
            <wp:positionV relativeFrom="margin">
              <wp:posOffset>7111365</wp:posOffset>
            </wp:positionV>
            <wp:extent cx="3627755" cy="511175"/>
            <wp:effectExtent l="0" t="0" r="0" b="3175"/>
            <wp:wrapSquare wrapText="bothSides"/>
            <wp:docPr id="24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62775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43BF" w:rsidRDefault="003C43BF">
      <w:pPr>
        <w:rPr>
          <w:rFonts w:ascii="Times New Roman" w:hAnsi="Times New Roman" w:cs="Times New Roman"/>
          <w:noProof/>
          <w:color w:val="000000" w:themeColor="text1"/>
          <w:sz w:val="20"/>
          <w:szCs w:val="18"/>
          <w:lang w:val="en-IE"/>
        </w:rPr>
      </w:pPr>
    </w:p>
    <w:p w:rsidR="003C43BF" w:rsidRDefault="003C43BF">
      <w:pPr>
        <w:rPr>
          <w:rFonts w:ascii="Times New Roman" w:hAnsi="Times New Roman" w:cs="Times New Roman"/>
          <w:noProof/>
          <w:color w:val="000000" w:themeColor="text1"/>
          <w:sz w:val="20"/>
          <w:szCs w:val="18"/>
          <w:lang w:val="en-IE"/>
        </w:rPr>
      </w:pPr>
    </w:p>
    <w:p w:rsidR="003C43BF" w:rsidRDefault="003C43BF">
      <w:pPr>
        <w:rPr>
          <w:rFonts w:ascii="Times New Roman" w:hAnsi="Times New Roman" w:cs="Times New Roman"/>
          <w:noProof/>
          <w:color w:val="000000" w:themeColor="text1"/>
          <w:sz w:val="20"/>
          <w:szCs w:val="18"/>
          <w:lang w:val="en-IE"/>
        </w:rPr>
      </w:pPr>
    </w:p>
    <w:p w:rsidR="003C43BF" w:rsidRDefault="006C3212">
      <w:pPr>
        <w:rPr>
          <w:rFonts w:ascii="Times New Roman" w:hAnsi="Times New Roman" w:cs="Times New Roman"/>
          <w:noProof/>
          <w:color w:val="000000" w:themeColor="text1"/>
          <w:sz w:val="20"/>
          <w:szCs w:val="18"/>
          <w:lang w:val="en-IE"/>
        </w:rPr>
      </w:pPr>
      <w:r>
        <w:rPr>
          <w:rFonts w:ascii="Times New Roman" w:hAnsi="Times New Roman" w:cs="Times New Roman"/>
          <w:noProof/>
          <w:color w:val="000000" w:themeColor="text1"/>
          <w:sz w:val="20"/>
          <w:szCs w:val="18"/>
          <w:lang w:val="en-IE"/>
        </w:rPr>
        <w:t xml:space="preserve">* Value taken from EAFO </w:t>
      </w:r>
      <w:r>
        <w:rPr>
          <w:rFonts w:ascii="Times New Roman" w:hAnsi="Times New Roman" w:cs="Times New Roman"/>
          <w:noProof/>
          <w:color w:val="000000" w:themeColor="text1"/>
          <w:sz w:val="20"/>
          <w:szCs w:val="18"/>
          <w:lang w:val="en-IE"/>
        </w:rPr>
        <w:t>(absent in NIR)</w:t>
      </w:r>
    </w:p>
    <w:p w:rsidR="003C43BF" w:rsidRDefault="006C3212">
      <w:pPr>
        <w:rPr>
          <w:rFonts w:ascii="Times New Roman" w:hAnsi="Times New Roman" w:cs="Times New Roman"/>
          <w:noProof/>
          <w:color w:val="000000" w:themeColor="text1"/>
          <w:sz w:val="20"/>
          <w:szCs w:val="18"/>
          <w:lang w:val="en-IE"/>
        </w:rPr>
      </w:pPr>
      <w:r>
        <w:rPr>
          <w:rFonts w:ascii="Times New Roman" w:hAnsi="Times New Roman" w:cs="Times New Roman"/>
          <w:noProof/>
          <w:color w:val="000000" w:themeColor="text1"/>
          <w:sz w:val="20"/>
          <w:szCs w:val="18"/>
          <w:lang w:val="en-IE"/>
        </w:rPr>
        <w:br w:type="page"/>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Malta recorded 926 electric vehicles (EVs) in use in 2018 (all of them being BEVs and passenger cars)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_Ref52873230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and 491 electric powered two wheelers (L-category vehicles). Regarding the next decade, the Maltese NIR confirms the NPF estimate of around 5,000 for 2020, and provides new estimates of 26,425 for 2025 and 89,994 for 2030. All these numbers also include </w:t>
      </w:r>
      <w:r>
        <w:rPr>
          <w:rFonts w:ascii="Times New Roman" w:hAnsi="Times New Roman" w:cs="Times New Roman"/>
          <w:noProof/>
          <w:sz w:val="24"/>
          <w:lang w:val="en-IE"/>
        </w:rPr>
        <w:t xml:space="preserve">powered two wheelers. The estimates for electric vehicles - excluding PTWs - presented in the MT NIR are 2,161 for 2020, 12,350 for 2025 and 47,488 for 2030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_Ref52873230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It is worth noticing that the PTWs are expected to represent around half of the total road electric vehicles in the future in the country. From 2020, the MT NIR expects 6 BEV buses to enter into service and to run up to 2030. No B</w:t>
      </w:r>
      <w:r>
        <w:rPr>
          <w:rFonts w:ascii="Times New Roman" w:hAnsi="Times New Roman" w:cs="Times New Roman"/>
          <w:noProof/>
          <w:sz w:val="24"/>
          <w:lang w:val="en-IE"/>
        </w:rPr>
        <w:t xml:space="preserve">EVs or PHEVs are expected for LCVs and HCVs. </w:t>
      </w:r>
    </w:p>
    <w:p w:rsidR="003C43BF" w:rsidRDefault="006C3212">
      <w:pPr>
        <w:pStyle w:val="CommentText"/>
        <w:spacing w:line="259" w:lineRule="auto"/>
        <w:jc w:val="both"/>
        <w:rPr>
          <w:rFonts w:ascii="Times New Roman" w:hAnsi="Times New Roman" w:cs="Times New Roman"/>
          <w:noProof/>
          <w:color w:val="000000" w:themeColor="text1"/>
          <w:sz w:val="24"/>
          <w:szCs w:val="22"/>
          <w:lang w:val="en-IE"/>
        </w:rPr>
      </w:pPr>
      <w:r>
        <w:rPr>
          <w:rFonts w:ascii="Times New Roman" w:hAnsi="Times New Roman" w:cs="Times New Roman"/>
          <w:noProof/>
          <w:sz w:val="24"/>
          <w:szCs w:val="22"/>
          <w:lang w:val="en-IE"/>
        </w:rPr>
        <w:t xml:space="preserve">The 2018 </w:t>
      </w:r>
      <w:r>
        <w:rPr>
          <w:rFonts w:ascii="Times New Roman" w:hAnsi="Times New Roman" w:cs="Times New Roman"/>
          <w:b/>
          <w:i/>
          <w:noProof/>
          <w:sz w:val="24"/>
          <w:szCs w:val="22"/>
          <w:lang w:val="en-IE"/>
        </w:rPr>
        <w:t>attainment</w:t>
      </w:r>
      <w:r>
        <w:rPr>
          <w:rFonts w:ascii="Times New Roman" w:hAnsi="Times New Roman" w:cs="Times New Roman"/>
          <w:noProof/>
          <w:sz w:val="24"/>
          <w:szCs w:val="22"/>
          <w:lang w:val="en-IE"/>
        </w:rPr>
        <w:t xml:space="preserve"> of future EV estimates is 42.85% for 2020 and</w:t>
      </w:r>
      <w:r>
        <w:rPr>
          <w:rFonts w:ascii="Times New Roman" w:hAnsi="Times New Roman" w:cs="Times New Roman"/>
          <w:iCs/>
          <w:noProof/>
          <w:color w:val="000000" w:themeColor="text1"/>
          <w:sz w:val="24"/>
          <w:szCs w:val="22"/>
          <w:lang w:val="en-IE"/>
        </w:rPr>
        <w:t xml:space="preserve"> 1.95% for 2030. According to the assessment methodology described in </w:t>
      </w:r>
      <w:r>
        <w:rPr>
          <w:rFonts w:ascii="Times New Roman" w:hAnsi="Times New Roman" w:cs="Times New Roman"/>
          <w:iCs/>
          <w:noProof/>
          <w:sz w:val="24"/>
          <w:szCs w:val="22"/>
          <w:lang w:val="en-IE"/>
        </w:rPr>
        <w:t>Section 2.1</w:t>
      </w:r>
      <w:r>
        <w:rPr>
          <w:rFonts w:ascii="Times New Roman" w:hAnsi="Times New Roman" w:cs="Times New Roman"/>
          <w:iCs/>
          <w:noProof/>
          <w:color w:val="000000" w:themeColor="text1"/>
          <w:sz w:val="24"/>
          <w:szCs w:val="22"/>
          <w:lang w:val="en-IE"/>
        </w:rPr>
        <w:t xml:space="preserve">, the 2018 situation corresponds to an </w:t>
      </w:r>
      <w:r>
        <w:rPr>
          <w:rFonts w:ascii="Times New Roman" w:hAnsi="Times New Roman" w:cs="Times New Roman"/>
          <w:b/>
          <w:i/>
          <w:iCs/>
          <w:noProof/>
          <w:color w:val="000000" w:themeColor="text1"/>
          <w:sz w:val="24"/>
          <w:szCs w:val="22"/>
          <w:lang w:val="en-IE"/>
        </w:rPr>
        <w:t>adequate</w:t>
      </w:r>
      <w:r>
        <w:rPr>
          <w:rFonts w:ascii="Times New Roman" w:hAnsi="Times New Roman" w:cs="Times New Roman"/>
          <w:b/>
          <w:i/>
          <w:iCs/>
          <w:noProof/>
          <w:color w:val="000000" w:themeColor="text1"/>
          <w:sz w:val="22"/>
          <w:lang w:val="en-IE"/>
        </w:rPr>
        <w:t xml:space="preserve"> </w:t>
      </w:r>
      <w:r>
        <w:rPr>
          <w:rFonts w:ascii="Times New Roman" w:hAnsi="Times New Roman" w:cs="Times New Roman"/>
          <w:b/>
          <w:i/>
          <w:iCs/>
          <w:noProof/>
          <w:color w:val="000000" w:themeColor="text1"/>
          <w:sz w:val="24"/>
          <w:szCs w:val="22"/>
          <w:lang w:val="en-IE"/>
        </w:rPr>
        <w:t>progress</w:t>
      </w:r>
      <w:r>
        <w:rPr>
          <w:rFonts w:ascii="Times New Roman" w:hAnsi="Times New Roman" w:cs="Times New Roman"/>
          <w:iCs/>
          <w:noProof/>
          <w:color w:val="000000" w:themeColor="text1"/>
          <w:sz w:val="24"/>
          <w:szCs w:val="22"/>
          <w:lang w:val="en-IE"/>
        </w:rPr>
        <w:t xml:space="preserve"> towards reaching the envisaged EV estimates. The calculated </w:t>
      </w:r>
      <w:r>
        <w:rPr>
          <w:rFonts w:ascii="Times New Roman" w:hAnsi="Times New Roman" w:cs="Times New Roman"/>
          <w:b/>
          <w:i/>
          <w:iCs/>
          <w:noProof/>
          <w:color w:val="000000" w:themeColor="text1"/>
          <w:sz w:val="24"/>
          <w:szCs w:val="22"/>
          <w:lang w:val="en-IE"/>
        </w:rPr>
        <w:t>average</w:t>
      </w:r>
      <w:r>
        <w:rPr>
          <w:rFonts w:ascii="Times New Roman" w:hAnsi="Times New Roman" w:cs="Times New Roman"/>
          <w:iCs/>
          <w:noProof/>
          <w:color w:val="000000" w:themeColor="text1"/>
          <w:sz w:val="24"/>
          <w:szCs w:val="22"/>
          <w:lang w:val="en-IE"/>
        </w:rPr>
        <w:t xml:space="preserve"> </w:t>
      </w:r>
      <w:r>
        <w:rPr>
          <w:rFonts w:ascii="Times New Roman" w:hAnsi="Times New Roman" w:cs="Times New Roman"/>
          <w:b/>
          <w:i/>
          <w:iCs/>
          <w:noProof/>
          <w:color w:val="000000" w:themeColor="text1"/>
          <w:sz w:val="24"/>
          <w:szCs w:val="22"/>
          <w:lang w:val="en-IE"/>
        </w:rPr>
        <w:t>annual growth rate</w:t>
      </w:r>
      <w:r>
        <w:rPr>
          <w:rFonts w:ascii="Times New Roman" w:hAnsi="Times New Roman" w:cs="Times New Roman"/>
          <w:iCs/>
          <w:noProof/>
          <w:color w:val="000000" w:themeColor="text1"/>
          <w:sz w:val="24"/>
          <w:szCs w:val="22"/>
          <w:lang w:val="en-IE"/>
        </w:rPr>
        <w:t xml:space="preserve"> corresponding to the period 2016-2030 for EV fleet evolution planned by Malta is equal to 43%.</w:t>
      </w:r>
      <w:r>
        <w:rPr>
          <w:rFonts w:ascii="Times New Roman" w:hAnsi="Times New Roman" w:cs="Times New Roman"/>
          <w:noProof/>
          <w:color w:val="000000" w:themeColor="text1"/>
          <w:sz w:val="24"/>
          <w:szCs w:val="22"/>
          <w:lang w:val="en-IE"/>
        </w:rPr>
        <w:t xml:space="preserve">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pStyle w:val="Text1"/>
        <w:tabs>
          <w:tab w:val="left" w:pos="720"/>
        </w:tabs>
        <w:spacing w:after="0"/>
        <w:ind w:left="0"/>
        <w:jc w:val="both"/>
        <w:rPr>
          <w:rFonts w:ascii="Times New Roman" w:hAnsi="Times New Roman" w:cs="Times New Roman"/>
          <w:noProof/>
          <w:sz w:val="24"/>
          <w:lang w:val="en-IE"/>
        </w:rPr>
      </w:pPr>
      <w:r>
        <w:rPr>
          <w:rFonts w:ascii="Times New Roman" w:hAnsi="Times New Roman" w:cs="Times New Roman"/>
          <w:iCs/>
          <w:noProof/>
          <w:color w:val="000000" w:themeColor="text1"/>
          <w:sz w:val="24"/>
          <w:lang w:val="en-IE"/>
        </w:rPr>
        <w:t xml:space="preserve">Malta recorded 102 publicly accessible recharging points </w:t>
      </w:r>
      <w:r>
        <w:rPr>
          <w:rFonts w:ascii="Times New Roman" w:hAnsi="Times New Roman" w:cs="Times New Roman"/>
          <w:iCs/>
          <w:noProof/>
          <w:color w:val="000000" w:themeColor="text1"/>
          <w:sz w:val="24"/>
          <w:lang w:val="en-IE"/>
        </w:rPr>
        <w:t>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_Ref52873230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iCs/>
          <w:noProof/>
          <w:color w:val="000000" w:themeColor="text1"/>
          <w:sz w:val="24"/>
          <w:lang w:val="en-IE"/>
        </w:rPr>
        <w:t>), including 3 solar recharging points. The revised NIR target of publicly accessible recharging points for 2020 is 362, which is</w:t>
      </w:r>
      <w:r>
        <w:rPr>
          <w:rFonts w:ascii="Times New Roman" w:hAnsi="Times New Roman" w:cs="Times New Roman"/>
          <w:noProof/>
          <w:sz w:val="24"/>
          <w:lang w:val="en-IE"/>
        </w:rPr>
        <w:t xml:space="preserve"> 38.64% lower than in the NPF. However, it is worth mentioning that the high power (&gt;22kW) recharging points number for 2020 increases from 10 in the NPF to 44 in the NIR (the share changes consequently from 1.69% to 12.15%). In both the NPF and the NIR, M</w:t>
      </w:r>
      <w:r>
        <w:rPr>
          <w:rFonts w:ascii="Times New Roman" w:hAnsi="Times New Roman" w:cs="Times New Roman"/>
          <w:noProof/>
          <w:sz w:val="24"/>
          <w:lang w:val="en-IE"/>
        </w:rPr>
        <w:t xml:space="preserve">alta did not provide targets for publicly accessible recharging points for 2025 and 2030.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rPr>
        <w:t xml:space="preserve">Regarding recharging infrastructure, Malta foresees a </w:t>
      </w:r>
      <w:r>
        <w:rPr>
          <w:rFonts w:ascii="Times New Roman" w:hAnsi="Times New Roman" w:cs="Times New Roman"/>
          <w:noProof/>
          <w:sz w:val="24"/>
          <w:lang w:val="en-IE"/>
        </w:rPr>
        <w:t>national e-car sharing service under which 450 dedicated medium-fast recharging points will be deployed (see al</w:t>
      </w:r>
      <w:r>
        <w:rPr>
          <w:rFonts w:ascii="Times New Roman" w:hAnsi="Times New Roman" w:cs="Times New Roman"/>
          <w:noProof/>
          <w:sz w:val="24"/>
          <w:lang w:val="en-IE"/>
        </w:rPr>
        <w:t xml:space="preserve">so Section 5.18.4.2.1). The Maltese Government is planning to support the development of an electric public transport, by installing four normal charging stations for a planned e-Bus service (see Section 5.18.4.2.2). </w:t>
      </w:r>
    </w:p>
    <w:p w:rsidR="003C43BF" w:rsidRDefault="006C3212">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The 201</w:t>
      </w:r>
      <w:r>
        <w:rPr>
          <w:rFonts w:ascii="Times New Roman" w:hAnsi="Times New Roman" w:cs="Times New Roman"/>
          <w:iCs/>
          <w:noProof/>
          <w:color w:val="000000" w:themeColor="text1"/>
          <w:sz w:val="24"/>
          <w:lang w:val="en-IE"/>
        </w:rPr>
        <w:t xml:space="preserve">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w:t>
      </w:r>
      <w:r>
        <w:rPr>
          <w:rFonts w:ascii="Times New Roman" w:hAnsi="Times New Roman" w:cs="Times New Roman"/>
          <w:noProof/>
          <w:sz w:val="24"/>
          <w:lang w:val="en-IE"/>
        </w:rPr>
        <w:t>publicly</w:t>
      </w:r>
      <w:r>
        <w:rPr>
          <w:rFonts w:ascii="Times New Roman" w:hAnsi="Times New Roman" w:cs="Times New Roman"/>
          <w:noProof/>
          <w:sz w:val="24"/>
          <w:lang w:val="en-IE"/>
        </w:rPr>
        <w:t xml:space="preserve"> accessible</w:t>
      </w:r>
      <w:r>
        <w:rPr>
          <w:rFonts w:ascii="Times New Roman" w:hAnsi="Times New Roman" w:cs="Times New Roman"/>
          <w:iCs/>
          <w:noProof/>
          <w:color w:val="000000" w:themeColor="text1"/>
          <w:sz w:val="24"/>
          <w:lang w:val="en-IE"/>
        </w:rPr>
        <w:t xml:space="preserve"> recharging infrastructure targets is 28.2% for 2020.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slow progress</w:t>
      </w:r>
      <w:r>
        <w:rPr>
          <w:rFonts w:ascii="Times New Roman" w:hAnsi="Times New Roman" w:cs="Times New Roman"/>
          <w:iCs/>
          <w:noProof/>
          <w:color w:val="000000" w:themeColor="text1"/>
          <w:sz w:val="24"/>
          <w:lang w:val="en-IE"/>
        </w:rPr>
        <w:t xml:space="preserve"> towards reaching the envisaged target. The calculated </w:t>
      </w:r>
      <w:r>
        <w:rPr>
          <w:rFonts w:ascii="Times New Roman" w:hAnsi="Times New Roman" w:cs="Times New Roman"/>
          <w:b/>
          <w:i/>
          <w:iCs/>
          <w:noProof/>
          <w:color w:val="000000" w:themeColor="text1"/>
          <w:sz w:val="24"/>
          <w:lang w:val="en-IE"/>
        </w:rPr>
        <w:t>average annual growth</w:t>
      </w:r>
      <w:r>
        <w:rPr>
          <w:rFonts w:ascii="Times New Roman" w:hAnsi="Times New Roman" w:cs="Times New Roman"/>
          <w:b/>
          <w:i/>
          <w:iCs/>
          <w:noProof/>
          <w:color w:val="000000" w:themeColor="text1"/>
          <w:sz w:val="24"/>
          <w:lang w:val="en-IE"/>
        </w:rPr>
        <w:t xml:space="preserve">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Malta is equal to 37%.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Based on the Maltese NIR, the following table shows the ratio between vehicles and publicly accessible rechargi</w:t>
      </w:r>
      <w:r>
        <w:rPr>
          <w:rFonts w:ascii="Times New Roman" w:hAnsi="Times New Roman" w:cs="Times New Roman"/>
          <w:noProof/>
          <w:sz w:val="24"/>
          <w:lang w:val="en-IE"/>
        </w:rPr>
        <w:t xml:space="preserve">ng points (i.e. sufficiency index) for the pair electricity/road. It can be seen that the sufficiency index is below 10 and adequate until 2020.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59350" cy="4953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59350" cy="495300"/>
                    </a:xfrm>
                    <a:prstGeom prst="rect">
                      <a:avLst/>
                    </a:prstGeom>
                    <a:noFill/>
                    <a:ln>
                      <a:noFill/>
                    </a:ln>
                  </pic:spPr>
                </pic:pic>
              </a:graphicData>
            </a:graphic>
          </wp:inline>
        </w:drawing>
      </w:r>
    </w:p>
    <w:p w:rsidR="003C43BF" w:rsidRDefault="003C43BF">
      <w:pPr>
        <w:rPr>
          <w:rFonts w:ascii="Times New Roman" w:hAnsi="Times New Roman" w:cs="Times New Roman"/>
          <w:noProof/>
          <w:sz w:val="24"/>
          <w:lang w:val="en-IE"/>
        </w:rPr>
      </w:pP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MT NIR.</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Malta did not </w:t>
      </w:r>
      <w:r>
        <w:rPr>
          <w:rFonts w:ascii="Times New Roman" w:hAnsi="Times New Roman" w:cs="Times New Roman"/>
          <w:noProof/>
          <w:sz w:val="24"/>
          <w:lang w:val="en-IE"/>
        </w:rPr>
        <w:t>record any CNG vehicles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_Ref52873230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but the MT NIR provides estimates for the next decade, which were not present in the NPF. Assumi</w:t>
      </w:r>
      <w:r>
        <w:rPr>
          <w:rFonts w:ascii="Times New Roman" w:hAnsi="Times New Roman" w:cs="Times New Roman"/>
          <w:noProof/>
          <w:sz w:val="24"/>
          <w:lang w:val="en-IE"/>
        </w:rPr>
        <w:t xml:space="preserve">ng that CNG will be available from 2021, CNG vehicles are expected to ramp-up from 0 in 2020, to 252 in 2025 and to 950 in 2030. Of these 950 vehicles, 80.3% will be passenger cars, 10.5% LCVs, 3.1% HCVs and 6.1% buses and coaches. </w:t>
      </w:r>
    </w:p>
    <w:p w:rsidR="003C43BF" w:rsidRDefault="006C3212">
      <w:pPr>
        <w:tabs>
          <w:tab w:val="left" w:pos="360"/>
        </w:tabs>
        <w:spacing w:after="120" w:line="240" w:lineRule="auto"/>
        <w:jc w:val="both"/>
        <w:rPr>
          <w:rFonts w:ascii="Times New Roman" w:hAnsi="Times New Roman" w:cs="Times New Roman"/>
          <w:iCs/>
          <w:strike/>
          <w:noProof/>
          <w:color w:val="7030A0"/>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sz w:val="24"/>
          <w:lang w:val="en-IE"/>
        </w:rPr>
        <w:t>at the end of 2</w:t>
      </w:r>
      <w:r>
        <w:rPr>
          <w:rFonts w:ascii="Times New Roman" w:hAnsi="Times New Roman" w:cs="Times New Roman"/>
          <w:iCs/>
          <w:noProof/>
          <w:sz w:val="24"/>
          <w:lang w:val="en-IE"/>
        </w:rPr>
        <w:t>018 there are no CNG vehicles in use</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w:t>
      </w:r>
      <w:r>
        <w:rPr>
          <w:rFonts w:ascii="Times New Roman" w:hAnsi="Times New Roman" w:cs="Times New Roman"/>
          <w:b/>
          <w:i/>
          <w:noProof/>
          <w:sz w:val="24"/>
          <w:lang w:val="en-IE"/>
        </w:rPr>
        <w:t xml:space="preserve"> progress</w:t>
      </w:r>
      <w:r>
        <w:rPr>
          <w:rFonts w:ascii="Times New Roman" w:hAnsi="Times New Roman" w:cs="Times New Roman"/>
          <w:noProof/>
          <w:sz w:val="24"/>
          <w:lang w:val="en-IE"/>
        </w:rPr>
        <w:t xml:space="preserve"> could not be computed.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_Ref52873230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similarly to the NPF, there is no information on CNG refuelling infrastructure in the Maltese NIR, neither for the past nor for the future. According to EAFO, Malta did not record any C</w:t>
      </w:r>
      <w:r>
        <w:rPr>
          <w:rFonts w:ascii="Times New Roman" w:hAnsi="Times New Roman" w:cs="Times New Roman"/>
          <w:noProof/>
          <w:sz w:val="24"/>
          <w:lang w:val="en-IE"/>
        </w:rPr>
        <w:t>NG refuelling points in 2018.</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color w:val="000000" w:themeColor="text1"/>
          <w:sz w:val="24"/>
          <w:lang w:val="en-IE"/>
        </w:rPr>
        <w:t>there are no CNG refuelling points targets provided in the Maltese NIR</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For the same reason it is not possible to compute the sufficiency index.</w:t>
      </w:r>
    </w:p>
    <w:p w:rsidR="003C43BF" w:rsidRDefault="003C43BF">
      <w:pPr>
        <w:tabs>
          <w:tab w:val="left" w:pos="360"/>
        </w:tabs>
        <w:spacing w:after="120" w:line="240" w:lineRule="auto"/>
        <w:jc w:val="both"/>
        <w:rPr>
          <w:rFonts w:ascii="Times New Roman" w:hAnsi="Times New Roman" w:cs="Times New Roman"/>
          <w:noProof/>
          <w:color w:val="000000" w:themeColor="text1"/>
          <w:sz w:val="28"/>
          <w:szCs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w:t>
      </w:r>
      <w:r>
        <w:rPr>
          <w:rFonts w:ascii="Times New Roman" w:hAnsi="Times New Roman" w:cs="Times New Roman"/>
          <w:noProof/>
          <w:sz w:val="24"/>
          <w:lang w:val="en-IE"/>
        </w:rPr>
        <w:t>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Malta did not record any LNG vehicles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_Ref52873230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Under the assumption that LNG will be available from 2026, the Maltese NIR estimates 22 vehicles in 2030, all of which will be HCVs. </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sz w:val="24"/>
          <w:lang w:val="en-IE"/>
        </w:rPr>
        <w:t>at the end of 2018 there are no LNG vehicles in use</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w:t>
      </w:r>
      <w:r>
        <w:rPr>
          <w:rStyle w:val="Heading4Char"/>
          <w:rFonts w:ascii="Times New Roman" w:hAnsi="Times New Roman" w:cs="Times New Roman"/>
          <w:noProof/>
          <w:sz w:val="24"/>
          <w:lang w:val="en-IE"/>
        </w:rPr>
        <w:t>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_Ref52873230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similarly to the NPF, there is no information on road LNG refuelling infrastructure in the Maltese NIR, neither</w:t>
      </w:r>
      <w:r>
        <w:rPr>
          <w:rFonts w:ascii="Times New Roman" w:hAnsi="Times New Roman" w:cs="Times New Roman"/>
          <w:noProof/>
          <w:sz w:val="24"/>
          <w:lang w:val="en-IE"/>
        </w:rPr>
        <w:t xml:space="preserve"> for the past nor for the future. According to EAFO, Malta did not record any road LNG refuelling points in 2018.</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color w:val="000000" w:themeColor="text1"/>
          <w:sz w:val="24"/>
          <w:lang w:val="en-IE"/>
        </w:rPr>
        <w:t>there are no data on road LNG refuelling points in the Maltese NIR</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For </w:t>
      </w:r>
      <w:r>
        <w:rPr>
          <w:rFonts w:ascii="Times New Roman" w:hAnsi="Times New Roman" w:cs="Times New Roman"/>
          <w:noProof/>
          <w:sz w:val="24"/>
          <w:lang w:val="en-IE"/>
        </w:rPr>
        <w:t>the same reason it is not possible to compute the sufficiency index.</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tabs>
          <w:tab w:val="left" w:pos="360"/>
        </w:tabs>
        <w:jc w:val="both"/>
        <w:rPr>
          <w:rFonts w:ascii="Times New Roman" w:hAnsi="Times New Roman" w:cs="Times New Roman"/>
          <w:iCs/>
          <w:noProof/>
          <w:color w:val="000000" w:themeColor="text1"/>
          <w:sz w:val="24"/>
          <w:lang w:val="en-IE"/>
        </w:rPr>
      </w:pPr>
      <w:r>
        <w:rPr>
          <w:rFonts w:ascii="Times New Roman" w:hAnsi="Times New Roman" w:cs="Times New Roman"/>
          <w:noProof/>
          <w:sz w:val="24"/>
          <w:lang w:val="en-IE"/>
        </w:rPr>
        <w:t>In spite of the participation of Malta in two pilot initiatives for proving hydrogen production from renewable energies and its use, no future vehicle estimates were fo</w:t>
      </w:r>
      <w:r>
        <w:rPr>
          <w:rFonts w:ascii="Times New Roman" w:hAnsi="Times New Roman" w:cs="Times New Roman"/>
          <w:noProof/>
          <w:sz w:val="24"/>
          <w:lang w:val="en-IE"/>
        </w:rPr>
        <w:t xml:space="preserve">und in the MT NIR and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According to EAFO, Malta did not record any hydrogen refuelling points in 2018.</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MT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As the Maltese </w:t>
      </w:r>
      <w:r>
        <w:rPr>
          <w:rFonts w:ascii="Times New Roman" w:hAnsi="Times New Roman" w:cs="Times New Roman"/>
          <w:noProof/>
          <w:sz w:val="24"/>
          <w:lang w:val="en-IE"/>
        </w:rPr>
        <w:t>government does not provide any figures for hydrogen, neither in the NPF or in the NIR, no sufficiency index could be computed.</w:t>
      </w:r>
    </w:p>
    <w:p w:rsidR="003C43BF" w:rsidRDefault="003C43BF">
      <w:pPr>
        <w:tabs>
          <w:tab w:val="left" w:pos="360"/>
        </w:tabs>
        <w:spacing w:after="120" w:line="240" w:lineRule="auto"/>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No specific information was found in the Maltese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in the Maltese NPF, the NIR does not </w:t>
      </w:r>
      <w:r>
        <w:rPr>
          <w:rFonts w:ascii="Times New Roman" w:hAnsi="Times New Roman" w:cs="Times New Roman"/>
          <w:noProof/>
          <w:sz w:val="24"/>
          <w:lang w:val="en-IE"/>
        </w:rPr>
        <w:t xml:space="preserve">provide additional information on infrastructure requirements for biofuels, as these are expected to be distributed through existing conventional fuels infrastructure, and according to the target set by REDII. </w:t>
      </w:r>
    </w:p>
    <w:p w:rsidR="003C43BF" w:rsidRDefault="003C43BF">
      <w:pPr>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Malta recorded 83 LPG vehicles </w:t>
      </w:r>
      <w:r>
        <w:rPr>
          <w:rFonts w:ascii="Times New Roman" w:hAnsi="Times New Roman" w:cs="Times New Roman"/>
          <w:noProof/>
          <w:sz w:val="24"/>
          <w:lang w:val="en-IE"/>
        </w:rPr>
        <w:t>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_Ref52873230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In 2020, the Maltese NIR expects 100 vehicles on the road, without specification about the class and without further </w:t>
      </w:r>
      <w:r>
        <w:rPr>
          <w:rFonts w:ascii="Times New Roman" w:hAnsi="Times New Roman" w:cs="Times New Roman"/>
          <w:noProof/>
          <w:sz w:val="24"/>
          <w:lang w:val="en-IE"/>
        </w:rPr>
        <w:t>changes to that estimate for the period up to 2030.</w:t>
      </w:r>
    </w:p>
    <w:p w:rsidR="003C43BF" w:rsidRDefault="006C3212">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LPG vehicles estimates is constant and equal to 83% for 2020, 2025 and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 by Malta </w:t>
      </w:r>
      <w:r>
        <w:rPr>
          <w:rFonts w:ascii="Times New Roman" w:hAnsi="Times New Roman" w:cs="Times New Roman"/>
          <w:noProof/>
          <w:sz w:val="24"/>
          <w:lang w:val="en-IE"/>
        </w:rPr>
        <w:t xml:space="preserve">from 2016 until 2018 for LPG vehicles deployment is 69.1% of the overall planned deployment during the period 2016-2030.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Malta reported 6 LPG refuelling points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_Ref52873230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5.18.3</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For the next decade, the Maltese NIR presents a plan that was not present in the NPF with a growth to 9 refuelling points in 2020, while for 2025 and 2030 no targets are provided. This lack of targets i</w:t>
      </w:r>
      <w:r>
        <w:rPr>
          <w:rFonts w:ascii="Times New Roman" w:hAnsi="Times New Roman" w:cs="Times New Roman"/>
          <w:noProof/>
          <w:sz w:val="24"/>
          <w:lang w:val="en-IE"/>
        </w:rPr>
        <w:t xml:space="preserve">n the medium-long term could be explained by the decision of the Maltese government to investigate the timing for the phasing-out of Internal Combustion Engines (ICE). Nevertheless, as a limited LPG fleet is foreseen after 2020, this absence of refuelling </w:t>
      </w:r>
      <w:r>
        <w:rPr>
          <w:rFonts w:ascii="Times New Roman" w:hAnsi="Times New Roman" w:cs="Times New Roman"/>
          <w:noProof/>
          <w:sz w:val="24"/>
          <w:lang w:val="en-IE"/>
        </w:rPr>
        <w:t xml:space="preserve">points is not clearly justified in the Maltese NIR. </w:t>
      </w:r>
    </w:p>
    <w:p w:rsidR="003C43BF" w:rsidRDefault="006C3212">
      <w:pPr>
        <w:tabs>
          <w:tab w:val="left" w:pos="360"/>
        </w:tabs>
        <w:spacing w:after="120"/>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publicly accessible LPG refuelling infrastructure targets is 66.7% for 2020. </w:t>
      </w:r>
      <w:r>
        <w:rPr>
          <w:rFonts w:ascii="Times New Roman" w:hAnsi="Times New Roman" w:cs="Times New Roman"/>
          <w:noProof/>
          <w:color w:val="000000" w:themeColor="text1"/>
          <w:sz w:val="24"/>
          <w:shd w:val="clear" w:color="auto" w:fill="FFFFFF"/>
          <w:lang w:val="en-IE"/>
        </w:rPr>
        <w:t>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obtained by Malta for the deployment of publicly accessible LNG refuelling infrastructure from 2016 until 2018 versus the period 2016-2030 could not be computed because the 2030 target is not provided.</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MT NIR, the following table shows </w:t>
      </w:r>
      <w:r>
        <w:rPr>
          <w:rFonts w:ascii="Times New Roman" w:hAnsi="Times New Roman" w:cs="Times New Roman"/>
          <w:noProof/>
          <w:sz w:val="24"/>
          <w:lang w:val="en-IE"/>
        </w:rPr>
        <w:t xml:space="preserve">the ratio between vehicles and </w:t>
      </w:r>
      <w:r>
        <w:rPr>
          <w:rFonts w:ascii="Times New Roman" w:hAnsi="Times New Roman" w:cs="Times New Roman"/>
          <w:iCs/>
          <w:noProof/>
          <w:color w:val="000000" w:themeColor="text1"/>
          <w:sz w:val="24"/>
          <w:lang w:val="en-IE"/>
        </w:rPr>
        <w:t>publicly accessible refuelling points</w:t>
      </w:r>
      <w:r>
        <w:rPr>
          <w:rFonts w:ascii="Times New Roman" w:hAnsi="Times New Roman" w:cs="Times New Roman"/>
          <w:noProof/>
          <w:sz w:val="24"/>
          <w:lang w:val="en-IE"/>
        </w:rPr>
        <w:t xml:space="preserve"> (i.e. sufficiency index) for the pair LPG/road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59350" cy="3873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59350" cy="387350"/>
                    </a:xfrm>
                    <a:prstGeom prst="rect">
                      <a:avLst/>
                    </a:prstGeom>
                    <a:noFill/>
                    <a:ln>
                      <a:noFill/>
                    </a:ln>
                  </pic:spPr>
                </pic:pic>
              </a:graphicData>
            </a:graphic>
          </wp:inline>
        </w:drawing>
      </w: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MT NIR.</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w:t>
      </w:r>
      <w:r>
        <w:rPr>
          <w:rFonts w:ascii="Times New Roman" w:hAnsi="Times New Roman" w:cs="Times New Roman"/>
          <w:noProof/>
          <w:sz w:val="24"/>
          <w:lang w:val="en-IE"/>
        </w:rPr>
        <w:t>the MT NIR.</w:t>
      </w:r>
    </w:p>
    <w:p w:rsidR="003C43BF" w:rsidRDefault="003C43BF">
      <w:pPr>
        <w:jc w:val="both"/>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MT NIR. Nevertheless, the description about infrastructure provides some information on the expected demand.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According to the MT NIR, the appointed entity </w:t>
      </w:r>
      <w:r>
        <w:rPr>
          <w:rFonts w:ascii="Times New Roman" w:hAnsi="Times New Roman" w:cs="Times New Roman"/>
          <w:i/>
          <w:noProof/>
          <w:sz w:val="24"/>
          <w:lang w:val="en-IE"/>
        </w:rPr>
        <w:t>Infrastructure Malta</w:t>
      </w:r>
      <w:r>
        <w:rPr>
          <w:rFonts w:ascii="Times New Roman" w:hAnsi="Times New Roman" w:cs="Times New Roman"/>
          <w:noProof/>
          <w:sz w:val="24"/>
          <w:lang w:val="en-IE"/>
        </w:rPr>
        <w:t xml:space="preserve"> will undertake the necessary investment to provide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on all the quays within the TEN-T Core port Grand Harbour (port of Valletta) that are utilised for Cruise Li</w:t>
      </w:r>
      <w:r>
        <w:rPr>
          <w:rFonts w:ascii="Times New Roman" w:hAnsi="Times New Roman" w:cs="Times New Roman"/>
          <w:noProof/>
          <w:sz w:val="24"/>
          <w:lang w:val="en-IE"/>
        </w:rPr>
        <w:t>ner Ships by 2025. In spite of this initiative, the NIR does not report any figures for this kind of infrastructure. Shore-side electricity supply for the maritime ports on the TEN-T Comprehensive Network is not foreseen in the MT NIR.</w:t>
      </w:r>
    </w:p>
    <w:p w:rsidR="003C43BF" w:rsidRDefault="006C3212">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noProof/>
          <w:sz w:val="24"/>
          <w:lang w:val="en-IE"/>
        </w:rPr>
        <w:t xml:space="preserve">Because of the lack </w:t>
      </w:r>
      <w:r>
        <w:rPr>
          <w:rFonts w:ascii="Times New Roman" w:hAnsi="Times New Roman" w:cs="Times New Roman"/>
          <w:noProof/>
          <w:sz w:val="24"/>
          <w:lang w:val="en-IE"/>
        </w:rPr>
        <w:t>of numerical data, no</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and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could be computed. </w:t>
      </w:r>
    </w:p>
    <w:p w:rsidR="003C43BF" w:rsidRDefault="003C43BF">
      <w:pPr>
        <w:tabs>
          <w:tab w:val="left" w:pos="360"/>
        </w:tabs>
        <w:spacing w:after="120" w:line="240" w:lineRule="auto"/>
        <w:jc w:val="both"/>
        <w:rPr>
          <w:rFonts w:ascii="Times New Roman" w:hAnsi="Times New Roman" w:cs="Times New Roman"/>
          <w:iCs/>
          <w:noProof/>
          <w:color w:val="000000" w:themeColor="text1"/>
          <w:sz w:val="24"/>
          <w:lang w:val="en-IE"/>
        </w:rPr>
      </w:pPr>
    </w:p>
    <w:p w:rsidR="003C43BF" w:rsidRDefault="003C43BF">
      <w:pPr>
        <w:tabs>
          <w:tab w:val="left" w:pos="360"/>
        </w:tabs>
        <w:spacing w:after="120" w:line="240" w:lineRule="auto"/>
        <w:jc w:val="both"/>
        <w:rPr>
          <w:rFonts w:ascii="Times New Roman" w:hAnsi="Times New Roman" w:cs="Times New Roman"/>
          <w:iCs/>
          <w:noProof/>
          <w:color w:val="000000" w:themeColor="text1"/>
          <w:sz w:val="24"/>
          <w:lang w:val="en-IE"/>
        </w:rPr>
      </w:pP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Maltese NIR reports the outcomes of a study aiming at defining the potential for LNG bunkering. The Government of Malta is expecting to adopt a national policy for the implementation of the required LNG bunkering. For the time being, the MT NIR does no</w:t>
      </w:r>
      <w:r>
        <w:rPr>
          <w:rFonts w:ascii="Times New Roman" w:hAnsi="Times New Roman" w:cs="Times New Roman"/>
          <w:noProof/>
          <w:sz w:val="24"/>
          <w:lang w:val="en-IE"/>
        </w:rPr>
        <w:t xml:space="preserve">t report any information about LNG vessels.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According to the results of the above-mentioned study, LNG bunkering demand in Malta is expected to start from 2025, and to increase up to 339,000 tonnes/year in 2056 (based on MID scenario). Befo</w:t>
      </w:r>
      <w:r>
        <w:rPr>
          <w:rFonts w:ascii="Times New Roman" w:hAnsi="Times New Roman" w:cs="Times New Roman"/>
          <w:noProof/>
          <w:sz w:val="24"/>
          <w:lang w:val="en-IE"/>
        </w:rPr>
        <w:t xml:space="preserve">re 2025, no demand is expected unless a pilot project takes place. For this reason, the MT NIR does not report any quantitative information about LNG infrastructure. </w:t>
      </w:r>
    </w:p>
    <w:p w:rsidR="003C43BF" w:rsidRDefault="006C3212">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noProof/>
          <w:sz w:val="24"/>
          <w:lang w:val="en-IE"/>
        </w:rPr>
        <w:t>Because of the lack of numerical data, no</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and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could be computed. </w:t>
      </w:r>
    </w:p>
    <w:p w:rsidR="003C43BF" w:rsidRDefault="003C43BF">
      <w:pPr>
        <w:rPr>
          <w:rStyle w:val="Heading4Char"/>
          <w:rFonts w:ascii="Times New Roman" w:hAnsi="Times New Roman" w:cs="Times New Roman"/>
          <w:i/>
          <w:iCs/>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w:t>
      </w:r>
      <w:r>
        <w:rPr>
          <w:rStyle w:val="Heading4Char"/>
          <w:rFonts w:ascii="Times New Roman" w:hAnsi="Times New Roman" w:cs="Times New Roman"/>
          <w:noProof/>
          <w:sz w:val="24"/>
          <w:lang w:val="en-IE"/>
        </w:rPr>
        <w:t>terborne transport (inland)</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val="en-IE"/>
        </w:rPr>
        <w:t>Not applicable since Malta has no inland ports in the TEN-T Core Network.</w:t>
      </w:r>
    </w:p>
    <w:p w:rsidR="003C43BF" w:rsidRDefault="003C43BF">
      <w:pPr>
        <w:rPr>
          <w:rFonts w:ascii="Times New Roman" w:hAnsi="Times New Roman" w:cs="Times New Roman"/>
          <w:noProof/>
          <w:sz w:val="24"/>
          <w:lang w:val="en-IE"/>
        </w:rPr>
      </w:pPr>
    </w:p>
    <w:p w:rsidR="003C43BF" w:rsidRDefault="006C3212">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rsidR="003C43BF" w:rsidRDefault="006C3212">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Maltese NIR does not consider any hybrid-electric or fully-electric airplanes by 2030. </w:t>
      </w:r>
    </w:p>
    <w:p w:rsidR="003C43BF" w:rsidRDefault="006C3212">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 xml:space="preserve">Infrastructure (for </w:t>
      </w:r>
      <w:r>
        <w:rPr>
          <w:rStyle w:val="Heading4Char"/>
          <w:rFonts w:ascii="Times New Roman" w:hAnsi="Times New Roman" w:cs="Times New Roman"/>
          <w:noProof/>
          <w:sz w:val="24"/>
          <w:lang w:val="en-IE"/>
        </w:rPr>
        <w:t>stationary airplanes)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MT NIR reports no immediate plans to invest in infrastructure for electricity supply at its TEN-T Core airport. There is a generic statement about the intention to move ground operations to fully electric, but no quantitative </w:t>
      </w:r>
      <w:r>
        <w:rPr>
          <w:rFonts w:ascii="Times New Roman" w:hAnsi="Times New Roman" w:cs="Times New Roman"/>
          <w:noProof/>
          <w:sz w:val="24"/>
          <w:lang w:val="en-IE"/>
        </w:rPr>
        <w:t>information is provided.</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rsidR="003C43BF" w:rsidRDefault="006C3212">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Despite MT NIR mentioning the participation of Malta to the ICAO/CORSIA initiative, no quantitative information on flights/airplanes powered by biofuels is provided. </w:t>
      </w:r>
    </w:p>
    <w:p w:rsidR="003C43BF" w:rsidRDefault="006C3212">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w:t>
      </w:r>
      <w:r>
        <w:rPr>
          <w:rFonts w:ascii="Times New Roman" w:hAnsi="Times New Roman" w:cs="Times New Roman"/>
          <w:noProof/>
          <w:sz w:val="24"/>
          <w:lang w:val="en-IE"/>
        </w:rPr>
        <w:t>in the MT NIR.</w:t>
      </w:r>
    </w:p>
    <w:p w:rsidR="003C43BF" w:rsidRDefault="003C43BF">
      <w:pPr>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414" w:name="_Toc55301926"/>
      <w:bookmarkStart w:id="415" w:name="_Toc56944238"/>
      <w:r>
        <w:rPr>
          <w:rFonts w:ascii="Times New Roman" w:hAnsi="Times New Roman" w:cs="Times New Roman"/>
          <w:noProof/>
          <w:sz w:val="24"/>
          <w:lang w:val="en-IE"/>
        </w:rPr>
        <w:t>Measures assessment</w:t>
      </w:r>
      <w:bookmarkEnd w:id="414"/>
      <w:bookmarkEnd w:id="415"/>
      <w:r>
        <w:rPr>
          <w:rFonts w:ascii="Times New Roman" w:hAnsi="Times New Roman" w:cs="Times New Roman"/>
          <w:noProof/>
          <w:sz w:val="24"/>
          <w:lang w:val="en-IE"/>
        </w:rPr>
        <w:t xml:space="preserve"> </w:t>
      </w:r>
    </w:p>
    <w:p w:rsidR="003C43BF" w:rsidRDefault="006C3212">
      <w:pPr>
        <w:pStyle w:val="FootnoteText"/>
        <w:spacing w:after="160"/>
        <w:ind w:left="0" w:firstLine="0"/>
        <w:jc w:val="both"/>
        <w:rPr>
          <w:rFonts w:ascii="Times New Roman" w:hAnsi="Times New Roman" w:cs="Times New Roman"/>
          <w:noProof/>
          <w:sz w:val="24"/>
          <w:lang w:val="en-IE"/>
        </w:rPr>
      </w:pPr>
      <w:r>
        <w:rPr>
          <w:rFonts w:ascii="Times New Roman" w:hAnsi="Times New Roman" w:cs="Times New Roman"/>
          <w:noProof/>
          <w:sz w:val="24"/>
          <w:lang w:val="en-IE"/>
        </w:rPr>
        <w:t>As in the NPF, a series of measures are mentioned in the MT NIR, which reflect mainly the focus on electro-mobility in the short term, as electricity “</w:t>
      </w:r>
      <w:r>
        <w:rPr>
          <w:rFonts w:ascii="Times New Roman" w:hAnsi="Times New Roman" w:cs="Times New Roman"/>
          <w:i/>
          <w:noProof/>
          <w:sz w:val="24"/>
          <w:lang w:val="en-IE"/>
        </w:rPr>
        <w:t>is considered as the most promising fuel for future transport system</w:t>
      </w:r>
      <w:r>
        <w:rPr>
          <w:rFonts w:ascii="Times New Roman" w:hAnsi="Times New Roman" w:cs="Times New Roman"/>
          <w:i/>
          <w:noProof/>
          <w:sz w:val="24"/>
          <w:lang w:val="en-IE"/>
        </w:rPr>
        <w:t>s in Malta</w:t>
      </w:r>
      <w:r>
        <w:rPr>
          <w:rFonts w:ascii="Times New Roman" w:hAnsi="Times New Roman" w:cs="Times New Roman"/>
          <w:noProof/>
          <w:sz w:val="24"/>
          <w:lang w:val="en-IE"/>
        </w:rPr>
        <w:t>”. Some of the measures are vaguely defined or lack concrete information needed to perform the assessment</w:t>
      </w:r>
      <w:r>
        <w:rPr>
          <w:rFonts w:ascii="Times New Roman" w:hAnsi="Times New Roman" w:cs="Times New Roman"/>
          <w:noProof/>
          <w:sz w:val="22"/>
          <w:vertAlign w:val="superscript"/>
          <w:lang w:val="en-IE"/>
        </w:rPr>
        <w:footnoteReference w:id="59"/>
      </w:r>
      <w:r>
        <w:rPr>
          <w:rFonts w:ascii="Times New Roman" w:hAnsi="Times New Roman" w:cs="Times New Roman"/>
          <w:noProof/>
          <w:sz w:val="24"/>
          <w:lang w:val="en-IE"/>
        </w:rPr>
        <w:t>.</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Maltese NIR contains seven legal measures, in general with a higher level of ambition compared to those in the NPF. Th</w:t>
      </w:r>
      <w:r>
        <w:rPr>
          <w:rFonts w:ascii="Times New Roman" w:hAnsi="Times New Roman" w:cs="Times New Roman"/>
          <w:noProof/>
          <w:sz w:val="24"/>
          <w:lang w:val="en-IE"/>
        </w:rPr>
        <w:t>e majority of the reported measures are specifically concerning the electricity/road pair.</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legislative &amp; regulatory category of the Maltese NIR contains six legal measures, all of which are exclusively reported in the NIR. Thre</w:t>
      </w:r>
      <w:r>
        <w:rPr>
          <w:rFonts w:ascii="Times New Roman" w:hAnsi="Times New Roman" w:cs="Times New Roman"/>
          <w:noProof/>
          <w:sz w:val="24"/>
          <w:lang w:val="en-IE"/>
        </w:rPr>
        <w:t xml:space="preserve">e measures relate to the electricity/road cluster and the rest to combinations of AFs. </w:t>
      </w:r>
    </w:p>
    <w:p w:rsidR="003C43BF" w:rsidRDefault="006C3212">
      <w:pPr>
        <w:pStyle w:val="NormalWeb"/>
        <w:spacing w:before="0" w:beforeAutospacing="0" w:after="160" w:afterAutospacing="0" w:line="259" w:lineRule="auto"/>
        <w:jc w:val="both"/>
        <w:rPr>
          <w:rFonts w:eastAsiaTheme="minorHAnsi"/>
          <w:noProof/>
          <w:szCs w:val="22"/>
          <w:lang w:val="en-IE" w:eastAsia="en-US"/>
        </w:rPr>
      </w:pPr>
      <w:r>
        <w:rPr>
          <w:rFonts w:eastAsiaTheme="minorHAnsi"/>
          <w:noProof/>
          <w:szCs w:val="22"/>
          <w:lang w:val="en-IE" w:eastAsia="en-US"/>
        </w:rPr>
        <w:t>An important legal measure, currently under evaluation by Maltese institutions, is the ICE cut-off date. In 2018, the Maltese Government had decreed that a cut-off date</w:t>
      </w:r>
      <w:r>
        <w:rPr>
          <w:rFonts w:eastAsiaTheme="minorHAnsi"/>
          <w:noProof/>
          <w:szCs w:val="22"/>
          <w:lang w:val="en-IE" w:eastAsia="en-US"/>
        </w:rPr>
        <w:t xml:space="preserve"> for the importation and registration of new and second-hand ICE vehicles on the Maltese Territory should be fixed. The Cabinet of Ministers had mandated the setting up of an inter-ministerial Committee to study the implications of such a ban. It is expect</w:t>
      </w:r>
      <w:r>
        <w:rPr>
          <w:rFonts w:eastAsiaTheme="minorHAnsi"/>
          <w:noProof/>
          <w:szCs w:val="22"/>
          <w:lang w:val="en-IE" w:eastAsia="en-US"/>
        </w:rPr>
        <w:t>ed that the Committee will present its findings and suggestions by the second half of 2020 (b</w:t>
      </w:r>
      <w:r>
        <w:rPr>
          <w:noProof/>
        </w:rPr>
        <w:t>y time of publication this sentence should be reviewed)</w:t>
      </w:r>
      <w:r>
        <w:rPr>
          <w:rFonts w:eastAsiaTheme="minorHAnsi"/>
          <w:noProof/>
          <w:szCs w:val="22"/>
          <w:lang w:val="en-IE" w:eastAsia="en-US"/>
        </w:rPr>
        <w:t xml:space="preserve">. This measure is expected to significantly impact the deployment of electro-mobility in Malta.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In Malta’s Transport Master Plan 2025 there is a target of 20% of the national vehicle fleet to be composed of non-conventionally fuelled vehicles by 2025, and the gradual phasing out of ‘conventionally fuelled’ vehicles in urban areas by 50% in 2030. No s</w:t>
      </w:r>
      <w:r>
        <w:rPr>
          <w:rFonts w:ascii="Times New Roman" w:hAnsi="Times New Roman" w:cs="Times New Roman"/>
          <w:noProof/>
          <w:sz w:val="24"/>
          <w:lang w:val="en-IE"/>
        </w:rPr>
        <w:t xml:space="preserve">pecific details are reported, as the MT NIR declares that the Government plans to study further this issue and provide more detailed projections after 2020. The Maltese NIR mentions as well that the National Electro-mobility Action Plan is currently being </w:t>
      </w:r>
      <w:r>
        <w:rPr>
          <w:rFonts w:ascii="Times New Roman" w:hAnsi="Times New Roman" w:cs="Times New Roman"/>
          <w:noProof/>
          <w:sz w:val="24"/>
          <w:lang w:val="en-IE"/>
        </w:rPr>
        <w:t xml:space="preserve">updated.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Other measures concern transpositions into national legislation of articles of the AFI Directive and of the Energy Performance in Buildings Directive. The “Petroleum for the Inland (Retail) Fuel Market Regulations (545.22)” are also mentioned to </w:t>
      </w:r>
      <w:r>
        <w:rPr>
          <w:rFonts w:ascii="Times New Roman" w:hAnsi="Times New Roman" w:cs="Times New Roman"/>
          <w:noProof/>
          <w:sz w:val="24"/>
          <w:lang w:val="en-IE"/>
        </w:rPr>
        <w:t>ensure that the geographic location of the public alternative fuels refuelling points are accessible on an open and non-discriminatory basis to all users. A regulatory framework governing the personal and shared use of e-scooters put in place at the end of</w:t>
      </w:r>
      <w:r>
        <w:rPr>
          <w:rFonts w:ascii="Times New Roman" w:hAnsi="Times New Roman" w:cs="Times New Roman"/>
          <w:noProof/>
          <w:sz w:val="24"/>
          <w:lang w:val="en-IE"/>
        </w:rPr>
        <w:t xml:space="preserve"> 2019 is presented as well.</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only administrative measure mentioned in the MT NIR as well as in the NPF, targeted for completion by the end of 2020, relates to the integration of the Intelligent Transport Systems (ITS) Platform at the Nati</w:t>
      </w:r>
      <w:r>
        <w:rPr>
          <w:rFonts w:ascii="Times New Roman" w:hAnsi="Times New Roman" w:cs="Times New Roman"/>
          <w:noProof/>
          <w:sz w:val="24"/>
          <w:lang w:val="en-IE"/>
        </w:rPr>
        <w:t>onal Transport Control Centre aiming at facilitating the interface between vehicles and infrastructure.</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rsidR="003C43BF" w:rsidRDefault="006C3212">
      <w:pPr>
        <w:jc w:val="both"/>
        <w:rPr>
          <w:rFonts w:ascii="Times New Roman" w:hAnsi="Times New Roman" w:cs="Times New Roman"/>
          <w:i/>
          <w:iCs/>
          <w:noProof/>
          <w:sz w:val="24"/>
          <w:lang w:val="en-IE"/>
        </w:rPr>
      </w:pPr>
      <w:r>
        <w:rPr>
          <w:rFonts w:ascii="Times New Roman" w:hAnsi="Times New Roman" w:cs="Times New Roman"/>
          <w:noProof/>
          <w:sz w:val="24"/>
          <w:lang w:val="en-IE"/>
        </w:rPr>
        <w:t>The Maltese NIR reports 15 policy measures of which 11 had already been reported in the NPF and 4 are new. All the policy measures conc</w:t>
      </w:r>
      <w:r>
        <w:rPr>
          <w:rFonts w:ascii="Times New Roman" w:hAnsi="Times New Roman" w:cs="Times New Roman"/>
          <w:noProof/>
          <w:sz w:val="24"/>
          <w:lang w:val="en-IE"/>
        </w:rPr>
        <w:t>ern the road as transport mode and focus mainly on electricity as alternative fuel. Twelve of them can be categorised as measures to ensure national targets and objectives, two as measures that can promote AFI in public transport services and one as a meas</w:t>
      </w:r>
      <w:r>
        <w:rPr>
          <w:rFonts w:ascii="Times New Roman" w:hAnsi="Times New Roman" w:cs="Times New Roman"/>
          <w:noProof/>
          <w:sz w:val="24"/>
          <w:lang w:val="en-IE"/>
        </w:rPr>
        <w:t>ure that can promote the deployment of private electro-mobility infrastructure.</w:t>
      </w:r>
    </w:p>
    <w:p w:rsidR="003C43BF" w:rsidRDefault="006C3212">
      <w:pPr>
        <w:pStyle w:val="Heading5"/>
        <w:rPr>
          <w:rFonts w:ascii="Times New Roman" w:hAnsi="Times New Roman" w:cs="Times New Roman"/>
          <w:noProof/>
          <w:sz w:val="24"/>
          <w:lang w:val="en-IE"/>
        </w:rPr>
      </w:pPr>
      <w:bookmarkStart w:id="416" w:name="_Ref50327661"/>
      <w:r>
        <w:rPr>
          <w:rFonts w:ascii="Times New Roman" w:hAnsi="Times New Roman" w:cs="Times New Roman"/>
          <w:noProof/>
          <w:sz w:val="24"/>
          <w:lang w:val="en-IE"/>
        </w:rPr>
        <w:t>Measures to ensure national targets and objectives</w:t>
      </w:r>
      <w:bookmarkEnd w:id="416"/>
    </w:p>
    <w:p w:rsidR="003C43BF" w:rsidRDefault="006C3212">
      <w:pPr>
        <w:pStyle w:val="Heading6"/>
        <w:numPr>
          <w:ilvl w:val="0"/>
          <w:numId w:val="0"/>
        </w:numPr>
        <w:rPr>
          <w:rFonts w:ascii="Times New Roman" w:hAnsi="Times New Roman" w:cs="Times New Roman"/>
          <w:noProof/>
          <w:sz w:val="24"/>
          <w:lang w:val="en-IE" w:eastAsia="it-IT"/>
        </w:rPr>
      </w:pPr>
      <w:bookmarkStart w:id="417" w:name="_Ref50327602"/>
      <w:r>
        <w:rPr>
          <w:rFonts w:ascii="Times New Roman" w:hAnsi="Times New Roman" w:cs="Times New Roman"/>
          <w:noProof/>
          <w:sz w:val="24"/>
          <w:lang w:val="en-IE" w:eastAsia="it-IT"/>
        </w:rPr>
        <w:t>Road</w:t>
      </w:r>
      <w:bookmarkEnd w:id="417"/>
      <w:r>
        <w:rPr>
          <w:rFonts w:ascii="Times New Roman" w:hAnsi="Times New Roman" w:cs="Times New Roman"/>
          <w:noProof/>
          <w:sz w:val="24"/>
          <w:lang w:val="en-IE" w:eastAsia="it-IT"/>
        </w:rPr>
        <w:t xml:space="preserve"> transport</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Maltese NPF had mentioned quite a large number of measures to enhance the deployment of road </w:t>
      </w:r>
      <w:r>
        <w:rPr>
          <w:rFonts w:ascii="Times New Roman" w:hAnsi="Times New Roman" w:cs="Times New Roman"/>
          <w:noProof/>
          <w:sz w:val="24"/>
          <w:lang w:val="en-IE"/>
        </w:rPr>
        <w:t>electro-mobility, mainly financial measures like substantial direct incentives for purchase, taxation exemption schemes and public procurement incentives. The measures were often limited in time and budget, with annual extension foreseen. The NIR pursues m</w:t>
      </w:r>
      <w:r>
        <w:rPr>
          <w:rFonts w:ascii="Times New Roman" w:hAnsi="Times New Roman" w:cs="Times New Roman"/>
          <w:noProof/>
          <w:sz w:val="24"/>
          <w:lang w:val="en-IE"/>
        </w:rPr>
        <w:t>any of them but in some cases (especially, the purchase subsidies and scrappage schemes) without providing enough details that are needed for their assessment according to the methodology</w:t>
      </w:r>
      <w:r>
        <w:rPr>
          <w:rFonts w:ascii="Times New Roman" w:hAnsi="Times New Roman" w:cs="Times New Roman"/>
          <w:iCs/>
          <w:noProof/>
          <w:color w:val="000000" w:themeColor="text1"/>
          <w:sz w:val="24"/>
          <w:lang w:val="en-IE"/>
        </w:rPr>
        <w:t xml:space="preserve"> described in Section 2.2</w:t>
      </w:r>
      <w:r>
        <w:rPr>
          <w:rFonts w:ascii="Times New Roman" w:hAnsi="Times New Roman" w:cs="Times New Roman"/>
          <w:noProof/>
          <w:sz w:val="24"/>
          <w:lang w:val="en-IE"/>
        </w:rPr>
        <w:t xml:space="preserve">. The continuation of these measures in the </w:t>
      </w:r>
      <w:r>
        <w:rPr>
          <w:rFonts w:ascii="Times New Roman" w:hAnsi="Times New Roman" w:cs="Times New Roman"/>
          <w:noProof/>
          <w:sz w:val="24"/>
          <w:lang w:val="en-IE"/>
        </w:rPr>
        <w:t xml:space="preserve">future is not clearly presented in the MT NIR.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More specifically, the MT NIR mentions that various schemes providing subsidies were launched on an annual basis with various changes over the years and their allocated budget was 1.9 million € for the period</w:t>
      </w:r>
      <w:r>
        <w:rPr>
          <w:rFonts w:ascii="Times New Roman" w:hAnsi="Times New Roman" w:cs="Times New Roman"/>
          <w:noProof/>
          <w:sz w:val="24"/>
          <w:lang w:val="en-IE"/>
        </w:rPr>
        <w:t xml:space="preserve"> 2016-2019 (e.g. direct incentives for purchase for individuals and companies which supported the purchase of 373 EVs, 39 electric motorcycles and 185 pedelecs). EVs have been exempted since 2018 from paying the registration tax as well as the annual circu</w:t>
      </w:r>
      <w:r>
        <w:rPr>
          <w:rFonts w:ascii="Times New Roman" w:hAnsi="Times New Roman" w:cs="Times New Roman"/>
          <w:noProof/>
          <w:sz w:val="24"/>
          <w:lang w:val="en-IE"/>
        </w:rPr>
        <w:t>lation tax (for a period of five years after registration). The EVs and the LPG vehicles are allowed to use the priority lane, while EVs are also exempt from tariffs related to the Controlled Vehicular Access system in Valletta.</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To increase and stimulate t</w:t>
      </w:r>
      <w:r>
        <w:rPr>
          <w:rFonts w:ascii="Times New Roman" w:hAnsi="Times New Roman" w:cs="Times New Roman"/>
          <w:noProof/>
          <w:sz w:val="24"/>
          <w:lang w:val="en-IE"/>
        </w:rPr>
        <w:t>he use of EVs in Malta as well as to promote the sharing economy and address congestion, a National e-Car Sharing Project started in 2018 to offer mobility as a service at no less than 45 mandatory locations. The service was launched with 150 BEVs and an a</w:t>
      </w:r>
      <w:r>
        <w:rPr>
          <w:rFonts w:ascii="Times New Roman" w:hAnsi="Times New Roman" w:cs="Times New Roman"/>
          <w:noProof/>
          <w:sz w:val="24"/>
          <w:lang w:val="en-IE"/>
        </w:rPr>
        <w:t>dditional 30 BEVs during the third quarter of 2019. In late 2019, electric motorcycle (scooter type) sharing was also introduced. In the NIR, it is reported that the company is expected to include electric van sharing services in 2020 as well as installati</w:t>
      </w:r>
      <w:r>
        <w:rPr>
          <w:rFonts w:ascii="Times New Roman" w:hAnsi="Times New Roman" w:cs="Times New Roman"/>
          <w:noProof/>
          <w:sz w:val="24"/>
          <w:lang w:val="en-IE"/>
        </w:rPr>
        <w:t>on and operation of 450 medium-fast recharging points. According to the MT NIR, this deployment has already started. These recharging points will be offered to third party EV owners to charge their vehicle when the point is not being occupied by the EVs of</w:t>
      </w:r>
      <w:r>
        <w:rPr>
          <w:rFonts w:ascii="Times New Roman" w:hAnsi="Times New Roman" w:cs="Times New Roman"/>
          <w:noProof/>
          <w:sz w:val="24"/>
          <w:lang w:val="en-IE"/>
        </w:rPr>
        <w:t xml:space="preserve"> the sharing fleet.</w:t>
      </w:r>
    </w:p>
    <w:p w:rsidR="003C43BF" w:rsidRDefault="006C3212">
      <w:pPr>
        <w:jc w:val="both"/>
        <w:rPr>
          <w:rFonts w:ascii="Times New Roman" w:eastAsia="Times New Roman" w:hAnsi="Times New Roman" w:cs="Times New Roman"/>
          <w:noProof/>
          <w:color w:val="333333"/>
          <w:sz w:val="24"/>
          <w:lang w:val="en-IE" w:eastAsia="it-IT"/>
        </w:rPr>
      </w:pPr>
      <w:r>
        <w:rPr>
          <w:rFonts w:ascii="Times New Roman" w:hAnsi="Times New Roman" w:cs="Times New Roman"/>
          <w:noProof/>
          <w:sz w:val="24"/>
          <w:lang w:val="en-IE"/>
        </w:rPr>
        <w:t>The use of EVs for the last mile delivery of goods is also under evaluation with a pilot project underway</w:t>
      </w:r>
      <w:r>
        <w:rPr>
          <w:rStyle w:val="FootnoteReference"/>
          <w:rFonts w:ascii="Times New Roman" w:eastAsia="Times New Roman" w:hAnsi="Times New Roman" w:cs="Times New Roman"/>
          <w:noProof/>
          <w:color w:val="333333"/>
          <w:sz w:val="24"/>
          <w:lang w:val="en-IE" w:eastAsia="it-IT"/>
        </w:rPr>
        <w:footnoteReference w:id="60"/>
      </w:r>
      <w:r>
        <w:rPr>
          <w:rFonts w:ascii="Times New Roman" w:eastAsia="Times New Roman" w:hAnsi="Times New Roman" w:cs="Times New Roman"/>
          <w:noProof/>
          <w:color w:val="333333"/>
          <w:sz w:val="24"/>
          <w:lang w:val="en-IE" w:eastAsia="it-IT"/>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measures detailed in the NPF on the promotion and support of electric bicycles (pedelecs) use are no longer mentioned in </w:t>
      </w:r>
      <w:r>
        <w:rPr>
          <w:rFonts w:ascii="Times New Roman" w:hAnsi="Times New Roman" w:cs="Times New Roman"/>
          <w:noProof/>
          <w:sz w:val="24"/>
          <w:lang w:val="en-IE"/>
        </w:rPr>
        <w:t>the NIR anymore.</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incentive scheme for the conversion of a conventional fuel motor vehicle to run on LPG continues since 2013 (granting €200 per vehicle).</w:t>
      </w:r>
    </w:p>
    <w:p w:rsidR="003C43BF" w:rsidRDefault="006C3212">
      <w:pPr>
        <w:pStyle w:val="Heading6"/>
        <w:numPr>
          <w:ilvl w:val="0"/>
          <w:numId w:val="0"/>
        </w:numPr>
        <w:rPr>
          <w:rFonts w:ascii="Times New Roman" w:hAnsi="Times New Roman" w:cs="Times New Roman"/>
          <w:noProof/>
          <w:sz w:val="24"/>
          <w:lang w:val="en-IE" w:eastAsia="it-IT"/>
        </w:rPr>
      </w:pPr>
      <w:r>
        <w:rPr>
          <w:rFonts w:ascii="Times New Roman" w:hAnsi="Times New Roman" w:cs="Times New Roman"/>
          <w:noProof/>
          <w:sz w:val="24"/>
          <w:lang w:val="en-IE" w:eastAsia="it-IT"/>
        </w:rPr>
        <w:t>Biofuels</w:t>
      </w:r>
    </w:p>
    <w:p w:rsidR="003C43BF" w:rsidRDefault="006C3212">
      <w:pPr>
        <w:jc w:val="both"/>
        <w:rPr>
          <w:rFonts w:ascii="Times New Roman" w:eastAsia="Times New Roman" w:hAnsi="Times New Roman" w:cs="Times New Roman"/>
          <w:noProof/>
          <w:color w:val="000000" w:themeColor="text1"/>
          <w:sz w:val="24"/>
          <w:lang w:val="en-IE" w:eastAsia="it-IT"/>
        </w:rPr>
      </w:pPr>
      <w:r>
        <w:rPr>
          <w:rFonts w:ascii="Times New Roman" w:eastAsia="Times New Roman" w:hAnsi="Times New Roman" w:cs="Times New Roman"/>
          <w:noProof/>
          <w:color w:val="000000" w:themeColor="text1"/>
          <w:sz w:val="24"/>
          <w:lang w:val="en-IE" w:eastAsia="it-IT"/>
        </w:rPr>
        <w:t>Malta has introduced an obligation on fuel importers to blend 0.1% share of advanced biof</w:t>
      </w:r>
      <w:r>
        <w:rPr>
          <w:rFonts w:ascii="Times New Roman" w:eastAsia="Times New Roman" w:hAnsi="Times New Roman" w:cs="Times New Roman"/>
          <w:noProof/>
          <w:color w:val="000000" w:themeColor="text1"/>
          <w:sz w:val="24"/>
          <w:lang w:val="en-IE" w:eastAsia="it-IT"/>
        </w:rPr>
        <w:t>uels in their mix in 2020. Local importers and wholesalers of petrol and diesel are expected to meet their post-2020 substitution obligation by blending regular diesel with FAME and HVO. High blends of bioethanol (&gt;E5) are not distributed for consumption i</w:t>
      </w:r>
      <w:r>
        <w:rPr>
          <w:rFonts w:ascii="Times New Roman" w:eastAsia="Times New Roman" w:hAnsi="Times New Roman" w:cs="Times New Roman"/>
          <w:noProof/>
          <w:color w:val="000000" w:themeColor="text1"/>
          <w:sz w:val="24"/>
          <w:lang w:val="en-IE" w:eastAsia="it-IT"/>
        </w:rPr>
        <w:t>n Malta.</w:t>
      </w:r>
    </w:p>
    <w:p w:rsidR="003C43BF" w:rsidRDefault="006C3212">
      <w:pPr>
        <w:pStyle w:val="western"/>
        <w:spacing w:before="0" w:beforeAutospacing="0" w:after="160" w:line="259" w:lineRule="auto"/>
        <w:rPr>
          <w:rFonts w:ascii="Times New Roman" w:hAnsi="Times New Roman"/>
          <w:noProof/>
          <w:color w:val="000000" w:themeColor="text1"/>
          <w:szCs w:val="22"/>
          <w:lang w:val="en-IE"/>
        </w:rPr>
      </w:pPr>
      <w:r>
        <w:rPr>
          <w:rFonts w:ascii="Times New Roman" w:hAnsi="Times New Roman"/>
          <w:noProof/>
          <w:color w:val="000000" w:themeColor="text1"/>
          <w:szCs w:val="22"/>
          <w:lang w:val="en-IE"/>
        </w:rPr>
        <w:t>The Maltese NIR pointed out that, given the relatively small market, the country cannot take advantage of economies of scale in procurement and shipping, therefore the CIF costs</w:t>
      </w:r>
      <w:r>
        <w:rPr>
          <w:rStyle w:val="FootnoteReference"/>
          <w:rFonts w:ascii="Times New Roman" w:hAnsi="Times New Roman"/>
          <w:noProof/>
          <w:color w:val="000000" w:themeColor="text1"/>
          <w:szCs w:val="22"/>
          <w:lang w:val="en-IE"/>
        </w:rPr>
        <w:footnoteReference w:id="61"/>
      </w:r>
      <w:r>
        <w:rPr>
          <w:rFonts w:ascii="Times New Roman" w:hAnsi="Times New Roman"/>
          <w:noProof/>
          <w:color w:val="000000" w:themeColor="text1"/>
          <w:szCs w:val="22"/>
          <w:lang w:val="en-IE"/>
        </w:rPr>
        <w:t xml:space="preserve"> tend to be higher than for larger markets. This is expected to limit</w:t>
      </w:r>
      <w:r>
        <w:rPr>
          <w:rFonts w:ascii="Times New Roman" w:hAnsi="Times New Roman"/>
          <w:noProof/>
          <w:color w:val="000000" w:themeColor="text1"/>
          <w:szCs w:val="22"/>
          <w:lang w:val="en-IE"/>
        </w:rPr>
        <w:t xml:space="preserve"> specific initiatives on biofuels in Malta. In spite of this remark, in the scenario proposed at page 23 of the Maltese NIR, the advanced biofuels are expected to contribute to 25% of the total consumption of biofuels by 2030.</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w:t>
      </w:r>
      <w:r>
        <w:rPr>
          <w:rFonts w:ascii="Times New Roman" w:hAnsi="Times New Roman" w:cs="Times New Roman"/>
          <w:noProof/>
          <w:sz w:val="24"/>
          <w:lang w:val="en-IE"/>
        </w:rPr>
        <w:t xml:space="preserve"> in public transport services</w:t>
      </w:r>
    </w:p>
    <w:p w:rsidR="003C43BF" w:rsidRDefault="006C3212">
      <w:pPr>
        <w:jc w:val="both"/>
        <w:rPr>
          <w:rFonts w:ascii="Times New Roman" w:hAnsi="Times New Roman" w:cs="Times New Roman"/>
          <w:noProof/>
          <w:color w:val="000000" w:themeColor="text1"/>
          <w:sz w:val="24"/>
          <w:lang w:val="en-IE"/>
        </w:rPr>
      </w:pPr>
      <w:r>
        <w:rPr>
          <w:rFonts w:ascii="Times New Roman" w:eastAsia="Times New Roman" w:hAnsi="Times New Roman" w:cs="Times New Roman"/>
          <w:noProof/>
          <w:color w:val="000000" w:themeColor="text1"/>
          <w:sz w:val="24"/>
          <w:lang w:val="en-IE" w:eastAsia="it-IT"/>
        </w:rPr>
        <w:t xml:space="preserve">The Maltese NIR reports that under the current scheduled public transport Concession Agreement expiring in 2030, fleet using alternative fuels is not contemplated. However, two measures with influence on promoting alternative </w:t>
      </w:r>
      <w:r>
        <w:rPr>
          <w:rFonts w:ascii="Times New Roman" w:eastAsia="Times New Roman" w:hAnsi="Times New Roman" w:cs="Times New Roman"/>
          <w:noProof/>
          <w:color w:val="000000" w:themeColor="text1"/>
          <w:sz w:val="24"/>
          <w:lang w:val="en-IE" w:eastAsia="it-IT"/>
        </w:rPr>
        <w:t>fuels in the public transport service are present in the MT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Buses</w:t>
      </w:r>
    </w:p>
    <w:p w:rsidR="003C43BF" w:rsidRDefault="006C3212">
      <w:pPr>
        <w:pStyle w:val="western"/>
        <w:spacing w:before="0" w:beforeAutospacing="0" w:after="160" w:line="259" w:lineRule="auto"/>
        <w:rPr>
          <w:rFonts w:ascii="Times New Roman" w:hAnsi="Times New Roman"/>
          <w:noProof/>
          <w:color w:val="000000" w:themeColor="text1"/>
          <w:szCs w:val="22"/>
          <w:lang w:val="en-IE"/>
        </w:rPr>
      </w:pPr>
      <w:r>
        <w:rPr>
          <w:rFonts w:ascii="Times New Roman" w:hAnsi="Times New Roman"/>
          <w:noProof/>
          <w:color w:val="000000" w:themeColor="text1"/>
          <w:szCs w:val="22"/>
          <w:lang w:val="en-IE"/>
        </w:rPr>
        <w:t>Six electric buses are planned to operate an on-demand shuttle service, between the multi modal hub in Xewkija and the Mgarr Harbour Terminal (TEN-T comprehensive) in Gozo Island. The a</w:t>
      </w:r>
      <w:r>
        <w:rPr>
          <w:rFonts w:ascii="Times New Roman" w:hAnsi="Times New Roman"/>
          <w:noProof/>
          <w:color w:val="000000" w:themeColor="text1"/>
          <w:szCs w:val="22"/>
          <w:lang w:val="en-IE"/>
        </w:rPr>
        <w:t>im is to promote the use of greener transport contributing towards lower emissions in the area and reduced traffic congestion within and around the Mgarr Harbour. The total cost for these e-buses is €1,994,607 out of which €1,636,245 are eligible for EU fu</w:t>
      </w:r>
      <w:r>
        <w:rPr>
          <w:rFonts w:ascii="Times New Roman" w:hAnsi="Times New Roman"/>
          <w:noProof/>
          <w:color w:val="000000" w:themeColor="text1"/>
          <w:szCs w:val="22"/>
          <w:lang w:val="en-IE"/>
        </w:rPr>
        <w:t>nding. These electric buses will be supported by four slow recharging stations located within the multi modal hub with a cost for purchase and installation estimated at around €230,000. The Ministry of Gozo plans to procure them through National Funds. The</w:t>
      </w:r>
      <w:r>
        <w:rPr>
          <w:rFonts w:ascii="Times New Roman" w:hAnsi="Times New Roman"/>
          <w:noProof/>
          <w:color w:val="000000" w:themeColor="text1"/>
          <w:szCs w:val="22"/>
          <w:lang w:val="en-IE"/>
        </w:rPr>
        <w:t xml:space="preserve"> ambition of these two measures is slightly reduced compared to that of the NPF, where 8 electric buses and 10 recharging points were foreseen.</w:t>
      </w:r>
    </w:p>
    <w:p w:rsidR="003C43BF" w:rsidRDefault="006C3212">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rsidR="003C43BF" w:rsidRDefault="006C3212">
      <w:pPr>
        <w:pStyle w:val="western"/>
        <w:spacing w:before="0" w:beforeAutospacing="0" w:after="160" w:line="259" w:lineRule="auto"/>
        <w:rPr>
          <w:rFonts w:ascii="Times New Roman" w:hAnsi="Times New Roman"/>
          <w:noProof/>
          <w:color w:val="000000" w:themeColor="text1"/>
          <w:sz w:val="28"/>
          <w:lang w:val="en-IE"/>
        </w:rPr>
      </w:pPr>
      <w:r>
        <w:rPr>
          <w:rFonts w:ascii="Times New Roman" w:hAnsi="Times New Roman"/>
          <w:noProof/>
          <w:color w:val="000000" w:themeColor="text1"/>
          <w:szCs w:val="22"/>
          <w:lang w:val="en-IE"/>
        </w:rPr>
        <w:t xml:space="preserve">On private electro-mobility </w:t>
      </w:r>
      <w:r>
        <w:rPr>
          <w:rFonts w:ascii="Times New Roman" w:hAnsi="Times New Roman"/>
          <w:noProof/>
          <w:color w:val="000000" w:themeColor="text1"/>
          <w:szCs w:val="22"/>
          <w:lang w:val="en-IE"/>
        </w:rPr>
        <w:t>infrastructure, the Maltese NIR reports that the National Electric Vehicle Charging Network provides electric vehicles users with the possibility to charge using publicly accessible charging points in public parking spaces across Malta and Gozo at 4-hour s</w:t>
      </w:r>
      <w:r>
        <w:rPr>
          <w:rFonts w:ascii="Times New Roman" w:hAnsi="Times New Roman"/>
          <w:noProof/>
          <w:color w:val="000000" w:themeColor="text1"/>
          <w:szCs w:val="22"/>
          <w:lang w:val="en-IE"/>
        </w:rPr>
        <w:t xml:space="preserve">lot intervals with a pre-booking system being available through a web-based interface. </w:t>
      </w:r>
    </w:p>
    <w:p w:rsidR="003C43BF" w:rsidRDefault="006C3212">
      <w:pPr>
        <w:pStyle w:val="western"/>
        <w:spacing w:before="0" w:beforeAutospacing="0" w:after="160" w:line="259" w:lineRule="auto"/>
        <w:rPr>
          <w:rFonts w:ascii="Times New Roman" w:hAnsi="Times New Roman"/>
          <w:noProof/>
          <w:color w:val="000000" w:themeColor="text1"/>
          <w:szCs w:val="22"/>
          <w:lang w:val="en-IE"/>
        </w:rPr>
      </w:pPr>
      <w:r>
        <w:rPr>
          <w:rFonts w:ascii="Times New Roman" w:hAnsi="Times New Roman"/>
          <w:noProof/>
          <w:color w:val="000000" w:themeColor="text1"/>
          <w:szCs w:val="22"/>
          <w:lang w:val="en-IE"/>
        </w:rPr>
        <w:t>During 2020, the electricity rate of recharging electric vehicles within residences is foreseen to be capped at €0.1298 per unit during off peak periods.</w:t>
      </w: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Deployment and</w:t>
      </w:r>
      <w:r>
        <w:rPr>
          <w:rFonts w:ascii="Times New Roman" w:hAnsi="Times New Roman" w:cs="Times New Roman"/>
          <w:noProof/>
          <w:sz w:val="24"/>
          <w:lang w:val="en-IE"/>
        </w:rPr>
        <w:t xml:space="preserve"> manufacturing support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Maltese NIR contains two measures considered to address AFI deployment support.</w:t>
      </w:r>
    </w:p>
    <w:p w:rsidR="003C43BF" w:rsidRDefault="006C3212">
      <w:pPr>
        <w:spacing w:before="119" w:after="119" w:line="240" w:lineRule="auto"/>
        <w:jc w:val="both"/>
        <w:rPr>
          <w:rFonts w:ascii="Times New Roman" w:hAnsi="Times New Roman" w:cs="Times New Roman"/>
          <w:noProof/>
          <w:sz w:val="24"/>
          <w:lang w:val="en-IE"/>
        </w:rPr>
      </w:pPr>
      <w:r>
        <w:rPr>
          <w:rFonts w:ascii="Times New Roman" w:hAnsi="Times New Roman" w:cs="Times New Roman"/>
          <w:noProof/>
          <w:sz w:val="24"/>
          <w:lang w:val="en-IE"/>
        </w:rPr>
        <w:t>According to the MT NIR, an unspecified number of fast charging points are planned to be installed by January 2021 at both ends of t</w:t>
      </w:r>
      <w:r>
        <w:rPr>
          <w:rFonts w:ascii="Times New Roman" w:hAnsi="Times New Roman" w:cs="Times New Roman"/>
          <w:noProof/>
          <w:sz w:val="24"/>
          <w:lang w:val="en-IE"/>
        </w:rPr>
        <w:t>he Malta/Sicily ferry service (funded under the EnerNETMob Interreg Med project). This project’s implementation was delayed because, according to the NPF, the installation was foreseen to be accomplished in 2019.</w:t>
      </w:r>
    </w:p>
    <w:p w:rsidR="003C43BF" w:rsidRDefault="006C3212">
      <w:pPr>
        <w:jc w:val="both"/>
        <w:rPr>
          <w:rFonts w:ascii="Times New Roman" w:eastAsia="Times New Roman" w:hAnsi="Times New Roman" w:cs="Times New Roman"/>
          <w:noProof/>
          <w:color w:val="000000" w:themeColor="text1"/>
          <w:sz w:val="24"/>
          <w:lang w:val="en-IE" w:eastAsia="it-IT"/>
        </w:rPr>
      </w:pPr>
      <w:r>
        <w:rPr>
          <w:rFonts w:ascii="Times New Roman" w:eastAsia="Times New Roman" w:hAnsi="Times New Roman" w:cs="Times New Roman"/>
          <w:noProof/>
          <w:color w:val="000000" w:themeColor="text1"/>
          <w:sz w:val="24"/>
          <w:lang w:val="en-IE" w:eastAsia="it-IT"/>
        </w:rPr>
        <w:t>The Maltese NIR reports that “</w:t>
      </w:r>
      <w:r>
        <w:rPr>
          <w:rFonts w:ascii="Times New Roman" w:eastAsia="Times New Roman" w:hAnsi="Times New Roman" w:cs="Times New Roman"/>
          <w:i/>
          <w:noProof/>
          <w:color w:val="000000" w:themeColor="text1"/>
          <w:sz w:val="24"/>
          <w:lang w:val="en-IE" w:eastAsia="it-IT"/>
        </w:rPr>
        <w:t>Infrastructur</w:t>
      </w:r>
      <w:r>
        <w:rPr>
          <w:rFonts w:ascii="Times New Roman" w:eastAsia="Times New Roman" w:hAnsi="Times New Roman" w:cs="Times New Roman"/>
          <w:i/>
          <w:noProof/>
          <w:color w:val="000000" w:themeColor="text1"/>
          <w:sz w:val="24"/>
          <w:lang w:val="en-IE" w:eastAsia="it-IT"/>
        </w:rPr>
        <w:t xml:space="preserve">e Malta will undertake all the necessary investment to provide shore side supply on all the quays within the </w:t>
      </w:r>
      <w:r>
        <w:rPr>
          <w:rFonts w:ascii="Times New Roman" w:hAnsi="Times New Roman" w:cs="Times New Roman"/>
          <w:i/>
          <w:noProof/>
          <w:color w:val="000000" w:themeColor="text1"/>
          <w:sz w:val="24"/>
          <w:lang w:val="en-IE"/>
        </w:rPr>
        <w:t>TEN-T Core port Grand Harbour</w:t>
      </w:r>
      <w:r>
        <w:rPr>
          <w:rFonts w:ascii="Times New Roman" w:hAnsi="Times New Roman" w:cs="Times New Roman"/>
          <w:noProof/>
          <w:color w:val="000000" w:themeColor="text1"/>
          <w:sz w:val="24"/>
          <w:lang w:val="en-IE"/>
        </w:rPr>
        <w:t>” (port of Valletta)</w:t>
      </w:r>
      <w:r>
        <w:rPr>
          <w:rFonts w:ascii="Times New Roman" w:eastAsia="Times New Roman" w:hAnsi="Times New Roman" w:cs="Times New Roman"/>
          <w:noProof/>
          <w:color w:val="000000" w:themeColor="text1"/>
          <w:sz w:val="24"/>
          <w:lang w:val="en-IE" w:eastAsia="it-IT"/>
        </w:rPr>
        <w:t>. Phase I targeted the quays utilised for Cruise Liner Ships by 2025 and the foreseen investment is estimated at 40 million €. In phase II of the project, additional investments should allow for supplying other vessels such as cargo roll-on/roll-off (RORO)</w:t>
      </w:r>
      <w:r>
        <w:rPr>
          <w:rFonts w:ascii="Times New Roman" w:eastAsia="Times New Roman" w:hAnsi="Times New Roman" w:cs="Times New Roman"/>
          <w:noProof/>
          <w:color w:val="000000" w:themeColor="text1"/>
          <w:sz w:val="24"/>
          <w:lang w:val="en-IE" w:eastAsia="it-IT"/>
        </w:rPr>
        <w:t xml:space="preserve">, etc. Shore-side electricity supply for the maritime ports on the TEN-T Comprehensive Network is not foreseen in the MT NIR at this stage.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rsidR="003C43BF" w:rsidRDefault="006C3212">
      <w:pPr>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The Maltese NIR contains no measures to explicitly support manufacturing plants for AF technologies. </w:t>
      </w:r>
    </w:p>
    <w:p w:rsidR="003C43BF" w:rsidRDefault="006C3212">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w:t>
      </w:r>
      <w:r>
        <w:rPr>
          <w:rFonts w:ascii="Times New Roman" w:hAnsi="Times New Roman" w:cs="Times New Roman"/>
          <w:noProof/>
          <w:sz w:val="24"/>
          <w:lang w:val="en-IE"/>
        </w:rPr>
        <w:t>Maltese NIR.</w:t>
      </w:r>
    </w:p>
    <w:p w:rsidR="003C43BF" w:rsidRDefault="003C43BF">
      <w:pPr>
        <w:jc w:val="both"/>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_Ref52873329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5.18.4</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overview of the analysis of all the Po</w:t>
      </w:r>
      <w:r>
        <w:rPr>
          <w:rFonts w:ascii="Times New Roman" w:hAnsi="Times New Roman" w:cs="Times New Roman"/>
          <w:noProof/>
          <w:sz w:val="24"/>
          <w:lang w:val="en-IE"/>
        </w:rPr>
        <w:t xml:space="preserve">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xml:space="preserve">. No clusters of measures have emerged for CNG, LNG and hydrogen related to road transport, nor for rail and air transport modes.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w:t>
      </w:r>
      <w:r>
        <w:rPr>
          <w:rFonts w:ascii="Times New Roman" w:hAnsi="Times New Roman" w:cs="Times New Roman"/>
          <w:noProof/>
          <w:sz w:val="24"/>
          <w:lang w:val="en-IE"/>
        </w:rPr>
        <w:t xml:space="preserve"> vast majority of the assessable measures are targeting the pair </w:t>
      </w:r>
      <w:r>
        <w:rPr>
          <w:rFonts w:ascii="Times New Roman" w:hAnsi="Times New Roman" w:cs="Times New Roman"/>
          <w:iCs/>
          <w:noProof/>
          <w:sz w:val="24"/>
          <w:lang w:val="en-IE"/>
        </w:rPr>
        <w:t>electricity/road, which is t</w:t>
      </w:r>
      <w:r>
        <w:rPr>
          <w:rFonts w:ascii="Times New Roman" w:hAnsi="Times New Roman" w:cs="Times New Roman"/>
          <w:noProof/>
          <w:sz w:val="24"/>
          <w:lang w:val="en-IE"/>
        </w:rPr>
        <w:t xml:space="preserve">he main focus of the MT NIR set of measures. While it results comprehensive since it concerns both vehicles and infrastructure (with financial and non-financial </w:t>
      </w:r>
      <w:r>
        <w:rPr>
          <w:rFonts w:ascii="Times New Roman" w:hAnsi="Times New Roman" w:cs="Times New Roman"/>
          <w:noProof/>
          <w:sz w:val="24"/>
          <w:lang w:val="en-IE"/>
        </w:rPr>
        <w:t>measures), it obtained a medium overall score, which is also due to the lack of details that limited the possibility of a robust assessment. Its ambition is considered to have increased compared to the NPF</w:t>
      </w:r>
      <w:r>
        <w:rPr>
          <w:rFonts w:ascii="Times New Roman" w:hAnsi="Times New Roman" w:cs="Times New Roman"/>
          <w:noProof/>
          <w:sz w:val="24"/>
        </w:rPr>
        <w:t>, but greater detail on planned measures is recomme</w:t>
      </w:r>
      <w:r>
        <w:rPr>
          <w:rFonts w:ascii="Times New Roman" w:hAnsi="Times New Roman" w:cs="Times New Roman"/>
          <w:noProof/>
          <w:sz w:val="24"/>
        </w:rPr>
        <w:t>nded</w:t>
      </w:r>
      <w:r>
        <w:rPr>
          <w:rFonts w:ascii="Times New Roman" w:hAnsi="Times New Roman" w:cs="Times New Roman"/>
          <w:noProof/>
          <w:sz w:val="24"/>
          <w:lang w:val="en-IE"/>
        </w:rPr>
        <w: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Another cluster identified in the MT NIR concerns LPG/road and contains two measures but only one is specifically dedicated to LPG. It has been assessed to have a low score, not to be comprehensive and with a similar ambition level as in the NPF.</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Ele</w:t>
      </w:r>
      <w:r>
        <w:rPr>
          <w:rFonts w:ascii="Times New Roman" w:hAnsi="Times New Roman" w:cs="Times New Roman"/>
          <w:noProof/>
          <w:sz w:val="24"/>
          <w:lang w:val="en-IE"/>
        </w:rPr>
        <w:t>ctricity/water - maritime is a cluster newly introduced in the NIR, which contains only one measure. The reported measure seems to have the potential to positively impact on the most important port of Malta. However, the lack of specific details influences</w:t>
      </w:r>
      <w:r>
        <w:rPr>
          <w:rFonts w:ascii="Times New Roman" w:hAnsi="Times New Roman" w:cs="Times New Roman"/>
          <w:noProof/>
          <w:sz w:val="24"/>
          <w:lang w:val="en-IE"/>
        </w:rPr>
        <w:t xml:space="preserve"> the assessment (the NIR reports only an estimated budget for the first phase) (see Section 5.18.4.3.1). Thus, this cluster has been evaluated with a low/medium overall score, and it is considered not comprehensive.</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 terms of expected impact of these mea</w:t>
      </w:r>
      <w:r>
        <w:rPr>
          <w:rFonts w:ascii="Times New Roman" w:hAnsi="Times New Roman" w:cs="Times New Roman"/>
          <w:noProof/>
          <w:sz w:val="24"/>
          <w:lang w:val="en-IE"/>
        </w:rPr>
        <w:t>sures to support the realisation of the AFV/AFI objectives as presented in the NPF and revised in the NIR, the measures for the pair electricity/road result to have a medium impact, while those for electricity/maritime and LNG/maritime result to have a low</w:t>
      </w:r>
      <w:r>
        <w:rPr>
          <w:rFonts w:ascii="Times New Roman" w:hAnsi="Times New Roman" w:cs="Times New Roman"/>
          <w:noProof/>
          <w:sz w:val="24"/>
          <w:lang w:val="en-IE"/>
        </w:rPr>
        <w:t xml:space="preserve"> impact. </w:t>
      </w:r>
    </w:p>
    <w:p w:rsidR="003C43BF" w:rsidRDefault="006C3212">
      <w:pPr>
        <w:pStyle w:val="Text1"/>
        <w:tabs>
          <w:tab w:val="left" w:pos="720"/>
        </w:tabs>
        <w:ind w:left="0"/>
        <w:jc w:val="both"/>
        <w:rPr>
          <w:rFonts w:ascii="Times New Roman" w:hAnsi="Times New Roman" w:cs="Times New Roman"/>
          <w:noProof/>
          <w:sz w:val="24"/>
          <w:lang w:val="en-IE"/>
        </w:rPr>
      </w:pPr>
      <w:bookmarkStart w:id="418" w:name="_Ref52873329"/>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5.18.4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418"/>
      <w:r>
        <w:rPr>
          <w:rFonts w:ascii="Times New Roman" w:hAnsi="Times New Roman" w:cs="Times New Roman"/>
          <w:i/>
          <w:noProof/>
          <w:sz w:val="20"/>
          <w:szCs w:val="18"/>
          <w:lang w:val="en-IE"/>
        </w:rPr>
        <w:t xml:space="preserve"> Quantitative assessment of Policy and Deployment &amp; Manufacturing support measures</w:t>
      </w:r>
      <w:r>
        <w:rPr>
          <w:rFonts w:ascii="Times New Roman" w:hAnsi="Times New Roman" w:cs="Times New Roman"/>
          <w:noProof/>
          <w:sz w:val="24"/>
          <w:lang w:val="en-IE"/>
        </w:rPr>
        <w:t xml:space="preserve"> </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31510" cy="1699260"/>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31510" cy="1699260"/>
                    </a:xfrm>
                    <a:prstGeom prst="rect">
                      <a:avLst/>
                    </a:prstGeom>
                    <a:noFill/>
                    <a:ln>
                      <a:noFill/>
                    </a:ln>
                  </pic:spPr>
                </pic:pic>
              </a:graphicData>
            </a:graphic>
          </wp:inline>
        </w:drawing>
      </w:r>
    </w:p>
    <w:p w:rsidR="003C43BF" w:rsidRDefault="006C3212">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w:t>
      </w:r>
      <w:r>
        <w:rPr>
          <w:rFonts w:ascii="Times New Roman" w:eastAsia="Calibri" w:hAnsi="Times New Roman" w:cs="Times New Roman"/>
          <w:noProof/>
          <w:sz w:val="20"/>
          <w:szCs w:val="18"/>
          <w:lang w:val="en-IE"/>
        </w:rPr>
        <w:t xml:space="preserve"> comprehensive; N = Not comprehensive. Ambition level: ‘+’ means ‘higher’; ‘=’ means ‘comparable’; ‘-‘ means ‘lower’.</w:t>
      </w:r>
    </w:p>
    <w:p w:rsidR="003C43BF" w:rsidRDefault="003C43BF">
      <w:pPr>
        <w:rPr>
          <w:rFonts w:ascii="Times New Roman" w:hAnsi="Times New Roman" w:cs="Times New Roman"/>
          <w:noProof/>
          <w:sz w:val="24"/>
          <w:lang w:val="en-IE"/>
        </w:rPr>
      </w:pPr>
    </w:p>
    <w:p w:rsidR="003C43BF" w:rsidRDefault="006C3212">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Maltese NIR contains six items than can be considered as RTD&amp;D related actions.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Two projects of relevance are presented, both focusing on Hydrogen: BIG HIT (FCH JU) and SMARTHY-AWARE INTERREG Project. The total budget for Malta is lower than €200,000. It is worth noticing that, neither in the NPF nor in the NIR, Malta has foreseen any</w:t>
      </w:r>
      <w:r>
        <w:rPr>
          <w:rFonts w:ascii="Times New Roman" w:hAnsi="Times New Roman" w:cs="Times New Roman"/>
          <w:noProof/>
          <w:sz w:val="24"/>
          <w:lang w:val="en-IE"/>
        </w:rPr>
        <w:t xml:space="preserve"> relevant development of hydrogen for transport. Specific details about each of these projects are not provided in the NIR.</w:t>
      </w:r>
    </w:p>
    <w:p w:rsidR="003C43BF" w:rsidRDefault="006C3212">
      <w:pPr>
        <w:pStyle w:val="Standardmalta"/>
        <w:rPr>
          <w:rFonts w:ascii="Times New Roman" w:eastAsiaTheme="minorHAnsi" w:hAnsi="Times New Roman" w:cs="Times New Roman"/>
          <w:noProof/>
          <w:szCs w:val="22"/>
          <w:lang w:val="en-IE" w:eastAsia="en-US"/>
        </w:rPr>
      </w:pPr>
      <w:r>
        <w:rPr>
          <w:rFonts w:ascii="Times New Roman" w:eastAsiaTheme="minorHAnsi" w:hAnsi="Times New Roman" w:cs="Times New Roman"/>
          <w:noProof/>
          <w:szCs w:val="22"/>
          <w:lang w:val="en-IE" w:eastAsia="en-US"/>
        </w:rPr>
        <w:t>Four measures regard national studies that have been conducted in order to prepare decisions on the future provision of the respecti</w:t>
      </w:r>
      <w:r>
        <w:rPr>
          <w:rFonts w:ascii="Times New Roman" w:eastAsiaTheme="minorHAnsi" w:hAnsi="Times New Roman" w:cs="Times New Roman"/>
          <w:noProof/>
          <w:szCs w:val="22"/>
          <w:lang w:val="en-IE" w:eastAsia="en-US"/>
        </w:rPr>
        <w:t>ve alternative fuels (“</w:t>
      </w:r>
      <w:r>
        <w:rPr>
          <w:rFonts w:ascii="Times New Roman" w:eastAsiaTheme="minorHAnsi" w:hAnsi="Times New Roman" w:cs="Times New Roman"/>
          <w:i/>
          <w:noProof/>
          <w:szCs w:val="22"/>
          <w:lang w:val="en-IE" w:eastAsia="en-US"/>
        </w:rPr>
        <w:t>Alternative Fuels in Road Transport Study</w:t>
      </w:r>
      <w:r>
        <w:rPr>
          <w:rFonts w:ascii="Times New Roman" w:eastAsiaTheme="minorHAnsi" w:hAnsi="Times New Roman" w:cs="Times New Roman"/>
          <w:noProof/>
          <w:szCs w:val="22"/>
          <w:lang w:val="en-IE" w:eastAsia="en-US"/>
        </w:rPr>
        <w:t>”, “</w:t>
      </w:r>
      <w:r>
        <w:rPr>
          <w:rFonts w:ascii="Times New Roman" w:eastAsiaTheme="minorHAnsi" w:hAnsi="Times New Roman" w:cs="Times New Roman"/>
          <w:i/>
          <w:noProof/>
          <w:szCs w:val="22"/>
          <w:lang w:val="en-IE" w:eastAsia="en-US"/>
        </w:rPr>
        <w:t>LNG Bunkering Study</w:t>
      </w:r>
      <w:r>
        <w:rPr>
          <w:rFonts w:ascii="Times New Roman" w:eastAsiaTheme="minorHAnsi" w:hAnsi="Times New Roman" w:cs="Times New Roman"/>
          <w:noProof/>
          <w:szCs w:val="22"/>
          <w:lang w:val="en-IE" w:eastAsia="en-US"/>
        </w:rPr>
        <w:t>”, “</w:t>
      </w:r>
      <w:r>
        <w:rPr>
          <w:rFonts w:ascii="Times New Roman" w:eastAsiaTheme="minorHAnsi" w:hAnsi="Times New Roman" w:cs="Times New Roman"/>
          <w:i/>
          <w:noProof/>
          <w:szCs w:val="22"/>
          <w:lang w:val="en-IE" w:eastAsia="en-US"/>
        </w:rPr>
        <w:t>Shore side Electricity in Ports Study</w:t>
      </w:r>
      <w:r>
        <w:rPr>
          <w:rFonts w:ascii="Times New Roman" w:eastAsiaTheme="minorHAnsi" w:hAnsi="Times New Roman" w:cs="Times New Roman"/>
          <w:noProof/>
          <w:szCs w:val="22"/>
          <w:lang w:val="en-IE" w:eastAsia="en-US"/>
        </w:rPr>
        <w:t>”, and a study in the form of an implementation plan as well as a Cost Benefit Analysis on the extension of the National Electri</w:t>
      </w:r>
      <w:r>
        <w:rPr>
          <w:rFonts w:ascii="Times New Roman" w:eastAsiaTheme="minorHAnsi" w:hAnsi="Times New Roman" w:cs="Times New Roman"/>
          <w:noProof/>
          <w:szCs w:val="22"/>
          <w:lang w:val="en-IE" w:eastAsia="en-US"/>
        </w:rPr>
        <w:t>c Vehicle Charging Network).</w:t>
      </w:r>
    </w:p>
    <w:p w:rsidR="003C43BF" w:rsidRDefault="006C3212">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Maltese NIR reports in details the outcomes of the study on LNG Bunkering. The market study shows that LNG bunkering demand in Malta is expected to start from 2025, reaching 31,000 tonnes/year in 2030 and increasing up to 3</w:t>
      </w:r>
      <w:r>
        <w:rPr>
          <w:rFonts w:ascii="Times New Roman" w:hAnsi="Times New Roman" w:cs="Times New Roman"/>
          <w:noProof/>
          <w:color w:val="000000" w:themeColor="text1"/>
          <w:sz w:val="24"/>
          <w:lang w:val="en-IE"/>
        </w:rPr>
        <w:t>39,000 tonnes/year in 2056 (based on MID scenario). Before 2025, no demand is expected unless a pilot project takes place. To date, the number of shipping operators that have committed to LNG is very small because emerging technologies such as biofuels, hy</w:t>
      </w:r>
      <w:r>
        <w:rPr>
          <w:rFonts w:ascii="Times New Roman" w:hAnsi="Times New Roman" w:cs="Times New Roman"/>
          <w:noProof/>
          <w:color w:val="000000" w:themeColor="text1"/>
          <w:sz w:val="24"/>
          <w:lang w:val="en-IE"/>
        </w:rPr>
        <w:t>bridisation and batteries are gaining more popularity and are considered as a cleaner alternative to LNG.</w:t>
      </w:r>
      <w:r>
        <w:rPr>
          <w:rFonts w:ascii="Times New Roman" w:hAnsi="Times New Roman" w:cs="Times New Roman"/>
          <w:noProof/>
          <w:sz w:val="24"/>
          <w:lang w:val="en-IE"/>
        </w:rPr>
        <w:t xml:space="preserve"> </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 the NPF, several European projects were reported (e.g. GrowSmarter, DESTINATIONS, EnerNETMob, DEMO EV and PORT-PVEV). The outcomes of these projec</w:t>
      </w:r>
      <w:r>
        <w:rPr>
          <w:rFonts w:ascii="Times New Roman" w:hAnsi="Times New Roman" w:cs="Times New Roman"/>
          <w:noProof/>
          <w:sz w:val="24"/>
          <w:lang w:val="en-IE"/>
        </w:rPr>
        <w:t>ts are mentioned in NIR, as base for the plans about the various alternative fuels.</w:t>
      </w:r>
    </w:p>
    <w:p w:rsidR="003C43BF" w:rsidRDefault="003C43BF">
      <w:pPr>
        <w:tabs>
          <w:tab w:val="left" w:pos="360"/>
        </w:tabs>
        <w:jc w:val="both"/>
        <w:rPr>
          <w:rFonts w:ascii="Times New Roman" w:hAnsi="Times New Roman" w:cs="Times New Roman"/>
          <w:noProof/>
          <w:sz w:val="24"/>
          <w:lang w:val="en-IE"/>
        </w:rPr>
      </w:pPr>
    </w:p>
    <w:p w:rsidR="003C43BF" w:rsidRDefault="006C3212">
      <w:pPr>
        <w:pStyle w:val="Heading3"/>
        <w:ind w:left="720"/>
        <w:rPr>
          <w:rFonts w:ascii="Times New Roman" w:hAnsi="Times New Roman" w:cs="Times New Roman"/>
          <w:noProof/>
          <w:sz w:val="24"/>
          <w:lang w:val="en-IE"/>
        </w:rPr>
      </w:pPr>
      <w:bookmarkStart w:id="419" w:name="_Toc55301927"/>
      <w:bookmarkStart w:id="420" w:name="_Toc56944239"/>
      <w:r>
        <w:rPr>
          <w:rFonts w:ascii="Times New Roman" w:hAnsi="Times New Roman" w:cs="Times New Roman"/>
          <w:noProof/>
          <w:sz w:val="24"/>
          <w:lang w:val="en-IE"/>
        </w:rPr>
        <w:t>Additional information on alternative fuels infrastructure developments</w:t>
      </w:r>
      <w:bookmarkEnd w:id="419"/>
      <w:bookmarkEnd w:id="420"/>
    </w:p>
    <w:p w:rsidR="003C43BF" w:rsidRDefault="006C3212">
      <w:pPr>
        <w:jc w:val="both"/>
        <w:rPr>
          <w:rFonts w:ascii="Times New Roman" w:hAnsi="Times New Roman" w:cs="Times New Roman"/>
          <w:noProof/>
          <w:sz w:val="24"/>
          <w:lang w:val="en-IE"/>
        </w:rPr>
      </w:pPr>
      <w:bookmarkStart w:id="421" w:name="_Ref50323520"/>
      <w:bookmarkStart w:id="422" w:name="_Ref50323513"/>
      <w:r>
        <w:rPr>
          <w:rFonts w:ascii="Times New Roman" w:hAnsi="Times New Roman" w:cs="Times New Roman"/>
          <w:noProof/>
          <w:sz w:val="24"/>
          <w:lang w:val="en-IE"/>
        </w:rPr>
        <w:t xml:space="preserve">The Maltese NIR provides information on the changes in fuels use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_Ref52873370 \h  \* MERG</w:instrText>
      </w:r>
      <w:r>
        <w:rPr>
          <w:rFonts w:ascii="Times New Roman" w:hAnsi="Times New Roman" w:cs="Times New Roman"/>
          <w:noProof/>
          <w:sz w:val="24"/>
          <w:lang w:val="en-IE"/>
        </w:rPr>
        <w:instrText xml:space="preserve">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sidRPr="006C3212">
        <w:rPr>
          <w:rFonts w:ascii="Times New Roman" w:hAnsi="Times New Roman" w:cs="Times New Roman"/>
          <w:iCs/>
          <w:noProof/>
          <w:color w:val="000000" w:themeColor="text1"/>
          <w:sz w:val="24"/>
          <w:lang w:val="en-IE"/>
        </w:rPr>
        <w:t>Table 5.18.5</w:t>
      </w:r>
      <w:r w:rsidRPr="006C3212">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p>
    <w:p w:rsidR="003C43BF" w:rsidRDefault="006C3212">
      <w:pPr>
        <w:pStyle w:val="Caption"/>
        <w:rPr>
          <w:rFonts w:ascii="Times New Roman" w:hAnsi="Times New Roman" w:cs="Times New Roman"/>
          <w:b w:val="0"/>
          <w:i/>
          <w:noProof/>
          <w:sz w:val="20"/>
          <w:szCs w:val="18"/>
          <w:lang w:val="en-IE"/>
        </w:rPr>
      </w:pPr>
      <w:bookmarkStart w:id="423" w:name="_Ref52873370"/>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5.18.5</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423"/>
      <w:r>
        <w:rPr>
          <w:rFonts w:ascii="Times New Roman" w:hAnsi="Times New Roman" w:cs="Times New Roman"/>
          <w:b w:val="0"/>
          <w:i/>
          <w:noProof/>
          <w:sz w:val="20"/>
          <w:szCs w:val="18"/>
          <w:lang w:val="en-IE"/>
        </w:rPr>
        <w:t xml:space="preserve"> Changes in fuel use in transport sector (2016-2030)</w:t>
      </w:r>
    </w:p>
    <w:bookmarkEnd w:id="421"/>
    <w:bookmarkEnd w:id="422"/>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849620" cy="280352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49620" cy="2803525"/>
                    </a:xfrm>
                    <a:prstGeom prst="rect">
                      <a:avLst/>
                    </a:prstGeom>
                    <a:noFill/>
                    <a:ln>
                      <a:noFill/>
                    </a:ln>
                  </pic:spPr>
                </pic:pic>
              </a:graphicData>
            </a:graphic>
          </wp:inline>
        </w:drawing>
      </w:r>
    </w:p>
    <w:p w:rsidR="003C43BF" w:rsidRDefault="003C43BF">
      <w:pPr>
        <w:jc w:val="both"/>
        <w:rPr>
          <w:rFonts w:ascii="Times New Roman" w:hAnsi="Times New Roman" w:cs="Times New Roman"/>
          <w:noProof/>
          <w:sz w:val="24"/>
          <w:lang w:val="en-IE"/>
        </w:rPr>
      </w:pP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it can be noticed, biofuels are expected to remain the dominating alternative fuel in road transport throughout the period, followed by electricity that increases from 2025 onwards. </w:t>
      </w:r>
    </w:p>
    <w:p w:rsidR="003C43BF" w:rsidRDefault="006C3212">
      <w:pPr>
        <w:jc w:val="both"/>
        <w:rPr>
          <w:rFonts w:ascii="Times New Roman" w:eastAsia="Times New Roman" w:hAnsi="Times New Roman" w:cs="Times New Roman"/>
          <w:noProof/>
          <w:color w:val="333333"/>
          <w:sz w:val="28"/>
          <w:szCs w:val="24"/>
          <w:lang w:val="en-IE" w:eastAsia="it-IT"/>
        </w:rPr>
      </w:pPr>
      <w:r>
        <w:rPr>
          <w:rFonts w:ascii="Times New Roman" w:hAnsi="Times New Roman" w:cs="Times New Roman"/>
          <w:noProof/>
          <w:sz w:val="24"/>
          <w:lang w:val="en-IE"/>
        </w:rPr>
        <w:t>Additionally, the Maltese NIR provides a detailed overview of biofuels</w:t>
      </w:r>
      <w:r>
        <w:rPr>
          <w:rFonts w:ascii="Times New Roman" w:hAnsi="Times New Roman" w:cs="Times New Roman"/>
          <w:noProof/>
          <w:sz w:val="24"/>
          <w:lang w:val="en-IE"/>
        </w:rPr>
        <w:t xml:space="preserve"> use in transport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_Ref50323662 \h  \* MERGEFORMAT </w:instrText>
      </w:r>
      <w:r>
        <w:rPr>
          <w:rFonts w:ascii="Times New Roman" w:hAnsi="Times New Roman" w:cs="Times New Roman"/>
          <w:noProof/>
          <w:sz w:val="24"/>
          <w:lang w:val="en-IE"/>
        </w:rPr>
        <w:fldChar w:fldCharType="separate"/>
      </w:r>
      <w:r>
        <w:rPr>
          <w:rFonts w:ascii="Times New Roman" w:hAnsi="Times New Roman" w:cs="Times New Roman"/>
          <w:b/>
          <w:bCs/>
          <w:noProof/>
          <w:sz w:val="24"/>
          <w:lang w:val="en-US"/>
        </w:rPr>
        <w:t>Error! Reference source not found.</w:t>
      </w:r>
      <w:r>
        <w:rPr>
          <w:rFonts w:ascii="Times New Roman" w:hAnsi="Times New Roman" w:cs="Times New Roman"/>
          <w:noProof/>
          <w:sz w:val="24"/>
          <w:lang w:val="en-IE"/>
        </w:rPr>
        <w:fldChar w:fldCharType="end"/>
      </w:r>
      <w:r>
        <w:rPr>
          <w:rFonts w:ascii="Times New Roman" w:hAnsi="Times New Roman" w:cs="Times New Roman"/>
          <w:noProof/>
          <w:sz w:val="24"/>
          <w:lang w:val="en-IE"/>
        </w:rPr>
        <w:t>). As it can be seen, biofuels in road transport are projected to grow between 2021-2030. Biofuels are expected to continue increasing mainly as blends with regular road diesel and HVO, FAME (to a lesser extent), and advanced biofuels in line with the Rene</w:t>
      </w:r>
      <w:r>
        <w:rPr>
          <w:rFonts w:ascii="Times New Roman" w:hAnsi="Times New Roman" w:cs="Times New Roman"/>
          <w:noProof/>
          <w:sz w:val="24"/>
          <w:lang w:val="en-IE"/>
        </w:rPr>
        <w:t xml:space="preserve">wable Energy Directive. Advanced biofuels are expected to contribute to 25% of the total consumption of biofuels by 2030. This scenario does not require any further investment in terms of infrastructure. </w:t>
      </w:r>
    </w:p>
    <w:p w:rsidR="003C43BF" w:rsidRDefault="006C3212">
      <w:pPr>
        <w:spacing w:before="100" w:beforeAutospacing="1" w:after="0" w:line="276" w:lineRule="auto"/>
        <w:jc w:val="both"/>
        <w:rPr>
          <w:rFonts w:ascii="Times New Roman" w:eastAsia="Times New Roman" w:hAnsi="Times New Roman" w:cs="Times New Roman"/>
          <w:noProof/>
          <w:color w:val="333333"/>
          <w:sz w:val="28"/>
          <w:szCs w:val="24"/>
          <w:lang w:val="en-IE" w:eastAsia="it-IT"/>
        </w:rPr>
      </w:pPr>
      <w:r>
        <w:rPr>
          <w:rFonts w:ascii="Times New Roman" w:eastAsia="Times New Roman" w:hAnsi="Times New Roman" w:cs="Times New Roman"/>
          <w:noProof/>
          <w:color w:val="333333"/>
          <w:sz w:val="28"/>
          <w:szCs w:val="24"/>
          <w:lang w:eastAsia="en-GB"/>
        </w:rPr>
        <mc:AlternateContent>
          <mc:Choice Requires="wps">
            <w:drawing>
              <wp:inline distT="0" distB="0" distL="0" distR="0">
                <wp:extent cx="304800" cy="304800"/>
                <wp:effectExtent l="0" t="0" r="0" b="0"/>
                <wp:docPr id="242" name="Rectangle 242" descr="\\tmp\lu25611zkk42g.tmp\lu25611zkk43w.t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B92321" id="Rectangle 2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F0D4e3SAgAA7QUAAA4AAAAAAAAAAAAAAAAALgIAAGRycy9lMm9Eb2MueG1s&#10;UEsBAi0AFAAGAAgAAAAhAEyg6SzYAAAAAwEAAA8AAAAAAAAAAAAAAAAALAUAAGRycy9kb3ducmV2&#10;LnhtbFBLBQYAAAAABAAEAPMAAAAxBgAAAAA=&#10;" filled="f" stroked="f">
                <o:lock v:ext="edit" aspectratio="t"/>
                <w10:anchorlock/>
              </v:rect>
            </w:pict>
          </mc:Fallback>
        </mc:AlternateContent>
      </w:r>
      <w:r>
        <w:rPr>
          <w:rFonts w:ascii="Times New Roman" w:hAnsi="Times New Roman" w:cs="Times New Roman"/>
          <w:noProof/>
          <w:sz w:val="24"/>
          <w:lang w:eastAsia="en-GB"/>
        </w:rPr>
        <w:drawing>
          <wp:inline distT="0" distB="0" distL="0" distR="0">
            <wp:extent cx="4911082" cy="2880000"/>
            <wp:effectExtent l="0" t="0" r="444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911082" cy="2880000"/>
                    </a:xfrm>
                    <a:prstGeom prst="rect">
                      <a:avLst/>
                    </a:prstGeom>
                  </pic:spPr>
                </pic:pic>
              </a:graphicData>
            </a:graphic>
          </wp:inline>
        </w:drawing>
      </w:r>
    </w:p>
    <w:p w:rsidR="003C43BF" w:rsidRDefault="006C3212">
      <w:pPr>
        <w:rPr>
          <w:rFonts w:ascii="Times New Roman" w:hAnsi="Times New Roman" w:cs="Times New Roman"/>
          <w:noProof/>
          <w:color w:val="000000" w:themeColor="text1"/>
          <w:sz w:val="20"/>
          <w:szCs w:val="18"/>
          <w:lang w:val="en-IE"/>
        </w:rPr>
      </w:pPr>
      <w:bookmarkStart w:id="424" w:name="_Ref22129508"/>
      <w:bookmarkStart w:id="425" w:name="_Toc26960708"/>
      <w:bookmarkEnd w:id="424"/>
      <w:bookmarkEnd w:id="425"/>
      <w:r>
        <w:rPr>
          <w:rFonts w:ascii="Times New Roman" w:hAnsi="Times New Roman" w:cs="Times New Roman"/>
          <w:noProof/>
          <w:color w:val="000000" w:themeColor="text1"/>
          <w:sz w:val="20"/>
          <w:szCs w:val="18"/>
          <w:lang w:val="en-IE"/>
        </w:rPr>
        <w:t xml:space="preserve">Figure </w:t>
      </w:r>
      <w:r>
        <w:rPr>
          <w:rFonts w:ascii="Times New Roman" w:hAnsi="Times New Roman" w:cs="Times New Roman"/>
          <w:noProof/>
          <w:color w:val="000000" w:themeColor="text1"/>
          <w:sz w:val="20"/>
          <w:szCs w:val="18"/>
          <w:lang w:val="en-IE"/>
        </w:rPr>
        <w:fldChar w:fldCharType="begin"/>
      </w:r>
      <w:r>
        <w:rPr>
          <w:rFonts w:ascii="Times New Roman" w:hAnsi="Times New Roman" w:cs="Times New Roman"/>
          <w:noProof/>
          <w:color w:val="000000" w:themeColor="text1"/>
          <w:sz w:val="20"/>
          <w:szCs w:val="18"/>
          <w:lang w:val="en-IE"/>
        </w:rPr>
        <w:instrText xml:space="preserve"> STYLEREF 3 \s </w:instrText>
      </w:r>
      <w:r>
        <w:rPr>
          <w:rFonts w:ascii="Times New Roman" w:hAnsi="Times New Roman" w:cs="Times New Roman"/>
          <w:noProof/>
          <w:color w:val="000000" w:themeColor="text1"/>
          <w:sz w:val="20"/>
          <w:szCs w:val="18"/>
          <w:lang w:val="en-IE"/>
        </w:rPr>
        <w:fldChar w:fldCharType="separate"/>
      </w:r>
      <w:r>
        <w:rPr>
          <w:rFonts w:ascii="Times New Roman" w:hAnsi="Times New Roman" w:cs="Times New Roman"/>
          <w:noProof/>
          <w:color w:val="000000" w:themeColor="text1"/>
          <w:sz w:val="20"/>
          <w:szCs w:val="18"/>
          <w:lang w:val="en-IE"/>
        </w:rPr>
        <w:t>5.18.5</w:t>
      </w:r>
      <w:r>
        <w:rPr>
          <w:rFonts w:ascii="Times New Roman" w:hAnsi="Times New Roman" w:cs="Times New Roman"/>
          <w:noProof/>
          <w:color w:val="000000" w:themeColor="text1"/>
          <w:sz w:val="20"/>
          <w:szCs w:val="18"/>
          <w:lang w:val="en-IE"/>
        </w:rPr>
        <w:fldChar w:fldCharType="end"/>
      </w:r>
      <w:r>
        <w:rPr>
          <w:rFonts w:ascii="Times New Roman" w:hAnsi="Times New Roman" w:cs="Times New Roman"/>
          <w:noProof/>
          <w:color w:val="000000" w:themeColor="text1"/>
          <w:sz w:val="20"/>
          <w:szCs w:val="18"/>
          <w:lang w:val="en-IE"/>
        </w:rPr>
        <w:noBreakHyphen/>
      </w:r>
      <w:r>
        <w:rPr>
          <w:rFonts w:ascii="Times New Roman" w:hAnsi="Times New Roman" w:cs="Times New Roman"/>
          <w:noProof/>
          <w:color w:val="000000" w:themeColor="text1"/>
          <w:sz w:val="20"/>
          <w:szCs w:val="18"/>
          <w:lang w:val="en-IE"/>
        </w:rPr>
        <w:fldChar w:fldCharType="begin"/>
      </w:r>
      <w:r>
        <w:rPr>
          <w:rFonts w:ascii="Times New Roman" w:hAnsi="Times New Roman" w:cs="Times New Roman"/>
          <w:noProof/>
          <w:color w:val="000000" w:themeColor="text1"/>
          <w:sz w:val="20"/>
          <w:szCs w:val="18"/>
          <w:lang w:val="en-IE"/>
        </w:rPr>
        <w:instrText xml:space="preserve"> SEQ Figure \* A</w:instrText>
      </w:r>
      <w:r>
        <w:rPr>
          <w:rFonts w:ascii="Times New Roman" w:hAnsi="Times New Roman" w:cs="Times New Roman"/>
          <w:noProof/>
          <w:color w:val="000000" w:themeColor="text1"/>
          <w:sz w:val="20"/>
          <w:szCs w:val="18"/>
          <w:lang w:val="en-IE"/>
        </w:rPr>
        <w:instrText xml:space="preserve">RABIC \s 3 </w:instrText>
      </w:r>
      <w:r>
        <w:rPr>
          <w:rFonts w:ascii="Times New Roman" w:hAnsi="Times New Roman" w:cs="Times New Roman"/>
          <w:noProof/>
          <w:color w:val="000000" w:themeColor="text1"/>
          <w:sz w:val="20"/>
          <w:szCs w:val="18"/>
          <w:lang w:val="en-IE"/>
        </w:rPr>
        <w:fldChar w:fldCharType="separate"/>
      </w:r>
      <w:r>
        <w:rPr>
          <w:rFonts w:ascii="Times New Roman" w:hAnsi="Times New Roman" w:cs="Times New Roman"/>
          <w:noProof/>
          <w:color w:val="000000" w:themeColor="text1"/>
          <w:sz w:val="20"/>
          <w:szCs w:val="18"/>
          <w:lang w:val="en-IE"/>
        </w:rPr>
        <w:t>1</w:t>
      </w:r>
      <w:r>
        <w:rPr>
          <w:rFonts w:ascii="Times New Roman" w:hAnsi="Times New Roman" w:cs="Times New Roman"/>
          <w:noProof/>
          <w:color w:val="000000" w:themeColor="text1"/>
          <w:sz w:val="20"/>
          <w:szCs w:val="18"/>
          <w:lang w:val="en-IE"/>
        </w:rPr>
        <w:fldChar w:fldCharType="end"/>
      </w:r>
      <w:r>
        <w:rPr>
          <w:rFonts w:ascii="Times New Roman" w:hAnsi="Times New Roman" w:cs="Times New Roman"/>
          <w:noProof/>
          <w:sz w:val="24"/>
          <w:lang w:val="en-IE"/>
        </w:rPr>
        <w:t xml:space="preserve"> </w:t>
      </w:r>
      <w:r>
        <w:rPr>
          <w:rFonts w:ascii="Times New Roman" w:hAnsi="Times New Roman" w:cs="Times New Roman"/>
          <w:noProof/>
          <w:color w:val="000000" w:themeColor="text1"/>
          <w:sz w:val="20"/>
          <w:szCs w:val="18"/>
          <w:lang w:val="en-IE"/>
        </w:rPr>
        <w:t>Projections of biofuels under WPM scenario, 2021-2030, GWh (source MT NIR page 23).</w:t>
      </w:r>
    </w:p>
    <w:p w:rsidR="003C43BF" w:rsidRDefault="003C43BF">
      <w:pPr>
        <w:rPr>
          <w:rFonts w:ascii="Times New Roman" w:hAnsi="Times New Roman" w:cs="Times New Roman"/>
          <w:noProof/>
          <w:sz w:val="24"/>
          <w:lang w:val="en-IE" w:eastAsia="it-IT"/>
        </w:rPr>
      </w:pPr>
    </w:p>
    <w:p w:rsidR="003C43BF" w:rsidRDefault="006C3212">
      <w:pPr>
        <w:pStyle w:val="Heading3"/>
        <w:ind w:left="720"/>
        <w:rPr>
          <w:rFonts w:ascii="Times New Roman" w:hAnsi="Times New Roman" w:cs="Times New Roman"/>
          <w:noProof/>
          <w:sz w:val="24"/>
          <w:lang w:val="en-IE"/>
        </w:rPr>
      </w:pPr>
      <w:bookmarkStart w:id="426" w:name="_Toc55301928"/>
      <w:bookmarkStart w:id="427" w:name="_Toc56944240"/>
      <w:r>
        <w:rPr>
          <w:rFonts w:ascii="Times New Roman" w:hAnsi="Times New Roman" w:cs="Times New Roman"/>
          <w:noProof/>
          <w:sz w:val="24"/>
          <w:lang w:val="en-IE"/>
        </w:rPr>
        <w:t>Summary of the assessment</w:t>
      </w:r>
      <w:bookmarkEnd w:id="426"/>
      <w:bookmarkEnd w:id="427"/>
      <w:r>
        <w:rPr>
          <w:rFonts w:ascii="Times New Roman" w:hAnsi="Times New Roman" w:cs="Times New Roman"/>
          <w:noProof/>
          <w:sz w:val="24"/>
          <w:lang w:val="en-IE"/>
        </w:rPr>
        <w:tab/>
      </w:r>
    </w:p>
    <w:p w:rsidR="003C43BF" w:rsidRDefault="006C3212">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rsidR="003C43BF" w:rsidRDefault="006C3212">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5.18.6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rsidR="003C43BF" w:rsidRDefault="006C3212">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4151630"/>
            <wp:effectExtent l="0" t="0" r="0" b="1270"/>
            <wp:docPr id="7908" name="Picture 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4235" cy="4151630"/>
                    </a:xfrm>
                    <a:prstGeom prst="rect">
                      <a:avLst/>
                    </a:prstGeom>
                    <a:noFill/>
                  </pic:spPr>
                </pic:pic>
              </a:graphicData>
            </a:graphic>
          </wp:inline>
        </w:drawing>
      </w:r>
    </w:p>
    <w:p w:rsidR="003C43BF" w:rsidRDefault="006C3212">
      <w:pPr>
        <w:rPr>
          <w:rFonts w:ascii="Times New Roman" w:hAnsi="Times New Roman" w:cs="Times New Roman"/>
          <w:b/>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rsidR="003C43BF" w:rsidRDefault="006C3212">
      <w:pPr>
        <w:jc w:val="both"/>
        <w:rPr>
          <w:rFonts w:ascii="Times New Roman" w:hAnsi="Times New Roman" w:cs="Times New Roman"/>
          <w:noProof/>
          <w:color w:val="000000" w:themeColor="text1"/>
          <w:sz w:val="20"/>
          <w:lang w:val="en-IE"/>
        </w:rPr>
      </w:pPr>
      <w:r>
        <w:rPr>
          <w:rFonts w:ascii="Times New Roman" w:hAnsi="Times New Roman" w:cs="Times New Roman"/>
          <w:noProof/>
          <w:color w:val="000000" w:themeColor="text1"/>
          <w:sz w:val="20"/>
          <w:lang w:val="en-IE"/>
        </w:rPr>
        <w:t>* Value taken</w:t>
      </w:r>
      <w:r>
        <w:rPr>
          <w:rFonts w:ascii="Times New Roman" w:hAnsi="Times New Roman" w:cs="Times New Roman"/>
          <w:noProof/>
          <w:color w:val="000000" w:themeColor="text1"/>
          <w:sz w:val="20"/>
          <w:lang w:val="en-IE"/>
        </w:rPr>
        <w:t xml:space="preserve"> from EAFO (absent in NIR).</w:t>
      </w:r>
    </w:p>
    <w:p w:rsidR="003C43BF" w:rsidRDefault="006C3212">
      <w:pPr>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The requirements of Annex I from the Directive are only partly covered </w:t>
      </w:r>
      <w:r>
        <w:rPr>
          <w:rFonts w:ascii="Times New Roman" w:hAnsi="Times New Roman" w:cs="Times New Roman"/>
          <w:noProof/>
          <w:sz w:val="24"/>
          <w:lang w:val="en-IE"/>
        </w:rPr>
        <w:t>in the Maltese NIR</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 xml:space="preserve">The NIR does not contain a complete description of the policy direction towards the introduction of alternative fuels in Malta. Also, it </w:t>
      </w:r>
      <w:r>
        <w:rPr>
          <w:rFonts w:ascii="Times New Roman" w:hAnsi="Times New Roman" w:cs="Times New Roman"/>
          <w:noProof/>
          <w:sz w:val="24"/>
          <w:lang w:val="en-IE"/>
        </w:rPr>
        <w:t>does not establish clear AFI targets for the different kinds of alternative fuels. However, the Maltese NIR mentions several studies and evaluations to be completed in 2020 (e.g. ICE cut-off date, update of the Malta Transport Master Plan 2025, and evaluat</w:t>
      </w:r>
      <w:r>
        <w:rPr>
          <w:rFonts w:ascii="Times New Roman" w:hAnsi="Times New Roman" w:cs="Times New Roman"/>
          <w:noProof/>
          <w:sz w:val="24"/>
          <w:lang w:val="en-IE"/>
        </w:rPr>
        <w:t>ion of the outcomes of studies for LNG). This planning is expected to complement and integrate the current set of national targets for the deployment of alternative fuels and their infrastructure.</w:t>
      </w:r>
    </w:p>
    <w:p w:rsidR="003C43BF" w:rsidRDefault="006C3212">
      <w:pPr>
        <w:spacing w:after="24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main outcomes of the technical assessment of the Maltes</w:t>
      </w:r>
      <w:r>
        <w:rPr>
          <w:rFonts w:ascii="Times New Roman" w:hAnsi="Times New Roman" w:cs="Times New Roman"/>
          <w:noProof/>
          <w:sz w:val="24"/>
          <w:lang w:val="en-IE"/>
        </w:rPr>
        <w:t xml:space="preserve">e NIR on vehicles/vessels estimates and infrastructure targets can be summarised as follows: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rsidR="003C43BF" w:rsidRDefault="006C3212">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 2018, Malta reported 962 electric vehicles (all passenger cars). The 5,000 total road electric vehicles (including PTWs) planned i</w:t>
      </w:r>
      <w:r>
        <w:rPr>
          <w:rFonts w:ascii="Times New Roman" w:hAnsi="Times New Roman" w:cs="Times New Roman"/>
          <w:noProof/>
          <w:sz w:val="24"/>
          <w:lang w:val="en-IE"/>
        </w:rPr>
        <w:t>n NPF for 2020 are still a valid commitment in the NIR. Additionally, the MT NIR provides estimates by category of vehicles, foreseeing 2,160 EVs (excluding PTWs) in 2020, and new estimates of 12,350 in 2025 and 47,488 EVs in 2030 (all passenger cars, exce</w:t>
      </w:r>
      <w:r>
        <w:rPr>
          <w:rFonts w:ascii="Times New Roman" w:hAnsi="Times New Roman" w:cs="Times New Roman"/>
          <w:noProof/>
          <w:sz w:val="24"/>
          <w:lang w:val="en-IE"/>
        </w:rPr>
        <w:t>pt 6 buses and coaches). Malta recorded 102 recharging points in 2018; the NIR presents a revised target for 2020 (362 points), which is 38.64% lower than that in the NPF but does not provide targets for 2025 and 2030, similarly to the NPF. According to ou</w:t>
      </w:r>
      <w:r>
        <w:rPr>
          <w:rFonts w:ascii="Times New Roman" w:hAnsi="Times New Roman" w:cs="Times New Roman"/>
          <w:noProof/>
          <w:sz w:val="24"/>
          <w:lang w:val="en-IE"/>
        </w:rPr>
        <w:t>r methodology, the progress between 2016 and 2018 to achieve their objectives in 2030 is considered to be adequate for the vehicles and slow for infrastructure, while the sufficiency index is adequate until 2020.</w:t>
      </w:r>
    </w:p>
    <w:p w:rsidR="003C43BF" w:rsidRDefault="006C3212">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Malta did not record any CNG vehicles</w:t>
      </w:r>
      <w:r>
        <w:rPr>
          <w:rFonts w:ascii="Times New Roman" w:hAnsi="Times New Roman" w:cs="Times New Roman"/>
          <w:noProof/>
          <w:sz w:val="24"/>
          <w:lang w:val="en-IE"/>
        </w:rPr>
        <w:t xml:space="preserve"> in use in 2018, but the MT NIR provides an estimate of 950 CNG vehicles in 2030 (of which 100 LCVs, 29 HCVs and 58 buses and coaches). This plan for the CNG vehicles is not accompanied by any information about the development of a specific infrastructure </w:t>
      </w:r>
      <w:r>
        <w:rPr>
          <w:rFonts w:ascii="Times New Roman" w:hAnsi="Times New Roman" w:cs="Times New Roman"/>
          <w:noProof/>
          <w:sz w:val="24"/>
          <w:lang w:val="en-IE"/>
        </w:rPr>
        <w:t xml:space="preserve">for refuelling. </w:t>
      </w:r>
    </w:p>
    <w:p w:rsidR="003C43BF" w:rsidRDefault="006C3212">
      <w:pPr>
        <w:pStyle w:val="ListParagraph"/>
        <w:numPr>
          <w:ilvl w:val="0"/>
          <w:numId w:val="35"/>
        </w:numPr>
        <w:tabs>
          <w:tab w:val="left" w:pos="966"/>
        </w:tabs>
        <w:spacing w:after="160" w:line="259" w:lineRule="auto"/>
        <w:ind w:left="357" w:hanging="357"/>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Similarly to CNG, no LNG vehicle was recorded in Malta in 2018. For 2030, there are 22 HDVs planned in the NIR. Again, no information is available for the LNG refuelling infrastructure. </w:t>
      </w:r>
    </w:p>
    <w:p w:rsidR="003C43BF" w:rsidRDefault="006C3212">
      <w:pPr>
        <w:pStyle w:val="ListParagraph"/>
        <w:numPr>
          <w:ilvl w:val="0"/>
          <w:numId w:val="34"/>
        </w:numPr>
        <w:tabs>
          <w:tab w:val="left" w:pos="966"/>
        </w:tabs>
        <w:spacing w:after="160" w:line="259" w:lineRule="auto"/>
        <w:ind w:left="357" w:hanging="357"/>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Maltese NIR mentions no concrete objectives or actions for hydrogen.</w:t>
      </w:r>
    </w:p>
    <w:p w:rsidR="003C43BF" w:rsidRDefault="006C3212">
      <w:pPr>
        <w:pStyle w:val="ListParagraph"/>
        <w:numPr>
          <w:ilvl w:val="0"/>
          <w:numId w:val="34"/>
        </w:numPr>
        <w:tabs>
          <w:tab w:val="left" w:pos="966"/>
        </w:tabs>
        <w:spacing w:after="160" w:line="259" w:lineRule="auto"/>
        <w:ind w:left="357" w:hanging="357"/>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–Malta considers to increase the uptake of biofuels in the regular distribution system, in order to comply with the target set by the current European legislation (e.g. RE</w:t>
      </w:r>
      <w:r>
        <w:rPr>
          <w:rFonts w:ascii="Times New Roman" w:hAnsi="Times New Roman" w:cs="Times New Roman"/>
          <w:noProof/>
          <w:sz w:val="24"/>
          <w:lang w:val="en-IE"/>
        </w:rPr>
        <w:t xml:space="preserve">DII commitments). </w:t>
      </w:r>
    </w:p>
    <w:p w:rsidR="003C43BF" w:rsidRDefault="006C3212">
      <w:pPr>
        <w:pStyle w:val="ListParagraph"/>
        <w:numPr>
          <w:ilvl w:val="0"/>
          <w:numId w:val="34"/>
        </w:numPr>
        <w:tabs>
          <w:tab w:val="left" w:pos="966"/>
        </w:tabs>
        <w:spacing w:after="160" w:line="259" w:lineRule="auto"/>
        <w:ind w:left="357" w:hanging="357"/>
        <w:jc w:val="both"/>
        <w:rPr>
          <w:rFonts w:ascii="Times New Roman" w:hAnsi="Times New Roman" w:cs="Times New Roman"/>
          <w:noProof/>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xml:space="preserve">–Malta recorded 83 LPG vehicles on the road and 6 LPG refuelling points in 2018. In the MT NIR there is an estimate of 100 vehicles from 2020 until 2030, while the infrastructure is planned to grow up to 9 refuelling points in 2020, </w:t>
      </w:r>
      <w:r>
        <w:rPr>
          <w:rFonts w:ascii="Times New Roman" w:hAnsi="Times New Roman" w:cs="Times New Roman"/>
          <w:noProof/>
          <w:sz w:val="24"/>
          <w:lang w:val="en-IE"/>
        </w:rPr>
        <w:t xml:space="preserve">while after that year targets are missing. </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rsidR="003C43BF" w:rsidRDefault="006C3212">
      <w:pPr>
        <w:pStyle w:val="ListParagraph"/>
        <w:numPr>
          <w:ilvl w:val="0"/>
          <w:numId w:val="34"/>
        </w:numPr>
        <w:tabs>
          <w:tab w:val="left" w:pos="966"/>
        </w:tabs>
        <w:spacing w:after="120" w:line="240" w:lineRule="auto"/>
        <w:ind w:left="357" w:hanging="357"/>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No specific information was found in the Maltese NIR.</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 (maritime)</w:t>
      </w:r>
    </w:p>
    <w:p w:rsidR="003C43BF" w:rsidRDefault="006C3212">
      <w:pPr>
        <w:pStyle w:val="ListParagraph"/>
        <w:numPr>
          <w:ilvl w:val="0"/>
          <w:numId w:val="34"/>
        </w:numPr>
        <w:tabs>
          <w:tab w:val="left" w:pos="966"/>
        </w:tabs>
        <w:spacing w:after="120" w:line="240"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Maltese NIR states that </w:t>
      </w:r>
      <w:r>
        <w:rPr>
          <w:rFonts w:ascii="Times New Roman" w:hAnsi="Times New Roman" w:cs="Times New Roman"/>
          <w:i/>
          <w:noProof/>
          <w:sz w:val="24"/>
          <w:lang w:val="en-IE"/>
        </w:rPr>
        <w:t>Infrastructure Malta</w:t>
      </w:r>
      <w:r>
        <w:rPr>
          <w:rFonts w:ascii="Times New Roman" w:hAnsi="Times New Roman" w:cs="Times New Roman"/>
          <w:noProof/>
          <w:sz w:val="24"/>
          <w:lang w:val="en-IE"/>
        </w:rPr>
        <w:t xml:space="preserve"> is expected to provide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on all the quays within the TEN-T Core port Grand Harbour (port of Valletta). In phase I, quays for Cruise Liner Ships are targeted by 2025 and the foreseen investment is estimated at 40 million €. In phase II of the project, additional </w:t>
      </w:r>
      <w:r>
        <w:rPr>
          <w:rFonts w:ascii="Times New Roman" w:hAnsi="Times New Roman" w:cs="Times New Roman"/>
          <w:noProof/>
          <w:sz w:val="24"/>
          <w:lang w:val="en-IE"/>
        </w:rPr>
        <w:t xml:space="preserve">investments should allow electricity supply to other vessels such as RO-RO, etc. </w:t>
      </w:r>
    </w:p>
    <w:p w:rsidR="003C43BF" w:rsidRDefault="006C3212">
      <w:pPr>
        <w:pStyle w:val="ListParagraph"/>
        <w:numPr>
          <w:ilvl w:val="0"/>
          <w:numId w:val="34"/>
        </w:numPr>
        <w:tabs>
          <w:tab w:val="left" w:pos="966"/>
        </w:tabs>
        <w:spacing w:after="120" w:line="240"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Maltese NIR reports outcomes of the study on LNG Bunkering. The market study shows an LNG bunkering potential demand in Malta, which is expected to start from 2025.</w:t>
      </w:r>
      <w:r>
        <w:rPr>
          <w:rFonts w:ascii="Times New Roman" w:hAnsi="Times New Roman" w:cs="Times New Roman"/>
          <w:noProof/>
          <w:sz w:val="24"/>
          <w:lang w:val="en-IE"/>
        </w:rPr>
        <w:t xml:space="preserve"> Before 2025, no demand is expected unless a pilot project takes place. To date, the number of shipping operators that have committed to LNG is very small because emerging technologies such as biofuels, hybrid and batteries are gaining more popularity and </w:t>
      </w:r>
      <w:r>
        <w:rPr>
          <w:rFonts w:ascii="Times New Roman" w:hAnsi="Times New Roman" w:cs="Times New Roman"/>
          <w:noProof/>
          <w:sz w:val="24"/>
          <w:lang w:val="en-IE"/>
        </w:rPr>
        <w:t>are considered as a cleaner alternative to LNG.</w:t>
      </w:r>
    </w:p>
    <w:p w:rsidR="003C43BF" w:rsidRDefault="006C3212">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rsidR="003C43BF" w:rsidRDefault="006C3212">
      <w:pPr>
        <w:pStyle w:val="ListParagraph"/>
        <w:numPr>
          <w:ilvl w:val="0"/>
          <w:numId w:val="34"/>
        </w:numPr>
        <w:tabs>
          <w:tab w:val="left" w:pos="966"/>
        </w:tabs>
        <w:spacing w:before="120" w:after="24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and electricity </w:t>
      </w:r>
      <w:r>
        <w:rPr>
          <w:rFonts w:ascii="Times New Roman" w:hAnsi="Times New Roman" w:cs="Times New Roman"/>
          <w:noProof/>
          <w:sz w:val="24"/>
          <w:lang w:val="en-IE"/>
        </w:rPr>
        <w:t xml:space="preserve">– Despite MT NIR mentions the participation of Malta to the ICAO/CORSIA initiative, it does not provide any quantitative information on flights/airplanes powered by </w:t>
      </w:r>
      <w:r>
        <w:rPr>
          <w:rFonts w:ascii="Times New Roman" w:hAnsi="Times New Roman" w:cs="Times New Roman"/>
          <w:noProof/>
          <w:sz w:val="24"/>
          <w:lang w:val="en-IE"/>
        </w:rPr>
        <w:t>biofuels. The Maltese NIR does not consider any hybrid-electric or fully-electric airplanes by 2030. The MT NIR reports no immediate plans to invest in infrastructure for electricity supply at its TEN-T Core airport.</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regards the </w:t>
      </w:r>
      <w:r>
        <w:rPr>
          <w:rFonts w:ascii="Times New Roman" w:hAnsi="Times New Roman" w:cs="Times New Roman"/>
          <w:b/>
          <w:noProof/>
          <w:sz w:val="24"/>
          <w:lang w:val="en-IE"/>
        </w:rPr>
        <w:t>measures</w:t>
      </w:r>
      <w:r>
        <w:rPr>
          <w:rFonts w:ascii="Times New Roman" w:hAnsi="Times New Roman" w:cs="Times New Roman"/>
          <w:noProof/>
          <w:sz w:val="24"/>
          <w:lang w:val="en-IE"/>
        </w:rPr>
        <w:t>, the MT NIR sho</w:t>
      </w:r>
      <w:r>
        <w:rPr>
          <w:rFonts w:ascii="Times New Roman" w:hAnsi="Times New Roman" w:cs="Times New Roman"/>
          <w:noProof/>
          <w:sz w:val="24"/>
          <w:lang w:val="en-IE"/>
        </w:rPr>
        <w:t xml:space="preserve">ws focus on the development of electro-mobility as electricity is considered as the most promising alternative fuel in short term. Some of the presented measures lack concrete information allowing for a proper assessment. </w:t>
      </w:r>
      <w:r>
        <w:rPr>
          <w:rFonts w:ascii="Times New Roman" w:hAnsi="Times New Roman" w:cs="Times New Roman"/>
          <w:noProof/>
          <w:sz w:val="24"/>
        </w:rPr>
        <w:t>Malta should improve the reporting</w:t>
      </w:r>
      <w:r>
        <w:rPr>
          <w:rFonts w:ascii="Times New Roman" w:hAnsi="Times New Roman" w:cs="Times New Roman"/>
          <w:noProof/>
          <w:sz w:val="24"/>
        </w:rPr>
        <w:t xml:space="preserve"> on this matter.</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Legal measures are mainly dedicated to allowing the development of electro-mobility and are almost all exclusively presented in the NIR. Overall, they appear, if fully implemented, to be fit to support the realisation of the AFV/AFI ob</w:t>
      </w:r>
      <w:r>
        <w:rPr>
          <w:rFonts w:ascii="Times New Roman" w:hAnsi="Times New Roman" w:cs="Times New Roman"/>
          <w:noProof/>
          <w:sz w:val="24"/>
          <w:lang w:val="en-IE"/>
        </w:rPr>
        <w:t>jectives as presented in the NPF and revised in the NIR. The level of ambition is considered higher in the NIR compared with the NPF.</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Concerning the policy measures, the MT NIR contains measures targeting only road as transport mode and focusing mainly on </w:t>
      </w:r>
      <w:r>
        <w:rPr>
          <w:rFonts w:ascii="Times New Roman" w:hAnsi="Times New Roman" w:cs="Times New Roman"/>
          <w:noProof/>
          <w:sz w:val="24"/>
          <w:lang w:val="en-IE"/>
        </w:rPr>
        <w:t>electricity as alternative fuel. The majority of them are a continuation of measures already presented and in place in the NPF. They cover financial aspects (e.g. purchase / conversion /scrappage subsidies, tax incentives) but also non-financial ones (e.g.</w:t>
      </w:r>
      <w:r>
        <w:rPr>
          <w:rFonts w:ascii="Times New Roman" w:hAnsi="Times New Roman" w:cs="Times New Roman"/>
          <w:noProof/>
          <w:sz w:val="24"/>
          <w:lang w:val="en-IE"/>
        </w:rPr>
        <w:t xml:space="preserve"> car-sharing services, access to restricted lanes).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AFI deployment measures address the electricity/road and electricity/water-maritime pairs.</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As for the Policy and Deployment &amp; Manufacturing support measures, in the NIR compared with the NPF, the leve</w:t>
      </w:r>
      <w:r>
        <w:rPr>
          <w:rFonts w:ascii="Times New Roman" w:hAnsi="Times New Roman" w:cs="Times New Roman"/>
          <w:noProof/>
          <w:sz w:val="24"/>
          <w:lang w:val="en-IE"/>
        </w:rPr>
        <w:t>l of ambition has increased for two identified clusters (i.e. electricity/road, electricity/water-maritime) and remained the same for the third one (i.e. LPG/road). The most complete and numerous cluster of measures is for the pair electricity/road. The as</w:t>
      </w:r>
      <w:r>
        <w:rPr>
          <w:rFonts w:ascii="Times New Roman" w:hAnsi="Times New Roman" w:cs="Times New Roman"/>
          <w:noProof/>
          <w:sz w:val="24"/>
          <w:lang w:val="en-IE"/>
        </w:rPr>
        <w:t>sessment was influenced by the lack of concrete information in the description of some measures.</w:t>
      </w:r>
    </w:p>
    <w:p w:rsidR="003C43BF" w:rsidRDefault="006C3212">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expected impact of the measures to support the realisation of the AFV/AFI objectives as presented in the NPF and revised in the NIR is medium for the elect</w:t>
      </w:r>
      <w:r>
        <w:rPr>
          <w:rFonts w:ascii="Times New Roman" w:hAnsi="Times New Roman" w:cs="Times New Roman"/>
          <w:noProof/>
          <w:sz w:val="24"/>
          <w:lang w:val="en-IE"/>
        </w:rPr>
        <w:t xml:space="preserve">ricity/road pair, while for the pairs electricity/water-maritime and LPG/road it results to be low.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Maltese NIR provides information about two main ongoing RTD&amp;D initiatives (participation to international projects) ongoing to support the </w:t>
      </w:r>
      <w:r>
        <w:rPr>
          <w:rFonts w:ascii="Times New Roman" w:hAnsi="Times New Roman" w:cs="Times New Roman"/>
          <w:noProof/>
          <w:sz w:val="24"/>
          <w:lang w:val="en-IE"/>
        </w:rPr>
        <w:t>implementation of hydrogen in transport. It also presents four national studies related to electricity, CNG and LNG, which were conducted to facilitate decisions on the future provision of these respective alternative fuels.</w:t>
      </w:r>
    </w:p>
    <w:p w:rsidR="003C43BF" w:rsidRDefault="003C43BF">
      <w:pPr>
        <w:rPr>
          <w:rFonts w:ascii="Times New Roman" w:hAnsi="Times New Roman" w:cs="Times New Roman"/>
          <w:noProof/>
          <w:lang w:val="en-IE"/>
        </w:rPr>
      </w:pPr>
    </w:p>
    <w:p w:rsidR="003C43BF" w:rsidRDefault="006C3212">
      <w:pPr>
        <w:pStyle w:val="Heading3"/>
        <w:rPr>
          <w:rFonts w:ascii="Times New Roman" w:hAnsi="Times New Roman" w:cs="Times New Roman"/>
          <w:noProof/>
          <w:sz w:val="24"/>
          <w:lang w:val="en-IE"/>
        </w:rPr>
      </w:pPr>
      <w:bookmarkStart w:id="428" w:name="_Toc56944241"/>
      <w:r>
        <w:rPr>
          <w:rFonts w:ascii="Times New Roman" w:hAnsi="Times New Roman" w:cs="Times New Roman"/>
          <w:noProof/>
          <w:sz w:val="24"/>
          <w:lang w:val="en-IE"/>
        </w:rPr>
        <w:t>Final remarks</w:t>
      </w:r>
      <w:bookmarkEnd w:id="428"/>
      <w:r>
        <w:rPr>
          <w:rFonts w:ascii="Times New Roman" w:hAnsi="Times New Roman" w:cs="Times New Roman"/>
          <w:noProof/>
          <w:sz w:val="24"/>
          <w:lang w:val="en-IE"/>
        </w:rPr>
        <w:t xml:space="preserv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Maltese NIR</w:t>
      </w:r>
      <w:r>
        <w:rPr>
          <w:rFonts w:ascii="Times New Roman" w:hAnsi="Times New Roman" w:cs="Times New Roman"/>
          <w:noProof/>
          <w:sz w:val="24"/>
          <w:lang w:val="en-IE"/>
        </w:rPr>
        <w:t xml:space="preserve"> provides a relatively comprehensive report on the efforts to implement the Directive, but does not provide information on the target for electric vehicles’ recharging points in 2025 and 2030, nor for CNG refuelling points for vehicles and LNG refuelling p</w:t>
      </w:r>
      <w:r>
        <w:rPr>
          <w:rFonts w:ascii="Times New Roman" w:hAnsi="Times New Roman" w:cs="Times New Roman"/>
          <w:noProof/>
          <w:sz w:val="24"/>
          <w:lang w:val="en-IE"/>
        </w:rPr>
        <w:t xml:space="preserve">oints for vehicles and vessels in 2020, 2025 and 2030. A significant number of the measures included in the Maltese’s NIR aim at promoting electro-mobility in road transport, in public transport and, to a lower extent, in maritime transport.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With regard t</w:t>
      </w:r>
      <w:r>
        <w:rPr>
          <w:rFonts w:ascii="Times New Roman" w:hAnsi="Times New Roman" w:cs="Times New Roman"/>
          <w:noProof/>
          <w:sz w:val="24"/>
          <w:lang w:val="en-IE"/>
        </w:rPr>
        <w:t>o electricity, the NIR estimates that 47,488 electric vehicles could be on the road by 2030, representing about 15% of the fleet by that time. Taking into account the current situation and expected trends, this level of ambition appears to be broadly consi</w:t>
      </w:r>
      <w:r>
        <w:rPr>
          <w:rFonts w:ascii="Times New Roman" w:hAnsi="Times New Roman" w:cs="Times New Roman"/>
          <w:noProof/>
          <w:sz w:val="24"/>
          <w:lang w:val="en-IE"/>
        </w:rPr>
        <w:t>stent with the pace of deployment of electric vehicles considered necessary for a full transition to carbon neutrality by 2050. Nevertheless, the NIR does not indicate estimates for electric recharging infrastructure by 2025 and 2030. Malta should update i</w:t>
      </w:r>
      <w:r>
        <w:rPr>
          <w:rFonts w:ascii="Times New Roman" w:hAnsi="Times New Roman" w:cs="Times New Roman"/>
          <w:noProof/>
          <w:sz w:val="24"/>
          <w:lang w:val="en-IE"/>
        </w:rPr>
        <w:t>ts planning and reporting on this matter. No information on charging efficiency is provided. Further, no specific information is given on the electrification of waterborne and air transport. However, the NIR indicates that Malta will undertake the necessar</w:t>
      </w:r>
      <w:r>
        <w:rPr>
          <w:rFonts w:ascii="Times New Roman" w:hAnsi="Times New Roman" w:cs="Times New Roman"/>
          <w:noProof/>
          <w:sz w:val="24"/>
          <w:lang w:val="en-IE"/>
        </w:rPr>
        <w:t xml:space="preserve">y investment to provide shore-side </w:t>
      </w:r>
      <w:r>
        <w:rPr>
          <w:rFonts w:ascii="Times New Roman" w:hAnsi="Times New Roman" w:cs="Times New Roman"/>
          <w:noProof/>
          <w:color w:val="222222"/>
          <w:sz w:val="24"/>
          <w:lang w:val="en-IE"/>
        </w:rPr>
        <w:t>electricity</w:t>
      </w:r>
      <w:r>
        <w:rPr>
          <w:rFonts w:ascii="Times New Roman" w:hAnsi="Times New Roman" w:cs="Times New Roman"/>
          <w:noProof/>
          <w:sz w:val="24"/>
          <w:lang w:val="en-IE"/>
        </w:rPr>
        <w:t xml:space="preserve"> supply on all quays within the TEN-T Core Network used for cruise liner ships.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Maltese NIR does not report any information on existing or future HFCV and the relevant infrastructure. </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Regarding natural ga</w:t>
      </w:r>
      <w:r>
        <w:rPr>
          <w:rFonts w:ascii="Times New Roman" w:hAnsi="Times New Roman" w:cs="Times New Roman"/>
          <w:noProof/>
          <w:sz w:val="24"/>
          <w:lang w:val="en-IE"/>
        </w:rPr>
        <w:t>s for transport, the NIR does not report information on the development of CNG and LNG infrastructures for road and maritime transport. Only small fleets of 950 CNG vehicles and 22 LNG vehicles are estimated by 2030. There are no plans to use LNG in the ma</w:t>
      </w:r>
      <w:r>
        <w:rPr>
          <w:rFonts w:ascii="Times New Roman" w:hAnsi="Times New Roman" w:cs="Times New Roman"/>
          <w:noProof/>
          <w:sz w:val="24"/>
          <w:lang w:val="en-IE"/>
        </w:rPr>
        <w:t>ritime sector before 2025, as the current interest in LNG among shipping operators is noted to be limited.</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Concerning LPG, the NIR shows that Malta had a small fleet of 83 LPG vehicles and six LPG refuelling stations by 2018. It estimates around 100 LPG ve</w:t>
      </w:r>
      <w:r>
        <w:rPr>
          <w:rFonts w:ascii="Times New Roman" w:hAnsi="Times New Roman" w:cs="Times New Roman"/>
          <w:noProof/>
          <w:sz w:val="24"/>
          <w:lang w:val="en-IE"/>
        </w:rPr>
        <w:t>hicles by 2020, 2025 and 2030 as well as nine LPG refuelling stations at the end of 2020.</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 xml:space="preserve">Malta should provide more information in future reporting on efforts to promote the use of renewable fuels in transport, and particularly in aviation. </w:t>
      </w:r>
    </w:p>
    <w:p w:rsidR="003C43BF" w:rsidRDefault="006C3212">
      <w:pPr>
        <w:rPr>
          <w:rFonts w:ascii="Times New Roman" w:hAnsi="Times New Roman" w:cs="Times New Roman"/>
          <w:noProof/>
          <w:lang w:val="en-IE"/>
        </w:rPr>
      </w:pPr>
      <w:r>
        <w:rPr>
          <w:rFonts w:ascii="Times New Roman" w:hAnsi="Times New Roman" w:cs="Times New Roman"/>
          <w:noProof/>
          <w:lang w:val="en-IE"/>
        </w:rPr>
        <w:br w:type="page"/>
      </w:r>
    </w:p>
    <w:p w:rsidR="003C43BF" w:rsidRDefault="006C3212">
      <w:pPr>
        <w:pStyle w:val="Heading3"/>
        <w:ind w:left="720"/>
        <w:rPr>
          <w:rFonts w:ascii="Times New Roman" w:hAnsi="Times New Roman" w:cs="Times New Roman"/>
          <w:noProof/>
          <w:sz w:val="24"/>
          <w:lang w:val="en-IE"/>
        </w:rPr>
      </w:pPr>
      <w:bookmarkStart w:id="429" w:name="_Toc55301930"/>
      <w:bookmarkStart w:id="430" w:name="_Toc56944242"/>
      <w:r>
        <w:rPr>
          <w:rFonts w:ascii="Times New Roman" w:hAnsi="Times New Roman" w:cs="Times New Roman"/>
          <w:noProof/>
          <w:sz w:val="24"/>
          <w:lang w:val="en-IE"/>
        </w:rPr>
        <w:t>ANNEX - Desc</w:t>
      </w:r>
      <w:r>
        <w:rPr>
          <w:rFonts w:ascii="Times New Roman" w:hAnsi="Times New Roman" w:cs="Times New Roman"/>
          <w:noProof/>
          <w:sz w:val="24"/>
          <w:lang w:val="en-IE"/>
        </w:rPr>
        <w:t>ription of the Member State</w:t>
      </w:r>
      <w:bookmarkEnd w:id="429"/>
      <w:bookmarkEnd w:id="430"/>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300 km², Malta has a population of 476,000 people in 2018, which makes up for a population density of 1,587 inhabitants/km².</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rsidR="003C43BF" w:rsidRDefault="006C3212">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1 urban agglomeration &gt; 50,000 inhabitants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Malta achieves a per capita gross domestic product at market prices of €25,490, which represents a per capita gross domestic product in purchasing power standards of 98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w:t>
      </w:r>
      <w:r>
        <w:rPr>
          <w:rFonts w:ascii="Times New Roman" w:hAnsi="Times New Roman" w:cs="Times New Roman"/>
          <w:i/>
          <w:noProof/>
          <w:sz w:val="24"/>
          <w:lang w:val="en-IE"/>
        </w:rPr>
        <w:t xml:space="preserve">road networks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Malta is 20 km. The total road network length is 2,855.</w:t>
      </w:r>
    </w:p>
    <w:p w:rsidR="003C43BF" w:rsidRDefault="006C3212">
      <w:pPr>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Malta: 0.3% (20 km) of the Scandinavian - Mediterranean Corridor.</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Number of</w:t>
      </w:r>
      <w:r>
        <w:rPr>
          <w:rFonts w:ascii="Times New Roman" w:hAnsi="Times New Roman" w:cs="Times New Roman"/>
          <w:i/>
          <w:noProof/>
          <w:sz w:val="24"/>
          <w:lang w:val="en-IE"/>
        </w:rPr>
        <w:t xml:space="preserve"> registered road vehicles </w:t>
      </w:r>
    </w:p>
    <w:p w:rsidR="003C43BF" w:rsidRDefault="006C3212">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Malta accounts for 375,634 registered road vehicles of which 300,140 are categorized as passenger cars, 36,571 as light goods vehicles, 12,223 as heavy goods vehicles and 2,100 as buses and coaches. The motori</w:t>
      </w:r>
      <w:r>
        <w:rPr>
          <w:rFonts w:ascii="Times New Roman" w:hAnsi="Times New Roman" w:cs="Times New Roman"/>
          <w:noProof/>
          <w:sz w:val="24"/>
          <w:lang w:val="en-IE"/>
        </w:rPr>
        <w:t>sation rate is 631 passenger cars per 1,000 inhabitants.</w:t>
      </w:r>
    </w:p>
    <w:p w:rsidR="003C43BF" w:rsidRDefault="006C3212">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maritime ports in the TEN-T Core Network (Marsaxlokk, Valletta)</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maritime ports in the TEN-T Comprehensive Network</w:t>
      </w:r>
    </w:p>
    <w:p w:rsidR="003C43BF" w:rsidRDefault="006C3212">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No inland ports </w:t>
      </w:r>
    </w:p>
    <w:p w:rsidR="003C43BF" w:rsidRDefault="003C43BF">
      <w:pPr>
        <w:pStyle w:val="Text1"/>
        <w:tabs>
          <w:tab w:val="left" w:pos="720"/>
        </w:tabs>
        <w:ind w:left="0"/>
        <w:rPr>
          <w:rFonts w:ascii="Times New Roman" w:hAnsi="Times New Roman" w:cs="Times New Roman"/>
          <w:i/>
          <w:noProof/>
          <w:color w:val="000000" w:themeColor="text1"/>
          <w:sz w:val="24"/>
          <w:lang w:val="en-IE"/>
        </w:rPr>
      </w:pPr>
    </w:p>
    <w:p w:rsidR="003C43BF" w:rsidRDefault="006C3212">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Core Network (Valletta-Malta Luqa) </w:t>
      </w:r>
    </w:p>
    <w:p w:rsidR="003C43BF" w:rsidRDefault="006C3212">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airports in the TEN-T Comprehensive Network</w:t>
      </w:r>
    </w:p>
    <w:p w:rsidR="003C43BF" w:rsidRDefault="003C43BF">
      <w:pPr>
        <w:jc w:val="both"/>
        <w:rPr>
          <w:rFonts w:ascii="Times New Roman" w:hAnsi="Times New Roman" w:cs="Times New Roman"/>
          <w:noProof/>
          <w:sz w:val="24"/>
          <w:lang w:val="en-IE"/>
        </w:rPr>
      </w:pPr>
    </w:p>
    <w:p w:rsidR="003C43BF" w:rsidRDefault="003C43BF">
      <w:pPr>
        <w:rPr>
          <w:rFonts w:ascii="Times New Roman" w:hAnsi="Times New Roman" w:cs="Times New Roman"/>
          <w:noProof/>
          <w:lang w:val="en-IE"/>
        </w:rPr>
      </w:pPr>
    </w:p>
    <w:sectPr w:rsidR="003C43BF">
      <w:headerReference w:type="even" r:id="rId157"/>
      <w:headerReference w:type="default" r:id="rId158"/>
      <w:footerReference w:type="even" r:id="rId159"/>
      <w:footerReference w:type="default" r:id="rId160"/>
      <w:headerReference w:type="first" r:id="rId161"/>
      <w:footerReference w:type="first" r:id="rId162"/>
      <w:pgSz w:w="11906" w:h="16838"/>
      <w:pgMar w:top="1417" w:right="1417" w:bottom="1417" w:left="1417" w:header="708" w:footer="708" w:gutter="0"/>
      <w:pgNumType w:start="7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3BF" w:rsidRDefault="006C3212">
      <w:pPr>
        <w:spacing w:after="0" w:line="240" w:lineRule="auto"/>
      </w:pPr>
      <w:r>
        <w:separator/>
      </w:r>
    </w:p>
  </w:endnote>
  <w:endnote w:type="continuationSeparator" w:id="0">
    <w:p w:rsidR="003C43BF" w:rsidRDefault="006C3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E7002EFF" w:usb1="D200FDFF" w:usb2="0A24602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6C321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011112"/>
      <w:docPartObj>
        <w:docPartGallery w:val="Page Numbers (Bottom of Page)"/>
        <w:docPartUnique/>
      </w:docPartObj>
    </w:sdtPr>
    <w:sdtEndPr>
      <w:rPr>
        <w:noProof/>
      </w:rPr>
    </w:sdtEndPr>
    <w:sdtContent>
      <w:p w:rsidR="003C43BF" w:rsidRDefault="006C3212">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rsidR="003C43BF" w:rsidRDefault="003C43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3BF" w:rsidRDefault="006C3212">
      <w:pPr>
        <w:spacing w:after="0" w:line="240" w:lineRule="auto"/>
      </w:pPr>
      <w:r>
        <w:separator/>
      </w:r>
    </w:p>
  </w:footnote>
  <w:footnote w:type="continuationSeparator" w:id="0">
    <w:p w:rsidR="003C43BF" w:rsidRDefault="006C3212">
      <w:pPr>
        <w:spacing w:after="0" w:line="240" w:lineRule="auto"/>
      </w:pPr>
      <w:r>
        <w:continuationSeparator/>
      </w:r>
    </w:p>
  </w:footnote>
  <w:footnote w:id="1">
    <w:p w:rsidR="003C43BF" w:rsidRDefault="006C3212">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EAFO. (2020). European Alternative Fuels Observatory (EAFO). European Commission (EC). Retrieved from https://www.eafo.eu on 01/02/2020.</w:t>
      </w:r>
    </w:p>
  </w:footnote>
  <w:footnote w:id="2">
    <w:p w:rsidR="003C43BF" w:rsidRDefault="006C3212">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EAFO. (2020). European Alternative Fuels Observatory (EAFO). European Commission (EC). Retrieved from https://www.ea</w:t>
      </w:r>
      <w:r>
        <w:rPr>
          <w:rFonts w:ascii="Times New Roman" w:hAnsi="Times New Roman" w:cs="Times New Roman"/>
          <w:sz w:val="18"/>
          <w:szCs w:val="18"/>
        </w:rPr>
        <w:t>fo.eu on 01/02/2020.</w:t>
      </w:r>
    </w:p>
  </w:footnote>
  <w:footnote w:id="3">
    <w:p w:rsidR="003C43BF" w:rsidRDefault="006C3212">
      <w:pPr>
        <w:pStyle w:val="FootnoteText"/>
        <w:spacing w:after="0" w:line="240" w:lineRule="auto"/>
        <w:ind w:left="0" w:firstLine="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Belgium there is an additional column, which has been deemed useful to provide some additional, necessary information.</w:t>
      </w:r>
    </w:p>
  </w:footnote>
  <w:footnote w:id="4">
    <w:p w:rsidR="003C43BF" w:rsidRDefault="006C3212">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If the MS did not provide any information for the 2016-2018 period, neither in the NIR or in the NPF, data</w:t>
      </w:r>
      <w:r>
        <w:rPr>
          <w:lang w:val="en-US"/>
        </w:rPr>
        <w:t xml:space="preserve"> </w:t>
      </w:r>
      <w:r>
        <w:rPr>
          <w:rFonts w:ascii="Times New Roman" w:hAnsi="Times New Roman" w:cs="Times New Roman"/>
          <w:sz w:val="18"/>
          <w:szCs w:val="18"/>
          <w:lang w:val="en-US"/>
        </w:rPr>
        <w:t>from EAFO is used, if available.</w:t>
      </w:r>
    </w:p>
  </w:footnote>
  <w:footnote w:id="5">
    <w:p w:rsidR="003C43BF" w:rsidRDefault="006C3212">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w:t>
      </w:r>
      <w:r>
        <w:rPr>
          <w:rFonts w:ascii="Times New Roman" w:hAnsi="Times New Roman" w:cs="Times New Roman"/>
          <w:sz w:val="18"/>
          <w:szCs w:val="18"/>
        </w:rPr>
        <w:t>As an indication, the appropriate average number of recharging points should be equivalent to at least one recharging point per 10 cars”.</w:t>
      </w:r>
    </w:p>
  </w:footnote>
  <w:footnote w:id="6">
    <w:p w:rsidR="003C43BF" w:rsidRDefault="006C3212">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average ratio in Member States between conventional vehicles and gasoline/di</w:t>
      </w:r>
      <w:r>
        <w:rPr>
          <w:rFonts w:ascii="Times New Roman" w:hAnsi="Times New Roman" w:cs="Times New Roman"/>
          <w:sz w:val="18"/>
          <w:szCs w:val="18"/>
        </w:rPr>
        <w:t>esel refuelling points is 600 to one (one fuel station typically has several refuelling points).</w:t>
      </w:r>
    </w:p>
  </w:footnote>
  <w:footnote w:id="7">
    <w:p w:rsidR="003C43BF" w:rsidRDefault="006C3212">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iCs/>
          <w:sz w:val="18"/>
          <w:szCs w:val="18"/>
        </w:rPr>
        <w:t xml:space="preserve">According to the </w:t>
      </w:r>
      <w:r>
        <w:rPr>
          <w:rFonts w:ascii="Times New Roman" w:hAnsi="Times New Roman" w:cs="Times New Roman"/>
          <w:sz w:val="18"/>
          <w:szCs w:val="18"/>
        </w:rPr>
        <w:t>Commission Frequently-Asked Questions document notified to the Member States on 16 September 2019, complying to this requirement can be ensu</w:t>
      </w:r>
      <w:r>
        <w:rPr>
          <w:rFonts w:ascii="Times New Roman" w:hAnsi="Times New Roman" w:cs="Times New Roman"/>
          <w:sz w:val="18"/>
          <w:szCs w:val="18"/>
        </w:rPr>
        <w:t>red by providing information on usage from a representative sampling of high power recharging points.</w:t>
      </w:r>
    </w:p>
  </w:footnote>
  <w:footnote w:id="8">
    <w:p w:rsidR="003C43BF" w:rsidRDefault="006C3212">
      <w:pPr>
        <w:spacing w:after="0" w:line="240" w:lineRule="auto"/>
        <w:ind w:right="113"/>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color w:val="000000"/>
          <w:sz w:val="18"/>
          <w:szCs w:val="18"/>
        </w:rPr>
        <w:t>Similarly to the NPF assessment, these future total fleet values are based on the Baseline scenario of the Impact Assessment accompanying the Proposal f</w:t>
      </w:r>
      <w:r>
        <w:rPr>
          <w:rFonts w:ascii="Times New Roman" w:eastAsia="Times New Roman" w:hAnsi="Times New Roman" w:cs="Times New Roman"/>
          <w:color w:val="000000"/>
          <w:sz w:val="18"/>
          <w:szCs w:val="18"/>
        </w:rPr>
        <w:t>or a Directive amending Directive 1999/62/EC on the charging of heavy goods vehicles for the use of certain infrastructures (SWD (2017) 180), and thus on the EU Reference scenario 2016, but excludes the incentives for alternative fuels provided at the Memb</w:t>
      </w:r>
      <w:r>
        <w:rPr>
          <w:rFonts w:ascii="Times New Roman" w:eastAsia="Times New Roman" w:hAnsi="Times New Roman" w:cs="Times New Roman"/>
          <w:color w:val="000000"/>
          <w:sz w:val="18"/>
          <w:szCs w:val="18"/>
        </w:rPr>
        <w:t>er State level. It has been developed with the PRIMES-TREMOVE model (i.e. the same model used for the EU Reference scenario 2016) by ICCS-E3MLab.</w:t>
      </w:r>
    </w:p>
  </w:footnote>
  <w:footnote w:id="9">
    <w:p w:rsidR="003C43BF" w:rsidRDefault="006C3212">
      <w:pPr>
        <w:pStyle w:val="FootnoteText"/>
        <w:spacing w:after="0" w:line="240" w:lineRule="auto"/>
        <w:ind w:left="0" w:firstLine="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contrast to the NPF assessment, the clusters for LNG/water (maritime) and LNG/water (inland) can no longe</w:t>
      </w:r>
      <w:r>
        <w:rPr>
          <w:rFonts w:ascii="Times New Roman" w:hAnsi="Times New Roman" w:cs="Times New Roman"/>
          <w:sz w:val="18"/>
          <w:szCs w:val="18"/>
        </w:rPr>
        <w:t>r be clearly identified, as measures relevant to these clusters tend to target a combination of AFs and/or modes.</w:t>
      </w:r>
    </w:p>
  </w:footnote>
  <w:footnote w:id="10">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One additional measure referring to the Ordinance for determining the rate of product charges for motor vehicles was included by Bulgaria as legal measure, but this is assessed here as a policy measure for consistency with our previous assessment and the </w:t>
      </w:r>
      <w:r>
        <w:rPr>
          <w:rFonts w:ascii="Times New Roman" w:hAnsi="Times New Roman" w:cs="Times New Roman"/>
          <w:sz w:val="18"/>
        </w:rPr>
        <w:t>Guidance Support document.</w:t>
      </w:r>
    </w:p>
  </w:footnote>
  <w:footnote w:id="11">
    <w:p w:rsidR="003C43BF" w:rsidRDefault="006C3212">
      <w:pPr>
        <w:pStyle w:val="FootnoteText"/>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w:t>
      </w:r>
      <w:hyperlink r:id="rId1" w:history="1">
        <w:r>
          <w:rPr>
            <w:rStyle w:val="Hyperlink"/>
            <w:rFonts w:ascii="Times New Roman" w:hAnsi="Times New Roman" w:cs="Times New Roman"/>
            <w:sz w:val="18"/>
          </w:rPr>
          <w:t>https://ec.europa.eu/inea/en/connecting-europe-facility/cef-transport/2017-eu-tm-0065-w</w:t>
        </w:r>
      </w:hyperlink>
      <w:r>
        <w:rPr>
          <w:rFonts w:ascii="Times New Roman" w:hAnsi="Times New Roman" w:cs="Times New Roman"/>
          <w:sz w:val="18"/>
        </w:rPr>
        <w:t xml:space="preserve"> </w:t>
      </w:r>
    </w:p>
  </w:footnote>
  <w:footnote w:id="12">
    <w:p w:rsidR="003C43BF" w:rsidRDefault="006C3212">
      <w:pPr>
        <w:pStyle w:val="FootnoteText"/>
        <w:rPr>
          <w:lang w:val="en-US"/>
        </w:rPr>
      </w:pPr>
      <w:r>
        <w:rPr>
          <w:rStyle w:val="FootnoteReference"/>
        </w:rPr>
        <w:footnoteRef/>
      </w:r>
      <w:r>
        <w:t xml:space="preserve"> No data available for light good</w:t>
      </w:r>
      <w:r>
        <w:t>s vehicles.</w:t>
      </w:r>
    </w:p>
  </w:footnote>
  <w:footnote w:id="13">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We deduce that the NIR uses ‘EVs’ to refer to BEVs only, in contrast to PHEVs, and ‘gas vehicles’ to refer to CNG vehicles.</w:t>
      </w:r>
    </w:p>
  </w:footnote>
  <w:footnote w:id="14">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In terms of railway electrification, if a distinction is made between vehicles (which is included in the part on pol</w:t>
      </w:r>
      <w:r>
        <w:rPr>
          <w:rFonts w:ascii="Times New Roman" w:hAnsi="Times New Roman" w:cs="Times New Roman"/>
          <w:sz w:val="18"/>
        </w:rPr>
        <w:t>icy measures) and infrastructure, then a 12</w:t>
      </w:r>
      <w:r>
        <w:rPr>
          <w:rFonts w:ascii="Times New Roman" w:hAnsi="Times New Roman" w:cs="Times New Roman"/>
          <w:sz w:val="18"/>
          <w:vertAlign w:val="superscript"/>
        </w:rPr>
        <w:t>th</w:t>
      </w:r>
      <w:r>
        <w:rPr>
          <w:rFonts w:ascii="Times New Roman" w:hAnsi="Times New Roman" w:cs="Times New Roman"/>
          <w:sz w:val="18"/>
        </w:rPr>
        <w:t xml:space="preserve"> measure can be identified, though information on budget is not available.</w:t>
      </w:r>
    </w:p>
  </w:footnote>
  <w:footnote w:id="15">
    <w:p w:rsidR="003C43BF" w:rsidRDefault="006C3212">
      <w:pPr>
        <w:pStyle w:val="FootnoteText"/>
        <w:spacing w:after="0" w:line="240" w:lineRule="auto"/>
        <w:ind w:left="0" w:firstLine="0"/>
        <w:rPr>
          <w:rFonts w:ascii="Times New Roman" w:hAnsi="Times New Roman" w:cs="Times New Roman"/>
          <w:sz w:val="18"/>
          <w:lang w:val="en-IE"/>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IE"/>
        </w:rPr>
        <w:t>These can presumably be searched via the website Energiforskning.dk.</w:t>
      </w:r>
    </w:p>
  </w:footnote>
  <w:footnote w:id="16">
    <w:p w:rsidR="003C43BF" w:rsidRDefault="006C3212">
      <w:pPr>
        <w:pStyle w:val="FootnoteText"/>
        <w:spacing w:after="0" w:line="240" w:lineRule="auto"/>
        <w:ind w:left="0" w:firstLine="0"/>
        <w:rPr>
          <w:rFonts w:ascii="Times New Roman" w:hAnsi="Times New Roman" w:cs="Times New Roman"/>
          <w:sz w:val="18"/>
          <w:lang w:val="en-IE"/>
        </w:rPr>
      </w:pPr>
      <w:r>
        <w:rPr>
          <w:rStyle w:val="FootnoteReference"/>
          <w:rFonts w:ascii="Times New Roman" w:hAnsi="Times New Roman" w:cs="Times New Roman"/>
          <w:sz w:val="18"/>
        </w:rPr>
        <w:footnoteRef/>
      </w:r>
      <w:r>
        <w:rPr>
          <w:rFonts w:ascii="Times New Roman" w:hAnsi="Times New Roman" w:cs="Times New Roman"/>
          <w:sz w:val="18"/>
        </w:rPr>
        <w:t xml:space="preserve"> Adapted from the original table notified by Denmark.</w:t>
      </w:r>
    </w:p>
  </w:footnote>
  <w:footnote w:id="17">
    <w:p w:rsidR="003C43BF" w:rsidRDefault="006C3212">
      <w:pPr>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DK N</w:t>
      </w:r>
      <w:r>
        <w:rPr>
          <w:rFonts w:ascii="Times New Roman" w:hAnsi="Times New Roman" w:cs="Times New Roman"/>
          <w:sz w:val="18"/>
          <w:szCs w:val="18"/>
        </w:rPr>
        <w:t>IR expresses doubts about the appropriateness of maintaining the ‘ten-to-one ratio’ assumption.</w:t>
      </w:r>
    </w:p>
  </w:footnote>
  <w:footnote w:id="18">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Registrations of only vehicles with bivalent diesel-LNG propulsion are reported in the NIR, which however acknowledges that it is not possible to determine th</w:t>
      </w:r>
      <w:r>
        <w:rPr>
          <w:rFonts w:ascii="Times New Roman" w:hAnsi="Times New Roman" w:cs="Times New Roman"/>
          <w:sz w:val="18"/>
        </w:rPr>
        <w:t>e number of past LNG vehicles and regards the reported figures as a very likely underestimation. Since 2019, vehicles with the more common monovalent LNG propulsion are being recorded under a specific category.</w:t>
      </w:r>
    </w:p>
  </w:footnote>
  <w:footnote w:id="19">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Including plug-in vehicles with hydrogen fu</w:t>
      </w:r>
      <w:r>
        <w:rPr>
          <w:rFonts w:ascii="Times New Roman" w:hAnsi="Times New Roman" w:cs="Times New Roman"/>
          <w:sz w:val="18"/>
        </w:rPr>
        <w:t>el cell and vehicles with hydrogen-powered internal combustion engines, as reported in the NIR.</w:t>
      </w:r>
    </w:p>
  </w:footnote>
  <w:footnote w:id="20">
    <w:p w:rsidR="003C43BF" w:rsidRDefault="006C3212">
      <w:pPr>
        <w:pStyle w:val="FootnoteText"/>
        <w:jc w:val="both"/>
        <w:rPr>
          <w:rFonts w:ascii="Times New Roman" w:hAnsi="Times New Roman" w:cs="Times New Roman"/>
          <w:sz w:val="18"/>
          <w:lang w:val="de-DE"/>
        </w:rPr>
      </w:pPr>
      <w:r>
        <w:rPr>
          <w:rStyle w:val="FootnoteReference"/>
          <w:rFonts w:ascii="Times New Roman" w:hAnsi="Times New Roman" w:cs="Times New Roman"/>
          <w:sz w:val="18"/>
        </w:rPr>
        <w:footnoteRef/>
      </w:r>
      <w:r>
        <w:rPr>
          <w:rFonts w:ascii="Times New Roman" w:hAnsi="Times New Roman" w:cs="Times New Roman"/>
          <w:sz w:val="18"/>
          <w:lang w:val="de-DE"/>
        </w:rPr>
        <w:t xml:space="preserve"> Data unavailable for Brandenburg, Niedersachsen, Nordrhein-Westfalen and Schleswig-Holstein.</w:t>
      </w:r>
    </w:p>
  </w:footnote>
  <w:footnote w:id="21">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For the measure denominated “ExcellentBattery”, the NIR lists it as a national measure but it indicates that the measure is implemented at regional level.</w:t>
      </w:r>
    </w:p>
  </w:footnote>
  <w:footnote w:id="22">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In terms of the quantitative assessment, however, this cluster consists only of manufacturing meas</w:t>
      </w:r>
      <w:r>
        <w:rPr>
          <w:rFonts w:ascii="Times New Roman" w:hAnsi="Times New Roman" w:cs="Times New Roman"/>
          <w:sz w:val="18"/>
        </w:rPr>
        <w:t>ures that apply to other transport modes as well.</w:t>
      </w:r>
    </w:p>
  </w:footnote>
  <w:footnote w:id="23">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Though none of the measures in this cluster is exclusively dedicated to the use of hydrogen in maritime vessels.</w:t>
      </w:r>
    </w:p>
  </w:footnote>
  <w:footnote w:id="24">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As a result of applying the assessment methodology (</w:t>
      </w:r>
      <w:r>
        <w:rPr>
          <w:rFonts w:ascii="Times New Roman" w:hAnsi="Times New Roman" w:cs="Times New Roman"/>
          <w:iCs/>
          <w:color w:val="000000" w:themeColor="text1"/>
          <w:sz w:val="18"/>
        </w:rPr>
        <w:t>Section 2.2</w:t>
      </w:r>
      <w:r>
        <w:rPr>
          <w:rFonts w:ascii="Times New Roman" w:hAnsi="Times New Roman" w:cs="Times New Roman"/>
          <w:sz w:val="18"/>
        </w:rPr>
        <w:t>), not the DE NIR’s own ca</w:t>
      </w:r>
      <w:r>
        <w:rPr>
          <w:rFonts w:ascii="Times New Roman" w:hAnsi="Times New Roman" w:cs="Times New Roman"/>
          <w:sz w:val="18"/>
        </w:rPr>
        <w:t>tegorisation indicated above.</w:t>
      </w:r>
    </w:p>
  </w:footnote>
  <w:footnote w:id="25">
    <w:p w:rsidR="003C43BF" w:rsidRDefault="006C3212">
      <w:pPr>
        <w:pStyle w:val="FootnoteText"/>
        <w:spacing w:after="0" w:line="240" w:lineRule="auto"/>
        <w:ind w:left="0" w:firstLine="0"/>
        <w:jc w:val="both"/>
        <w:rPr>
          <w:rFonts w:ascii="Times New Roman" w:hAnsi="Times New Roman" w:cs="Times New Roman"/>
          <w:sz w:val="16"/>
          <w:szCs w:val="18"/>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Irish Maritime Development Office, 2019, “</w:t>
      </w:r>
      <w:r>
        <w:rPr>
          <w:rFonts w:ascii="Times New Roman" w:hAnsi="Times New Roman" w:cs="Times New Roman"/>
          <w:sz w:val="18"/>
          <w:lang w:val="en-US"/>
        </w:rPr>
        <w:t xml:space="preserve">The Development of Alternative Fuel Infrastructure in Irish Ports – A Feasibility Study” </w:t>
      </w:r>
    </w:p>
  </w:footnote>
  <w:footnote w:id="26">
    <w:p w:rsidR="003C43BF" w:rsidRDefault="006C3212">
      <w:pPr>
        <w:pStyle w:val="FootnoteText"/>
        <w:spacing w:after="0" w:line="240" w:lineRule="auto"/>
        <w:ind w:left="0" w:firstLine="0"/>
        <w:jc w:val="both"/>
        <w:rPr>
          <w:rFonts w:ascii="Times New Roman" w:hAnsi="Times New Roman" w:cs="Times New Roman"/>
          <w:sz w:val="18"/>
          <w:lang w:val="en-IE"/>
        </w:rPr>
      </w:pPr>
      <w:r>
        <w:rPr>
          <w:rStyle w:val="FootnoteReference"/>
          <w:rFonts w:ascii="Times New Roman" w:hAnsi="Times New Roman" w:cs="Times New Roman"/>
          <w:sz w:val="18"/>
          <w:lang w:val="en-IE"/>
        </w:rPr>
        <w:footnoteRef/>
      </w:r>
      <w:r>
        <w:rPr>
          <w:rFonts w:ascii="Times New Roman" w:hAnsi="Times New Roman" w:cs="Times New Roman"/>
          <w:sz w:val="18"/>
          <w:lang w:val="en-IE"/>
        </w:rPr>
        <w:t xml:space="preserve"> A scheme that places an obligation on fuel suppliers in the road transport to ensure that a certain of all fuel is from renewable sources (the obligation rate increases over time - 4% by volume in 2010, 10% by volume in 2019 and 11% in 2020.</w:t>
      </w:r>
    </w:p>
  </w:footnote>
  <w:footnote w:id="27">
    <w:p w:rsidR="003C43BF" w:rsidRDefault="006C3212">
      <w:pPr>
        <w:pStyle w:val="FootnoteText"/>
        <w:spacing w:after="0" w:line="240" w:lineRule="auto"/>
        <w:ind w:firstLine="0"/>
        <w:rPr>
          <w:rFonts w:ascii="Times New Roman" w:hAnsi="Times New Roman" w:cs="Times New Roman"/>
          <w:sz w:val="18"/>
          <w:szCs w:val="18"/>
          <w:lang w:val="en-IE"/>
        </w:rPr>
      </w:pPr>
      <w:r>
        <w:rPr>
          <w:rStyle w:val="FootnoteReference"/>
          <w:rFonts w:ascii="Times New Roman" w:hAnsi="Times New Roman" w:cs="Times New Roman"/>
          <w:sz w:val="18"/>
          <w:szCs w:val="18"/>
          <w:lang w:val="en-IE"/>
        </w:rPr>
        <w:footnoteRef/>
      </w:r>
      <w:r>
        <w:rPr>
          <w:rFonts w:ascii="Times New Roman" w:hAnsi="Times New Roman" w:cs="Times New Roman"/>
          <w:sz w:val="18"/>
          <w:szCs w:val="18"/>
          <w:lang w:val="en-IE"/>
        </w:rPr>
        <w:t xml:space="preserve"> The cluster</w:t>
      </w:r>
      <w:r>
        <w:rPr>
          <w:rFonts w:ascii="Times New Roman" w:hAnsi="Times New Roman" w:cs="Times New Roman"/>
          <w:sz w:val="18"/>
          <w:szCs w:val="18"/>
          <w:lang w:val="en-IE"/>
        </w:rPr>
        <w:t xml:space="preserve"> Synthetic &amp; paraffinic fuels/road contained measures only in the IE NPF.</w:t>
      </w:r>
    </w:p>
  </w:footnote>
  <w:footnote w:id="28">
    <w:p w:rsidR="003C43BF" w:rsidRDefault="006C3212">
      <w:pPr>
        <w:spacing w:after="0" w:line="240" w:lineRule="auto"/>
        <w:jc w:val="both"/>
        <w:rPr>
          <w:rFonts w:ascii="Times New Roman" w:hAnsi="Times New Roman" w:cs="Times New Roman"/>
          <w:color w:val="000000" w:themeColor="text1"/>
          <w:sz w:val="18"/>
          <w:szCs w:val="18"/>
          <w:lang w:val="en-IE"/>
        </w:rPr>
      </w:pPr>
      <w:r>
        <w:rPr>
          <w:rStyle w:val="FootnoteReference"/>
          <w:rFonts w:ascii="Times New Roman" w:hAnsi="Times New Roman" w:cs="Times New Roman"/>
          <w:sz w:val="18"/>
          <w:szCs w:val="18"/>
          <w:lang w:val="en-IE"/>
        </w:rPr>
        <w:footnoteRef/>
      </w:r>
      <w:r>
        <w:rPr>
          <w:rFonts w:ascii="Times New Roman" w:hAnsi="Times New Roman" w:cs="Times New Roman"/>
          <w:sz w:val="18"/>
          <w:szCs w:val="18"/>
          <w:lang w:val="en-IE"/>
        </w:rPr>
        <w:t xml:space="preserve"> </w:t>
      </w:r>
      <w:r>
        <w:rPr>
          <w:rFonts w:ascii="Times New Roman" w:hAnsi="Times New Roman" w:cs="Times New Roman"/>
          <w:color w:val="000000" w:themeColor="text1"/>
          <w:sz w:val="18"/>
          <w:szCs w:val="18"/>
          <w:lang w:val="en-IE"/>
        </w:rPr>
        <w:t>The decrease in level of ambition at cluster level originates from the disappearing in the NIR of measures that were present in the NPF.</w:t>
      </w:r>
    </w:p>
  </w:footnote>
  <w:footnote w:id="29">
    <w:p w:rsidR="003C43BF" w:rsidRDefault="006C3212">
      <w:pPr>
        <w:pStyle w:val="FootnoteText"/>
        <w:spacing w:after="0" w:line="240" w:lineRule="auto"/>
        <w:ind w:left="0" w:firstLine="0"/>
        <w:jc w:val="both"/>
        <w:rPr>
          <w:rFonts w:ascii="Times New Roman" w:hAnsi="Times New Roman" w:cs="Times New Roman"/>
          <w:sz w:val="18"/>
          <w:szCs w:val="18"/>
          <w:lang w:val="en-IE"/>
        </w:rPr>
      </w:pPr>
      <w:r>
        <w:rPr>
          <w:rStyle w:val="FootnoteReference"/>
          <w:rFonts w:ascii="Times New Roman" w:hAnsi="Times New Roman" w:cs="Times New Roman"/>
          <w:sz w:val="18"/>
          <w:szCs w:val="18"/>
          <w:lang w:val="en-IE"/>
        </w:rPr>
        <w:footnoteRef/>
      </w:r>
      <w:r>
        <w:rPr>
          <w:rFonts w:ascii="Times New Roman" w:hAnsi="Times New Roman" w:cs="Times New Roman"/>
          <w:sz w:val="18"/>
          <w:szCs w:val="18"/>
          <w:lang w:val="en-IE"/>
        </w:rPr>
        <w:t xml:space="preserve"> In 2018, circa 216 million litres of sustainable biofuels (approximately 162 million litres biodiesel and 54 million litres of bioethanol) were placed on the Irish market </w:t>
      </w:r>
    </w:p>
  </w:footnote>
  <w:footnote w:id="30">
    <w:p w:rsidR="003C43BF" w:rsidRDefault="006C3212">
      <w:pPr>
        <w:spacing w:after="120" w:line="240" w:lineRule="auto"/>
        <w:jc w:val="both"/>
        <w:rPr>
          <w:rFonts w:ascii="Times New Roman" w:hAnsi="Times New Roman" w:cs="Times New Roman"/>
          <w:color w:val="000000" w:themeColor="text1"/>
          <w:sz w:val="18"/>
          <w:szCs w:val="18"/>
          <w:lang w:val="en-IE"/>
        </w:rPr>
      </w:pPr>
      <w:r>
        <w:rPr>
          <w:rStyle w:val="FootnoteReference"/>
          <w:rFonts w:ascii="Times New Roman" w:hAnsi="Times New Roman" w:cs="Times New Roman"/>
          <w:sz w:val="18"/>
          <w:szCs w:val="18"/>
          <w:lang w:val="en-IE"/>
        </w:rPr>
        <w:footnoteRef/>
      </w:r>
      <w:r>
        <w:rPr>
          <w:rFonts w:ascii="Times New Roman" w:hAnsi="Times New Roman" w:cs="Times New Roman"/>
          <w:sz w:val="18"/>
          <w:szCs w:val="18"/>
          <w:lang w:val="en-IE"/>
        </w:rPr>
        <w:t xml:space="preserve"> </w:t>
      </w:r>
      <w:r>
        <w:rPr>
          <w:rFonts w:ascii="Times New Roman" w:hAnsi="Times New Roman" w:cs="Times New Roman"/>
          <w:color w:val="000000" w:themeColor="text1"/>
          <w:sz w:val="18"/>
          <w:szCs w:val="18"/>
          <w:lang w:val="en-IE"/>
        </w:rPr>
        <w:t>The decrease in level of ambition at cluster level originates from the disappeari</w:t>
      </w:r>
      <w:r>
        <w:rPr>
          <w:rFonts w:ascii="Times New Roman" w:hAnsi="Times New Roman" w:cs="Times New Roman"/>
          <w:color w:val="000000" w:themeColor="text1"/>
          <w:sz w:val="18"/>
          <w:szCs w:val="18"/>
          <w:lang w:val="en-IE"/>
        </w:rPr>
        <w:t>ng in the NIR of measures that were present in the NPF.</w:t>
      </w:r>
    </w:p>
  </w:footnote>
  <w:footnote w:id="31">
    <w:p w:rsidR="003C43BF" w:rsidRDefault="006C3212">
      <w:pPr>
        <w:pStyle w:val="FootnoteText"/>
        <w:spacing w:after="0" w:line="240" w:lineRule="auto"/>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No data available for 2018.</w:t>
      </w:r>
    </w:p>
  </w:footnote>
  <w:footnote w:id="32">
    <w:p w:rsidR="003C43BF" w:rsidRDefault="006C3212">
      <w:pPr>
        <w:pStyle w:val="FootnoteText"/>
        <w:spacing w:after="0" w:line="240" w:lineRule="auto"/>
        <w:rPr>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No data available for light and heavy goods vehicle categories.</w:t>
      </w:r>
    </w:p>
  </w:footnote>
  <w:footnote w:id="33">
    <w:p w:rsidR="003C43BF" w:rsidRDefault="006C3212">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the case of HCVs and buses and coaches, data corresponds to the values from 2017 since the FR NIR </w:t>
      </w:r>
      <w:r>
        <w:rPr>
          <w:rFonts w:ascii="Times New Roman" w:hAnsi="Times New Roman" w:cs="Times New Roman"/>
          <w:color w:val="000000" w:themeColor="text1"/>
          <w:sz w:val="18"/>
          <w:szCs w:val="18"/>
        </w:rPr>
        <w:t>d</w:t>
      </w:r>
      <w:r>
        <w:rPr>
          <w:rFonts w:ascii="Times New Roman" w:hAnsi="Times New Roman" w:cs="Times New Roman"/>
          <w:color w:val="000000" w:themeColor="text1"/>
          <w:sz w:val="18"/>
          <w:szCs w:val="18"/>
        </w:rPr>
        <w:t>id not provide values for 2018.</w:t>
      </w:r>
    </w:p>
  </w:footnote>
  <w:footnote w:id="34">
    <w:p w:rsidR="003C43BF" w:rsidRDefault="006C3212">
      <w:pPr>
        <w:pStyle w:val="FootnoteText"/>
        <w:spacing w:after="0" w:line="240" w:lineRule="auto"/>
        <w:ind w:left="0" w:firstLine="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rPr>
        <w:t xml:space="preserve"> </w:t>
      </w:r>
      <w:r>
        <w:rPr>
          <w:rFonts w:ascii="Times New Roman" w:hAnsi="Times New Roman" w:cs="Times New Roman"/>
          <w:sz w:val="18"/>
          <w:szCs w:val="18"/>
        </w:rPr>
        <w:t xml:space="preserve">The </w:t>
      </w:r>
      <w:r>
        <w:rPr>
          <w:rFonts w:ascii="Times New Roman" w:hAnsi="Times New Roman" w:cs="Times New Roman"/>
          <w:color w:val="000000" w:themeColor="text1"/>
          <w:sz w:val="18"/>
          <w:szCs w:val="18"/>
        </w:rPr>
        <w:t>SDMP2</w:t>
      </w:r>
      <w:r>
        <w:rPr>
          <w:rFonts w:ascii="Times New Roman" w:hAnsi="Times New Roman" w:cs="Times New Roman"/>
          <w:sz w:val="18"/>
          <w:szCs w:val="18"/>
        </w:rPr>
        <w:t xml:space="preserve"> estimates for EVs (excluding PTWs) and are 1,327,600 for 2023 and 5,296,900 for 2028, respectively. </w:t>
      </w:r>
    </w:p>
  </w:footnote>
  <w:footnote w:id="35">
    <w:p w:rsidR="003C43BF" w:rsidRDefault="006C3212">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Considering for 2025 the target provided for 2022.</w:t>
      </w:r>
    </w:p>
  </w:footnote>
  <w:footnote w:id="36">
    <w:p w:rsidR="003C43BF" w:rsidRDefault="006C3212">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It only provides the situation at the end of 2019, </w:t>
      </w:r>
      <w:r>
        <w:rPr>
          <w:rFonts w:ascii="Times New Roman" w:hAnsi="Times New Roman" w:cs="Times New Roman"/>
          <w:sz w:val="18"/>
          <w:szCs w:val="18"/>
          <w:lang w:val="en-US"/>
        </w:rPr>
        <w:t>mentioning 110 CNG refueling stations deployed.</w:t>
      </w:r>
    </w:p>
  </w:footnote>
  <w:footnote w:id="37">
    <w:p w:rsidR="003C43BF" w:rsidRDefault="006C3212">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It only provides the situation at the end of 2019, mentioning 34 LNG refueling stations deployed.</w:t>
      </w:r>
    </w:p>
  </w:footnote>
  <w:footnote w:id="38">
    <w:p w:rsidR="003C43BF" w:rsidRDefault="006C3212">
      <w:pPr>
        <w:pStyle w:val="FootnoteText"/>
        <w:spacing w:after="0" w:line="240" w:lineRule="auto"/>
        <w:ind w:left="0" w:firstLine="0"/>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IE"/>
        </w:rPr>
        <w:t>The FR NIR provides one single value per year for the merged set of transport systems (HCVs+Buses and coac</w:t>
      </w:r>
      <w:r>
        <w:rPr>
          <w:rFonts w:ascii="Times New Roman" w:hAnsi="Times New Roman" w:cs="Times New Roman"/>
          <w:sz w:val="18"/>
          <w:szCs w:val="18"/>
          <w:lang w:val="en-IE"/>
        </w:rPr>
        <w:t>hes+maritime vessels+ inland vessels+locomotives). In this assessment, these numbers are considered to refer to the road vehicle categories HCVs + Buses and coaches.</w:t>
      </w:r>
    </w:p>
  </w:footnote>
  <w:footnote w:id="39">
    <w:p w:rsidR="003C43BF" w:rsidRDefault="006C3212">
      <w:pPr>
        <w:pStyle w:val="FootnoteText"/>
        <w:spacing w:after="0" w:line="240" w:lineRule="auto"/>
        <w:ind w:left="0" w:firstLine="0"/>
        <w:jc w:val="both"/>
        <w:rPr>
          <w:rFonts w:ascii="Times New Roman" w:hAnsi="Times New Roman" w:cs="Times New Roman"/>
          <w:sz w:val="18"/>
          <w:szCs w:val="18"/>
          <w:lang w:val="en-IE"/>
        </w:rPr>
      </w:pPr>
      <w:r>
        <w:rPr>
          <w:rStyle w:val="FootnoteReference"/>
          <w:rFonts w:ascii="Times New Roman" w:hAnsi="Times New Roman" w:cs="Times New Roman"/>
          <w:sz w:val="18"/>
          <w:szCs w:val="18"/>
          <w:lang w:val="en-IE"/>
        </w:rPr>
        <w:footnoteRef/>
      </w:r>
      <w:r>
        <w:rPr>
          <w:rFonts w:ascii="Times New Roman" w:hAnsi="Times New Roman" w:cs="Times New Roman"/>
          <w:sz w:val="18"/>
          <w:szCs w:val="18"/>
          <w:lang w:val="en-IE"/>
        </w:rPr>
        <w:t xml:space="preserve"> It only provides the situation at the end of 2019, mentioning 29 hydrogen refuelling sta</w:t>
      </w:r>
      <w:r>
        <w:rPr>
          <w:rFonts w:ascii="Times New Roman" w:hAnsi="Times New Roman" w:cs="Times New Roman"/>
          <w:sz w:val="18"/>
          <w:szCs w:val="18"/>
          <w:lang w:val="en-IE"/>
        </w:rPr>
        <w:t>tions deployed</w:t>
      </w:r>
      <w:r>
        <w:rPr>
          <w:rFonts w:ascii="Times New Roman" w:hAnsi="Times New Roman" w:cs="Times New Roman"/>
          <w:color w:val="000000" w:themeColor="text1"/>
          <w:sz w:val="18"/>
          <w:szCs w:val="18"/>
          <w:lang w:val="en-IE"/>
        </w:rPr>
        <w:t xml:space="preserve"> mainly with the support of the “Territoires hydrogène” labelling scheme.</w:t>
      </w:r>
    </w:p>
  </w:footnote>
  <w:footnote w:id="40">
    <w:p w:rsidR="003C43BF" w:rsidRDefault="006C3212">
      <w:pPr>
        <w:pStyle w:val="FootnoteText"/>
        <w:spacing w:after="0" w:line="240" w:lineRule="auto"/>
        <w:ind w:left="0" w:firstLine="0"/>
        <w:jc w:val="both"/>
        <w:rPr>
          <w:rFonts w:ascii="Times New Roman" w:hAnsi="Times New Roman" w:cs="Times New Roman"/>
          <w:sz w:val="18"/>
          <w:szCs w:val="18"/>
          <w:lang w:val="en-IE"/>
        </w:rPr>
      </w:pPr>
      <w:r>
        <w:rPr>
          <w:rStyle w:val="FootnoteReference"/>
          <w:rFonts w:ascii="Times New Roman" w:hAnsi="Times New Roman" w:cs="Times New Roman"/>
          <w:sz w:val="18"/>
          <w:szCs w:val="18"/>
          <w:lang w:val="en-IE"/>
        </w:rPr>
        <w:footnoteRef/>
      </w:r>
      <w:r>
        <w:rPr>
          <w:rFonts w:ascii="Times New Roman" w:hAnsi="Times New Roman" w:cs="Times New Roman"/>
          <w:sz w:val="18"/>
          <w:szCs w:val="18"/>
          <w:lang w:val="en-IE"/>
        </w:rPr>
        <w:t xml:space="preserve"> https://www.vighy-afhypac.org/</w:t>
      </w:r>
    </w:p>
  </w:footnote>
  <w:footnote w:id="41">
    <w:p w:rsidR="003C43BF" w:rsidRDefault="006C3212">
      <w:pPr>
        <w:pStyle w:val="FootnoteText"/>
        <w:spacing w:after="0" w:line="240" w:lineRule="auto"/>
        <w:ind w:left="0" w:firstLine="0"/>
        <w:jc w:val="both"/>
        <w:rPr>
          <w:rFonts w:ascii="Times New Roman" w:hAnsi="Times New Roman" w:cs="Times New Roman"/>
          <w:sz w:val="18"/>
          <w:szCs w:val="18"/>
          <w:lang w:val="en-IE"/>
        </w:rPr>
      </w:pPr>
      <w:r>
        <w:rPr>
          <w:rStyle w:val="FootnoteReference"/>
          <w:rFonts w:ascii="Times New Roman" w:hAnsi="Times New Roman" w:cs="Times New Roman"/>
          <w:sz w:val="18"/>
          <w:szCs w:val="18"/>
          <w:lang w:val="en-IE"/>
        </w:rPr>
        <w:footnoteRef/>
      </w:r>
      <w:r>
        <w:rPr>
          <w:rFonts w:ascii="Times New Roman" w:hAnsi="Times New Roman" w:cs="Times New Roman"/>
          <w:sz w:val="18"/>
          <w:szCs w:val="18"/>
          <w:lang w:val="en-IE"/>
        </w:rPr>
        <w:t xml:space="preserve"> The plan does not specify differentiated targets between stations open to the public and those for captive fleets.</w:t>
      </w:r>
    </w:p>
  </w:footnote>
  <w:footnote w:id="42">
    <w:p w:rsidR="003C43BF" w:rsidRDefault="006C3212">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FR NIR provi</w:t>
      </w:r>
      <w:r>
        <w:rPr>
          <w:rFonts w:ascii="Times New Roman" w:hAnsi="Times New Roman" w:cs="Times New Roman"/>
          <w:sz w:val="18"/>
          <w:szCs w:val="18"/>
        </w:rPr>
        <w:t xml:space="preserve">des one single value of 210,000 for the merged set of all LPG transport systems across all transport modes for 2017. </w:t>
      </w:r>
    </w:p>
  </w:footnote>
  <w:footnote w:id="43">
    <w:p w:rsidR="003C43BF" w:rsidRDefault="006C3212">
      <w:pPr>
        <w:pStyle w:val="FootnoteText"/>
        <w:spacing w:after="0" w:line="240" w:lineRule="auto"/>
        <w:ind w:left="0" w:firstLine="0"/>
        <w:contextualSpacing/>
        <w:rPr>
          <w:rFonts w:ascii="Times New Roman" w:hAnsi="Times New Roman" w:cs="Times New Roman"/>
          <w:sz w:val="18"/>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under adoption when the French NIR was submitted</w:t>
      </w:r>
    </w:p>
  </w:footnote>
  <w:footnote w:id="44">
    <w:p w:rsidR="003C43BF" w:rsidRDefault="006C3212">
      <w:pPr>
        <w:pStyle w:val="FootnoteText"/>
        <w:spacing w:after="0" w:line="240" w:lineRule="auto"/>
        <w:ind w:left="0" w:firstLine="0"/>
        <w:contextualSpacing/>
        <w:rPr>
          <w:rFonts w:ascii="Times New Roman" w:hAnsi="Times New Roman" w:cs="Times New Roman"/>
          <w:sz w:val="18"/>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examined at second reading in Parliament when the French NIR was submitted</w:t>
      </w:r>
    </w:p>
  </w:footnote>
  <w:footnote w:id="45">
    <w:p w:rsidR="003C43BF" w:rsidRDefault="006C3212">
      <w:pPr>
        <w:pStyle w:val="FootnoteText"/>
        <w:rPr>
          <w:rFonts w:ascii="Times New Roman" w:hAnsi="Times New Roman" w:cs="Times New Roman"/>
          <w:sz w:val="18"/>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US"/>
        </w:rPr>
        <w:t>Je-roule-en-electrique.fr</w:t>
      </w:r>
    </w:p>
  </w:footnote>
  <w:footnote w:id="46">
    <w:p w:rsidR="003C43BF" w:rsidRDefault="006C3212">
      <w:pPr>
        <w:pStyle w:val="FootnoteText"/>
        <w:rPr>
          <w:rFonts w:ascii="Times New Roman" w:hAnsi="Times New Roman" w:cs="Times New Roman"/>
          <w:sz w:val="18"/>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US"/>
        </w:rPr>
        <w:t xml:space="preserve">CNG/road and LNG/road are addressed together as natural gas within the AFI deployment measures </w:t>
      </w:r>
    </w:p>
  </w:footnote>
  <w:footnote w:id="47">
    <w:p w:rsidR="003C43BF" w:rsidRDefault="006C3212">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https://www.vighy-afhypac.org/</w:t>
      </w:r>
    </w:p>
  </w:footnote>
  <w:footnote w:id="48">
    <w:p w:rsidR="003C43BF" w:rsidRDefault="006C3212">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plan does not specify differentiated targets between stations open to the public and those fo</w:t>
      </w:r>
      <w:r>
        <w:rPr>
          <w:rFonts w:ascii="Times New Roman" w:hAnsi="Times New Roman" w:cs="Times New Roman"/>
          <w:sz w:val="18"/>
          <w:szCs w:val="18"/>
        </w:rPr>
        <w:t>r captive fleets.</w:t>
      </w:r>
    </w:p>
  </w:footnote>
  <w:footnote w:id="49">
    <w:p w:rsidR="003C43BF" w:rsidRDefault="006C3212">
      <w:pPr>
        <w:pStyle w:val="FootnoteText"/>
        <w:spacing w:after="0" w:line="240" w:lineRule="auto"/>
        <w:ind w:left="0" w:firstLine="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Since the estimates indicated for the next decade in the LT NIR address only the M1 and N1 categories of electric vehicles, the progress and attainment calculations only refer to light-duty vehicles. This implies also that the uncertain</w:t>
      </w:r>
      <w:r>
        <w:rPr>
          <w:rFonts w:ascii="Times New Roman" w:hAnsi="Times New Roman" w:cs="Times New Roman"/>
          <w:sz w:val="18"/>
          <w:szCs w:val="18"/>
        </w:rPr>
        <w:t>ty about inclusion of trolleybuses in the number given for electric buses in 2018 by the LT NIR does not influence the progress and attainment results since the heavy-duty vehicles were not considered.</w:t>
      </w:r>
    </w:p>
  </w:footnote>
  <w:footnote w:id="50">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The National Energy and Climate Action Plans are doc</w:t>
      </w:r>
      <w:r>
        <w:rPr>
          <w:rFonts w:ascii="Times New Roman" w:hAnsi="Times New Roman" w:cs="Times New Roman"/>
          <w:sz w:val="18"/>
        </w:rPr>
        <w:t>uments EU Member States (including Lithuania) were required to submit to the European Commission until 31 December 2019 after the Energy Union Governance Regulation came into force at the end of 2018.</w:t>
      </w:r>
    </w:p>
  </w:footnote>
  <w:footnote w:id="51">
    <w:p w:rsidR="003C43BF" w:rsidRDefault="006C3212">
      <w:pPr>
        <w:pStyle w:val="FootnoteText"/>
        <w:spacing w:after="0" w:line="240" w:lineRule="auto"/>
        <w:ind w:left="0" w:firstLine="0"/>
        <w:jc w:val="both"/>
      </w:pPr>
      <w:r>
        <w:rPr>
          <w:rStyle w:val="FootnoteReference"/>
          <w:rFonts w:ascii="Times New Roman" w:hAnsi="Times New Roman" w:cs="Times New Roman"/>
          <w:sz w:val="18"/>
        </w:rPr>
        <w:footnoteRef/>
      </w:r>
      <w:r>
        <w:rPr>
          <w:rFonts w:ascii="Times New Roman" w:hAnsi="Times New Roman" w:cs="Times New Roman"/>
          <w:sz w:val="18"/>
        </w:rPr>
        <w:t xml:space="preserve"> </w:t>
      </w:r>
      <w:hyperlink r:id="rId2" w:history="1">
        <w:r>
          <w:rPr>
            <w:rStyle w:val="Hyperlink"/>
            <w:rFonts w:ascii="Times New Roman" w:hAnsi="Times New Roman" w:cs="Times New Roman"/>
            <w:sz w:val="18"/>
          </w:rPr>
          <w:t>https://ec.europa.eu/energy/sites/ener/files/documents/lt_final_necp_main_en.pdf</w:t>
        </w:r>
      </w:hyperlink>
      <w:r>
        <w:rPr>
          <w:rFonts w:ascii="Times New Roman" w:hAnsi="Times New Roman" w:cs="Times New Roman"/>
          <w:sz w:val="18"/>
        </w:rPr>
        <w:t xml:space="preserve">  The National Energy and Climate Action Plans are documents EU Member States (including Lithuania) were required to submit to the E</w:t>
      </w:r>
      <w:r>
        <w:rPr>
          <w:rFonts w:ascii="Times New Roman" w:hAnsi="Times New Roman" w:cs="Times New Roman"/>
          <w:sz w:val="18"/>
        </w:rPr>
        <w:t>uropean Commission until 31 December 2019 after the Energy Union Governance Regulation came into force at the end of 2018.</w:t>
      </w:r>
    </w:p>
  </w:footnote>
  <w:footnote w:id="52">
    <w:p w:rsidR="003C43BF" w:rsidRDefault="006C3212">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IE"/>
        </w:rPr>
        <w:t>provided by the Government of the Republic of Lithuania February 1 resolution no. 87 'Concerning 2014 October 22 Implementing Direc</w:t>
      </w:r>
      <w:r>
        <w:rPr>
          <w:rFonts w:ascii="Times New Roman" w:hAnsi="Times New Roman" w:cs="Times New Roman"/>
          <w:sz w:val="18"/>
          <w:lang w:val="en-IE"/>
        </w:rPr>
        <w:t>tive 2014/94/EU of the European Parliament and of the Council on the deployment of alternative fuels infrastructure</w:t>
      </w:r>
    </w:p>
  </w:footnote>
  <w:footnote w:id="53">
    <w:p w:rsidR="003C43BF" w:rsidRDefault="006C3212">
      <w:pPr>
        <w:pStyle w:val="FootnoteText"/>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IE"/>
        </w:rPr>
        <w:t>National Energy and Climate Action Plan of the Republic of Lithuania for 2021-2030.</w:t>
      </w:r>
    </w:p>
  </w:footnote>
  <w:footnote w:id="54">
    <w:p w:rsidR="003C43BF" w:rsidRDefault="006C3212">
      <w:pPr>
        <w:pStyle w:val="FootnoteText"/>
        <w:spacing w:after="0" w:line="240" w:lineRule="auto"/>
        <w:ind w:left="0" w:firstLine="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Together with France, the Netherlands, Poland, Austr</w:t>
      </w:r>
      <w:r>
        <w:rPr>
          <w:rFonts w:ascii="Times New Roman" w:hAnsi="Times New Roman" w:cs="Times New Roman"/>
          <w:sz w:val="18"/>
        </w:rPr>
        <w:t>ia, Belgium, Croatia, Luxembourg, Germany, Spain, Slovenia, Czechia, Portugal, Greece and Hungary</w:t>
      </w:r>
    </w:p>
  </w:footnote>
  <w:footnote w:id="55">
    <w:p w:rsidR="003C43BF" w:rsidRDefault="006C3212">
      <w:pPr>
        <w:pStyle w:val="FootnoteText"/>
        <w:spacing w:after="0" w:line="240" w:lineRule="auto"/>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 w:history="1">
        <w:r>
          <w:rPr>
            <w:rStyle w:val="Hyperlink"/>
            <w:rFonts w:ascii="Times New Roman" w:hAnsi="Times New Roman" w:cs="Times New Roman"/>
            <w:sz w:val="18"/>
            <w:szCs w:val="18"/>
          </w:rPr>
          <w:t>https://gouvernement.lu/dam-assets/documents/actualites/2018/12-decembre/Accord-de-coalition-2018-2023.pdf</w:t>
        </w:r>
      </w:hyperlink>
      <w:r>
        <w:rPr>
          <w:rFonts w:ascii="Times New Roman" w:hAnsi="Times New Roman" w:cs="Times New Roman"/>
          <w:sz w:val="18"/>
          <w:szCs w:val="18"/>
        </w:rPr>
        <w:t>, Coalition agreement 2018-2013, Luxembourg Government, December 2018.</w:t>
      </w:r>
    </w:p>
  </w:footnote>
  <w:footnote w:id="56">
    <w:p w:rsidR="003C43BF" w:rsidRDefault="006C3212">
      <w:pPr>
        <w:pStyle w:val="FootnoteText"/>
        <w:spacing w:after="0" w:line="240" w:lineRule="auto"/>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4" w:history="1">
        <w:r>
          <w:rPr>
            <w:rStyle w:val="Hyperlink"/>
            <w:rFonts w:ascii="Times New Roman" w:hAnsi="Times New Roman" w:cs="Times New Roman"/>
            <w:sz w:val="18"/>
            <w:szCs w:val="18"/>
          </w:rPr>
          <w:t>https://mobilab.lu/merlin/</w:t>
        </w:r>
      </w:hyperlink>
    </w:p>
  </w:footnote>
  <w:footnote w:id="57">
    <w:p w:rsidR="003C43BF" w:rsidRDefault="006C3212">
      <w:pPr>
        <w:pStyle w:val="FootnoteText"/>
        <w:spacing w:after="0" w:line="240" w:lineRule="auto"/>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5" w:history="1">
        <w:r>
          <w:rPr>
            <w:rStyle w:val="Hyperlink"/>
            <w:rFonts w:ascii="Times New Roman" w:hAnsi="Times New Roman" w:cs="Times New Roman"/>
            <w:sz w:val="18"/>
            <w:szCs w:val="18"/>
          </w:rPr>
          <w:t>https://ecobus.lu/</w:t>
        </w:r>
      </w:hyperlink>
    </w:p>
  </w:footnote>
  <w:footnote w:id="58">
    <w:p w:rsidR="003C43BF" w:rsidRDefault="006C3212">
      <w:pPr>
        <w:pStyle w:val="FootnoteText"/>
        <w:spacing w:after="0" w:line="240" w:lineRule="auto"/>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6" w:history="1">
        <w:r>
          <w:rPr>
            <w:rStyle w:val="Hyperlink"/>
            <w:rFonts w:ascii="Times New Roman" w:hAnsi="Times New Roman" w:cs="Times New Roman"/>
            <w:sz w:val="18"/>
            <w:szCs w:val="18"/>
          </w:rPr>
          <w:t>https://gouvernement.lu/dam-assets/documents/actualites/2018/12-decembre/Accord-de</w:t>
        </w:r>
        <w:r>
          <w:rPr>
            <w:rStyle w:val="Hyperlink"/>
            <w:rFonts w:ascii="Times New Roman" w:hAnsi="Times New Roman" w:cs="Times New Roman"/>
            <w:sz w:val="18"/>
            <w:szCs w:val="18"/>
          </w:rPr>
          <w:t>-coalition-2018-2023.pdf</w:t>
        </w:r>
      </w:hyperlink>
      <w:r>
        <w:rPr>
          <w:rFonts w:ascii="Times New Roman" w:hAnsi="Times New Roman" w:cs="Times New Roman"/>
          <w:sz w:val="18"/>
          <w:szCs w:val="18"/>
        </w:rPr>
        <w:t>, Coalition agreement 2018-2013, Luxembourg Government, December 2018.</w:t>
      </w:r>
    </w:p>
  </w:footnote>
  <w:footnote w:id="59">
    <w:p w:rsidR="003C43BF" w:rsidRDefault="006C3212">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F</w:t>
      </w:r>
      <w:r>
        <w:rPr>
          <w:rFonts w:ascii="Times New Roman" w:hAnsi="Times New Roman" w:cs="Times New Roman"/>
          <w:sz w:val="18"/>
          <w:szCs w:val="18"/>
          <w:lang w:val="en-IE"/>
        </w:rPr>
        <w:t>or allowing the measure assessment methodology to be employed and for consistency with the classification provided in the Guidance Support document, some measu</w:t>
      </w:r>
      <w:r>
        <w:rPr>
          <w:rFonts w:ascii="Times New Roman" w:hAnsi="Times New Roman" w:cs="Times New Roman"/>
          <w:sz w:val="18"/>
          <w:szCs w:val="18"/>
          <w:lang w:val="en-IE"/>
        </w:rPr>
        <w:t>res have been re-classified in different categories.</w:t>
      </w:r>
    </w:p>
  </w:footnote>
  <w:footnote w:id="60">
    <w:p w:rsidR="003C43BF" w:rsidRDefault="006C3212">
      <w:pPr>
        <w:pStyle w:val="FootnoteText"/>
        <w:spacing w:after="0" w:line="240" w:lineRule="auto"/>
        <w:ind w:left="0" w:firstLine="0"/>
        <w:jc w:val="both"/>
        <w:rPr>
          <w:rFonts w:ascii="Times New Roman" w:hAnsi="Times New Roman" w:cs="Times New Roman"/>
          <w:color w:val="000000" w:themeColor="text1"/>
          <w:sz w:val="18"/>
          <w:lang w:val="en-US"/>
        </w:rPr>
      </w:pPr>
      <w:r>
        <w:rPr>
          <w:rStyle w:val="FootnoteReference"/>
          <w:rFonts w:ascii="Times New Roman" w:hAnsi="Times New Roman" w:cs="Times New Roman"/>
          <w:color w:val="000000" w:themeColor="text1"/>
          <w:sz w:val="18"/>
        </w:rPr>
        <w:footnoteRef/>
      </w:r>
      <w:r>
        <w:rPr>
          <w:rFonts w:ascii="Times New Roman" w:hAnsi="Times New Roman" w:cs="Times New Roman"/>
          <w:color w:val="000000" w:themeColor="text1"/>
          <w:sz w:val="18"/>
        </w:rPr>
        <w:t xml:space="preserve"> </w:t>
      </w:r>
      <w:r>
        <w:rPr>
          <w:rFonts w:ascii="Times New Roman" w:eastAsia="Times New Roman" w:hAnsi="Times New Roman" w:cs="Times New Roman"/>
          <w:color w:val="000000" w:themeColor="text1"/>
          <w:sz w:val="18"/>
          <w:lang w:val="en-US" w:eastAsia="it-IT"/>
        </w:rPr>
        <w:t>The pilot project comprises a large light commercial electric van for delivery of goods in the capital city of Valletta as well as other touristic zones. This electric van will be shared by a number of</w:t>
      </w:r>
      <w:r>
        <w:rPr>
          <w:rFonts w:ascii="Times New Roman" w:eastAsia="Times New Roman" w:hAnsi="Times New Roman" w:cs="Times New Roman"/>
          <w:color w:val="000000" w:themeColor="text1"/>
          <w:sz w:val="18"/>
          <w:lang w:val="en-US" w:eastAsia="it-IT"/>
        </w:rPr>
        <w:t xml:space="preserve"> small factories in the Ta’Qali Crafts Village.</w:t>
      </w:r>
    </w:p>
  </w:footnote>
  <w:footnote w:id="61">
    <w:p w:rsidR="003C43BF" w:rsidRDefault="006C3212">
      <w:pPr>
        <w:pStyle w:val="FootnoteText"/>
        <w:spacing w:after="0" w:line="240" w:lineRule="auto"/>
        <w:ind w:left="0" w:firstLine="0"/>
        <w:jc w:val="both"/>
        <w:rPr>
          <w:rFonts w:ascii="Times New Roman" w:hAnsi="Times New Roman" w:cs="Times New Roman"/>
          <w:sz w:val="18"/>
          <w:lang w:val="en-US"/>
        </w:rPr>
      </w:pPr>
      <w:r>
        <w:rPr>
          <w:rStyle w:val="FootnoteReference"/>
          <w:rFonts w:ascii="Times New Roman" w:hAnsi="Times New Roman" w:cs="Times New Roman"/>
          <w:color w:val="000000" w:themeColor="text1"/>
          <w:sz w:val="18"/>
        </w:rPr>
        <w:footnoteRef/>
      </w:r>
      <w:r>
        <w:rPr>
          <w:rFonts w:ascii="Times New Roman" w:hAnsi="Times New Roman" w:cs="Times New Roman"/>
          <w:color w:val="000000" w:themeColor="text1"/>
          <w:sz w:val="18"/>
        </w:rPr>
        <w:t xml:space="preserve"> Cost, Insurance, and Freight (</w:t>
      </w:r>
      <w:r>
        <w:rPr>
          <w:rFonts w:ascii="Times New Roman" w:hAnsi="Times New Roman" w:cs="Times New Roman"/>
          <w:sz w:val="18"/>
        </w:rPr>
        <w:t>CIF). This expense is the value paid by a seller to cover the costs, insurance, and freight of a buyer's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3BF" w:rsidRDefault="003C4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07D"/>
    <w:multiLevelType w:val="hybridMultilevel"/>
    <w:tmpl w:val="34A61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02435E"/>
    <w:multiLevelType w:val="hybridMultilevel"/>
    <w:tmpl w:val="65B09C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2423F73"/>
    <w:multiLevelType w:val="hybridMultilevel"/>
    <w:tmpl w:val="7AEAC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6270F1"/>
    <w:multiLevelType w:val="hybridMultilevel"/>
    <w:tmpl w:val="2700B8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3E77367"/>
    <w:multiLevelType w:val="hybridMultilevel"/>
    <w:tmpl w:val="2E0E16D2"/>
    <w:lvl w:ilvl="0" w:tplc="29C01EAE">
      <w:start w:val="10"/>
      <w:numFmt w:val="bullet"/>
      <w:lvlText w:val="-"/>
      <w:lvlJc w:val="left"/>
      <w:pPr>
        <w:ind w:left="2160" w:hanging="360"/>
      </w:pPr>
      <w:rPr>
        <w:rFonts w:ascii="Calibri" w:eastAsiaTheme="minorHAnsi" w:hAnsi="Calibri" w:cstheme="minorHAns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05750036"/>
    <w:multiLevelType w:val="multilevel"/>
    <w:tmpl w:val="3540272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8C6DFD"/>
    <w:multiLevelType w:val="hybridMultilevel"/>
    <w:tmpl w:val="88B644A4"/>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5926D65"/>
    <w:multiLevelType w:val="hybridMultilevel"/>
    <w:tmpl w:val="266E9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6D83CD7"/>
    <w:multiLevelType w:val="hybridMultilevel"/>
    <w:tmpl w:val="8C529F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6F4624E"/>
    <w:multiLevelType w:val="hybridMultilevel"/>
    <w:tmpl w:val="4D82F54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07E57E15"/>
    <w:multiLevelType w:val="hybridMultilevel"/>
    <w:tmpl w:val="6F36C2C2"/>
    <w:lvl w:ilvl="0" w:tplc="18090001">
      <w:start w:val="1"/>
      <w:numFmt w:val="bullet"/>
      <w:lvlText w:val=""/>
      <w:lvlJc w:val="left"/>
      <w:pPr>
        <w:ind w:left="2208" w:hanging="360"/>
      </w:pPr>
      <w:rPr>
        <w:rFonts w:ascii="Symbol" w:hAnsi="Symbol" w:hint="default"/>
      </w:rPr>
    </w:lvl>
    <w:lvl w:ilvl="1" w:tplc="18090003" w:tentative="1">
      <w:start w:val="1"/>
      <w:numFmt w:val="bullet"/>
      <w:lvlText w:val="o"/>
      <w:lvlJc w:val="left"/>
      <w:pPr>
        <w:ind w:left="2928" w:hanging="360"/>
      </w:pPr>
      <w:rPr>
        <w:rFonts w:ascii="Courier New" w:hAnsi="Courier New" w:cs="Courier New" w:hint="default"/>
      </w:rPr>
    </w:lvl>
    <w:lvl w:ilvl="2" w:tplc="18090005" w:tentative="1">
      <w:start w:val="1"/>
      <w:numFmt w:val="bullet"/>
      <w:lvlText w:val=""/>
      <w:lvlJc w:val="left"/>
      <w:pPr>
        <w:ind w:left="3648" w:hanging="360"/>
      </w:pPr>
      <w:rPr>
        <w:rFonts w:ascii="Wingdings" w:hAnsi="Wingdings" w:hint="default"/>
      </w:rPr>
    </w:lvl>
    <w:lvl w:ilvl="3" w:tplc="18090001" w:tentative="1">
      <w:start w:val="1"/>
      <w:numFmt w:val="bullet"/>
      <w:lvlText w:val=""/>
      <w:lvlJc w:val="left"/>
      <w:pPr>
        <w:ind w:left="4368" w:hanging="360"/>
      </w:pPr>
      <w:rPr>
        <w:rFonts w:ascii="Symbol" w:hAnsi="Symbol" w:hint="default"/>
      </w:rPr>
    </w:lvl>
    <w:lvl w:ilvl="4" w:tplc="18090003" w:tentative="1">
      <w:start w:val="1"/>
      <w:numFmt w:val="bullet"/>
      <w:lvlText w:val="o"/>
      <w:lvlJc w:val="left"/>
      <w:pPr>
        <w:ind w:left="5088" w:hanging="360"/>
      </w:pPr>
      <w:rPr>
        <w:rFonts w:ascii="Courier New" w:hAnsi="Courier New" w:cs="Courier New" w:hint="default"/>
      </w:rPr>
    </w:lvl>
    <w:lvl w:ilvl="5" w:tplc="18090005" w:tentative="1">
      <w:start w:val="1"/>
      <w:numFmt w:val="bullet"/>
      <w:lvlText w:val=""/>
      <w:lvlJc w:val="left"/>
      <w:pPr>
        <w:ind w:left="5808" w:hanging="360"/>
      </w:pPr>
      <w:rPr>
        <w:rFonts w:ascii="Wingdings" w:hAnsi="Wingdings" w:hint="default"/>
      </w:rPr>
    </w:lvl>
    <w:lvl w:ilvl="6" w:tplc="18090001" w:tentative="1">
      <w:start w:val="1"/>
      <w:numFmt w:val="bullet"/>
      <w:lvlText w:val=""/>
      <w:lvlJc w:val="left"/>
      <w:pPr>
        <w:ind w:left="6528" w:hanging="360"/>
      </w:pPr>
      <w:rPr>
        <w:rFonts w:ascii="Symbol" w:hAnsi="Symbol" w:hint="default"/>
      </w:rPr>
    </w:lvl>
    <w:lvl w:ilvl="7" w:tplc="18090003" w:tentative="1">
      <w:start w:val="1"/>
      <w:numFmt w:val="bullet"/>
      <w:lvlText w:val="o"/>
      <w:lvlJc w:val="left"/>
      <w:pPr>
        <w:ind w:left="7248" w:hanging="360"/>
      </w:pPr>
      <w:rPr>
        <w:rFonts w:ascii="Courier New" w:hAnsi="Courier New" w:cs="Courier New" w:hint="default"/>
      </w:rPr>
    </w:lvl>
    <w:lvl w:ilvl="8" w:tplc="18090005" w:tentative="1">
      <w:start w:val="1"/>
      <w:numFmt w:val="bullet"/>
      <w:lvlText w:val=""/>
      <w:lvlJc w:val="left"/>
      <w:pPr>
        <w:ind w:left="7968" w:hanging="360"/>
      </w:pPr>
      <w:rPr>
        <w:rFonts w:ascii="Wingdings" w:hAnsi="Wingdings" w:hint="default"/>
      </w:rPr>
    </w:lvl>
  </w:abstractNum>
  <w:abstractNum w:abstractNumId="11" w15:restartNumberingAfterBreak="0">
    <w:nsid w:val="07E6326E"/>
    <w:multiLevelType w:val="hybridMultilevel"/>
    <w:tmpl w:val="CA94184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08A71580"/>
    <w:multiLevelType w:val="hybridMultilevel"/>
    <w:tmpl w:val="2CFE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B95657"/>
    <w:multiLevelType w:val="hybridMultilevel"/>
    <w:tmpl w:val="2D8EF8EE"/>
    <w:lvl w:ilvl="0" w:tplc="141E13E8">
      <w:start w:val="25"/>
      <w:numFmt w:val="bullet"/>
      <w:lvlText w:val="-"/>
      <w:lvlJc w:val="left"/>
      <w:pPr>
        <w:ind w:left="842" w:hanging="360"/>
      </w:pPr>
      <w:rPr>
        <w:rFonts w:ascii="Calibri" w:eastAsiaTheme="minorHAnsi" w:hAnsi="Calibri" w:cs="Times New Roman"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4" w15:restartNumberingAfterBreak="0">
    <w:nsid w:val="08FE25FD"/>
    <w:multiLevelType w:val="hybridMultilevel"/>
    <w:tmpl w:val="2C6A6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285A73"/>
    <w:multiLevelType w:val="hybridMultilevel"/>
    <w:tmpl w:val="5D9ED9B0"/>
    <w:lvl w:ilvl="0" w:tplc="529C9790">
      <w:start w:val="1"/>
      <w:numFmt w:val="bullet"/>
      <w:lvlText w:val="-"/>
      <w:lvlJc w:val="left"/>
      <w:pPr>
        <w:ind w:left="1138" w:hanging="360"/>
      </w:pPr>
      <w:rPr>
        <w:rFonts w:ascii="Calibri" w:eastAsiaTheme="minorHAnsi" w:hAnsi="Calibri" w:cstheme="minorBidi"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6" w15:restartNumberingAfterBreak="0">
    <w:nsid w:val="0B057DD0"/>
    <w:multiLevelType w:val="hybridMultilevel"/>
    <w:tmpl w:val="E95403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EE76583"/>
    <w:multiLevelType w:val="hybridMultilevel"/>
    <w:tmpl w:val="39FAA61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0F210730"/>
    <w:multiLevelType w:val="hybridMultilevel"/>
    <w:tmpl w:val="CA18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9579B0"/>
    <w:multiLevelType w:val="hybridMultilevel"/>
    <w:tmpl w:val="90D6ECBC"/>
    <w:lvl w:ilvl="0" w:tplc="29C01EAE">
      <w:start w:val="10"/>
      <w:numFmt w:val="bullet"/>
      <w:lvlText w:val="-"/>
      <w:lvlJc w:val="left"/>
      <w:pPr>
        <w:ind w:left="2160" w:hanging="360"/>
      </w:pPr>
      <w:rPr>
        <w:rFonts w:ascii="Calibri" w:eastAsiaTheme="minorHAnsi" w:hAnsi="Calibri" w:cstheme="minorHAnsi" w:hint="default"/>
      </w:rPr>
    </w:lvl>
    <w:lvl w:ilvl="1" w:tplc="04180003">
      <w:start w:val="1"/>
      <w:numFmt w:val="bullet"/>
      <w:lvlText w:val="o"/>
      <w:lvlJc w:val="left"/>
      <w:pPr>
        <w:ind w:left="2062"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10D85599"/>
    <w:multiLevelType w:val="hybridMultilevel"/>
    <w:tmpl w:val="A4B06C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0DA2A9F"/>
    <w:multiLevelType w:val="hybridMultilevel"/>
    <w:tmpl w:val="843461C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2" w15:restartNumberingAfterBreak="0">
    <w:nsid w:val="12C25115"/>
    <w:multiLevelType w:val="hybridMultilevel"/>
    <w:tmpl w:val="B22E439C"/>
    <w:lvl w:ilvl="0" w:tplc="70665DCA">
      <w:start w:val="1"/>
      <w:numFmt w:val="bullet"/>
      <w:lvlText w:val="•"/>
      <w:lvlJc w:val="left"/>
      <w:pPr>
        <w:tabs>
          <w:tab w:val="num" w:pos="1440"/>
        </w:tabs>
        <w:ind w:left="144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133A4ACC"/>
    <w:multiLevelType w:val="hybridMultilevel"/>
    <w:tmpl w:val="8278C042"/>
    <w:lvl w:ilvl="0" w:tplc="04090001">
      <w:start w:val="1"/>
      <w:numFmt w:val="bullet"/>
      <w:lvlText w:val=""/>
      <w:lvlJc w:val="left"/>
      <w:pPr>
        <w:ind w:left="243" w:hanging="360"/>
      </w:pPr>
      <w:rPr>
        <w:rFonts w:ascii="Symbol" w:hAnsi="Symbol" w:hint="default"/>
      </w:rPr>
    </w:lvl>
    <w:lvl w:ilvl="1" w:tplc="18090003">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24" w15:restartNumberingAfterBreak="0">
    <w:nsid w:val="13857811"/>
    <w:multiLevelType w:val="hybridMultilevel"/>
    <w:tmpl w:val="27F42670"/>
    <w:lvl w:ilvl="0" w:tplc="1809000F">
      <w:start w:val="1"/>
      <w:numFmt w:val="decimal"/>
      <w:lvlText w:val="%1."/>
      <w:lvlJc w:val="left"/>
      <w:pPr>
        <w:ind w:left="720" w:hanging="360"/>
      </w:p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42756FF"/>
    <w:multiLevelType w:val="hybridMultilevel"/>
    <w:tmpl w:val="723ABCBC"/>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1543519D"/>
    <w:multiLevelType w:val="hybridMultilevel"/>
    <w:tmpl w:val="87C0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74383E"/>
    <w:multiLevelType w:val="hybridMultilevel"/>
    <w:tmpl w:val="D6505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002325"/>
    <w:multiLevelType w:val="hybridMultilevel"/>
    <w:tmpl w:val="338E305A"/>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9" w15:restartNumberingAfterBreak="0">
    <w:nsid w:val="16631273"/>
    <w:multiLevelType w:val="hybridMultilevel"/>
    <w:tmpl w:val="CF7A1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17856D88"/>
    <w:multiLevelType w:val="hybridMultilevel"/>
    <w:tmpl w:val="B1906F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17AE1F79"/>
    <w:multiLevelType w:val="hybridMultilevel"/>
    <w:tmpl w:val="59DCD60E"/>
    <w:lvl w:ilvl="0" w:tplc="DA72ECA8">
      <w:numFmt w:val="bullet"/>
      <w:lvlText w:val="-"/>
      <w:lvlJc w:val="left"/>
      <w:pPr>
        <w:ind w:left="1440" w:hanging="360"/>
      </w:pPr>
      <w:rPr>
        <w:rFonts w:ascii="Calibri" w:eastAsiaTheme="minorHAnsi" w:hAnsi="Calibri" w:cs="Calibri" w:hint="default"/>
        <w:i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15:restartNumberingAfterBreak="0">
    <w:nsid w:val="19A63314"/>
    <w:multiLevelType w:val="hybridMultilevel"/>
    <w:tmpl w:val="CDCC8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B787F0E"/>
    <w:multiLevelType w:val="hybridMultilevel"/>
    <w:tmpl w:val="FBA8108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1C6B621F"/>
    <w:multiLevelType w:val="hybridMultilevel"/>
    <w:tmpl w:val="212CDEF0"/>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1CB50114"/>
    <w:multiLevelType w:val="hybridMultilevel"/>
    <w:tmpl w:val="04628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D3F1FEF"/>
    <w:multiLevelType w:val="hybridMultilevel"/>
    <w:tmpl w:val="733AF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E4731B0"/>
    <w:multiLevelType w:val="hybridMultilevel"/>
    <w:tmpl w:val="8304CBA8"/>
    <w:lvl w:ilvl="0" w:tplc="DE12E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734306"/>
    <w:multiLevelType w:val="multilevel"/>
    <w:tmpl w:val="0CCE9F1C"/>
    <w:lvl w:ilvl="0">
      <w:start w:val="5"/>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288"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06" w:hanging="864"/>
      </w:pPr>
      <w:rPr>
        <w:rFonts w:hint="default"/>
        <w:i w:val="0"/>
        <w:sz w:val="22"/>
        <w:szCs w:val="22"/>
      </w:rPr>
    </w:lvl>
    <w:lvl w:ilvl="4">
      <w:start w:val="1"/>
      <w:numFmt w:val="decimal"/>
      <w:pStyle w:val="Heading5"/>
      <w:lvlText w:val="%1.%2.%3.%4.%5"/>
      <w:lvlJc w:val="left"/>
      <w:pPr>
        <w:ind w:left="171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429"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20B45603"/>
    <w:multiLevelType w:val="hybridMultilevel"/>
    <w:tmpl w:val="4836B5AE"/>
    <w:lvl w:ilvl="0" w:tplc="1512A722">
      <w:start w:val="1"/>
      <w:numFmt w:val="upperLetter"/>
      <w:lvlText w:val="%1)"/>
      <w:lvlJc w:val="left"/>
      <w:pPr>
        <w:ind w:left="360" w:hanging="360"/>
      </w:pPr>
      <w:rPr>
        <w:rFonts w:eastAsia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2567CF4"/>
    <w:multiLevelType w:val="hybridMultilevel"/>
    <w:tmpl w:val="DFDEF028"/>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5D81408"/>
    <w:multiLevelType w:val="hybridMultilevel"/>
    <w:tmpl w:val="5C44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A3034F"/>
    <w:multiLevelType w:val="hybridMultilevel"/>
    <w:tmpl w:val="4AFC23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28212B22"/>
    <w:multiLevelType w:val="hybridMultilevel"/>
    <w:tmpl w:val="03760F74"/>
    <w:lvl w:ilvl="0" w:tplc="1809000F">
      <w:start w:val="1"/>
      <w:numFmt w:val="decimal"/>
      <w:lvlText w:val="%1."/>
      <w:lvlJc w:val="left"/>
      <w:pPr>
        <w:ind w:left="502" w:hanging="360"/>
      </w:p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44" w15:restartNumberingAfterBreak="0">
    <w:nsid w:val="28DB23E0"/>
    <w:multiLevelType w:val="hybridMultilevel"/>
    <w:tmpl w:val="ECCE2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2A011520"/>
    <w:multiLevelType w:val="hybridMultilevel"/>
    <w:tmpl w:val="208A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A081EED"/>
    <w:multiLevelType w:val="hybridMultilevel"/>
    <w:tmpl w:val="EC287FE0"/>
    <w:lvl w:ilvl="0" w:tplc="08808F60">
      <w:numFmt w:val="bullet"/>
      <w:lvlText w:val="-"/>
      <w:lvlJc w:val="left"/>
      <w:pPr>
        <w:ind w:left="1800" w:hanging="360"/>
      </w:pPr>
      <w:rPr>
        <w:rFonts w:ascii="Calibri" w:eastAsiaTheme="minorHAnsi" w:hAnsi="Calibri" w:cs="Calibri"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7" w15:restartNumberingAfterBreak="0">
    <w:nsid w:val="2A8A1AC9"/>
    <w:multiLevelType w:val="hybridMultilevel"/>
    <w:tmpl w:val="B26EA56E"/>
    <w:lvl w:ilvl="0" w:tplc="03B0C934">
      <w:start w:val="1"/>
      <w:numFmt w:val="bullet"/>
      <w:lvlText w:val="•"/>
      <w:lvlJc w:val="left"/>
      <w:pPr>
        <w:tabs>
          <w:tab w:val="num" w:pos="720"/>
        </w:tabs>
        <w:ind w:left="720" w:hanging="360"/>
      </w:pPr>
      <w:rPr>
        <w:rFonts w:ascii="Arial" w:hAnsi="Arial" w:hint="default"/>
      </w:rPr>
    </w:lvl>
    <w:lvl w:ilvl="1" w:tplc="6570E986">
      <w:start w:val="1"/>
      <w:numFmt w:val="bullet"/>
      <w:lvlText w:val="•"/>
      <w:lvlJc w:val="left"/>
      <w:pPr>
        <w:tabs>
          <w:tab w:val="num" w:pos="1440"/>
        </w:tabs>
        <w:ind w:left="1440" w:hanging="360"/>
      </w:pPr>
      <w:rPr>
        <w:rFonts w:ascii="Arial" w:hAnsi="Arial" w:hint="default"/>
      </w:rPr>
    </w:lvl>
    <w:lvl w:ilvl="2" w:tplc="3FE223BC">
      <w:start w:val="1"/>
      <w:numFmt w:val="bullet"/>
      <w:lvlText w:val="•"/>
      <w:lvlJc w:val="left"/>
      <w:pPr>
        <w:tabs>
          <w:tab w:val="num" w:pos="644"/>
        </w:tabs>
        <w:ind w:left="644" w:hanging="360"/>
      </w:pPr>
      <w:rPr>
        <w:rFonts w:ascii="Arial" w:hAnsi="Arial" w:hint="default"/>
      </w:rPr>
    </w:lvl>
    <w:lvl w:ilvl="3" w:tplc="64AEFCE4" w:tentative="1">
      <w:start w:val="1"/>
      <w:numFmt w:val="bullet"/>
      <w:lvlText w:val="•"/>
      <w:lvlJc w:val="left"/>
      <w:pPr>
        <w:tabs>
          <w:tab w:val="num" w:pos="2880"/>
        </w:tabs>
        <w:ind w:left="2880" w:hanging="360"/>
      </w:pPr>
      <w:rPr>
        <w:rFonts w:ascii="Arial" w:hAnsi="Arial" w:hint="default"/>
      </w:rPr>
    </w:lvl>
    <w:lvl w:ilvl="4" w:tplc="7E724C06" w:tentative="1">
      <w:start w:val="1"/>
      <w:numFmt w:val="bullet"/>
      <w:lvlText w:val="•"/>
      <w:lvlJc w:val="left"/>
      <w:pPr>
        <w:tabs>
          <w:tab w:val="num" w:pos="3600"/>
        </w:tabs>
        <w:ind w:left="3600" w:hanging="360"/>
      </w:pPr>
      <w:rPr>
        <w:rFonts w:ascii="Arial" w:hAnsi="Arial" w:hint="default"/>
      </w:rPr>
    </w:lvl>
    <w:lvl w:ilvl="5" w:tplc="F4561FC4" w:tentative="1">
      <w:start w:val="1"/>
      <w:numFmt w:val="bullet"/>
      <w:lvlText w:val="•"/>
      <w:lvlJc w:val="left"/>
      <w:pPr>
        <w:tabs>
          <w:tab w:val="num" w:pos="4320"/>
        </w:tabs>
        <w:ind w:left="4320" w:hanging="360"/>
      </w:pPr>
      <w:rPr>
        <w:rFonts w:ascii="Arial" w:hAnsi="Arial" w:hint="default"/>
      </w:rPr>
    </w:lvl>
    <w:lvl w:ilvl="6" w:tplc="EF24F538" w:tentative="1">
      <w:start w:val="1"/>
      <w:numFmt w:val="bullet"/>
      <w:lvlText w:val="•"/>
      <w:lvlJc w:val="left"/>
      <w:pPr>
        <w:tabs>
          <w:tab w:val="num" w:pos="5040"/>
        </w:tabs>
        <w:ind w:left="5040" w:hanging="360"/>
      </w:pPr>
      <w:rPr>
        <w:rFonts w:ascii="Arial" w:hAnsi="Arial" w:hint="default"/>
      </w:rPr>
    </w:lvl>
    <w:lvl w:ilvl="7" w:tplc="20FCCBE0" w:tentative="1">
      <w:start w:val="1"/>
      <w:numFmt w:val="bullet"/>
      <w:lvlText w:val="•"/>
      <w:lvlJc w:val="left"/>
      <w:pPr>
        <w:tabs>
          <w:tab w:val="num" w:pos="5760"/>
        </w:tabs>
        <w:ind w:left="5760" w:hanging="360"/>
      </w:pPr>
      <w:rPr>
        <w:rFonts w:ascii="Arial" w:hAnsi="Arial" w:hint="default"/>
      </w:rPr>
    </w:lvl>
    <w:lvl w:ilvl="8" w:tplc="D6AAB1C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2AF76F52"/>
    <w:multiLevelType w:val="hybridMultilevel"/>
    <w:tmpl w:val="6B307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B6E50C4"/>
    <w:multiLevelType w:val="hybridMultilevel"/>
    <w:tmpl w:val="63FEA58A"/>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C4470E0"/>
    <w:multiLevelType w:val="hybridMultilevel"/>
    <w:tmpl w:val="C41A9DC6"/>
    <w:lvl w:ilvl="0" w:tplc="529C9790">
      <w:start w:val="1"/>
      <w:numFmt w:val="bullet"/>
      <w:lvlText w:val="-"/>
      <w:lvlJc w:val="left"/>
      <w:pPr>
        <w:ind w:left="862" w:hanging="360"/>
      </w:pPr>
      <w:rPr>
        <w:rFonts w:ascii="Calibri" w:eastAsiaTheme="minorHAnsi" w:hAnsi="Calibri" w:cstheme="minorBidi" w:hint="default"/>
      </w:rPr>
    </w:lvl>
    <w:lvl w:ilvl="1" w:tplc="18090003">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51" w15:restartNumberingAfterBreak="0">
    <w:nsid w:val="2C544EEC"/>
    <w:multiLevelType w:val="hybridMultilevel"/>
    <w:tmpl w:val="DD14C4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15:restartNumberingAfterBreak="0">
    <w:nsid w:val="2F256952"/>
    <w:multiLevelType w:val="hybridMultilevel"/>
    <w:tmpl w:val="33302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2FF90DF4"/>
    <w:multiLevelType w:val="hybridMultilevel"/>
    <w:tmpl w:val="F36E7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305729B7"/>
    <w:multiLevelType w:val="hybridMultilevel"/>
    <w:tmpl w:val="7DFCA140"/>
    <w:lvl w:ilvl="0" w:tplc="29C01EAE">
      <w:start w:val="10"/>
      <w:numFmt w:val="bullet"/>
      <w:lvlText w:val="-"/>
      <w:lvlJc w:val="left"/>
      <w:pPr>
        <w:ind w:left="1440" w:hanging="360"/>
      </w:pPr>
      <w:rPr>
        <w:rFonts w:ascii="Calibri" w:eastAsiaTheme="minorHAnsi" w:hAnsi="Calibri" w:cstheme="minorHAns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5" w15:restartNumberingAfterBreak="0">
    <w:nsid w:val="306E33E8"/>
    <w:multiLevelType w:val="hybridMultilevel"/>
    <w:tmpl w:val="F9DCEE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57" w15:restartNumberingAfterBreak="0">
    <w:nsid w:val="31526096"/>
    <w:multiLevelType w:val="hybridMultilevel"/>
    <w:tmpl w:val="3704F4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8" w15:restartNumberingAfterBreak="0">
    <w:nsid w:val="31E56E05"/>
    <w:multiLevelType w:val="hybridMultilevel"/>
    <w:tmpl w:val="5EAA144E"/>
    <w:lvl w:ilvl="0" w:tplc="60D8962A">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59" w15:restartNumberingAfterBreak="0">
    <w:nsid w:val="32940E1A"/>
    <w:multiLevelType w:val="hybridMultilevel"/>
    <w:tmpl w:val="A2922C62"/>
    <w:lvl w:ilvl="0" w:tplc="DA72ECA8">
      <w:numFmt w:val="bullet"/>
      <w:lvlText w:val="-"/>
      <w:lvlJc w:val="left"/>
      <w:pPr>
        <w:ind w:left="1080" w:hanging="360"/>
      </w:pPr>
      <w:rPr>
        <w:rFonts w:ascii="Calibri" w:eastAsiaTheme="minorHAnsi" w:hAnsi="Calibri" w:cs="Calibri" w:hint="default"/>
        <w:i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0" w15:restartNumberingAfterBreak="0">
    <w:nsid w:val="32E4125C"/>
    <w:multiLevelType w:val="hybridMultilevel"/>
    <w:tmpl w:val="039E47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35CE6F3F"/>
    <w:multiLevelType w:val="hybridMultilevel"/>
    <w:tmpl w:val="20A0F526"/>
    <w:lvl w:ilvl="0" w:tplc="6D2A3F20">
      <w:numFmt w:val="bullet"/>
      <w:lvlText w:val="-"/>
      <w:lvlJc w:val="left"/>
      <w:pPr>
        <w:ind w:left="1080" w:hanging="360"/>
      </w:pPr>
      <w:rPr>
        <w:rFonts w:ascii="Calibri" w:eastAsiaTheme="minorHAnsi" w:hAnsi="Calibri" w:cs="Calibri" w:hint="default"/>
        <w:b/>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2" w15:restartNumberingAfterBreak="0">
    <w:nsid w:val="377658FC"/>
    <w:multiLevelType w:val="hybridMultilevel"/>
    <w:tmpl w:val="E55A43A0"/>
    <w:lvl w:ilvl="0" w:tplc="29C01EAE">
      <w:start w:val="10"/>
      <w:numFmt w:val="bullet"/>
      <w:lvlText w:val="-"/>
      <w:lvlJc w:val="left"/>
      <w:pPr>
        <w:ind w:left="2160" w:hanging="360"/>
      </w:pPr>
      <w:rPr>
        <w:rFonts w:ascii="Calibri" w:eastAsiaTheme="minorHAnsi" w:hAnsi="Calibri" w:cstheme="minorHAns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3" w15:restartNumberingAfterBreak="0">
    <w:nsid w:val="389D0F2B"/>
    <w:multiLevelType w:val="hybridMultilevel"/>
    <w:tmpl w:val="44C0C5F6"/>
    <w:lvl w:ilvl="0" w:tplc="07408CA0">
      <w:start w:val="1"/>
      <w:numFmt w:val="bullet"/>
      <w:lvlText w:val=""/>
      <w:lvlJc w:val="left"/>
      <w:pPr>
        <w:ind w:left="1922" w:hanging="360"/>
      </w:pPr>
      <w:rPr>
        <w:rFonts w:ascii="Symbol" w:hAnsi="Symbol" w:hint="default"/>
        <w:color w:val="000000" w:themeColor="text1"/>
      </w:rPr>
    </w:lvl>
    <w:lvl w:ilvl="1" w:tplc="07408CA0">
      <w:start w:val="1"/>
      <w:numFmt w:val="bullet"/>
      <w:lvlText w:val=""/>
      <w:lvlJc w:val="left"/>
      <w:pPr>
        <w:ind w:left="2642" w:hanging="360"/>
      </w:pPr>
      <w:rPr>
        <w:rFonts w:ascii="Symbol" w:hAnsi="Symbol" w:hint="default"/>
      </w:rPr>
    </w:lvl>
    <w:lvl w:ilvl="2" w:tplc="04180005">
      <w:start w:val="1"/>
      <w:numFmt w:val="bullet"/>
      <w:lvlText w:val=""/>
      <w:lvlJc w:val="left"/>
      <w:pPr>
        <w:ind w:left="3362" w:hanging="360"/>
      </w:pPr>
      <w:rPr>
        <w:rFonts w:ascii="Wingdings" w:hAnsi="Wingdings" w:hint="default"/>
      </w:rPr>
    </w:lvl>
    <w:lvl w:ilvl="3" w:tplc="04180001" w:tentative="1">
      <w:start w:val="1"/>
      <w:numFmt w:val="bullet"/>
      <w:lvlText w:val=""/>
      <w:lvlJc w:val="left"/>
      <w:pPr>
        <w:ind w:left="4082" w:hanging="360"/>
      </w:pPr>
      <w:rPr>
        <w:rFonts w:ascii="Symbol" w:hAnsi="Symbol" w:hint="default"/>
      </w:rPr>
    </w:lvl>
    <w:lvl w:ilvl="4" w:tplc="04180003" w:tentative="1">
      <w:start w:val="1"/>
      <w:numFmt w:val="bullet"/>
      <w:lvlText w:val="o"/>
      <w:lvlJc w:val="left"/>
      <w:pPr>
        <w:ind w:left="4802" w:hanging="360"/>
      </w:pPr>
      <w:rPr>
        <w:rFonts w:ascii="Courier New" w:hAnsi="Courier New" w:cs="Courier New" w:hint="default"/>
      </w:rPr>
    </w:lvl>
    <w:lvl w:ilvl="5" w:tplc="04180005" w:tentative="1">
      <w:start w:val="1"/>
      <w:numFmt w:val="bullet"/>
      <w:lvlText w:val=""/>
      <w:lvlJc w:val="left"/>
      <w:pPr>
        <w:ind w:left="5522" w:hanging="360"/>
      </w:pPr>
      <w:rPr>
        <w:rFonts w:ascii="Wingdings" w:hAnsi="Wingdings" w:hint="default"/>
      </w:rPr>
    </w:lvl>
    <w:lvl w:ilvl="6" w:tplc="04180001" w:tentative="1">
      <w:start w:val="1"/>
      <w:numFmt w:val="bullet"/>
      <w:lvlText w:val=""/>
      <w:lvlJc w:val="left"/>
      <w:pPr>
        <w:ind w:left="6242" w:hanging="360"/>
      </w:pPr>
      <w:rPr>
        <w:rFonts w:ascii="Symbol" w:hAnsi="Symbol" w:hint="default"/>
      </w:rPr>
    </w:lvl>
    <w:lvl w:ilvl="7" w:tplc="04180003" w:tentative="1">
      <w:start w:val="1"/>
      <w:numFmt w:val="bullet"/>
      <w:lvlText w:val="o"/>
      <w:lvlJc w:val="left"/>
      <w:pPr>
        <w:ind w:left="6962" w:hanging="360"/>
      </w:pPr>
      <w:rPr>
        <w:rFonts w:ascii="Courier New" w:hAnsi="Courier New" w:cs="Courier New" w:hint="default"/>
      </w:rPr>
    </w:lvl>
    <w:lvl w:ilvl="8" w:tplc="04180005" w:tentative="1">
      <w:start w:val="1"/>
      <w:numFmt w:val="bullet"/>
      <w:lvlText w:val=""/>
      <w:lvlJc w:val="left"/>
      <w:pPr>
        <w:ind w:left="7682" w:hanging="360"/>
      </w:pPr>
      <w:rPr>
        <w:rFonts w:ascii="Wingdings" w:hAnsi="Wingdings" w:hint="default"/>
      </w:rPr>
    </w:lvl>
  </w:abstractNum>
  <w:abstractNum w:abstractNumId="64" w15:restartNumberingAfterBreak="0">
    <w:nsid w:val="3C6C419C"/>
    <w:multiLevelType w:val="hybridMultilevel"/>
    <w:tmpl w:val="8E6AF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3D034D8D"/>
    <w:multiLevelType w:val="hybridMultilevel"/>
    <w:tmpl w:val="E35E1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E934FB4"/>
    <w:multiLevelType w:val="hybridMultilevel"/>
    <w:tmpl w:val="C3B44984"/>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67" w15:restartNumberingAfterBreak="0">
    <w:nsid w:val="3F76510B"/>
    <w:multiLevelType w:val="hybridMultilevel"/>
    <w:tmpl w:val="C06A3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FAF53EB"/>
    <w:multiLevelType w:val="hybridMultilevel"/>
    <w:tmpl w:val="2726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7E57B4"/>
    <w:multiLevelType w:val="hybridMultilevel"/>
    <w:tmpl w:val="CCF8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0C45EC5"/>
    <w:multiLevelType w:val="hybridMultilevel"/>
    <w:tmpl w:val="866AFF3A"/>
    <w:lvl w:ilvl="0" w:tplc="DA72ECA8">
      <w:start w:val="25"/>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1" w15:restartNumberingAfterBreak="0">
    <w:nsid w:val="4248094C"/>
    <w:multiLevelType w:val="hybridMultilevel"/>
    <w:tmpl w:val="BD06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26B42BC"/>
    <w:multiLevelType w:val="hybridMultilevel"/>
    <w:tmpl w:val="B65C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2CC47E9"/>
    <w:multiLevelType w:val="hybridMultilevel"/>
    <w:tmpl w:val="7BCEF9F0"/>
    <w:lvl w:ilvl="0" w:tplc="19A432F0">
      <w:start w:val="1"/>
      <w:numFmt w:val="bullet"/>
      <w:lvlText w:val=""/>
      <w:lvlJc w:val="left"/>
      <w:pPr>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43C94257"/>
    <w:multiLevelType w:val="hybridMultilevel"/>
    <w:tmpl w:val="25663582"/>
    <w:lvl w:ilvl="0" w:tplc="86DE56CA">
      <w:start w:val="1"/>
      <w:numFmt w:val="bullet"/>
      <w:lvlText w:val="•"/>
      <w:lvlJc w:val="left"/>
      <w:pPr>
        <w:tabs>
          <w:tab w:val="num" w:pos="720"/>
        </w:tabs>
        <w:ind w:left="720" w:hanging="360"/>
      </w:pPr>
      <w:rPr>
        <w:rFonts w:ascii="Arial" w:hAnsi="Arial" w:hint="default"/>
      </w:rPr>
    </w:lvl>
    <w:lvl w:ilvl="1" w:tplc="F216BC92" w:tentative="1">
      <w:start w:val="1"/>
      <w:numFmt w:val="bullet"/>
      <w:lvlText w:val="•"/>
      <w:lvlJc w:val="left"/>
      <w:pPr>
        <w:tabs>
          <w:tab w:val="num" w:pos="1440"/>
        </w:tabs>
        <w:ind w:left="1440" w:hanging="360"/>
      </w:pPr>
      <w:rPr>
        <w:rFonts w:ascii="Arial" w:hAnsi="Arial" w:hint="default"/>
      </w:rPr>
    </w:lvl>
    <w:lvl w:ilvl="2" w:tplc="318C39D2">
      <w:start w:val="1"/>
      <w:numFmt w:val="bullet"/>
      <w:lvlText w:val="•"/>
      <w:lvlJc w:val="left"/>
      <w:pPr>
        <w:tabs>
          <w:tab w:val="num" w:pos="928"/>
        </w:tabs>
        <w:ind w:left="928" w:hanging="360"/>
      </w:pPr>
      <w:rPr>
        <w:rFonts w:ascii="Arial" w:hAnsi="Arial" w:hint="default"/>
        <w:color w:val="0070C0"/>
      </w:rPr>
    </w:lvl>
    <w:lvl w:ilvl="3" w:tplc="7FC050D4" w:tentative="1">
      <w:start w:val="1"/>
      <w:numFmt w:val="bullet"/>
      <w:lvlText w:val="•"/>
      <w:lvlJc w:val="left"/>
      <w:pPr>
        <w:tabs>
          <w:tab w:val="num" w:pos="2880"/>
        </w:tabs>
        <w:ind w:left="2880" w:hanging="360"/>
      </w:pPr>
      <w:rPr>
        <w:rFonts w:ascii="Arial" w:hAnsi="Arial" w:hint="default"/>
      </w:rPr>
    </w:lvl>
    <w:lvl w:ilvl="4" w:tplc="54B61E28" w:tentative="1">
      <w:start w:val="1"/>
      <w:numFmt w:val="bullet"/>
      <w:lvlText w:val="•"/>
      <w:lvlJc w:val="left"/>
      <w:pPr>
        <w:tabs>
          <w:tab w:val="num" w:pos="3600"/>
        </w:tabs>
        <w:ind w:left="3600" w:hanging="360"/>
      </w:pPr>
      <w:rPr>
        <w:rFonts w:ascii="Arial" w:hAnsi="Arial" w:hint="default"/>
      </w:rPr>
    </w:lvl>
    <w:lvl w:ilvl="5" w:tplc="590A3674" w:tentative="1">
      <w:start w:val="1"/>
      <w:numFmt w:val="bullet"/>
      <w:lvlText w:val="•"/>
      <w:lvlJc w:val="left"/>
      <w:pPr>
        <w:tabs>
          <w:tab w:val="num" w:pos="4320"/>
        </w:tabs>
        <w:ind w:left="4320" w:hanging="360"/>
      </w:pPr>
      <w:rPr>
        <w:rFonts w:ascii="Arial" w:hAnsi="Arial" w:hint="default"/>
      </w:rPr>
    </w:lvl>
    <w:lvl w:ilvl="6" w:tplc="79A88270" w:tentative="1">
      <w:start w:val="1"/>
      <w:numFmt w:val="bullet"/>
      <w:lvlText w:val="•"/>
      <w:lvlJc w:val="left"/>
      <w:pPr>
        <w:tabs>
          <w:tab w:val="num" w:pos="5040"/>
        </w:tabs>
        <w:ind w:left="5040" w:hanging="360"/>
      </w:pPr>
      <w:rPr>
        <w:rFonts w:ascii="Arial" w:hAnsi="Arial" w:hint="default"/>
      </w:rPr>
    </w:lvl>
    <w:lvl w:ilvl="7" w:tplc="9C54C41A" w:tentative="1">
      <w:start w:val="1"/>
      <w:numFmt w:val="bullet"/>
      <w:lvlText w:val="•"/>
      <w:lvlJc w:val="left"/>
      <w:pPr>
        <w:tabs>
          <w:tab w:val="num" w:pos="5760"/>
        </w:tabs>
        <w:ind w:left="5760" w:hanging="360"/>
      </w:pPr>
      <w:rPr>
        <w:rFonts w:ascii="Arial" w:hAnsi="Arial" w:hint="default"/>
      </w:rPr>
    </w:lvl>
    <w:lvl w:ilvl="8" w:tplc="9CE8EDCA"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44397146"/>
    <w:multiLevelType w:val="hybridMultilevel"/>
    <w:tmpl w:val="C6D69C34"/>
    <w:lvl w:ilvl="0" w:tplc="8CFC1C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F95418"/>
    <w:multiLevelType w:val="hybridMultilevel"/>
    <w:tmpl w:val="BC42DC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46515E91"/>
    <w:multiLevelType w:val="hybridMultilevel"/>
    <w:tmpl w:val="4384A8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8" w15:restartNumberingAfterBreak="0">
    <w:nsid w:val="46F4457A"/>
    <w:multiLevelType w:val="hybridMultilevel"/>
    <w:tmpl w:val="3602665A"/>
    <w:lvl w:ilvl="0" w:tplc="18E09296">
      <w:start w:val="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470D0733"/>
    <w:multiLevelType w:val="hybridMultilevel"/>
    <w:tmpl w:val="ADE25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3A4E73"/>
    <w:multiLevelType w:val="hybridMultilevel"/>
    <w:tmpl w:val="8C7AA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7850272"/>
    <w:multiLevelType w:val="hybridMultilevel"/>
    <w:tmpl w:val="221C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7D16EE"/>
    <w:multiLevelType w:val="hybridMultilevel"/>
    <w:tmpl w:val="96A0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B45A42"/>
    <w:multiLevelType w:val="hybridMultilevel"/>
    <w:tmpl w:val="7756B366"/>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30" w:hanging="360"/>
      </w:pPr>
      <w:rPr>
        <w:rFonts w:ascii="Courier New" w:hAnsi="Courier New" w:cs="Courier New" w:hint="default"/>
      </w:rPr>
    </w:lvl>
    <w:lvl w:ilvl="2" w:tplc="04090005">
      <w:start w:val="1"/>
      <w:numFmt w:val="bullet"/>
      <w:lvlText w:val=""/>
      <w:lvlJc w:val="left"/>
      <w:pPr>
        <w:ind w:left="690" w:hanging="360"/>
      </w:pPr>
      <w:rPr>
        <w:rFonts w:ascii="Wingdings" w:hAnsi="Wingdings" w:hint="default"/>
      </w:rPr>
    </w:lvl>
    <w:lvl w:ilvl="3" w:tplc="04090001" w:tentative="1">
      <w:start w:val="1"/>
      <w:numFmt w:val="bullet"/>
      <w:lvlText w:val=""/>
      <w:lvlJc w:val="left"/>
      <w:pPr>
        <w:ind w:left="1410" w:hanging="360"/>
      </w:pPr>
      <w:rPr>
        <w:rFonts w:ascii="Symbol" w:hAnsi="Symbol" w:hint="default"/>
      </w:rPr>
    </w:lvl>
    <w:lvl w:ilvl="4" w:tplc="04090003" w:tentative="1">
      <w:start w:val="1"/>
      <w:numFmt w:val="bullet"/>
      <w:lvlText w:val="o"/>
      <w:lvlJc w:val="left"/>
      <w:pPr>
        <w:ind w:left="2130" w:hanging="360"/>
      </w:pPr>
      <w:rPr>
        <w:rFonts w:ascii="Courier New" w:hAnsi="Courier New" w:cs="Courier New" w:hint="default"/>
      </w:rPr>
    </w:lvl>
    <w:lvl w:ilvl="5" w:tplc="04090005" w:tentative="1">
      <w:start w:val="1"/>
      <w:numFmt w:val="bullet"/>
      <w:lvlText w:val=""/>
      <w:lvlJc w:val="left"/>
      <w:pPr>
        <w:ind w:left="2850" w:hanging="360"/>
      </w:pPr>
      <w:rPr>
        <w:rFonts w:ascii="Wingdings" w:hAnsi="Wingdings" w:hint="default"/>
      </w:rPr>
    </w:lvl>
    <w:lvl w:ilvl="6" w:tplc="04090001" w:tentative="1">
      <w:start w:val="1"/>
      <w:numFmt w:val="bullet"/>
      <w:lvlText w:val=""/>
      <w:lvlJc w:val="left"/>
      <w:pPr>
        <w:ind w:left="3570" w:hanging="360"/>
      </w:pPr>
      <w:rPr>
        <w:rFonts w:ascii="Symbol" w:hAnsi="Symbol" w:hint="default"/>
      </w:rPr>
    </w:lvl>
    <w:lvl w:ilvl="7" w:tplc="04090003" w:tentative="1">
      <w:start w:val="1"/>
      <w:numFmt w:val="bullet"/>
      <w:lvlText w:val="o"/>
      <w:lvlJc w:val="left"/>
      <w:pPr>
        <w:ind w:left="4290" w:hanging="360"/>
      </w:pPr>
      <w:rPr>
        <w:rFonts w:ascii="Courier New" w:hAnsi="Courier New" w:cs="Courier New" w:hint="default"/>
      </w:rPr>
    </w:lvl>
    <w:lvl w:ilvl="8" w:tplc="04090005" w:tentative="1">
      <w:start w:val="1"/>
      <w:numFmt w:val="bullet"/>
      <w:lvlText w:val=""/>
      <w:lvlJc w:val="left"/>
      <w:pPr>
        <w:ind w:left="5010" w:hanging="360"/>
      </w:pPr>
      <w:rPr>
        <w:rFonts w:ascii="Wingdings" w:hAnsi="Wingdings" w:hint="default"/>
      </w:rPr>
    </w:lvl>
  </w:abstractNum>
  <w:abstractNum w:abstractNumId="84" w15:restartNumberingAfterBreak="0">
    <w:nsid w:val="491F5C5C"/>
    <w:multiLevelType w:val="hybridMultilevel"/>
    <w:tmpl w:val="4E8A701A"/>
    <w:lvl w:ilvl="0" w:tplc="298E7F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A8106B3"/>
    <w:multiLevelType w:val="hybridMultilevel"/>
    <w:tmpl w:val="7F58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AB41130"/>
    <w:multiLevelType w:val="hybridMultilevel"/>
    <w:tmpl w:val="3A2AAFDA"/>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4BE67EA6"/>
    <w:multiLevelType w:val="hybridMultilevel"/>
    <w:tmpl w:val="E2E2A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C34214F"/>
    <w:multiLevelType w:val="hybridMultilevel"/>
    <w:tmpl w:val="3536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D9103C7"/>
    <w:multiLevelType w:val="hybridMultilevel"/>
    <w:tmpl w:val="3A923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DA56617"/>
    <w:multiLevelType w:val="hybridMultilevel"/>
    <w:tmpl w:val="92BE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10B4EF9"/>
    <w:multiLevelType w:val="hybridMultilevel"/>
    <w:tmpl w:val="B5343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1E91B81"/>
    <w:multiLevelType w:val="hybridMultilevel"/>
    <w:tmpl w:val="C552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48834C2"/>
    <w:multiLevelType w:val="hybridMultilevel"/>
    <w:tmpl w:val="513E3BC6"/>
    <w:lvl w:ilvl="0" w:tplc="A53C940E">
      <w:start w:val="9"/>
      <w:numFmt w:val="bullet"/>
      <w:lvlText w:val="-"/>
      <w:lvlJc w:val="left"/>
      <w:pPr>
        <w:ind w:left="1800" w:hanging="360"/>
      </w:pPr>
      <w:rPr>
        <w:rFonts w:ascii="Calibri" w:eastAsiaTheme="minorHAnsi" w:hAnsi="Calibri" w:cstheme="minorHAnsi"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94" w15:restartNumberingAfterBreak="0">
    <w:nsid w:val="55ED29C2"/>
    <w:multiLevelType w:val="hybridMultilevel"/>
    <w:tmpl w:val="862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6030904"/>
    <w:multiLevelType w:val="hybridMultilevel"/>
    <w:tmpl w:val="C3F644CC"/>
    <w:lvl w:ilvl="0" w:tplc="AA34228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82F3E92"/>
    <w:multiLevelType w:val="hybridMultilevel"/>
    <w:tmpl w:val="3DC88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9196E83"/>
    <w:multiLevelType w:val="hybridMultilevel"/>
    <w:tmpl w:val="450A1EA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8" w15:restartNumberingAfterBreak="0">
    <w:nsid w:val="5BBA3DD7"/>
    <w:multiLevelType w:val="hybridMultilevel"/>
    <w:tmpl w:val="6352A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5BC27528"/>
    <w:multiLevelType w:val="hybridMultilevel"/>
    <w:tmpl w:val="B62E9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5C433B56"/>
    <w:multiLevelType w:val="hybridMultilevel"/>
    <w:tmpl w:val="0CCEA3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1" w15:restartNumberingAfterBreak="0">
    <w:nsid w:val="5CE15C75"/>
    <w:multiLevelType w:val="hybridMultilevel"/>
    <w:tmpl w:val="826E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CF14AC4"/>
    <w:multiLevelType w:val="hybridMultilevel"/>
    <w:tmpl w:val="D4C874E8"/>
    <w:lvl w:ilvl="0" w:tplc="708414FC">
      <w:start w:val="1"/>
      <w:numFmt w:val="bullet"/>
      <w:lvlText w:val="•"/>
      <w:lvlJc w:val="left"/>
      <w:pPr>
        <w:tabs>
          <w:tab w:val="num" w:pos="720"/>
        </w:tabs>
        <w:ind w:left="720" w:hanging="360"/>
      </w:pPr>
      <w:rPr>
        <w:rFonts w:ascii="Arial" w:hAnsi="Arial" w:hint="default"/>
      </w:rPr>
    </w:lvl>
    <w:lvl w:ilvl="1" w:tplc="70665DCA">
      <w:start w:val="1"/>
      <w:numFmt w:val="bullet"/>
      <w:lvlText w:val="•"/>
      <w:lvlJc w:val="left"/>
      <w:pPr>
        <w:tabs>
          <w:tab w:val="num" w:pos="1440"/>
        </w:tabs>
        <w:ind w:left="1440" w:hanging="360"/>
      </w:pPr>
      <w:rPr>
        <w:rFonts w:ascii="Arial" w:hAnsi="Arial" w:hint="default"/>
      </w:rPr>
    </w:lvl>
    <w:lvl w:ilvl="2" w:tplc="7DE2B53E">
      <w:start w:val="1"/>
      <w:numFmt w:val="bullet"/>
      <w:lvlText w:val="•"/>
      <w:lvlJc w:val="left"/>
      <w:pPr>
        <w:tabs>
          <w:tab w:val="num" w:pos="2160"/>
        </w:tabs>
        <w:ind w:left="2160" w:hanging="360"/>
      </w:pPr>
      <w:rPr>
        <w:rFonts w:ascii="Arial" w:hAnsi="Arial" w:hint="default"/>
      </w:rPr>
    </w:lvl>
    <w:lvl w:ilvl="3" w:tplc="B1FA51D6">
      <w:start w:val="53"/>
      <w:numFmt w:val="bullet"/>
      <w:lvlText w:val="•"/>
      <w:lvlJc w:val="left"/>
      <w:pPr>
        <w:tabs>
          <w:tab w:val="num" w:pos="2880"/>
        </w:tabs>
        <w:ind w:left="2880" w:hanging="360"/>
      </w:pPr>
      <w:rPr>
        <w:rFonts w:ascii="Arial" w:hAnsi="Arial" w:hint="default"/>
      </w:rPr>
    </w:lvl>
    <w:lvl w:ilvl="4" w:tplc="AB124A68">
      <w:start w:val="1"/>
      <w:numFmt w:val="bullet"/>
      <w:lvlText w:val="-"/>
      <w:lvlJc w:val="left"/>
      <w:pPr>
        <w:ind w:left="3600" w:hanging="360"/>
      </w:pPr>
      <w:rPr>
        <w:rFonts w:ascii="Calibri" w:eastAsiaTheme="minorHAnsi" w:hAnsi="Calibri" w:cstheme="minorBidi" w:hint="default"/>
        <w:b w:val="0"/>
      </w:rPr>
    </w:lvl>
    <w:lvl w:ilvl="5" w:tplc="57B2C33E" w:tentative="1">
      <w:start w:val="1"/>
      <w:numFmt w:val="bullet"/>
      <w:lvlText w:val="•"/>
      <w:lvlJc w:val="left"/>
      <w:pPr>
        <w:tabs>
          <w:tab w:val="num" w:pos="4320"/>
        </w:tabs>
        <w:ind w:left="4320" w:hanging="360"/>
      </w:pPr>
      <w:rPr>
        <w:rFonts w:ascii="Arial" w:hAnsi="Arial" w:hint="default"/>
      </w:rPr>
    </w:lvl>
    <w:lvl w:ilvl="6" w:tplc="DCA0669A" w:tentative="1">
      <w:start w:val="1"/>
      <w:numFmt w:val="bullet"/>
      <w:lvlText w:val="•"/>
      <w:lvlJc w:val="left"/>
      <w:pPr>
        <w:tabs>
          <w:tab w:val="num" w:pos="5040"/>
        </w:tabs>
        <w:ind w:left="5040" w:hanging="360"/>
      </w:pPr>
      <w:rPr>
        <w:rFonts w:ascii="Arial" w:hAnsi="Arial" w:hint="default"/>
      </w:rPr>
    </w:lvl>
    <w:lvl w:ilvl="7" w:tplc="BF42D86A" w:tentative="1">
      <w:start w:val="1"/>
      <w:numFmt w:val="bullet"/>
      <w:lvlText w:val="•"/>
      <w:lvlJc w:val="left"/>
      <w:pPr>
        <w:tabs>
          <w:tab w:val="num" w:pos="5760"/>
        </w:tabs>
        <w:ind w:left="5760" w:hanging="360"/>
      </w:pPr>
      <w:rPr>
        <w:rFonts w:ascii="Arial" w:hAnsi="Arial" w:hint="default"/>
      </w:rPr>
    </w:lvl>
    <w:lvl w:ilvl="8" w:tplc="D842064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5D880772"/>
    <w:multiLevelType w:val="hybridMultilevel"/>
    <w:tmpl w:val="B4D6F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5E401957"/>
    <w:multiLevelType w:val="hybridMultilevel"/>
    <w:tmpl w:val="B0CAB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F0B6B6A"/>
    <w:multiLevelType w:val="hybridMultilevel"/>
    <w:tmpl w:val="093A4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5F2A2AFD"/>
    <w:multiLevelType w:val="hybridMultilevel"/>
    <w:tmpl w:val="CCB020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7" w15:restartNumberingAfterBreak="0">
    <w:nsid w:val="5FB84FBB"/>
    <w:multiLevelType w:val="hybridMultilevel"/>
    <w:tmpl w:val="97E6E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FCA0F85"/>
    <w:multiLevelType w:val="hybridMultilevel"/>
    <w:tmpl w:val="0D3403B4"/>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9" w15:restartNumberingAfterBreak="0">
    <w:nsid w:val="60264E28"/>
    <w:multiLevelType w:val="hybridMultilevel"/>
    <w:tmpl w:val="3380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2150305"/>
    <w:multiLevelType w:val="hybridMultilevel"/>
    <w:tmpl w:val="234E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2F4081C"/>
    <w:multiLevelType w:val="hybridMultilevel"/>
    <w:tmpl w:val="7A404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5425612"/>
    <w:multiLevelType w:val="hybridMultilevel"/>
    <w:tmpl w:val="756E9558"/>
    <w:lvl w:ilvl="0" w:tplc="F1D62EEC">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3" w15:restartNumberingAfterBreak="0">
    <w:nsid w:val="65E3133E"/>
    <w:multiLevelType w:val="hybridMultilevel"/>
    <w:tmpl w:val="E9FC08DE"/>
    <w:lvl w:ilvl="0" w:tplc="A3B8448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3A16CF"/>
    <w:multiLevelType w:val="hybridMultilevel"/>
    <w:tmpl w:val="924AC9A6"/>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6A2F69FC"/>
    <w:multiLevelType w:val="hybridMultilevel"/>
    <w:tmpl w:val="7316B84A"/>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6" w15:restartNumberingAfterBreak="0">
    <w:nsid w:val="6A5518B1"/>
    <w:multiLevelType w:val="hybridMultilevel"/>
    <w:tmpl w:val="FFCE3954"/>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17" w15:restartNumberingAfterBreak="0">
    <w:nsid w:val="6CFB1A8C"/>
    <w:multiLevelType w:val="hybridMultilevel"/>
    <w:tmpl w:val="356AB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D7F7977"/>
    <w:multiLevelType w:val="hybridMultilevel"/>
    <w:tmpl w:val="2640CA4C"/>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E561998"/>
    <w:multiLevelType w:val="hybridMultilevel"/>
    <w:tmpl w:val="062E7CC6"/>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E823A5B"/>
    <w:multiLevelType w:val="hybridMultilevel"/>
    <w:tmpl w:val="FD789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6FAE3211"/>
    <w:multiLevelType w:val="hybridMultilevel"/>
    <w:tmpl w:val="CA6AE45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6FCB062B"/>
    <w:multiLevelType w:val="hybridMultilevel"/>
    <w:tmpl w:val="BD24B8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3" w15:restartNumberingAfterBreak="0">
    <w:nsid w:val="71C42C32"/>
    <w:multiLevelType w:val="hybridMultilevel"/>
    <w:tmpl w:val="6812FC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4" w15:restartNumberingAfterBreak="0">
    <w:nsid w:val="720D2E92"/>
    <w:multiLevelType w:val="hybridMultilevel"/>
    <w:tmpl w:val="C4660E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5" w15:restartNumberingAfterBreak="0">
    <w:nsid w:val="72520391"/>
    <w:multiLevelType w:val="hybridMultilevel"/>
    <w:tmpl w:val="6E60D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2C40741"/>
    <w:multiLevelType w:val="hybridMultilevel"/>
    <w:tmpl w:val="D010B2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7" w15:restartNumberingAfterBreak="0">
    <w:nsid w:val="72E219FF"/>
    <w:multiLevelType w:val="hybridMultilevel"/>
    <w:tmpl w:val="0E7295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8" w15:restartNumberingAfterBreak="0">
    <w:nsid w:val="742D3EC1"/>
    <w:multiLevelType w:val="hybridMultilevel"/>
    <w:tmpl w:val="5628908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7475745A"/>
    <w:multiLevelType w:val="hybridMultilevel"/>
    <w:tmpl w:val="BAEEE7E4"/>
    <w:lvl w:ilvl="0" w:tplc="DA72ECA8">
      <w:numFmt w:val="bullet"/>
      <w:lvlText w:val="-"/>
      <w:lvlJc w:val="left"/>
      <w:pPr>
        <w:ind w:left="1080" w:hanging="360"/>
      </w:pPr>
      <w:rPr>
        <w:rFonts w:ascii="Calibri" w:eastAsiaTheme="minorHAnsi" w:hAnsi="Calibri" w:cs="Calibri" w:hint="default"/>
        <w:i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0" w15:restartNumberingAfterBreak="0">
    <w:nsid w:val="75DF491A"/>
    <w:multiLevelType w:val="hybridMultilevel"/>
    <w:tmpl w:val="41E68072"/>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76D063CF"/>
    <w:multiLevelType w:val="hybridMultilevel"/>
    <w:tmpl w:val="748A68E4"/>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772C1CB3"/>
    <w:multiLevelType w:val="hybridMultilevel"/>
    <w:tmpl w:val="945C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7E315CF"/>
    <w:multiLevelType w:val="multilevel"/>
    <w:tmpl w:val="4990981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78163B55"/>
    <w:multiLevelType w:val="hybridMultilevel"/>
    <w:tmpl w:val="F30A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B02120"/>
    <w:multiLevelType w:val="hybridMultilevel"/>
    <w:tmpl w:val="FFBC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D416C7"/>
    <w:multiLevelType w:val="hybridMultilevel"/>
    <w:tmpl w:val="FE6AC57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971"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7" w15:restartNumberingAfterBreak="0">
    <w:nsid w:val="7A7D6FF1"/>
    <w:multiLevelType w:val="hybridMultilevel"/>
    <w:tmpl w:val="5C520E02"/>
    <w:lvl w:ilvl="0" w:tplc="AE6CD686">
      <w:start w:val="5"/>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8" w15:restartNumberingAfterBreak="0">
    <w:nsid w:val="7A7F3B8A"/>
    <w:multiLevelType w:val="hybridMultilevel"/>
    <w:tmpl w:val="9B9EA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B7101A9"/>
    <w:multiLevelType w:val="hybridMultilevel"/>
    <w:tmpl w:val="072A39DC"/>
    <w:lvl w:ilvl="0" w:tplc="E4C64204">
      <w:start w:val="1"/>
      <w:numFmt w:val="lowerLetter"/>
      <w:lvlText w:val="%1)"/>
      <w:lvlJc w:val="left"/>
      <w:pPr>
        <w:ind w:left="3131" w:hanging="360"/>
      </w:pPr>
      <w:rPr>
        <w:rFonts w:hint="default"/>
      </w:rPr>
    </w:lvl>
    <w:lvl w:ilvl="1" w:tplc="04180019" w:tentative="1">
      <w:start w:val="1"/>
      <w:numFmt w:val="lowerLetter"/>
      <w:lvlText w:val="%2."/>
      <w:lvlJc w:val="left"/>
      <w:pPr>
        <w:ind w:left="3851" w:hanging="360"/>
      </w:pPr>
    </w:lvl>
    <w:lvl w:ilvl="2" w:tplc="0418001B" w:tentative="1">
      <w:start w:val="1"/>
      <w:numFmt w:val="lowerRoman"/>
      <w:lvlText w:val="%3."/>
      <w:lvlJc w:val="right"/>
      <w:pPr>
        <w:ind w:left="4571" w:hanging="180"/>
      </w:pPr>
    </w:lvl>
    <w:lvl w:ilvl="3" w:tplc="0418000F" w:tentative="1">
      <w:start w:val="1"/>
      <w:numFmt w:val="decimal"/>
      <w:lvlText w:val="%4."/>
      <w:lvlJc w:val="left"/>
      <w:pPr>
        <w:ind w:left="5291" w:hanging="360"/>
      </w:pPr>
    </w:lvl>
    <w:lvl w:ilvl="4" w:tplc="04180019" w:tentative="1">
      <w:start w:val="1"/>
      <w:numFmt w:val="lowerLetter"/>
      <w:lvlText w:val="%5."/>
      <w:lvlJc w:val="left"/>
      <w:pPr>
        <w:ind w:left="6011" w:hanging="360"/>
      </w:pPr>
    </w:lvl>
    <w:lvl w:ilvl="5" w:tplc="0418001B" w:tentative="1">
      <w:start w:val="1"/>
      <w:numFmt w:val="lowerRoman"/>
      <w:lvlText w:val="%6."/>
      <w:lvlJc w:val="right"/>
      <w:pPr>
        <w:ind w:left="6731" w:hanging="180"/>
      </w:pPr>
    </w:lvl>
    <w:lvl w:ilvl="6" w:tplc="0418000F" w:tentative="1">
      <w:start w:val="1"/>
      <w:numFmt w:val="decimal"/>
      <w:lvlText w:val="%7."/>
      <w:lvlJc w:val="left"/>
      <w:pPr>
        <w:ind w:left="7451" w:hanging="360"/>
      </w:pPr>
    </w:lvl>
    <w:lvl w:ilvl="7" w:tplc="04180019" w:tentative="1">
      <w:start w:val="1"/>
      <w:numFmt w:val="lowerLetter"/>
      <w:lvlText w:val="%8."/>
      <w:lvlJc w:val="left"/>
      <w:pPr>
        <w:ind w:left="8171" w:hanging="360"/>
      </w:pPr>
    </w:lvl>
    <w:lvl w:ilvl="8" w:tplc="0418001B" w:tentative="1">
      <w:start w:val="1"/>
      <w:numFmt w:val="lowerRoman"/>
      <w:lvlText w:val="%9."/>
      <w:lvlJc w:val="right"/>
      <w:pPr>
        <w:ind w:left="8891" w:hanging="180"/>
      </w:pPr>
    </w:lvl>
  </w:abstractNum>
  <w:abstractNum w:abstractNumId="140" w15:restartNumberingAfterBreak="0">
    <w:nsid w:val="7C4407C3"/>
    <w:multiLevelType w:val="hybridMultilevel"/>
    <w:tmpl w:val="F38AAB72"/>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15:restartNumberingAfterBreak="0">
    <w:nsid w:val="7CA936FA"/>
    <w:multiLevelType w:val="hybridMultilevel"/>
    <w:tmpl w:val="B14AFA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D97648E"/>
    <w:multiLevelType w:val="hybridMultilevel"/>
    <w:tmpl w:val="EC2604FC"/>
    <w:lvl w:ilvl="0" w:tplc="742C5A7E">
      <w:start w:val="25"/>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7DA45F7D"/>
    <w:multiLevelType w:val="hybridMultilevel"/>
    <w:tmpl w:val="07EEB1DA"/>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4" w15:restartNumberingAfterBreak="0">
    <w:nsid w:val="7DBD15FB"/>
    <w:multiLevelType w:val="hybridMultilevel"/>
    <w:tmpl w:val="C144E518"/>
    <w:lvl w:ilvl="0" w:tplc="1809000B">
      <w:start w:val="1"/>
      <w:numFmt w:val="bullet"/>
      <w:lvlText w:val=""/>
      <w:lvlJc w:val="left"/>
      <w:pPr>
        <w:ind w:left="107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5" w15:restartNumberingAfterBreak="0">
    <w:nsid w:val="7EEA3A61"/>
    <w:multiLevelType w:val="hybridMultilevel"/>
    <w:tmpl w:val="F7C4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F7217BC"/>
    <w:multiLevelType w:val="hybridMultilevel"/>
    <w:tmpl w:val="7F5A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2"/>
  </w:num>
  <w:num w:numId="3">
    <w:abstractNumId w:val="74"/>
  </w:num>
  <w:num w:numId="4">
    <w:abstractNumId w:val="102"/>
  </w:num>
  <w:num w:numId="5">
    <w:abstractNumId w:val="47"/>
  </w:num>
  <w:num w:numId="6">
    <w:abstractNumId w:val="22"/>
  </w:num>
  <w:num w:numId="7">
    <w:abstractNumId w:val="43"/>
  </w:num>
  <w:num w:numId="8">
    <w:abstractNumId w:val="141"/>
  </w:num>
  <w:num w:numId="9">
    <w:abstractNumId w:val="122"/>
  </w:num>
  <w:num w:numId="10">
    <w:abstractNumId w:val="50"/>
  </w:num>
  <w:num w:numId="11">
    <w:abstractNumId w:val="1"/>
  </w:num>
  <w:num w:numId="12">
    <w:abstractNumId w:val="103"/>
  </w:num>
  <w:num w:numId="13">
    <w:abstractNumId w:val="64"/>
  </w:num>
  <w:num w:numId="14">
    <w:abstractNumId w:val="45"/>
  </w:num>
  <w:num w:numId="15">
    <w:abstractNumId w:val="35"/>
  </w:num>
  <w:num w:numId="16">
    <w:abstractNumId w:val="113"/>
  </w:num>
  <w:num w:numId="17">
    <w:abstractNumId w:val="38"/>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46"/>
  </w:num>
  <w:num w:numId="20">
    <w:abstractNumId w:val="143"/>
  </w:num>
  <w:num w:numId="21">
    <w:abstractNumId w:val="92"/>
  </w:num>
  <w:num w:numId="22">
    <w:abstractNumId w:val="133"/>
  </w:num>
  <w:num w:numId="23">
    <w:abstractNumId w:val="5"/>
  </w:num>
  <w:num w:numId="24">
    <w:abstractNumId w:val="68"/>
  </w:num>
  <w:num w:numId="25">
    <w:abstractNumId w:val="24"/>
  </w:num>
  <w:num w:numId="26">
    <w:abstractNumId w:val="9"/>
  </w:num>
  <w:num w:numId="27">
    <w:abstractNumId w:val="117"/>
  </w:num>
  <w:num w:numId="28">
    <w:abstractNumId w:val="134"/>
  </w:num>
  <w:num w:numId="29">
    <w:abstractNumId w:val="107"/>
  </w:num>
  <w:num w:numId="30">
    <w:abstractNumId w:val="2"/>
  </w:num>
  <w:num w:numId="31">
    <w:abstractNumId w:val="71"/>
  </w:num>
  <w:num w:numId="32">
    <w:abstractNumId w:val="82"/>
  </w:num>
  <w:num w:numId="33">
    <w:abstractNumId w:val="29"/>
  </w:num>
  <w:num w:numId="34">
    <w:abstractNumId w:val="145"/>
  </w:num>
  <w:num w:numId="35">
    <w:abstractNumId w:val="126"/>
  </w:num>
  <w:num w:numId="36">
    <w:abstractNumId w:val="87"/>
  </w:num>
  <w:num w:numId="37">
    <w:abstractNumId w:val="85"/>
  </w:num>
  <w:num w:numId="38">
    <w:abstractNumId w:val="67"/>
  </w:num>
  <w:num w:numId="39">
    <w:abstractNumId w:val="120"/>
  </w:num>
  <w:num w:numId="40">
    <w:abstractNumId w:val="65"/>
  </w:num>
  <w:num w:numId="41">
    <w:abstractNumId w:val="98"/>
  </w:num>
  <w:num w:numId="42">
    <w:abstractNumId w:val="36"/>
  </w:num>
  <w:num w:numId="43">
    <w:abstractNumId w:val="7"/>
  </w:num>
  <w:num w:numId="44">
    <w:abstractNumId w:val="94"/>
  </w:num>
  <w:num w:numId="45">
    <w:abstractNumId w:val="26"/>
  </w:num>
  <w:num w:numId="46">
    <w:abstractNumId w:val="8"/>
  </w:num>
  <w:num w:numId="47">
    <w:abstractNumId w:val="124"/>
  </w:num>
  <w:num w:numId="48">
    <w:abstractNumId w:val="28"/>
  </w:num>
  <w:num w:numId="49">
    <w:abstractNumId w:val="60"/>
  </w:num>
  <w:num w:numId="50">
    <w:abstractNumId w:val="128"/>
  </w:num>
  <w:num w:numId="51">
    <w:abstractNumId w:val="116"/>
  </w:num>
  <w:num w:numId="52">
    <w:abstractNumId w:val="27"/>
  </w:num>
  <w:num w:numId="53">
    <w:abstractNumId w:val="20"/>
  </w:num>
  <w:num w:numId="54">
    <w:abstractNumId w:val="95"/>
  </w:num>
  <w:num w:numId="55">
    <w:abstractNumId w:val="127"/>
  </w:num>
  <w:num w:numId="56">
    <w:abstractNumId w:val="83"/>
  </w:num>
  <w:num w:numId="57">
    <w:abstractNumId w:val="41"/>
  </w:num>
  <w:num w:numId="58">
    <w:abstractNumId w:val="132"/>
  </w:num>
  <w:num w:numId="59">
    <w:abstractNumId w:val="104"/>
  </w:num>
  <w:num w:numId="60">
    <w:abstractNumId w:val="136"/>
  </w:num>
  <w:num w:numId="61">
    <w:abstractNumId w:val="123"/>
  </w:num>
  <w:num w:numId="62">
    <w:abstractNumId w:val="53"/>
  </w:num>
  <w:num w:numId="63">
    <w:abstractNumId w:val="51"/>
  </w:num>
  <w:num w:numId="64">
    <w:abstractNumId w:val="3"/>
  </w:num>
  <w:num w:numId="65">
    <w:abstractNumId w:val="56"/>
  </w:num>
  <w:num w:numId="66">
    <w:abstractNumId w:val="105"/>
  </w:num>
  <w:num w:numId="67">
    <w:abstractNumId w:val="80"/>
  </w:num>
  <w:num w:numId="68">
    <w:abstractNumId w:val="40"/>
  </w:num>
  <w:num w:numId="69">
    <w:abstractNumId w:val="118"/>
  </w:num>
  <w:num w:numId="70">
    <w:abstractNumId w:val="119"/>
  </w:num>
  <w:num w:numId="71">
    <w:abstractNumId w:val="49"/>
  </w:num>
  <w:num w:numId="72">
    <w:abstractNumId w:val="131"/>
  </w:num>
  <w:num w:numId="73">
    <w:abstractNumId w:val="130"/>
  </w:num>
  <w:num w:numId="74">
    <w:abstractNumId w:val="48"/>
  </w:num>
  <w:num w:numId="75">
    <w:abstractNumId w:val="99"/>
  </w:num>
  <w:num w:numId="76">
    <w:abstractNumId w:val="111"/>
  </w:num>
  <w:num w:numId="77">
    <w:abstractNumId w:val="69"/>
  </w:num>
  <w:num w:numId="78">
    <w:abstractNumId w:val="89"/>
  </w:num>
  <w:num w:numId="79">
    <w:abstractNumId w:val="21"/>
  </w:num>
  <w:num w:numId="80">
    <w:abstractNumId w:val="79"/>
  </w:num>
  <w:num w:numId="81">
    <w:abstractNumId w:val="0"/>
  </w:num>
  <w:num w:numId="82">
    <w:abstractNumId w:val="125"/>
  </w:num>
  <w:num w:numId="83">
    <w:abstractNumId w:val="12"/>
  </w:num>
  <w:num w:numId="84">
    <w:abstractNumId w:val="88"/>
  </w:num>
  <w:num w:numId="85">
    <w:abstractNumId w:val="91"/>
  </w:num>
  <w:num w:numId="86">
    <w:abstractNumId w:val="110"/>
  </w:num>
  <w:num w:numId="87">
    <w:abstractNumId w:val="96"/>
  </w:num>
  <w:num w:numId="88">
    <w:abstractNumId w:val="101"/>
  </w:num>
  <w:num w:numId="89">
    <w:abstractNumId w:val="32"/>
  </w:num>
  <w:num w:numId="90">
    <w:abstractNumId w:val="109"/>
  </w:num>
  <w:num w:numId="91">
    <w:abstractNumId w:val="30"/>
  </w:num>
  <w:num w:numId="92">
    <w:abstractNumId w:val="57"/>
  </w:num>
  <w:num w:numId="93">
    <w:abstractNumId w:val="78"/>
  </w:num>
  <w:num w:numId="94">
    <w:abstractNumId w:val="6"/>
  </w:num>
  <w:num w:numId="95">
    <w:abstractNumId w:val="137"/>
  </w:num>
  <w:num w:numId="96">
    <w:abstractNumId w:val="114"/>
  </w:num>
  <w:num w:numId="97">
    <w:abstractNumId w:val="86"/>
  </w:num>
  <w:num w:numId="98">
    <w:abstractNumId w:val="34"/>
  </w:num>
  <w:num w:numId="99">
    <w:abstractNumId w:val="97"/>
  </w:num>
  <w:num w:numId="100">
    <w:abstractNumId w:val="121"/>
  </w:num>
  <w:num w:numId="101">
    <w:abstractNumId w:val="33"/>
  </w:num>
  <w:num w:numId="102">
    <w:abstractNumId w:val="17"/>
  </w:num>
  <w:num w:numId="103">
    <w:abstractNumId w:val="138"/>
  </w:num>
  <w:num w:numId="104">
    <w:abstractNumId w:val="81"/>
  </w:num>
  <w:num w:numId="105">
    <w:abstractNumId w:val="73"/>
  </w:num>
  <w:num w:numId="106">
    <w:abstractNumId w:val="37"/>
  </w:num>
  <w:num w:numId="107">
    <w:abstractNumId w:val="142"/>
  </w:num>
  <w:num w:numId="1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num>
  <w:num w:numId="111">
    <w:abstractNumId w:val="10"/>
  </w:num>
  <w:num w:numId="112">
    <w:abstractNumId w:val="44"/>
  </w:num>
  <w:num w:numId="113">
    <w:abstractNumId w:val="112"/>
  </w:num>
  <w:num w:numId="114">
    <w:abstractNumId w:val="115"/>
  </w:num>
  <w:num w:numId="115">
    <w:abstractNumId w:val="144"/>
  </w:num>
  <w:num w:numId="116">
    <w:abstractNumId w:val="59"/>
  </w:num>
  <w:num w:numId="117">
    <w:abstractNumId w:val="31"/>
  </w:num>
  <w:num w:numId="118">
    <w:abstractNumId w:val="46"/>
  </w:num>
  <w:num w:numId="119">
    <w:abstractNumId w:val="108"/>
  </w:num>
  <w:num w:numId="120">
    <w:abstractNumId w:val="25"/>
  </w:num>
  <w:num w:numId="121">
    <w:abstractNumId w:val="129"/>
  </w:num>
  <w:num w:numId="122">
    <w:abstractNumId w:val="140"/>
  </w:num>
  <w:num w:numId="123">
    <w:abstractNumId w:val="70"/>
  </w:num>
  <w:num w:numId="124">
    <w:abstractNumId w:val="61"/>
  </w:num>
  <w:num w:numId="125">
    <w:abstractNumId w:val="139"/>
  </w:num>
  <w:num w:numId="126">
    <w:abstractNumId w:val="54"/>
  </w:num>
  <w:num w:numId="127">
    <w:abstractNumId w:val="135"/>
  </w:num>
  <w:num w:numId="128">
    <w:abstractNumId w:val="76"/>
  </w:num>
  <w:num w:numId="129">
    <w:abstractNumId w:val="66"/>
  </w:num>
  <w:num w:numId="130">
    <w:abstractNumId w:val="93"/>
  </w:num>
  <w:num w:numId="131">
    <w:abstractNumId w:val="4"/>
  </w:num>
  <w:num w:numId="132">
    <w:abstractNumId w:val="19"/>
  </w:num>
  <w:num w:numId="133">
    <w:abstractNumId w:val="11"/>
  </w:num>
  <w:num w:numId="134">
    <w:abstractNumId w:val="62"/>
  </w:num>
  <w:num w:numId="135">
    <w:abstractNumId w:val="18"/>
  </w:num>
  <w:num w:numId="136">
    <w:abstractNumId w:val="42"/>
  </w:num>
  <w:num w:numId="137">
    <w:abstractNumId w:val="90"/>
  </w:num>
  <w:num w:numId="138">
    <w:abstractNumId w:val="75"/>
  </w:num>
  <w:num w:numId="139">
    <w:abstractNumId w:val="16"/>
  </w:num>
  <w:num w:numId="140">
    <w:abstractNumId w:val="63"/>
  </w:num>
  <w:num w:numId="141">
    <w:abstractNumId w:val="52"/>
  </w:num>
  <w:num w:numId="142">
    <w:abstractNumId w:val="100"/>
  </w:num>
  <w:num w:numId="143">
    <w:abstractNumId w:val="14"/>
  </w:num>
  <w:num w:numId="144">
    <w:abstractNumId w:val="84"/>
  </w:num>
  <w:num w:numId="145">
    <w:abstractNumId w:val="55"/>
  </w:num>
  <w:num w:numId="146">
    <w:abstractNumId w:val="23"/>
  </w:num>
  <w:num w:numId="147">
    <w:abstractNumId w:val="106"/>
  </w:num>
  <w:num w:numId="148">
    <w:abstractNumId w:val="15"/>
  </w:num>
  <w:num w:numId="149">
    <w:abstractNumId w:val="77"/>
  </w:num>
  <w:num w:numId="150">
    <w:abstractNumId w:val="38"/>
  </w:num>
  <w:num w:numId="151">
    <w:abstractNumId w:val="58"/>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hideSpellingErrors/>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7F0376B-B1F0-4D00-96C3-95CCF3BAC8CA"/>
    <w:docVar w:name="LW_COVERPAGE_TYPE" w:val="1"/>
    <w:docVar w:name="LW_CROSSREFERENCE" w:val="{COM(2021) 103 final}"/>
    <w:docVar w:name="LW_DocType" w:val="NORMAL"/>
    <w:docVar w:name="LW_EMISSION" w:val="8.3.2021"/>
    <w:docVar w:name="LW_EMISSION_ISODATE" w:val="2021-03-0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on the application of Directive 2014/94/EU on the deployment of alternative fuels infrastructure&lt;/FMT&gt;"/>
    <w:docVar w:name="LW_PART_NBR" w:val="3"/>
    <w:docVar w:name="LW_PART_NBR_TOTAL" w:val="4"/>
    <w:docVar w:name="LW_REF.INST.NEW" w:val="SWD"/>
    <w:docVar w:name="LW_REF.INST.NEW_ADOPTED" w:val="final"/>
    <w:docVar w:name="LW_REF.INST.NEW_TEXT" w:val="(2021) 4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Detailed Assessment of the Member States Implementation Reports on the National Policy Frameworks for the development of the market as regards alternative fuels in the transport sector and the deployment of the relevant infrastructure. Implementation of &lt;/FMT&gt;&lt;FMT:Highlight=7,Bold&gt;Art 10 (3)&lt;/FMT&gt;&lt;FMT:Bold&gt; of Directive 2014/94/EU  &lt;/FMT&gt;"/>
    <w:docVar w:name="LW_TYPE.DOC.CP" w:val="COMMISSION STAFF WORKING DOCUMENT"/>
    <w:docVar w:name="LW_TYPEACTEPRINCIPAL.CP" w:val="REPORT FROM THE COMMISSION TO THE EUROPEAN PARLIAMENT AND THE COUNCIL"/>
  </w:docVars>
  <w:rsids>
    <w:rsidRoot w:val="003C43BF"/>
    <w:rsid w:val="003C43BF"/>
    <w:rsid w:val="006C321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9182C4B-EDA3-40E8-8449-8A973B6C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numPr>
        <w:numId w:val="1"/>
      </w:numPr>
      <w:spacing w:before="240" w:after="200" w:line="276" w:lineRule="auto"/>
      <w:outlineLvl w:val="0"/>
    </w:pPr>
    <w:rPr>
      <w:rFonts w:cs="Times New Roman"/>
      <w:b/>
      <w:smallCaps/>
    </w:rPr>
  </w:style>
  <w:style w:type="paragraph" w:styleId="Heading2">
    <w:name w:val="heading 2"/>
    <w:basedOn w:val="Normal"/>
    <w:next w:val="Normal"/>
    <w:link w:val="Heading2Char"/>
    <w:uiPriority w:val="9"/>
    <w:qFormat/>
    <w:pPr>
      <w:keepNext/>
      <w:numPr>
        <w:ilvl w:val="1"/>
        <w:numId w:val="1"/>
      </w:numPr>
      <w:spacing w:after="200" w:line="276" w:lineRule="auto"/>
      <w:outlineLvl w:val="1"/>
    </w:pPr>
    <w:rPr>
      <w:b/>
    </w:rPr>
  </w:style>
  <w:style w:type="paragraph" w:styleId="Heading3">
    <w:name w:val="heading 3"/>
    <w:basedOn w:val="Normal"/>
    <w:next w:val="Normal"/>
    <w:link w:val="Heading3Char"/>
    <w:uiPriority w:val="9"/>
    <w:qFormat/>
    <w:pPr>
      <w:keepNext/>
      <w:numPr>
        <w:ilvl w:val="2"/>
        <w:numId w:val="1"/>
      </w:numPr>
      <w:spacing w:after="200" w:line="276" w:lineRule="auto"/>
      <w:outlineLvl w:val="2"/>
    </w:pPr>
    <w:rPr>
      <w:b/>
      <w:i/>
    </w:rPr>
  </w:style>
  <w:style w:type="paragraph" w:styleId="Heading4">
    <w:name w:val="heading 4"/>
    <w:basedOn w:val="Normal"/>
    <w:next w:val="Normal"/>
    <w:link w:val="Heading4Char"/>
    <w:uiPriority w:val="9"/>
    <w:qFormat/>
    <w:pPr>
      <w:keepNext/>
      <w:numPr>
        <w:ilvl w:val="3"/>
        <w:numId w:val="1"/>
      </w:numPr>
      <w:spacing w:after="200" w:line="276" w:lineRule="auto"/>
      <w:outlineLvl w:val="3"/>
    </w:pPr>
  </w:style>
  <w:style w:type="paragraph" w:styleId="Heading5">
    <w:name w:val="heading 5"/>
    <w:basedOn w:val="Normal"/>
    <w:next w:val="Normal"/>
    <w:link w:val="Heading5Char"/>
    <w:uiPriority w:val="9"/>
    <w:qFormat/>
    <w:pPr>
      <w:numPr>
        <w:ilvl w:val="4"/>
        <w:numId w:val="1"/>
      </w:numPr>
      <w:spacing w:before="240" w:after="60" w:line="276" w:lineRule="auto"/>
      <w:outlineLvl w:val="4"/>
    </w:pPr>
  </w:style>
  <w:style w:type="paragraph" w:styleId="Heading6">
    <w:name w:val="heading 6"/>
    <w:basedOn w:val="Normal"/>
    <w:next w:val="Normal"/>
    <w:link w:val="Heading6Char"/>
    <w:uiPriority w:val="9"/>
    <w:qFormat/>
    <w:pPr>
      <w:numPr>
        <w:ilvl w:val="5"/>
        <w:numId w:val="1"/>
      </w:numPr>
      <w:spacing w:before="240" w:after="60" w:line="276" w:lineRule="auto"/>
      <w:outlineLvl w:val="5"/>
    </w:pPr>
    <w:rPr>
      <w:i/>
    </w:rPr>
  </w:style>
  <w:style w:type="paragraph" w:styleId="Heading7">
    <w:name w:val="heading 7"/>
    <w:basedOn w:val="Normal"/>
    <w:next w:val="Normal"/>
    <w:link w:val="Heading7Char"/>
    <w:qFormat/>
    <w:pPr>
      <w:numPr>
        <w:ilvl w:val="6"/>
        <w:numId w:val="1"/>
      </w:numPr>
      <w:spacing w:before="240" w:after="60" w:line="276" w:lineRule="auto"/>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line="276" w:lineRule="auto"/>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line="276" w:lineRule="auto"/>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cs="Times New Roman"/>
      <w:b/>
      <w:smallCaps/>
      <w:lang w:val="en-GB"/>
    </w:rPr>
  </w:style>
  <w:style w:type="character" w:customStyle="1" w:styleId="Heading2Char">
    <w:name w:val="Heading 2 Char"/>
    <w:basedOn w:val="DefaultParagraphFont"/>
    <w:link w:val="Heading2"/>
    <w:uiPriority w:val="9"/>
    <w:rPr>
      <w:b/>
      <w:lang w:val="en-GB"/>
    </w:rPr>
  </w:style>
  <w:style w:type="character" w:customStyle="1" w:styleId="Heading3Char">
    <w:name w:val="Heading 3 Char"/>
    <w:basedOn w:val="DefaultParagraphFont"/>
    <w:link w:val="Heading3"/>
    <w:uiPriority w:val="9"/>
    <w:rPr>
      <w:b/>
      <w:i/>
      <w:lang w:val="en-GB"/>
    </w:rPr>
  </w:style>
  <w:style w:type="character" w:customStyle="1" w:styleId="Heading4Char">
    <w:name w:val="Heading 4 Char"/>
    <w:basedOn w:val="DefaultParagraphFont"/>
    <w:link w:val="Heading4"/>
    <w:uiPriority w:val="9"/>
    <w:rPr>
      <w:lang w:val="en-GB"/>
    </w:rPr>
  </w:style>
  <w:style w:type="character" w:customStyle="1" w:styleId="Heading5Char">
    <w:name w:val="Heading 5 Char"/>
    <w:basedOn w:val="DefaultParagraphFont"/>
    <w:link w:val="Heading5"/>
    <w:uiPriority w:val="9"/>
    <w:rPr>
      <w:lang w:val="en-GB"/>
    </w:rPr>
  </w:style>
  <w:style w:type="character" w:customStyle="1" w:styleId="Heading6Char">
    <w:name w:val="Heading 6 Char"/>
    <w:basedOn w:val="DefaultParagraphFont"/>
    <w:link w:val="Heading6"/>
    <w:uiPriority w:val="9"/>
    <w:rPr>
      <w:i/>
      <w:lang w:val="en-GB"/>
    </w:rPr>
  </w:style>
  <w:style w:type="character" w:customStyle="1" w:styleId="Heading7Char">
    <w:name w:val="Heading 7 Char"/>
    <w:basedOn w:val="DefaultParagraphFont"/>
    <w:link w:val="Heading7"/>
    <w:rPr>
      <w:rFonts w:ascii="Arial" w:hAnsi="Arial"/>
      <w:sz w:val="20"/>
      <w:lang w:val="en-GB"/>
    </w:rPr>
  </w:style>
  <w:style w:type="character" w:customStyle="1" w:styleId="Heading8Char">
    <w:name w:val="Heading 8 Char"/>
    <w:basedOn w:val="DefaultParagraphFont"/>
    <w:link w:val="Heading8"/>
    <w:rPr>
      <w:rFonts w:ascii="Arial" w:hAnsi="Arial"/>
      <w:i/>
      <w:sz w:val="20"/>
      <w:lang w:val="en-GB"/>
    </w:rPr>
  </w:style>
  <w:style w:type="character" w:customStyle="1" w:styleId="Heading9Char">
    <w:name w:val="Heading 9 Char"/>
    <w:basedOn w:val="DefaultParagraphFont"/>
    <w:link w:val="Heading9"/>
    <w:rPr>
      <w:rFonts w:ascii="Arial" w:hAnsi="Arial"/>
      <w:i/>
      <w:sz w:val="18"/>
      <w:lang w:val="en-GB"/>
    </w:rPr>
  </w:style>
  <w:style w:type="paragraph" w:styleId="Caption">
    <w:name w:val="caption"/>
    <w:aliases w:val="table"/>
    <w:basedOn w:val="Normal"/>
    <w:next w:val="Normal"/>
    <w:link w:val="CaptionChar"/>
    <w:uiPriority w:val="35"/>
    <w:qFormat/>
    <w:pPr>
      <w:spacing w:before="120" w:after="120" w:line="276" w:lineRule="auto"/>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spacing w:after="200" w:line="276" w:lineRule="auto"/>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lang w:val="en-GB"/>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olorful List Accent 1,Dot pt,F5 List Paragraph,List Paragraph1,No Spacing1,List Paragraph Char Char Char,Indicator Text,Numbered Para 1,Bullet 1,Bullet Points,Párrafo de lista,MAIN CONTENT,Recommendation,List Paragraph2,Normal numbere"/>
    <w:basedOn w:val="Normal"/>
    <w:link w:val="ListParagraphChar"/>
    <w:uiPriority w:val="34"/>
    <w:qFormat/>
    <w:pPr>
      <w:spacing w:after="200" w:line="276" w:lineRule="auto"/>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customStyle="1" w:styleId="Footnotenumber">
    <w:name w:val="Footnote number"/>
    <w:aliases w:val="fr"/>
    <w:basedOn w:val="Normal"/>
    <w:link w:val="FootnoteReference"/>
    <w:uiPriority w:val="99"/>
    <w:pPr>
      <w:spacing w:line="240" w:lineRule="exact"/>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customStyle="1" w:styleId="Paragraph">
    <w:name w:val="Paragraph"/>
    <w:basedOn w:val="Normal"/>
    <w:link w:val="ParagraphChar"/>
    <w:pPr>
      <w:tabs>
        <w:tab w:val="left" w:pos="851"/>
      </w:tabs>
      <w:spacing w:before="120" w:after="120" w:line="240" w:lineRule="auto"/>
      <w:ind w:left="851"/>
      <w:jc w:val="both"/>
    </w:pPr>
    <w:rPr>
      <w:rFonts w:ascii="Verdana" w:eastAsia="Times New Roman" w:hAnsi="Verdana" w:cs="Times New Roman"/>
      <w:color w:val="333333"/>
      <w:sz w:val="20"/>
      <w:szCs w:val="24"/>
      <w:lang w:val="it-IT" w:eastAsia="it-IT"/>
    </w:rPr>
  </w:style>
  <w:style w:type="character" w:customStyle="1" w:styleId="ParagraphChar">
    <w:name w:val="Paragraph Char"/>
    <w:basedOn w:val="DefaultParagraphFont"/>
    <w:link w:val="Paragraph"/>
    <w:rPr>
      <w:rFonts w:ascii="Verdana" w:eastAsia="Times New Roman" w:hAnsi="Verdana" w:cs="Times New Roman"/>
      <w:color w:val="333333"/>
      <w:sz w:val="20"/>
      <w:szCs w:val="24"/>
      <w:lang w:val="it-IT" w:eastAsia="it-IT"/>
    </w:rPr>
  </w:style>
  <w:style w:type="character" w:customStyle="1" w:styleId="CaptionChar">
    <w:name w:val="Caption Char"/>
    <w:aliases w:val="table Char"/>
    <w:link w:val="Caption"/>
    <w:locked/>
    <w:rPr>
      <w:b/>
      <w:lang w:val="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Text1">
    <w:name w:val="Text 1"/>
    <w:basedOn w:val="Normal"/>
    <w:pPr>
      <w:spacing w:after="200" w:line="276" w:lineRule="auto"/>
      <w:ind w:left="482"/>
    </w:pPr>
  </w:style>
  <w:style w:type="paragraph" w:styleId="NoSpacing">
    <w:name w:val="No Spacing"/>
    <w:uiPriority w:val="1"/>
    <w:qFormat/>
    <w:pPr>
      <w:spacing w:after="0" w:line="240" w:lineRule="auto"/>
    </w:pPr>
    <w:rPr>
      <w:lang w:val="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2E74B5"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val="en-GB" w:eastAsia="en-GB"/>
    </w:rPr>
  </w:style>
  <w:style w:type="paragraph" w:customStyle="1" w:styleId="Text2">
    <w:name w:val="Text 2"/>
    <w:basedOn w:val="Normal"/>
    <w:pPr>
      <w:tabs>
        <w:tab w:val="left" w:pos="2160"/>
      </w:tabs>
      <w:spacing w:after="200" w:line="276" w:lineRule="auto"/>
      <w:ind w:left="1077"/>
    </w:p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character" w:customStyle="1" w:styleId="tlid-translation">
    <w:name w:val="tlid-translation"/>
    <w:basedOn w:val="DefaultParagraphFont"/>
  </w:style>
  <w:style w:type="paragraph" w:styleId="TOC4">
    <w:name w:val="toc 4"/>
    <w:basedOn w:val="Normal"/>
    <w:next w:val="Normal"/>
    <w:autoRedefine/>
    <w:uiPriority w:val="39"/>
    <w:unhideWhenUsed/>
    <w:pPr>
      <w:spacing w:after="100"/>
      <w:ind w:left="660"/>
    </w:pPr>
    <w:rPr>
      <w:rFonts w:eastAsiaTheme="minorEastAsia"/>
      <w:lang w:val="en-IE" w:eastAsia="en-IE"/>
    </w:rPr>
  </w:style>
  <w:style w:type="paragraph" w:styleId="TOC5">
    <w:name w:val="toc 5"/>
    <w:basedOn w:val="Normal"/>
    <w:next w:val="Normal"/>
    <w:autoRedefine/>
    <w:uiPriority w:val="39"/>
    <w:unhideWhenUsed/>
    <w:pPr>
      <w:spacing w:after="100"/>
      <w:ind w:left="880"/>
    </w:pPr>
    <w:rPr>
      <w:rFonts w:eastAsiaTheme="minorEastAsia"/>
      <w:lang w:val="en-IE" w:eastAsia="en-IE"/>
    </w:rPr>
  </w:style>
  <w:style w:type="paragraph" w:styleId="TOC6">
    <w:name w:val="toc 6"/>
    <w:basedOn w:val="Normal"/>
    <w:next w:val="Normal"/>
    <w:autoRedefine/>
    <w:uiPriority w:val="39"/>
    <w:unhideWhenUsed/>
    <w:pPr>
      <w:spacing w:after="100"/>
      <w:ind w:left="1100"/>
    </w:pPr>
    <w:rPr>
      <w:rFonts w:eastAsiaTheme="minorEastAsia"/>
      <w:lang w:val="en-IE" w:eastAsia="en-IE"/>
    </w:rPr>
  </w:style>
  <w:style w:type="paragraph" w:styleId="TOC7">
    <w:name w:val="toc 7"/>
    <w:basedOn w:val="Normal"/>
    <w:next w:val="Normal"/>
    <w:autoRedefine/>
    <w:uiPriority w:val="39"/>
    <w:unhideWhenUsed/>
    <w:pPr>
      <w:spacing w:after="100"/>
      <w:ind w:left="1320"/>
    </w:pPr>
    <w:rPr>
      <w:rFonts w:eastAsiaTheme="minorEastAsia"/>
      <w:lang w:val="en-IE" w:eastAsia="en-IE"/>
    </w:rPr>
  </w:style>
  <w:style w:type="paragraph" w:styleId="TOC8">
    <w:name w:val="toc 8"/>
    <w:basedOn w:val="Normal"/>
    <w:next w:val="Normal"/>
    <w:autoRedefine/>
    <w:uiPriority w:val="39"/>
    <w:unhideWhenUsed/>
    <w:pPr>
      <w:spacing w:after="100"/>
      <w:ind w:left="1540"/>
    </w:pPr>
    <w:rPr>
      <w:rFonts w:eastAsiaTheme="minorEastAsia"/>
      <w:lang w:val="en-IE" w:eastAsia="en-IE"/>
    </w:rPr>
  </w:style>
  <w:style w:type="paragraph" w:styleId="TOC9">
    <w:name w:val="toc 9"/>
    <w:basedOn w:val="Normal"/>
    <w:next w:val="Normal"/>
    <w:autoRedefine/>
    <w:uiPriority w:val="39"/>
    <w:unhideWhenUsed/>
    <w:pPr>
      <w:spacing w:after="100"/>
      <w:ind w:left="1760"/>
    </w:pPr>
    <w:rPr>
      <w:rFonts w:eastAsiaTheme="minorEastAsia"/>
      <w:lang w:val="en-IE" w:eastAsia="en-IE"/>
    </w:rPr>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PlaceholderText">
    <w:name w:val="Placeholder Text"/>
    <w:basedOn w:val="DefaultParagraphFont"/>
    <w:uiPriority w:val="99"/>
    <w:semiHidden/>
    <w:rPr>
      <w:color w:val="808080"/>
    </w:rPr>
  </w:style>
  <w:style w:type="paragraph" w:styleId="Bibliography">
    <w:name w:val="Bibliography"/>
    <w:basedOn w:val="Normal"/>
    <w:next w:val="Normal"/>
    <w:uiPriority w:val="37"/>
    <w:unhideWhenUsed/>
    <w:pPr>
      <w:spacing w:after="200" w:line="276" w:lineRule="auto"/>
    </w:pPr>
  </w:style>
  <w:style w:type="paragraph" w:customStyle="1" w:styleId="44">
    <w:name w:val="44"/>
    <w:basedOn w:val="Normal"/>
    <w:pPr>
      <w:keepNext/>
      <w:keepLines/>
      <w:spacing w:before="40" w:after="0"/>
      <w:jc w:val="both"/>
      <w:outlineLvl w:val="1"/>
    </w:pPr>
    <w:rPr>
      <w:rFonts w:ascii="Calibri Light" w:eastAsia="SimSun" w:hAnsi="Calibri Light" w:cs="Times New Roman"/>
      <w:color w:val="2E74B5"/>
      <w:sz w:val="26"/>
      <w:szCs w:val="26"/>
      <w:lang w:val="en-I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en-GB" w:eastAsia="en-GB"/>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en-GB"/>
    </w:rPr>
  </w:style>
  <w:style w:type="character" w:customStyle="1" w:styleId="ind">
    <w:name w:val="ind"/>
    <w:basedOn w:val="DefaultParagraphFont"/>
  </w:style>
  <w:style w:type="paragraph" w:customStyle="1" w:styleId="western">
    <w:name w:val="western"/>
    <w:basedOn w:val="Normal"/>
    <w:pPr>
      <w:spacing w:before="100" w:beforeAutospacing="1" w:after="142" w:line="276" w:lineRule="auto"/>
      <w:jc w:val="both"/>
    </w:pPr>
    <w:rPr>
      <w:rFonts w:ascii="Verdana" w:eastAsia="Times New Roman" w:hAnsi="Verdana" w:cs="Times New Roman"/>
      <w:color w:val="333333"/>
      <w:sz w:val="24"/>
      <w:szCs w:val="24"/>
      <w:lang w:val="it-IT" w:eastAsia="it-IT"/>
    </w:rPr>
  </w:style>
  <w:style w:type="paragraph" w:customStyle="1" w:styleId="sdfootnote-western">
    <w:name w:val="sdfootnote-western"/>
    <w:basedOn w:val="Normal"/>
    <w:pPr>
      <w:spacing w:before="100" w:beforeAutospacing="1" w:after="0" w:line="240" w:lineRule="auto"/>
      <w:ind w:left="284" w:hanging="284"/>
      <w:jc w:val="both"/>
    </w:pPr>
    <w:rPr>
      <w:rFonts w:ascii="Verdana" w:eastAsia="Times New Roman" w:hAnsi="Verdana" w:cs="Times New Roman"/>
      <w:color w:val="333333"/>
      <w:sz w:val="18"/>
      <w:szCs w:val="18"/>
      <w:lang w:val="it-IT" w:eastAsia="it-I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tandardmalta">
    <w:name w:val="Standard malta"/>
    <w:basedOn w:val="Normal"/>
    <w:qFormat/>
    <w:pPr>
      <w:tabs>
        <w:tab w:val="left" w:pos="142"/>
      </w:tabs>
      <w:spacing w:before="120" w:after="120" w:line="240" w:lineRule="auto"/>
      <w:jc w:val="both"/>
    </w:pPr>
    <w:rPr>
      <w:rFonts w:ascii="Calibri" w:eastAsia="Times New Roman" w:hAnsi="Calibri" w:cs="Arial"/>
      <w:sz w:val="24"/>
      <w:szCs w:val="24"/>
      <w:lang w:eastAsia="it-IT"/>
    </w:rPr>
  </w:style>
  <w:style w:type="character" w:customStyle="1" w:styleId="ListParagraphChar">
    <w:name w:val="List Paragraph Char"/>
    <w:aliases w:val="Colorful List Accent 1 Char,Dot pt Char,F5 List Paragraph Char,List Paragraph1 Char,No Spacing1 Char,List Paragraph Char Char Char Char,Indicator Text Char,Numbered Para 1 Char,Bullet 1 Char,Bullet Points Char,Párrafo de lista Char"/>
    <w:basedOn w:val="DefaultParagraphFont"/>
    <w:link w:val="ListParagraph"/>
    <w:uiPriority w:val="34"/>
    <w:rPr>
      <w:lang w:val="en-GB"/>
    </w:rPr>
  </w:style>
  <w:style w:type="paragraph" w:customStyle="1" w:styleId="Lijstalinea1">
    <w:name w:val="Lijstalinea1"/>
    <w:basedOn w:val="Normal"/>
    <w:semiHidden/>
    <w:pPr>
      <w:numPr>
        <w:numId w:val="65"/>
      </w:numPr>
      <w:spacing w:after="0" w:line="240" w:lineRule="atLeast"/>
    </w:pPr>
    <w:rPr>
      <w:rFonts w:ascii="Verdana" w:eastAsia="DejaVu Sans" w:hAnsi="Verdana" w:cs="Times New Roman"/>
      <w:sz w:val="18"/>
      <w:szCs w:val="24"/>
      <w:lang w:val="nl-NL" w:eastAsia="nl-NL"/>
    </w:rPr>
  </w:style>
  <w:style w:type="character" w:customStyle="1" w:styleId="xmsofootnotereference">
    <w:name w:val="x_msofootnotereference"/>
    <w:basedOn w:val="DefaultParagraphFont"/>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footnotetext">
    <w:name w:val="x_msofootnotetex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gkelc">
    <w:name w:val="hgkelc"/>
    <w:basedOn w:val="DefaultParagraphFont"/>
  </w:style>
  <w:style w:type="character" w:customStyle="1" w:styleId="Date1">
    <w:name w:val="Date1"/>
    <w:basedOn w:val="DefaultParagraphFont"/>
  </w:style>
  <w:style w:type="paragraph" w:styleId="BodyText">
    <w:name w:val="Body Text"/>
    <w:basedOn w:val="Normal"/>
    <w:link w:val="BodyTextChar"/>
    <w:uiPriority w:val="1"/>
    <w:qFormat/>
    <w:pPr>
      <w:widowControl w:val="0"/>
      <w:spacing w:after="0" w:line="240" w:lineRule="auto"/>
    </w:pPr>
    <w:rPr>
      <w:rFonts w:ascii="Arial" w:eastAsia="Arial" w:hAnsi="Arial"/>
      <w:sz w:val="19"/>
      <w:szCs w:val="19"/>
      <w:lang w:eastAsia="en-GB" w:bidi="en-GB"/>
    </w:rPr>
  </w:style>
  <w:style w:type="character" w:customStyle="1" w:styleId="BodyTextChar">
    <w:name w:val="Body Text Char"/>
    <w:basedOn w:val="DefaultParagraphFont"/>
    <w:link w:val="BodyText"/>
    <w:uiPriority w:val="1"/>
    <w:rPr>
      <w:rFonts w:ascii="Arial" w:eastAsia="Arial" w:hAnsi="Arial"/>
      <w:sz w:val="19"/>
      <w:szCs w:val="19"/>
      <w:lang w:val="en-GB" w:eastAsia="en-GB" w:bidi="en-GB"/>
    </w:rPr>
  </w:style>
  <w:style w:type="paragraph" w:customStyle="1" w:styleId="ALeip1kappale">
    <w:name w:val="A_Leipä 1. kappale"/>
    <w:basedOn w:val="Normal"/>
    <w:qFormat/>
    <w:pPr>
      <w:spacing w:before="240" w:after="320" w:line="290" w:lineRule="atLeast"/>
    </w:pPr>
    <w:rPr>
      <w:rFonts w:ascii="Arial" w:eastAsia="Times New Roman" w:hAnsi="Arial" w:cs="Myriad Pro"/>
      <w:spacing w:val="1"/>
      <w:sz w:val="20"/>
      <w:szCs w:val="20"/>
      <w:lang w:eastAsia="fi-FI"/>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lang w:val="en-GB"/>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26763">
      <w:bodyDiv w:val="1"/>
      <w:marLeft w:val="0"/>
      <w:marRight w:val="0"/>
      <w:marTop w:val="0"/>
      <w:marBottom w:val="0"/>
      <w:divBdr>
        <w:top w:val="none" w:sz="0" w:space="0" w:color="auto"/>
        <w:left w:val="none" w:sz="0" w:space="0" w:color="auto"/>
        <w:bottom w:val="none" w:sz="0" w:space="0" w:color="auto"/>
        <w:right w:val="none" w:sz="0" w:space="0" w:color="auto"/>
      </w:divBdr>
    </w:div>
    <w:div w:id="136773783">
      <w:bodyDiv w:val="1"/>
      <w:marLeft w:val="0"/>
      <w:marRight w:val="0"/>
      <w:marTop w:val="0"/>
      <w:marBottom w:val="0"/>
      <w:divBdr>
        <w:top w:val="none" w:sz="0" w:space="0" w:color="auto"/>
        <w:left w:val="none" w:sz="0" w:space="0" w:color="auto"/>
        <w:bottom w:val="none" w:sz="0" w:space="0" w:color="auto"/>
        <w:right w:val="none" w:sz="0" w:space="0" w:color="auto"/>
      </w:divBdr>
    </w:div>
    <w:div w:id="181014905">
      <w:bodyDiv w:val="1"/>
      <w:marLeft w:val="0"/>
      <w:marRight w:val="0"/>
      <w:marTop w:val="0"/>
      <w:marBottom w:val="0"/>
      <w:divBdr>
        <w:top w:val="none" w:sz="0" w:space="0" w:color="auto"/>
        <w:left w:val="none" w:sz="0" w:space="0" w:color="auto"/>
        <w:bottom w:val="none" w:sz="0" w:space="0" w:color="auto"/>
        <w:right w:val="none" w:sz="0" w:space="0" w:color="auto"/>
      </w:divBdr>
    </w:div>
    <w:div w:id="258146316">
      <w:bodyDiv w:val="1"/>
      <w:marLeft w:val="0"/>
      <w:marRight w:val="0"/>
      <w:marTop w:val="0"/>
      <w:marBottom w:val="0"/>
      <w:divBdr>
        <w:top w:val="none" w:sz="0" w:space="0" w:color="auto"/>
        <w:left w:val="none" w:sz="0" w:space="0" w:color="auto"/>
        <w:bottom w:val="none" w:sz="0" w:space="0" w:color="auto"/>
        <w:right w:val="none" w:sz="0" w:space="0" w:color="auto"/>
      </w:divBdr>
      <w:divsChild>
        <w:div w:id="123694014">
          <w:marLeft w:val="360"/>
          <w:marRight w:val="0"/>
          <w:marTop w:val="200"/>
          <w:marBottom w:val="0"/>
          <w:divBdr>
            <w:top w:val="none" w:sz="0" w:space="0" w:color="auto"/>
            <w:left w:val="none" w:sz="0" w:space="0" w:color="auto"/>
            <w:bottom w:val="none" w:sz="0" w:space="0" w:color="auto"/>
            <w:right w:val="none" w:sz="0" w:space="0" w:color="auto"/>
          </w:divBdr>
        </w:div>
        <w:div w:id="1408117614">
          <w:marLeft w:val="1800"/>
          <w:marRight w:val="0"/>
          <w:marTop w:val="100"/>
          <w:marBottom w:val="0"/>
          <w:divBdr>
            <w:top w:val="none" w:sz="0" w:space="0" w:color="auto"/>
            <w:left w:val="none" w:sz="0" w:space="0" w:color="auto"/>
            <w:bottom w:val="none" w:sz="0" w:space="0" w:color="auto"/>
            <w:right w:val="none" w:sz="0" w:space="0" w:color="auto"/>
          </w:divBdr>
        </w:div>
        <w:div w:id="1025406872">
          <w:marLeft w:val="1800"/>
          <w:marRight w:val="0"/>
          <w:marTop w:val="100"/>
          <w:marBottom w:val="0"/>
          <w:divBdr>
            <w:top w:val="none" w:sz="0" w:space="0" w:color="auto"/>
            <w:left w:val="none" w:sz="0" w:space="0" w:color="auto"/>
            <w:bottom w:val="none" w:sz="0" w:space="0" w:color="auto"/>
            <w:right w:val="none" w:sz="0" w:space="0" w:color="auto"/>
          </w:divBdr>
        </w:div>
        <w:div w:id="1327778958">
          <w:marLeft w:val="1800"/>
          <w:marRight w:val="0"/>
          <w:marTop w:val="100"/>
          <w:marBottom w:val="0"/>
          <w:divBdr>
            <w:top w:val="none" w:sz="0" w:space="0" w:color="auto"/>
            <w:left w:val="none" w:sz="0" w:space="0" w:color="auto"/>
            <w:bottom w:val="none" w:sz="0" w:space="0" w:color="auto"/>
            <w:right w:val="none" w:sz="0" w:space="0" w:color="auto"/>
          </w:divBdr>
        </w:div>
      </w:divsChild>
    </w:div>
    <w:div w:id="286475847">
      <w:bodyDiv w:val="1"/>
      <w:marLeft w:val="0"/>
      <w:marRight w:val="0"/>
      <w:marTop w:val="0"/>
      <w:marBottom w:val="0"/>
      <w:divBdr>
        <w:top w:val="none" w:sz="0" w:space="0" w:color="auto"/>
        <w:left w:val="none" w:sz="0" w:space="0" w:color="auto"/>
        <w:bottom w:val="none" w:sz="0" w:space="0" w:color="auto"/>
        <w:right w:val="none" w:sz="0" w:space="0" w:color="auto"/>
      </w:divBdr>
    </w:div>
    <w:div w:id="309403034">
      <w:bodyDiv w:val="1"/>
      <w:marLeft w:val="0"/>
      <w:marRight w:val="0"/>
      <w:marTop w:val="0"/>
      <w:marBottom w:val="0"/>
      <w:divBdr>
        <w:top w:val="none" w:sz="0" w:space="0" w:color="auto"/>
        <w:left w:val="none" w:sz="0" w:space="0" w:color="auto"/>
        <w:bottom w:val="none" w:sz="0" w:space="0" w:color="auto"/>
        <w:right w:val="none" w:sz="0" w:space="0" w:color="auto"/>
      </w:divBdr>
    </w:div>
    <w:div w:id="481431408">
      <w:bodyDiv w:val="1"/>
      <w:marLeft w:val="0"/>
      <w:marRight w:val="0"/>
      <w:marTop w:val="0"/>
      <w:marBottom w:val="0"/>
      <w:divBdr>
        <w:top w:val="none" w:sz="0" w:space="0" w:color="auto"/>
        <w:left w:val="none" w:sz="0" w:space="0" w:color="auto"/>
        <w:bottom w:val="none" w:sz="0" w:space="0" w:color="auto"/>
        <w:right w:val="none" w:sz="0" w:space="0" w:color="auto"/>
      </w:divBdr>
    </w:div>
    <w:div w:id="529269379">
      <w:bodyDiv w:val="1"/>
      <w:marLeft w:val="0"/>
      <w:marRight w:val="0"/>
      <w:marTop w:val="0"/>
      <w:marBottom w:val="0"/>
      <w:divBdr>
        <w:top w:val="none" w:sz="0" w:space="0" w:color="auto"/>
        <w:left w:val="none" w:sz="0" w:space="0" w:color="auto"/>
        <w:bottom w:val="none" w:sz="0" w:space="0" w:color="auto"/>
        <w:right w:val="none" w:sz="0" w:space="0" w:color="auto"/>
      </w:divBdr>
    </w:div>
    <w:div w:id="573052860">
      <w:bodyDiv w:val="1"/>
      <w:marLeft w:val="0"/>
      <w:marRight w:val="0"/>
      <w:marTop w:val="0"/>
      <w:marBottom w:val="0"/>
      <w:divBdr>
        <w:top w:val="none" w:sz="0" w:space="0" w:color="auto"/>
        <w:left w:val="none" w:sz="0" w:space="0" w:color="auto"/>
        <w:bottom w:val="none" w:sz="0" w:space="0" w:color="auto"/>
        <w:right w:val="none" w:sz="0" w:space="0" w:color="auto"/>
      </w:divBdr>
    </w:div>
    <w:div w:id="599022978">
      <w:bodyDiv w:val="1"/>
      <w:marLeft w:val="0"/>
      <w:marRight w:val="0"/>
      <w:marTop w:val="0"/>
      <w:marBottom w:val="0"/>
      <w:divBdr>
        <w:top w:val="none" w:sz="0" w:space="0" w:color="auto"/>
        <w:left w:val="none" w:sz="0" w:space="0" w:color="auto"/>
        <w:bottom w:val="none" w:sz="0" w:space="0" w:color="auto"/>
        <w:right w:val="none" w:sz="0" w:space="0" w:color="auto"/>
      </w:divBdr>
    </w:div>
    <w:div w:id="723869871">
      <w:bodyDiv w:val="1"/>
      <w:marLeft w:val="0"/>
      <w:marRight w:val="0"/>
      <w:marTop w:val="0"/>
      <w:marBottom w:val="0"/>
      <w:divBdr>
        <w:top w:val="none" w:sz="0" w:space="0" w:color="auto"/>
        <w:left w:val="none" w:sz="0" w:space="0" w:color="auto"/>
        <w:bottom w:val="none" w:sz="0" w:space="0" w:color="auto"/>
        <w:right w:val="none" w:sz="0" w:space="0" w:color="auto"/>
      </w:divBdr>
    </w:div>
    <w:div w:id="746851226">
      <w:bodyDiv w:val="1"/>
      <w:marLeft w:val="0"/>
      <w:marRight w:val="0"/>
      <w:marTop w:val="0"/>
      <w:marBottom w:val="0"/>
      <w:divBdr>
        <w:top w:val="none" w:sz="0" w:space="0" w:color="auto"/>
        <w:left w:val="none" w:sz="0" w:space="0" w:color="auto"/>
        <w:bottom w:val="none" w:sz="0" w:space="0" w:color="auto"/>
        <w:right w:val="none" w:sz="0" w:space="0" w:color="auto"/>
      </w:divBdr>
    </w:div>
    <w:div w:id="794367551">
      <w:bodyDiv w:val="1"/>
      <w:marLeft w:val="0"/>
      <w:marRight w:val="0"/>
      <w:marTop w:val="0"/>
      <w:marBottom w:val="0"/>
      <w:divBdr>
        <w:top w:val="none" w:sz="0" w:space="0" w:color="auto"/>
        <w:left w:val="none" w:sz="0" w:space="0" w:color="auto"/>
        <w:bottom w:val="none" w:sz="0" w:space="0" w:color="auto"/>
        <w:right w:val="none" w:sz="0" w:space="0" w:color="auto"/>
      </w:divBdr>
    </w:div>
    <w:div w:id="931545234">
      <w:bodyDiv w:val="1"/>
      <w:marLeft w:val="0"/>
      <w:marRight w:val="0"/>
      <w:marTop w:val="0"/>
      <w:marBottom w:val="0"/>
      <w:divBdr>
        <w:top w:val="none" w:sz="0" w:space="0" w:color="auto"/>
        <w:left w:val="none" w:sz="0" w:space="0" w:color="auto"/>
        <w:bottom w:val="none" w:sz="0" w:space="0" w:color="auto"/>
        <w:right w:val="none" w:sz="0" w:space="0" w:color="auto"/>
      </w:divBdr>
    </w:div>
    <w:div w:id="945506061">
      <w:bodyDiv w:val="1"/>
      <w:marLeft w:val="0"/>
      <w:marRight w:val="0"/>
      <w:marTop w:val="0"/>
      <w:marBottom w:val="0"/>
      <w:divBdr>
        <w:top w:val="none" w:sz="0" w:space="0" w:color="auto"/>
        <w:left w:val="none" w:sz="0" w:space="0" w:color="auto"/>
        <w:bottom w:val="none" w:sz="0" w:space="0" w:color="auto"/>
        <w:right w:val="none" w:sz="0" w:space="0" w:color="auto"/>
      </w:divBdr>
    </w:div>
    <w:div w:id="969824053">
      <w:bodyDiv w:val="1"/>
      <w:marLeft w:val="0"/>
      <w:marRight w:val="0"/>
      <w:marTop w:val="0"/>
      <w:marBottom w:val="0"/>
      <w:divBdr>
        <w:top w:val="none" w:sz="0" w:space="0" w:color="auto"/>
        <w:left w:val="none" w:sz="0" w:space="0" w:color="auto"/>
        <w:bottom w:val="none" w:sz="0" w:space="0" w:color="auto"/>
        <w:right w:val="none" w:sz="0" w:space="0" w:color="auto"/>
      </w:divBdr>
    </w:div>
    <w:div w:id="1116749820">
      <w:bodyDiv w:val="1"/>
      <w:marLeft w:val="0"/>
      <w:marRight w:val="0"/>
      <w:marTop w:val="0"/>
      <w:marBottom w:val="0"/>
      <w:divBdr>
        <w:top w:val="none" w:sz="0" w:space="0" w:color="auto"/>
        <w:left w:val="none" w:sz="0" w:space="0" w:color="auto"/>
        <w:bottom w:val="none" w:sz="0" w:space="0" w:color="auto"/>
        <w:right w:val="none" w:sz="0" w:space="0" w:color="auto"/>
      </w:divBdr>
    </w:div>
    <w:div w:id="1411581709">
      <w:bodyDiv w:val="1"/>
      <w:marLeft w:val="0"/>
      <w:marRight w:val="0"/>
      <w:marTop w:val="0"/>
      <w:marBottom w:val="0"/>
      <w:divBdr>
        <w:top w:val="none" w:sz="0" w:space="0" w:color="auto"/>
        <w:left w:val="none" w:sz="0" w:space="0" w:color="auto"/>
        <w:bottom w:val="none" w:sz="0" w:space="0" w:color="auto"/>
        <w:right w:val="none" w:sz="0" w:space="0" w:color="auto"/>
      </w:divBdr>
    </w:div>
    <w:div w:id="1418752054">
      <w:bodyDiv w:val="1"/>
      <w:marLeft w:val="0"/>
      <w:marRight w:val="0"/>
      <w:marTop w:val="0"/>
      <w:marBottom w:val="0"/>
      <w:divBdr>
        <w:top w:val="none" w:sz="0" w:space="0" w:color="auto"/>
        <w:left w:val="none" w:sz="0" w:space="0" w:color="auto"/>
        <w:bottom w:val="none" w:sz="0" w:space="0" w:color="auto"/>
        <w:right w:val="none" w:sz="0" w:space="0" w:color="auto"/>
      </w:divBdr>
      <w:divsChild>
        <w:div w:id="534463679">
          <w:marLeft w:val="360"/>
          <w:marRight w:val="0"/>
          <w:marTop w:val="200"/>
          <w:marBottom w:val="0"/>
          <w:divBdr>
            <w:top w:val="none" w:sz="0" w:space="0" w:color="auto"/>
            <w:left w:val="none" w:sz="0" w:space="0" w:color="auto"/>
            <w:bottom w:val="none" w:sz="0" w:space="0" w:color="auto"/>
            <w:right w:val="none" w:sz="0" w:space="0" w:color="auto"/>
          </w:divBdr>
        </w:div>
        <w:div w:id="1012679618">
          <w:marLeft w:val="1800"/>
          <w:marRight w:val="0"/>
          <w:marTop w:val="100"/>
          <w:marBottom w:val="0"/>
          <w:divBdr>
            <w:top w:val="none" w:sz="0" w:space="0" w:color="auto"/>
            <w:left w:val="none" w:sz="0" w:space="0" w:color="auto"/>
            <w:bottom w:val="none" w:sz="0" w:space="0" w:color="auto"/>
            <w:right w:val="none" w:sz="0" w:space="0" w:color="auto"/>
          </w:divBdr>
        </w:div>
        <w:div w:id="766999666">
          <w:marLeft w:val="1800"/>
          <w:marRight w:val="0"/>
          <w:marTop w:val="100"/>
          <w:marBottom w:val="0"/>
          <w:divBdr>
            <w:top w:val="none" w:sz="0" w:space="0" w:color="auto"/>
            <w:left w:val="none" w:sz="0" w:space="0" w:color="auto"/>
            <w:bottom w:val="none" w:sz="0" w:space="0" w:color="auto"/>
            <w:right w:val="none" w:sz="0" w:space="0" w:color="auto"/>
          </w:divBdr>
        </w:div>
        <w:div w:id="1138957036">
          <w:marLeft w:val="1800"/>
          <w:marRight w:val="0"/>
          <w:marTop w:val="100"/>
          <w:marBottom w:val="0"/>
          <w:divBdr>
            <w:top w:val="none" w:sz="0" w:space="0" w:color="auto"/>
            <w:left w:val="none" w:sz="0" w:space="0" w:color="auto"/>
            <w:bottom w:val="none" w:sz="0" w:space="0" w:color="auto"/>
            <w:right w:val="none" w:sz="0" w:space="0" w:color="auto"/>
          </w:divBdr>
        </w:div>
      </w:divsChild>
    </w:div>
    <w:div w:id="1449621907">
      <w:bodyDiv w:val="1"/>
      <w:marLeft w:val="0"/>
      <w:marRight w:val="0"/>
      <w:marTop w:val="0"/>
      <w:marBottom w:val="0"/>
      <w:divBdr>
        <w:top w:val="none" w:sz="0" w:space="0" w:color="auto"/>
        <w:left w:val="none" w:sz="0" w:space="0" w:color="auto"/>
        <w:bottom w:val="none" w:sz="0" w:space="0" w:color="auto"/>
        <w:right w:val="none" w:sz="0" w:space="0" w:color="auto"/>
      </w:divBdr>
      <w:divsChild>
        <w:div w:id="975643496">
          <w:marLeft w:val="547"/>
          <w:marRight w:val="0"/>
          <w:marTop w:val="0"/>
          <w:marBottom w:val="0"/>
          <w:divBdr>
            <w:top w:val="none" w:sz="0" w:space="0" w:color="auto"/>
            <w:left w:val="none" w:sz="0" w:space="0" w:color="auto"/>
            <w:bottom w:val="none" w:sz="0" w:space="0" w:color="auto"/>
            <w:right w:val="none" w:sz="0" w:space="0" w:color="auto"/>
          </w:divBdr>
        </w:div>
      </w:divsChild>
    </w:div>
    <w:div w:id="1504590137">
      <w:bodyDiv w:val="1"/>
      <w:marLeft w:val="0"/>
      <w:marRight w:val="0"/>
      <w:marTop w:val="0"/>
      <w:marBottom w:val="0"/>
      <w:divBdr>
        <w:top w:val="none" w:sz="0" w:space="0" w:color="auto"/>
        <w:left w:val="none" w:sz="0" w:space="0" w:color="auto"/>
        <w:bottom w:val="none" w:sz="0" w:space="0" w:color="auto"/>
        <w:right w:val="none" w:sz="0" w:space="0" w:color="auto"/>
      </w:divBdr>
    </w:div>
    <w:div w:id="1536116797">
      <w:bodyDiv w:val="1"/>
      <w:marLeft w:val="0"/>
      <w:marRight w:val="0"/>
      <w:marTop w:val="0"/>
      <w:marBottom w:val="0"/>
      <w:divBdr>
        <w:top w:val="none" w:sz="0" w:space="0" w:color="auto"/>
        <w:left w:val="none" w:sz="0" w:space="0" w:color="auto"/>
        <w:bottom w:val="none" w:sz="0" w:space="0" w:color="auto"/>
        <w:right w:val="none" w:sz="0" w:space="0" w:color="auto"/>
      </w:divBdr>
    </w:div>
    <w:div w:id="1584874823">
      <w:bodyDiv w:val="1"/>
      <w:marLeft w:val="0"/>
      <w:marRight w:val="0"/>
      <w:marTop w:val="0"/>
      <w:marBottom w:val="0"/>
      <w:divBdr>
        <w:top w:val="none" w:sz="0" w:space="0" w:color="auto"/>
        <w:left w:val="none" w:sz="0" w:space="0" w:color="auto"/>
        <w:bottom w:val="none" w:sz="0" w:space="0" w:color="auto"/>
        <w:right w:val="none" w:sz="0" w:space="0" w:color="auto"/>
      </w:divBdr>
    </w:div>
    <w:div w:id="1647709255">
      <w:bodyDiv w:val="1"/>
      <w:marLeft w:val="0"/>
      <w:marRight w:val="0"/>
      <w:marTop w:val="0"/>
      <w:marBottom w:val="0"/>
      <w:divBdr>
        <w:top w:val="none" w:sz="0" w:space="0" w:color="auto"/>
        <w:left w:val="none" w:sz="0" w:space="0" w:color="auto"/>
        <w:bottom w:val="none" w:sz="0" w:space="0" w:color="auto"/>
        <w:right w:val="none" w:sz="0" w:space="0" w:color="auto"/>
      </w:divBdr>
    </w:div>
    <w:div w:id="1661040989">
      <w:bodyDiv w:val="1"/>
      <w:marLeft w:val="0"/>
      <w:marRight w:val="0"/>
      <w:marTop w:val="0"/>
      <w:marBottom w:val="0"/>
      <w:divBdr>
        <w:top w:val="none" w:sz="0" w:space="0" w:color="auto"/>
        <w:left w:val="none" w:sz="0" w:space="0" w:color="auto"/>
        <w:bottom w:val="none" w:sz="0" w:space="0" w:color="auto"/>
        <w:right w:val="none" w:sz="0" w:space="0" w:color="auto"/>
      </w:divBdr>
      <w:divsChild>
        <w:div w:id="1878932900">
          <w:marLeft w:val="0"/>
          <w:marRight w:val="0"/>
          <w:marTop w:val="0"/>
          <w:marBottom w:val="0"/>
          <w:divBdr>
            <w:top w:val="none" w:sz="0" w:space="0" w:color="auto"/>
            <w:left w:val="none" w:sz="0" w:space="0" w:color="auto"/>
            <w:bottom w:val="none" w:sz="0" w:space="0" w:color="auto"/>
            <w:right w:val="none" w:sz="0" w:space="0" w:color="auto"/>
          </w:divBdr>
          <w:divsChild>
            <w:div w:id="65762165">
              <w:marLeft w:val="0"/>
              <w:marRight w:val="0"/>
              <w:marTop w:val="0"/>
              <w:marBottom w:val="0"/>
              <w:divBdr>
                <w:top w:val="none" w:sz="0" w:space="0" w:color="auto"/>
                <w:left w:val="none" w:sz="0" w:space="0" w:color="auto"/>
                <w:bottom w:val="none" w:sz="0" w:space="0" w:color="auto"/>
                <w:right w:val="none" w:sz="0" w:space="0" w:color="auto"/>
              </w:divBdr>
            </w:div>
            <w:div w:id="1724595721">
              <w:marLeft w:val="0"/>
              <w:marRight w:val="0"/>
              <w:marTop w:val="0"/>
              <w:marBottom w:val="0"/>
              <w:divBdr>
                <w:top w:val="none" w:sz="0" w:space="0" w:color="auto"/>
                <w:left w:val="none" w:sz="0" w:space="0" w:color="auto"/>
                <w:bottom w:val="none" w:sz="0" w:space="0" w:color="auto"/>
                <w:right w:val="none" w:sz="0" w:space="0" w:color="auto"/>
              </w:divBdr>
            </w:div>
            <w:div w:id="156503495">
              <w:marLeft w:val="0"/>
              <w:marRight w:val="0"/>
              <w:marTop w:val="0"/>
              <w:marBottom w:val="0"/>
              <w:divBdr>
                <w:top w:val="none" w:sz="0" w:space="0" w:color="auto"/>
                <w:left w:val="none" w:sz="0" w:space="0" w:color="auto"/>
                <w:bottom w:val="none" w:sz="0" w:space="0" w:color="auto"/>
                <w:right w:val="none" w:sz="0" w:space="0" w:color="auto"/>
              </w:divBdr>
            </w:div>
            <w:div w:id="5915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4490">
      <w:bodyDiv w:val="1"/>
      <w:marLeft w:val="0"/>
      <w:marRight w:val="0"/>
      <w:marTop w:val="0"/>
      <w:marBottom w:val="0"/>
      <w:divBdr>
        <w:top w:val="none" w:sz="0" w:space="0" w:color="auto"/>
        <w:left w:val="none" w:sz="0" w:space="0" w:color="auto"/>
        <w:bottom w:val="none" w:sz="0" w:space="0" w:color="auto"/>
        <w:right w:val="none" w:sz="0" w:space="0" w:color="auto"/>
      </w:divBdr>
    </w:div>
    <w:div w:id="1756003494">
      <w:bodyDiv w:val="1"/>
      <w:marLeft w:val="0"/>
      <w:marRight w:val="0"/>
      <w:marTop w:val="0"/>
      <w:marBottom w:val="0"/>
      <w:divBdr>
        <w:top w:val="none" w:sz="0" w:space="0" w:color="auto"/>
        <w:left w:val="none" w:sz="0" w:space="0" w:color="auto"/>
        <w:bottom w:val="none" w:sz="0" w:space="0" w:color="auto"/>
        <w:right w:val="none" w:sz="0" w:space="0" w:color="auto"/>
      </w:divBdr>
    </w:div>
    <w:div w:id="1777098246">
      <w:bodyDiv w:val="1"/>
      <w:marLeft w:val="0"/>
      <w:marRight w:val="0"/>
      <w:marTop w:val="0"/>
      <w:marBottom w:val="0"/>
      <w:divBdr>
        <w:top w:val="none" w:sz="0" w:space="0" w:color="auto"/>
        <w:left w:val="none" w:sz="0" w:space="0" w:color="auto"/>
        <w:bottom w:val="none" w:sz="0" w:space="0" w:color="auto"/>
        <w:right w:val="none" w:sz="0" w:space="0" w:color="auto"/>
      </w:divBdr>
    </w:div>
    <w:div w:id="1947149916">
      <w:bodyDiv w:val="1"/>
      <w:marLeft w:val="0"/>
      <w:marRight w:val="0"/>
      <w:marTop w:val="0"/>
      <w:marBottom w:val="0"/>
      <w:divBdr>
        <w:top w:val="none" w:sz="0" w:space="0" w:color="auto"/>
        <w:left w:val="none" w:sz="0" w:space="0" w:color="auto"/>
        <w:bottom w:val="none" w:sz="0" w:space="0" w:color="auto"/>
        <w:right w:val="none" w:sz="0" w:space="0" w:color="auto"/>
      </w:divBdr>
    </w:div>
    <w:div w:id="2024166983">
      <w:bodyDiv w:val="1"/>
      <w:marLeft w:val="0"/>
      <w:marRight w:val="0"/>
      <w:marTop w:val="0"/>
      <w:marBottom w:val="0"/>
      <w:divBdr>
        <w:top w:val="none" w:sz="0" w:space="0" w:color="auto"/>
        <w:left w:val="none" w:sz="0" w:space="0" w:color="auto"/>
        <w:bottom w:val="none" w:sz="0" w:space="0" w:color="auto"/>
        <w:right w:val="none" w:sz="0" w:space="0" w:color="auto"/>
      </w:divBdr>
    </w:div>
    <w:div w:id="208838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8.emf"/><Relationship Id="rId133" Type="http://schemas.openxmlformats.org/officeDocument/2006/relationships/image" Target="media/image119.emf"/><Relationship Id="rId138" Type="http://schemas.openxmlformats.org/officeDocument/2006/relationships/image" Target="media/image124.png"/><Relationship Id="rId154" Type="http://schemas.openxmlformats.org/officeDocument/2006/relationships/image" Target="media/image140.emf"/><Relationship Id="rId159" Type="http://schemas.openxmlformats.org/officeDocument/2006/relationships/footer" Target="footer4.xml"/><Relationship Id="rId16" Type="http://schemas.openxmlformats.org/officeDocument/2006/relationships/image" Target="media/image3.emf"/><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png"/><Relationship Id="rId102" Type="http://schemas.openxmlformats.org/officeDocument/2006/relationships/image" Target="media/image88.emf"/><Relationship Id="rId123" Type="http://schemas.openxmlformats.org/officeDocument/2006/relationships/image" Target="media/image109.emf"/><Relationship Id="rId128" Type="http://schemas.openxmlformats.org/officeDocument/2006/relationships/image" Target="media/image114.emf"/><Relationship Id="rId144" Type="http://schemas.openxmlformats.org/officeDocument/2006/relationships/image" Target="media/image130.emf"/><Relationship Id="rId149" Type="http://schemas.openxmlformats.org/officeDocument/2006/relationships/image" Target="media/image135.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hyperlink" Target="https://www.vighy-afhypac.org/" TargetMode="External"/><Relationship Id="rId160" Type="http://schemas.openxmlformats.org/officeDocument/2006/relationships/footer" Target="footer5.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png"/><Relationship Id="rId113" Type="http://schemas.openxmlformats.org/officeDocument/2006/relationships/image" Target="media/image99.png"/><Relationship Id="rId118" Type="http://schemas.openxmlformats.org/officeDocument/2006/relationships/image" Target="media/image104.emf"/><Relationship Id="rId134" Type="http://schemas.openxmlformats.org/officeDocument/2006/relationships/image" Target="media/image120.emf"/><Relationship Id="rId139" Type="http://schemas.openxmlformats.org/officeDocument/2006/relationships/image" Target="media/image125.png"/><Relationship Id="rId80" Type="http://schemas.openxmlformats.org/officeDocument/2006/relationships/image" Target="media/image67.emf"/><Relationship Id="rId85" Type="http://schemas.openxmlformats.org/officeDocument/2006/relationships/image" Target="media/image72.emf"/><Relationship Id="rId150" Type="http://schemas.openxmlformats.org/officeDocument/2006/relationships/image" Target="media/image136.emf"/><Relationship Id="rId155" Type="http://schemas.openxmlformats.org/officeDocument/2006/relationships/image" Target="media/image141.png"/><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46.png"/><Relationship Id="rId103" Type="http://schemas.openxmlformats.org/officeDocument/2006/relationships/image" Target="media/image89.emf"/><Relationship Id="rId108" Type="http://schemas.openxmlformats.org/officeDocument/2006/relationships/image" Target="media/image94.png"/><Relationship Id="rId124" Type="http://schemas.openxmlformats.org/officeDocument/2006/relationships/image" Target="media/image110.emf"/><Relationship Id="rId129" Type="http://schemas.openxmlformats.org/officeDocument/2006/relationships/image" Target="media/image115.emf"/><Relationship Id="rId54" Type="http://schemas.openxmlformats.org/officeDocument/2006/relationships/image" Target="media/image41.emf"/><Relationship Id="rId70" Type="http://schemas.openxmlformats.org/officeDocument/2006/relationships/image" Target="media/image57.emf"/><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2.emf"/><Relationship Id="rId140" Type="http://schemas.openxmlformats.org/officeDocument/2006/relationships/image" Target="media/image126.emf"/><Relationship Id="rId145" Type="http://schemas.openxmlformats.org/officeDocument/2006/relationships/image" Target="media/image131.emf"/><Relationship Id="rId16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emf"/><Relationship Id="rId106" Type="http://schemas.openxmlformats.org/officeDocument/2006/relationships/image" Target="media/image92.png"/><Relationship Id="rId114" Type="http://schemas.openxmlformats.org/officeDocument/2006/relationships/image" Target="media/image100.emf"/><Relationship Id="rId119" Type="http://schemas.openxmlformats.org/officeDocument/2006/relationships/image" Target="media/image105.emf"/><Relationship Id="rId127" Type="http://schemas.openxmlformats.org/officeDocument/2006/relationships/image" Target="media/image113.emf"/><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5.png"/><Relationship Id="rId101" Type="http://schemas.openxmlformats.org/officeDocument/2006/relationships/image" Target="media/image87.emf"/><Relationship Id="rId122" Type="http://schemas.openxmlformats.org/officeDocument/2006/relationships/image" Target="media/image108.png"/><Relationship Id="rId130" Type="http://schemas.openxmlformats.org/officeDocument/2006/relationships/image" Target="media/image116.emf"/><Relationship Id="rId135" Type="http://schemas.openxmlformats.org/officeDocument/2006/relationships/image" Target="media/image121.emf"/><Relationship Id="rId143" Type="http://schemas.openxmlformats.org/officeDocument/2006/relationships/image" Target="media/image129.emf"/><Relationship Id="rId148" Type="http://schemas.openxmlformats.org/officeDocument/2006/relationships/image" Target="media/image134.png"/><Relationship Id="rId151" Type="http://schemas.openxmlformats.org/officeDocument/2006/relationships/image" Target="media/image137.emf"/><Relationship Id="rId156" Type="http://schemas.openxmlformats.org/officeDocument/2006/relationships/image" Target="media/image142.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emf"/><Relationship Id="rId109" Type="http://schemas.openxmlformats.org/officeDocument/2006/relationships/image" Target="media/image95.emf"/><Relationship Id="rId34" Type="http://schemas.openxmlformats.org/officeDocument/2006/relationships/image" Target="media/image21.png"/><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emf"/><Relationship Id="rId141" Type="http://schemas.openxmlformats.org/officeDocument/2006/relationships/image" Target="media/image127.emf"/><Relationship Id="rId146" Type="http://schemas.openxmlformats.org/officeDocument/2006/relationships/image" Target="media/image132.emf"/><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9.emf"/><Relationship Id="rId162"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6.emf"/><Relationship Id="rId115" Type="http://schemas.openxmlformats.org/officeDocument/2006/relationships/image" Target="media/image101.emf"/><Relationship Id="rId131" Type="http://schemas.openxmlformats.org/officeDocument/2006/relationships/image" Target="media/image117.png"/><Relationship Id="rId136" Type="http://schemas.openxmlformats.org/officeDocument/2006/relationships/image" Target="media/image122.emf"/><Relationship Id="rId157" Type="http://schemas.openxmlformats.org/officeDocument/2006/relationships/header" Target="header4.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8.emf"/><Relationship Id="rId19" Type="http://schemas.openxmlformats.org/officeDocument/2006/relationships/image" Target="media/image6.emf"/><Relationship Id="rId14" Type="http://schemas.openxmlformats.org/officeDocument/2006/relationships/footer" Target="footer3.xml"/><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43.emf"/><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emf"/><Relationship Id="rId126" Type="http://schemas.openxmlformats.org/officeDocument/2006/relationships/image" Target="media/image112.emf"/><Relationship Id="rId147" Type="http://schemas.openxmlformats.org/officeDocument/2006/relationships/image" Target="media/image133.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4.emf"/><Relationship Id="rId121" Type="http://schemas.openxmlformats.org/officeDocument/2006/relationships/image" Target="media/image107.emf"/><Relationship Id="rId142" Type="http://schemas.openxmlformats.org/officeDocument/2006/relationships/image" Target="media/image128.e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4.emf"/><Relationship Id="rId116" Type="http://schemas.openxmlformats.org/officeDocument/2006/relationships/image" Target="media/image102.png"/><Relationship Id="rId137" Type="http://schemas.openxmlformats.org/officeDocument/2006/relationships/image" Target="media/image123.emf"/><Relationship Id="rId158"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emf"/></Relationships>
</file>

<file path=word/_rels/footnotes.xml.rels><?xml version="1.0" encoding="UTF-8" standalone="yes"?>
<Relationships xmlns="http://schemas.openxmlformats.org/package/2006/relationships"><Relationship Id="rId3" Type="http://schemas.openxmlformats.org/officeDocument/2006/relationships/hyperlink" Target="https://gouvernement.lu/dam-assets/documents/actualites/2018/12-decembre/Accord-de-coalition-2018-2023.pdf" TargetMode="External"/><Relationship Id="rId2" Type="http://schemas.openxmlformats.org/officeDocument/2006/relationships/hyperlink" Target="https://ec.europa.eu/energy/sites/ener/files/documents/lt_final_necp_main_en.pdf" TargetMode="External"/><Relationship Id="rId1" Type="http://schemas.openxmlformats.org/officeDocument/2006/relationships/hyperlink" Target="https://ec.europa.eu/inea/en/connecting-europe-facility/cef-transport/2017-eu-tm-0065-w" TargetMode="External"/><Relationship Id="rId6" Type="http://schemas.openxmlformats.org/officeDocument/2006/relationships/hyperlink" Target="https://gouvernement.lu/dam-assets/documents/actualites/2018/12-decembre/Accord-de-coalition-2018-2023.pdf" TargetMode="External"/><Relationship Id="rId5" Type="http://schemas.openxmlformats.org/officeDocument/2006/relationships/hyperlink" Target="https://ecobus.lu/" TargetMode="External"/><Relationship Id="rId4" Type="http://schemas.openxmlformats.org/officeDocument/2006/relationships/hyperlink" Target="https://mobilab.lu/merl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Eur191</b:Tag>
    <b:SourceType>Report</b:SourceType>
    <b:Guid>{0D63B9D1-AA1D-4934-A487-F2D94F7C51C3}</b:Guid>
    <b:Title>Staff Working Document SWD/2019/0029 “Report on the Assessment of the Member States National Policy Frameworks</b:Title>
    <b:Year>2019</b:Year>
    <b:Author>
      <b:Author>
        <b:Corporate>European Commission</b:Corporate>
      </b:Author>
    </b:Author>
    <b:ThesisType>for the development of the market as regards alternative fuels in the transport sector and the deployment of the relevant infrastructure pursuant to Article 10 (2) of Directive 2014/94/EU”</b:ThesisType>
    <b:RefOrder>1</b:RefOrder>
  </b:Source>
  <b:Source>
    <b:Tag>Eur19</b:Tag>
    <b:SourceType>Report</b:SourceType>
    <b:Guid>{AEE726B3-EF7F-483C-B385-9114F369DA9B}</b:Guid>
    <b:Author>
      <b:Author>
        <b:Corporate>European Commission</b:Corporate>
      </b:Author>
    </b:Author>
    <b:Title>Staff Working Document SWD/2017/0365 “Detailed Assessment of the National Policy Frameworks”</b:Title>
    <b:Year>2017</b:Year>
    <b:ThesisType>accompanying the document Communication “Towards the broadest use of alternative fuels - an Action Plan for Alternative Fuels Infrastructure under Article 10(6) of Directive 201/94/EU"</b:ThesisType>
    <b:RefOrder>3</b:RefOrder>
  </b:Source>
  <b:Source>
    <b:Tag>Eur18</b:Tag>
    <b:SourceType>Report</b:SourceType>
    <b:Guid>{2DA47DD0-101F-49E1-B747-158D19986283}</b:Guid>
    <b:Author>
      <b:Author>
        <b:Corporate>European Commission</b:Corporate>
      </b:Author>
    </b:Author>
    <b:Title>Support guidance concerning the reporting by the Member States in the context of Directive 2014/94/EU</b:Title>
    <b:Year>2018</b:Year>
    <b:RefOrder>2</b:RefOrder>
  </b:Source>
  <b:Source>
    <b:Tag>Eur</b:Tag>
    <b:SourceType>InternetSite</b:SourceType>
    <b:Guid>{7C1CBF13-3F5B-4CE8-A0FA-6B4A52C5DEE2}</b:Guid>
    <b:Title>Better regulation toolbox - Tool #18 The choice of policy instruments</b:Title>
    <b:Author>
      <b:Author>
        <b:Corporate>European Commission</b:Corporate>
      </b:Author>
    </b:Author>
    <b:URL>https://ec.europa.eu/info/sites/info/files/file_import/better-regulation-toolbox-18_en_0.pdf</b:URL>
    <b:RefOrder>4</b:RefOrder>
  </b:Source>
  <b:Source>
    <b:Tag>Eur192</b:Tag>
    <b:SourceType>Report</b:SourceType>
    <b:Guid>{20C8878D-5686-438F-908D-66F4FC399EEF}</b:Guid>
    <b:Title>Statistical Pocketbook 2019: EU Transport in Figures</b:Title>
    <b:Year>2019</b:Year>
    <b:City>Luxembourg</b:City>
    <b:Publisher>Publications Office of the European Union</b:Publisher>
    <b:Author>
      <b:Author>
        <b:Corporate>European Commission</b:Corporate>
      </b:Author>
    </b:Author>
    <b:URL>https://ec.europa.eu/transport/facts-fundings/statistics/pocketbook-2019_en</b:URL>
    <b:RefOrder>7</b:RefOrder>
  </b:Source>
  <b:Source>
    <b:Tag>Eur202</b:Tag>
    <b:SourceType>InternetSite</b:SourceType>
    <b:Guid>{9046EE04-EF34-4F4A-922D-7736C65310E5}</b:Guid>
    <b:Author>
      <b:Author>
        <b:Corporate>Eurostat</b:Corporate>
      </b:Author>
    </b:Author>
    <b:Title>Population on 1 January by age groups and sex - cities and greater cities</b:Title>
    <b:Year>2020a</b:Year>
    <b:URL>https://appsso.eurostat.ec.europa.eu/nui/show.do?dataset=urb_cpop1&amp;lang=en</b:URL>
    <b:RefOrder>8</b:RefOrder>
  </b:Source>
  <b:Source>
    <b:Tag>Eur201</b:Tag>
    <b:SourceType>InternetSite</b:SourceType>
    <b:Guid>{4F85C9B9-7B39-4909-B865-FB8340A2F658}</b:Guid>
    <b:Title>Main GDP aggregates per capita</b:Title>
    <b:Year>2020b</b:Year>
    <b:Author>
      <b:Author>
        <b:Corporate>Eurostat</b:Corporate>
      </b:Author>
    </b:Author>
    <b:URL>https://appsso.eurostat.ec.europa.eu/nui/show.do?dataset=nama_10_pc&amp;lang=en</b:URL>
    <b:RefOrder>9</b:RefOrder>
  </b:Source>
  <b:Source>
    <b:Tag>Mob20</b:Tag>
    <b:SourceType>InternetSite</b:SourceType>
    <b:Guid>{558209F2-F598-4B24-980D-6A16695934C5}</b:Guid>
    <b:Author>
      <b:Author>
        <b:Corporate>Mobility and Transport - European Commission</b:Corporate>
      </b:Author>
    </b:Author>
    <b:Title>TENtec Interactive Map Viewer</b:Title>
    <b:InternetSiteTitle>TENtec Public Portal</b:InternetSiteTitle>
    <b:Year>2020</b:Year>
    <b:URL>https://ec.europa.eu/transport/infrastructure/tentec/tentec-portal/map/maps.html</b:URL>
    <b:RefOrder>10</b:RefOrder>
  </b:Source>
  <b:Source>
    <b:Tag>Eur0c</b:Tag>
    <b:SourceType>InternetSite</b:SourceType>
    <b:Guid>{7EBA2749-DF39-4B3A-BDB2-317A0429F01F}</b:Guid>
    <b:Author>
      <b:Author>
        <b:NameList>
          <b:Person>
            <b:Last>Eurostat</b:Last>
          </b:Person>
        </b:NameList>
      </b:Author>
    </b:Author>
    <b:Title>Length of motorways and e-roads </b:Title>
    <b:Year>2020c</b:Year>
    <b:URL>https://appsso.eurostat.ec.europa.eu/nui/show.do?dataset=road_if_motorwa&amp;lang=en</b:URL>
    <b:RefOrder>11</b:RefOrder>
  </b:Source>
  <b:Source>
    <b:Tag>Eur13</b:Tag>
    <b:SourceType>Misc</b:SourceType>
    <b:Guid>{501E97BE-3E83-49E8-8737-B4316EA9AB1E}</b:Guid>
    <b:Title>Regulation (EU) No 1315/2013 of the European Parliament and of the Council</b:Title>
    <b:Year>2013</b:Year>
    <b:URL>http://publications.europa.eu/resource/cellar/f277232a-699e-11e3-8e4e-01aa75ed71a1.0006.01/DOC_1</b:URL>
    <b:Author>
      <b:Author>
        <b:Corporate>European Parliament</b:Corporate>
      </b:Author>
    </b:Author>
    <b:City>Luxembourg</b:City>
    <b:Publisher>Official Journal of the European Union</b:Publisher>
    <b:RefOrder>12</b:RefOrder>
  </b:Source>
  <b:Source>
    <b:Tag>Eur0d</b:Tag>
    <b:SourceType>InternetSite</b:SourceType>
    <b:Guid>{64189B6B-774A-4D5D-A97B-15C32B3AFD83}</b:Guid>
    <b:Title>Passenger cars, by age</b:Title>
    <b:Year>2020d</b:Year>
    <b:Author>
      <b:Author>
        <b:Corporate>Eurostat</b:Corporate>
      </b:Author>
    </b:Author>
    <b:URL>https://appsso.eurostat.ec.europa.eu/nui/show.do?dataset=road_eqs_carage&amp;lang=en</b:URL>
    <b:RefOrder>13</b:RefOrder>
  </b:Source>
  <b:Source>
    <b:Tag>Eur0e</b:Tag>
    <b:SourceType>InternetSite</b:SourceType>
    <b:Guid>{354CD11E-DC59-4BC5-8562-061B17D5E982}</b:Guid>
    <b:Author>
      <b:Author>
        <b:Corporate>Eurostat</b:Corporate>
      </b:Author>
    </b:Author>
    <b:Title>Lorries, by type of motor energy (Goods vehicles  &lt;= 3.5 tonnes)</b:Title>
    <b:Year>2020e</b:Year>
    <b:URL>https://appsso.eurostat.ec.europa.eu/nui/show.do?dataset=road_eqs_lormot&amp;lang=en</b:URL>
    <b:RefOrder>14</b:RefOrder>
  </b:Source>
  <b:Source>
    <b:Tag>Eur0f</b:Tag>
    <b:SourceType>InternetSite</b:SourceType>
    <b:Guid>{5F79C1FC-8756-424B-B0DA-25836E0547FC}</b:Guid>
    <b:Author>
      <b:Author>
        <b:Corporate>Eurostat</b:Corporate>
      </b:Author>
    </b:Author>
    <b:Title>Lorries and road tractors, by age </b:Title>
    <b:Year>2020f</b:Year>
    <b:URL>https://appsso.eurostat.ec.europa.eu/nui/show.do?dataset=road_eqs_lorroa&amp;lang=en.</b:URL>
    <b:RefOrder>15</b:RefOrder>
  </b:Source>
  <b:Source>
    <b:Tag>Eur1</b:Tag>
    <b:SourceType>InternetSite</b:SourceType>
    <b:Guid>{02FE2A5E-51BF-4D7E-A185-02E3DCB0EF2B}</b:Guid>
    <b:Author>
      <b:Author>
        <b:Corporate>Eurostat</b:Corporate>
      </b:Author>
    </b:Author>
    <b:Title>Lorries (excluding light goods road vehicles), by permissible maximum gross weight</b:Title>
    <b:URL>https://appsso.eurostat.ec.europa.eu/nui/show.do?dataset=road_eqs_lornum&amp;lang=en</b:URL>
    <b:Year>2020g</b:Year>
    <b:RefOrder>16</b:RefOrder>
  </b:Source>
  <b:Source>
    <b:Tag>Eur0h</b:Tag>
    <b:SourceType>InternetSite</b:SourceType>
    <b:Guid>{C82DD268-174E-44FD-AEA5-C2D440F13AA4}</b:Guid>
    <b:Author>
      <b:Author>
        <b:Corporate>Eurostat</b:Corporate>
      </b:Author>
    </b:Author>
    <b:Title>Motor coaches, buses and trolley buses, by age</b:Title>
    <b:Year>2020h</b:Year>
    <b:URL>https://appsso.eurostat.ec.europa.eu/nui/show.do?dataset=road_eqs_busage&amp;lang=en</b:URL>
    <b:RefOrder>17</b:RefOrder>
  </b:Source>
</b:Sources>
</file>

<file path=customXml/itemProps1.xml><?xml version="1.0" encoding="utf-8"?>
<ds:datastoreItem xmlns:ds="http://schemas.openxmlformats.org/officeDocument/2006/customXml" ds:itemID="{2009A618-7890-4030-8611-0D14E6F43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369</Pages>
  <Words>118802</Words>
  <Characters>637967</Characters>
  <Application>Microsoft Office Word</Application>
  <DocSecurity>0</DocSecurity>
  <Lines>11392</Lines>
  <Paragraphs>4759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VANROY Anne (SG)</cp:lastModifiedBy>
  <cp:revision>16</cp:revision>
  <dcterms:created xsi:type="dcterms:W3CDTF">2021-03-05T15:29:00Z</dcterms:created>
  <dcterms:modified xsi:type="dcterms:W3CDTF">2021-03-08T10:14:00Z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4</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7.0.1, Build 20190916</vt:lpwstr>
  </property>
  <property fmtid="{D5CDD505-2E9C-101B-9397-08002B2CF9AE}" pid="8" name="Created using">
    <vt:lpwstr>LW 7.0, Build 20190717</vt:lpwstr>
  </property>
</Properties>
</file>