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3A80CBF5-AAD5-4B36-8ADB-0E772C3D1C66" style="width:450.7pt;height:463.15pt">
            <v:imagedata r:id="rId11" o:title=""/>
          </v:shape>
        </w:pict>
      </w:r>
    </w:p>
    <w:bookmarkEnd w:id="0"/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Style w:val="TableGrid"/>
        <w:tblW w:w="9464" w:type="dxa"/>
        <w:tblLook w:val="01E0" w:firstRow="1" w:lastRow="1" w:firstColumn="1" w:lastColumn="1" w:noHBand="0" w:noVBand="0"/>
      </w:tblPr>
      <w:tblGrid>
        <w:gridCol w:w="9464"/>
      </w:tblGrid>
      <w:tr>
        <w:tc>
          <w:tcPr>
            <w:tcW w:w="9464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tabs>
                <w:tab w:val="left" w:pos="2309"/>
              </w:tabs>
              <w:spacing w:before="100" w:beforeAutospacing="1" w:after="60"/>
              <w:jc w:val="center"/>
              <w:rPr>
                <w:rFonts w:ascii="Tahoma" w:hAnsi="Tahoma" w:cs="Tahoma"/>
                <w:b/>
                <w:noProof/>
              </w:rPr>
            </w:pPr>
            <w:bookmarkStart w:id="1" w:name="_GoBack"/>
            <w:bookmarkEnd w:id="1"/>
            <w:r>
              <w:rPr>
                <w:rFonts w:ascii="Tahoma" w:hAnsi="Tahoma"/>
                <w:b/>
                <w:noProof/>
              </w:rPr>
              <w:lastRenderedPageBreak/>
              <w:t>Резюме</w:t>
            </w:r>
          </w:p>
        </w:tc>
      </w:tr>
      <w:tr>
        <w:trPr>
          <w:trHeight w:val="57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>
            <w:pPr>
              <w:spacing w:before="100" w:beforeAutospacing="1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/>
                <w:b/>
                <w:noProof/>
                <w:color w:val="FFFFFF" w:themeColor="background1"/>
              </w:rPr>
              <w:t>Оценка на въздействието за предложение</w:t>
            </w:r>
            <w:r>
              <w:rPr>
                <w:noProof/>
              </w:rPr>
              <w:t xml:space="preserve"> </w:t>
            </w:r>
            <w:r>
              <w:rPr>
                <w:rFonts w:ascii="Tahoma" w:hAnsi="Tahoma"/>
                <w:b/>
                <w:noProof/>
                <w:color w:val="FFFFFF" w:themeColor="background1"/>
              </w:rPr>
              <w:t>за укрепване чрез прозрачност на принципа за равно заплащане на жените и мъжете</w:t>
            </w:r>
          </w:p>
        </w:tc>
      </w:tr>
      <w:tr>
        <w:tc>
          <w:tcPr>
            <w:tcW w:w="9464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tabs>
                <w:tab w:val="left" w:pos="2309"/>
              </w:tabs>
              <w:spacing w:before="100" w:beforeAutospacing="1" w:after="60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/>
                <w:b/>
                <w:noProof/>
              </w:rPr>
              <w:t>A. Необходимост от действия</w:t>
            </w:r>
            <w:r>
              <w:rPr>
                <w:noProof/>
              </w:rPr>
              <w:tab/>
            </w:r>
          </w:p>
        </w:tc>
      </w:tr>
      <w:tr>
        <w:tc>
          <w:tcPr>
            <w:tcW w:w="9464" w:type="dxa"/>
            <w:tcBorders>
              <w:bottom w:val="single" w:sz="4" w:space="0" w:color="auto"/>
            </w:tcBorders>
            <w:shd w:val="clear" w:color="auto" w:fill="E0E0E0"/>
          </w:tcPr>
          <w:p>
            <w:pPr>
              <w:pStyle w:val="Default"/>
              <w:spacing w:before="100" w:beforeAutospacing="1" w:after="2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  <w:szCs w:val="20"/>
              </w:rPr>
              <w:t>В какво се изразява проблемът и защо той се разглежда на равнище ЕС?</w:t>
            </w:r>
          </w:p>
        </w:tc>
      </w:tr>
      <w:tr>
        <w:trPr>
          <w:trHeight w:val="1341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</w:rPr>
              <w:t xml:space="preserve">Ефективното прилагане на </w:t>
            </w:r>
            <w:r>
              <w:rPr>
                <w:rFonts w:ascii="Tahoma" w:hAnsi="Tahoma"/>
                <w:b/>
                <w:noProof/>
              </w:rPr>
              <w:t>основното право на равно заплащане</w:t>
            </w:r>
            <w:r>
              <w:rPr>
                <w:rFonts w:ascii="Tahoma" w:hAnsi="Tahoma"/>
                <w:noProof/>
              </w:rPr>
              <w:t xml:space="preserve"> на жените и мъжете за равен труд или труд с равна стойност, залегнало в член 157 от ДФЕС, продължава да представлява огромно предизвикателство в ЕС. </w:t>
            </w:r>
            <w:r>
              <w:rPr>
                <w:rFonts w:ascii="Tahoma" w:hAnsi="Tahoma"/>
                <w:b/>
                <w:noProof/>
              </w:rPr>
              <w:t>Дискриминацията на отделни лица по отношение на заплащането и системната предубеденост в структурите на заплащане</w:t>
            </w:r>
            <w:r>
              <w:rPr>
                <w:rFonts w:ascii="Tahoma" w:hAnsi="Tahoma"/>
                <w:noProof/>
              </w:rPr>
              <w:t xml:space="preserve"> са само една от първопричините за разликата в заплащането на жените и мъжете наред с други причини като хоризонталната и вертикалната сегрегация. Разликата в заплащането на жените и мъжете се натрупва и продължава да е 14 % в Европейския съюз като цяло.</w:t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rFonts w:ascii="Tahoma" w:hAnsi="Tahoma"/>
                <w:noProof/>
              </w:rPr>
              <w:t>Това представлява проблем както за работниците, така и за работодателите.</w:t>
            </w:r>
          </w:p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</w:rPr>
              <w:t>Неспазването на това основно право засяга икономическата независимост на жените през професионалния им живот и след това. Това представлява проблем и за ефективното функциониране на пазара на труда и за конкурентоспособността на вътрешния пазар. Очакванията, свързани с предвижданите приходи, могат да повлияят на избора на професия на жените, на решенията във връзка с отработеното време и на моделите на професионално развитие и съответно да породят очевиден риск от загуба на производителност в икономиката като цяло поради неоптимално участие на жените на пазара на труда. По отношение на работодателите това води до загуба на производителност и до скрити разходи. На последно място, разликите в третирането на жените и мъжете по отношение на заплащането също така могат да повлияят на конкурентоспособността на работодателите до степен, че работодатели, които не спазват принципа за равно заплащане и евентуално прилагат различни правила в отделните държави, могат да се възползват от нелоялно (и неправомерно) предимство.</w:t>
            </w:r>
          </w:p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</w:rPr>
              <w:t>Индивидуалната дискриминация в заплащането и полово обусловените предубеждения в механизмите за определяне на заплащането и в начина, по който се оценява работата на жените, могат да възникнат вследствие на:</w:t>
            </w:r>
          </w:p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</w:rPr>
              <w:t>- липса на прозрачност в заплащането на равнището на отделния работник и на работодателя;</w:t>
            </w:r>
          </w:p>
          <w:p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ind w:left="0" w:hanging="284"/>
              <w:contextualSpacing w:val="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>- неправилно прилагане на понятията „заплащане“ и „труд с равна стойност“; както и</w:t>
            </w:r>
          </w:p>
          <w:p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beforeAutospacing="1" w:after="120"/>
              <w:ind w:left="0" w:hanging="284"/>
              <w:contextualSpacing w:val="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>- неадекватен достъп до правосъдие поради процесуални пречки и недостатъчни средства за защита за жертвите.</w:t>
            </w:r>
          </w:p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noProof/>
              </w:rPr>
            </w:pPr>
            <w:r>
              <w:rPr>
                <w:rFonts w:ascii="Tahoma" w:hAnsi="Tahoma"/>
                <w:noProof/>
              </w:rPr>
              <w:t>Липсата на прозрачност в заплащането не позволява на работниците да преценят дали се зачита правото им на равно третиране по отношение на заплащането; така се прикрива и подценяването на работата на жените, дължащо се на (често несъзнателни) предубеждения в структурите на заплащане. Проблемите, свързани с правилното прилагане на основните понятия при оценката на равното „заплащане“ за равен труд или за „труд с равна стойност“, усложняват прилагането на правото на равно заплащане както за работниците, така и за работодателите. Недостатъчният достъп до правосъдие в съчетание със страха на работниците от виктимизация правят още по-трудно упражняването на правото им на равно заплащане.</w:t>
            </w:r>
          </w:p>
        </w:tc>
      </w:tr>
      <w:tr>
        <w:tc>
          <w:tcPr>
            <w:tcW w:w="9464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spacing w:before="100" w:beforeAutospacing="1" w:after="2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noProof/>
                <w:sz w:val="20"/>
                <w:szCs w:val="20"/>
              </w:rPr>
              <w:t>Какво следва да бъде постигнато?</w:t>
            </w:r>
          </w:p>
        </w:tc>
      </w:tr>
      <w:tr>
        <w:trPr>
          <w:trHeight w:val="416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</w:rPr>
              <w:t>Общата цел е да се подобри прилагането и привеждането в изпълнение на принципа за равно заплащане на мъжете и жените за равен труд или за труд с равна стойност, както е уреден в член 157 от ДФЕС и в Директива 2006/54/ЕО. Специфичните цели на инициативата са:</w:t>
            </w:r>
          </w:p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noProof/>
                <w:spacing w:val="-8"/>
              </w:rPr>
            </w:pPr>
            <w:r>
              <w:rPr>
                <w:rFonts w:ascii="Tahoma" w:hAnsi="Tahoma"/>
                <w:b/>
                <w:noProof/>
                <w:spacing w:val="-4"/>
              </w:rPr>
              <w:t>овластяване на работниците да упражняват напълно правото си на равно заплащане</w:t>
            </w:r>
            <w:r>
              <w:rPr>
                <w:rFonts w:ascii="Tahoma" w:hAnsi="Tahoma"/>
                <w:noProof/>
                <w:spacing w:val="-4"/>
              </w:rPr>
              <w:t xml:space="preserve"> —</w:t>
            </w:r>
            <w:r>
              <w:rPr>
                <w:rFonts w:ascii="Tahoma" w:hAnsi="Tahoma"/>
                <w:noProof/>
              </w:rPr>
              <w:t xml:space="preserve"> </w:t>
            </w:r>
            <w:r>
              <w:rPr>
                <w:rFonts w:ascii="Tahoma" w:hAnsi="Tahoma"/>
                <w:noProof/>
                <w:spacing w:val="-8"/>
              </w:rPr>
              <w:t>разкриване на случаи на дискриминация в заплащането чрез прозрачност и предоставяне на работниците на необходимата информация и инструменти, за да предприемат действия в тези случаи; както и</w:t>
            </w:r>
          </w:p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noProof/>
                <w:spacing w:val="-4"/>
              </w:rPr>
            </w:pPr>
            <w:r>
              <w:rPr>
                <w:rFonts w:ascii="Tahoma" w:hAnsi="Tahoma"/>
                <w:b/>
                <w:noProof/>
                <w:spacing w:val="-4"/>
              </w:rPr>
              <w:t>преодоляване на системното подценяване на работата на жените на равнището на работодателя</w:t>
            </w:r>
            <w:r>
              <w:rPr>
                <w:rFonts w:ascii="Tahoma" w:hAnsi="Tahoma"/>
                <w:noProof/>
                <w:spacing w:val="-4"/>
              </w:rPr>
              <w:t xml:space="preserve"> чрез прозрачност и коригиране на предубежденията в механизмите за определяне на заплащането, водещи до запазване на подценяването на работата, която се върши от жени.</w:t>
            </w:r>
          </w:p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</w:rPr>
              <w:t>Постигането и на двете цели би могло да се подпомогне чрез преодоляване на трудностите, засягащи прилагането на основните правни понятия, свързани с равното заплащане, и достъпа до правосъдие.</w:t>
            </w:r>
          </w:p>
        </w:tc>
      </w:tr>
      <w:tr>
        <w:tc>
          <w:tcPr>
            <w:tcW w:w="9464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spacing w:before="100" w:beforeAutospacing="1" w:after="2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noProof/>
                <w:sz w:val="20"/>
                <w:szCs w:val="20"/>
              </w:rPr>
              <w:t>Каква е добавената стойност от действия на равнище ЕС (субсидиарност)?</w:t>
            </w:r>
          </w:p>
        </w:tc>
      </w:tr>
      <w:tr>
        <w:trPr>
          <w:trHeight w:val="1090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</w:rPr>
              <w:t>Действието на равнището на ЕС би гарантирало ефективно равенство в заплащането на мъжете и жените и би осигурило възможност за всички граждани да упражнят своите права въз основа на минимални стандарти, приложими във всички държави членки. С него не само се създават хармонизирани минимални стандарти за защита на работниците, но и равни условия на пазара за работодателите, които извършват дейност в рамките на вътрешния пазар, като по този начин се възпрепятства нелоялната конкуренция. Единствено съгласуван и всеобхватен подход в целия ЕС може да гарантира еднакви условия на конкуренция за всички държави членки и да попречи на работодателите да прибягват до нелоялни конкурентни предимства чрез дискриминация в заплащането. На последно място, действието на ЕС се изисква съгласно Договора, като с него се отстояват основен принцип и право на равно третиране, залегнали в Хартата на основните права на ЕС. Както бе демонстрирано в оценката на Комисията от 2020 г. на съответните правни разпоредби на ЕС относно равното заплащане, няма вероятност да бъдат положени съпоставими усилия за насърчаване на равното заплащане навсякъде в Съюза без оказване на натиск чрез инструмент на равнището на ЕС.</w:t>
            </w:r>
          </w:p>
        </w:tc>
      </w:tr>
      <w:tr>
        <w:tc>
          <w:tcPr>
            <w:tcW w:w="9464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100" w:beforeAutospacing="1" w:after="60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/>
                <w:b/>
                <w:noProof/>
              </w:rPr>
              <w:t>Б. Решения</w:t>
            </w:r>
          </w:p>
        </w:tc>
      </w:tr>
      <w:tr>
        <w:tc>
          <w:tcPr>
            <w:tcW w:w="9464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spacing w:before="100" w:beforeAutospacing="1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noProof/>
                <w:sz w:val="20"/>
                <w:szCs w:val="20"/>
              </w:rPr>
              <w:t>Какви са различните варианти за постигане на целите? Има ли предпочитан вариант? Ако не, защо?</w:t>
            </w:r>
          </w:p>
        </w:tc>
      </w:tr>
      <w:tr>
        <w:trPr>
          <w:trHeight w:val="841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Heading3"/>
              <w:keepNext w:val="0"/>
              <w:ind w:left="0" w:firstLine="0"/>
              <w:outlineLvl w:val="2"/>
              <w:rPr>
                <w:rFonts w:ascii="Tahoma" w:hAnsi="Tahoma" w:cs="Tahoma"/>
                <w:i w:val="0"/>
                <w:noProof/>
                <w:sz w:val="20"/>
              </w:rPr>
            </w:pPr>
            <w:bookmarkStart w:id="2" w:name="_Toc485620419"/>
            <w:r>
              <w:rPr>
                <w:rFonts w:ascii="Tahoma" w:hAnsi="Tahoma"/>
                <w:i w:val="0"/>
                <w:noProof/>
                <w:sz w:val="20"/>
              </w:rPr>
              <w:t>Бяха разгледани следните варианти:</w:t>
            </w:r>
          </w:p>
          <w:p>
            <w:pPr>
              <w:pStyle w:val="Heading3"/>
              <w:keepNext w:val="0"/>
              <w:spacing w:before="0" w:after="60"/>
              <w:ind w:left="0" w:firstLine="0"/>
              <w:outlineLvl w:val="2"/>
              <w:rPr>
                <w:rFonts w:ascii="Tahoma" w:hAnsi="Tahoma" w:cs="Tahoma"/>
                <w:i w:val="0"/>
                <w:noProof/>
                <w:sz w:val="20"/>
              </w:rPr>
            </w:pPr>
            <w:r>
              <w:rPr>
                <w:rFonts w:ascii="Tahoma" w:hAnsi="Tahoma"/>
                <w:b/>
                <w:i w:val="0"/>
                <w:noProof/>
                <w:sz w:val="20"/>
              </w:rPr>
              <w:t>вариант 0</w:t>
            </w:r>
            <w:r>
              <w:rPr>
                <w:rFonts w:ascii="Tahoma" w:hAnsi="Tahoma"/>
                <w:i w:val="0"/>
                <w:noProof/>
                <w:sz w:val="20"/>
              </w:rPr>
              <w:t xml:space="preserve"> — статукво;</w:t>
            </w:r>
          </w:p>
          <w:p>
            <w:pPr>
              <w:pStyle w:val="Heading3"/>
              <w:keepNext w:val="0"/>
              <w:spacing w:before="100" w:beforeAutospacing="1" w:after="60"/>
              <w:ind w:left="0" w:firstLine="0"/>
              <w:outlineLvl w:val="2"/>
              <w:rPr>
                <w:rFonts w:ascii="Tahoma" w:hAnsi="Tahoma" w:cs="Tahoma"/>
                <w:i w:val="0"/>
                <w:noProof/>
                <w:sz w:val="20"/>
              </w:rPr>
            </w:pPr>
            <w:r>
              <w:rPr>
                <w:rFonts w:ascii="Tahoma" w:hAnsi="Tahoma"/>
                <w:b/>
                <w:i w:val="0"/>
                <w:noProof/>
                <w:sz w:val="20"/>
              </w:rPr>
              <w:t xml:space="preserve">вариант 1 </w:t>
            </w:r>
            <w:r>
              <w:rPr>
                <w:rFonts w:ascii="Tahoma" w:hAnsi="Tahoma"/>
                <w:i w:val="0"/>
                <w:noProof/>
                <w:sz w:val="20"/>
              </w:rPr>
              <w:t>— законодателно действие за осигуряване на прозрачност на равнището на работниците. Това включва прозрачност във връзка с информацията за заплатата преди назначаването на работа въз основа на:</w:t>
            </w:r>
          </w:p>
          <w:p>
            <w:pPr>
              <w:pStyle w:val="Heading3"/>
              <w:keepNext w:val="0"/>
              <w:numPr>
                <w:ilvl w:val="0"/>
                <w:numId w:val="1"/>
              </w:numPr>
              <w:spacing w:before="100" w:beforeAutospacing="1" w:after="60"/>
              <w:ind w:left="0" w:hanging="284"/>
              <w:outlineLvl w:val="2"/>
              <w:rPr>
                <w:rFonts w:ascii="Tahoma" w:hAnsi="Tahoma" w:cs="Tahoma"/>
                <w:i w:val="0"/>
                <w:noProof/>
                <w:sz w:val="20"/>
              </w:rPr>
            </w:pPr>
            <w:r>
              <w:rPr>
                <w:rFonts w:ascii="Tahoma" w:hAnsi="Tahoma"/>
                <w:i w:val="0"/>
                <w:noProof/>
                <w:sz w:val="20"/>
              </w:rPr>
              <w:t>проактивно предоставяне на информация от работодателите (подвариант 1А); или</w:t>
            </w:r>
          </w:p>
          <w:p>
            <w:pPr>
              <w:pStyle w:val="Heading3"/>
              <w:keepNext w:val="0"/>
              <w:numPr>
                <w:ilvl w:val="0"/>
                <w:numId w:val="1"/>
              </w:numPr>
              <w:spacing w:before="100" w:beforeAutospacing="1" w:after="60"/>
              <w:ind w:left="0" w:hanging="284"/>
              <w:outlineLvl w:val="2"/>
              <w:rPr>
                <w:rFonts w:ascii="Tahoma" w:hAnsi="Tahoma" w:cs="Tahoma"/>
                <w:i w:val="0"/>
                <w:noProof/>
                <w:sz w:val="20"/>
              </w:rPr>
            </w:pPr>
            <w:r>
              <w:rPr>
                <w:rFonts w:ascii="Tahoma" w:hAnsi="Tahoma"/>
                <w:i w:val="0"/>
                <w:noProof/>
                <w:sz w:val="20"/>
              </w:rPr>
              <w:t>отправяне на искане от работниците, техните представители или органите по равнопоставеността (подвариант 1Б);</w:t>
            </w:r>
          </w:p>
          <w:p>
            <w:pPr>
              <w:pStyle w:val="Heading3"/>
              <w:keepNext w:val="0"/>
              <w:spacing w:before="100" w:beforeAutospacing="1" w:after="60"/>
              <w:ind w:left="0" w:firstLine="0"/>
              <w:outlineLvl w:val="2"/>
              <w:rPr>
                <w:rFonts w:ascii="Tahoma" w:hAnsi="Tahoma" w:cs="Tahoma"/>
                <w:i w:val="0"/>
                <w:noProof/>
                <w:sz w:val="20"/>
              </w:rPr>
            </w:pPr>
            <w:r>
              <w:rPr>
                <w:rFonts w:ascii="Tahoma" w:hAnsi="Tahoma"/>
                <w:b/>
                <w:i w:val="0"/>
                <w:noProof/>
                <w:sz w:val="20"/>
              </w:rPr>
              <w:t xml:space="preserve">вариант 2 </w:t>
            </w:r>
            <w:r>
              <w:rPr>
                <w:rFonts w:ascii="Tahoma" w:hAnsi="Tahoma"/>
                <w:i w:val="0"/>
                <w:noProof/>
                <w:sz w:val="20"/>
              </w:rPr>
              <w:t>— законодателно действие за създаване на прозрачност на равнището на работодателите. Това включва четири подварианта с различна степен на амбиция:</w:t>
            </w:r>
          </w:p>
          <w:p>
            <w:pPr>
              <w:pStyle w:val="Heading3"/>
              <w:keepNext w:val="0"/>
              <w:spacing w:before="100" w:beforeAutospacing="1" w:after="60"/>
              <w:ind w:left="0" w:firstLine="0"/>
              <w:outlineLvl w:val="2"/>
              <w:rPr>
                <w:rFonts w:ascii="Tahoma" w:hAnsi="Tahoma" w:cs="Tahoma"/>
                <w:i w:val="0"/>
                <w:noProof/>
                <w:sz w:val="20"/>
              </w:rPr>
            </w:pPr>
            <w:r>
              <w:rPr>
                <w:rFonts w:ascii="Tahoma" w:hAnsi="Tahoma"/>
                <w:i w:val="0"/>
                <w:noProof/>
                <w:sz w:val="20"/>
                <w:u w:val="single"/>
              </w:rPr>
              <w:t>подвариант 2А</w:t>
            </w:r>
            <w:r>
              <w:rPr>
                <w:rFonts w:ascii="Tahoma" w:hAnsi="Tahoma"/>
                <w:i w:val="0"/>
                <w:noProof/>
                <w:sz w:val="20"/>
              </w:rPr>
              <w:t xml:space="preserve"> — удостоверяване на равно заплащане;</w:t>
            </w:r>
          </w:p>
          <w:p>
            <w:pPr>
              <w:pStyle w:val="Heading3"/>
              <w:keepNext w:val="0"/>
              <w:spacing w:before="100" w:beforeAutospacing="1" w:after="60"/>
              <w:ind w:left="0" w:firstLine="0"/>
              <w:outlineLvl w:val="2"/>
              <w:rPr>
                <w:rFonts w:ascii="Tahoma" w:hAnsi="Tahoma" w:cs="Tahoma"/>
                <w:i w:val="0"/>
                <w:noProof/>
                <w:sz w:val="20"/>
              </w:rPr>
            </w:pPr>
            <w:r>
              <w:rPr>
                <w:rFonts w:ascii="Tahoma" w:hAnsi="Tahoma"/>
                <w:i w:val="0"/>
                <w:noProof/>
                <w:sz w:val="20"/>
                <w:u w:val="single"/>
              </w:rPr>
              <w:t>подвариант 2Б</w:t>
            </w:r>
            <w:r>
              <w:rPr>
                <w:rFonts w:ascii="Tahoma" w:hAnsi="Tahoma"/>
                <w:i w:val="0"/>
                <w:noProof/>
                <w:sz w:val="20"/>
              </w:rPr>
              <w:t xml:space="preserve"> — съвместна оценка на заплащането от работодателите и представителите на работниците;</w:t>
            </w:r>
          </w:p>
          <w:p>
            <w:pPr>
              <w:pStyle w:val="Heading3"/>
              <w:keepNext w:val="0"/>
              <w:spacing w:before="100" w:beforeAutospacing="1" w:after="60"/>
              <w:ind w:left="0" w:firstLine="0"/>
              <w:outlineLvl w:val="2"/>
              <w:rPr>
                <w:rFonts w:ascii="Tahoma" w:hAnsi="Tahoma" w:cs="Tahoma"/>
                <w:i w:val="0"/>
                <w:noProof/>
                <w:sz w:val="20"/>
              </w:rPr>
            </w:pPr>
            <w:r>
              <w:rPr>
                <w:rFonts w:ascii="Tahoma" w:hAnsi="Tahoma"/>
                <w:i w:val="0"/>
                <w:noProof/>
                <w:sz w:val="20"/>
                <w:u w:val="single"/>
              </w:rPr>
              <w:t>подвариант 2В</w:t>
            </w:r>
            <w:r>
              <w:rPr>
                <w:rFonts w:ascii="Tahoma" w:hAnsi="Tahoma"/>
                <w:i w:val="0"/>
                <w:noProof/>
                <w:sz w:val="20"/>
              </w:rPr>
              <w:t xml:space="preserve"> — докладване във връзка със заплащането в съчетание със съвместна оценка на заплащането; както и</w:t>
            </w:r>
          </w:p>
          <w:p>
            <w:pPr>
              <w:pStyle w:val="Heading3"/>
              <w:keepNext w:val="0"/>
              <w:spacing w:before="100" w:beforeAutospacing="1" w:after="60"/>
              <w:ind w:left="0" w:firstLine="0"/>
              <w:outlineLvl w:val="2"/>
              <w:rPr>
                <w:i w:val="0"/>
                <w:noProof/>
              </w:rPr>
            </w:pPr>
            <w:r>
              <w:rPr>
                <w:rFonts w:ascii="Tahoma" w:hAnsi="Tahoma"/>
                <w:i w:val="0"/>
                <w:noProof/>
                <w:sz w:val="20"/>
                <w:u w:val="single"/>
              </w:rPr>
              <w:t>подвариант 2Г</w:t>
            </w:r>
            <w:r>
              <w:rPr>
                <w:rFonts w:ascii="Tahoma" w:hAnsi="Tahoma"/>
                <w:i w:val="0"/>
                <w:noProof/>
                <w:sz w:val="20"/>
              </w:rPr>
              <w:t xml:space="preserve"> — засилено докладване във връзка със заплащането и съвместна оценка на заплащането при наличие на статистически значими индикации за неравенства в заплащането на жените и мъжете; както и</w:t>
            </w:r>
          </w:p>
          <w:p>
            <w:pPr>
              <w:keepNext/>
              <w:spacing w:before="100" w:beforeAutospacing="1" w:after="360"/>
              <w:jc w:val="both"/>
              <w:rPr>
                <w:rFonts w:ascii="Tahoma" w:hAnsi="Tahoma" w:cs="Tahoma"/>
                <w:noProof/>
                <w:lang w:val="en-US"/>
              </w:rPr>
            </w:pPr>
            <w:r>
              <w:rPr>
                <w:rFonts w:ascii="Tahoma" w:hAnsi="Tahoma"/>
                <w:b/>
                <w:noProof/>
              </w:rPr>
              <w:t>вариант 3</w:t>
            </w:r>
            <w:r>
              <w:rPr>
                <w:b/>
                <w:noProof/>
              </w:rPr>
              <w:t xml:space="preserve"> — </w:t>
            </w:r>
            <w:r>
              <w:rPr>
                <w:rFonts w:ascii="Tahoma" w:hAnsi="Tahoma"/>
                <w:noProof/>
              </w:rPr>
              <w:t>законодателно действие за улесняване на прилагането и изпълнението на съществуващата правна уредба (без прозрачност в заплащането). Това включва поясняване на съществуващите основни понятия „заплащане“ и „труд с равна стойност“, подобрен достъп до правосъдие и подобрени механизми за привеждане в изпълнение.</w:t>
            </w:r>
          </w:p>
          <w:p>
            <w:pPr>
              <w:pStyle w:val="Heading3"/>
              <w:keepNext w:val="0"/>
              <w:spacing w:before="0"/>
              <w:ind w:left="0" w:firstLine="0"/>
              <w:outlineLvl w:val="2"/>
              <w:rPr>
                <w:rFonts w:ascii="Tahoma" w:hAnsi="Tahoma" w:cs="Tahoma"/>
                <w:i w:val="0"/>
                <w:noProof/>
                <w:sz w:val="20"/>
              </w:rPr>
            </w:pPr>
            <w:r>
              <w:rPr>
                <w:rFonts w:ascii="Tahoma" w:hAnsi="Tahoma"/>
                <w:i w:val="0"/>
                <w:noProof/>
                <w:sz w:val="20"/>
              </w:rPr>
              <w:t>Предпочитаният пакет включва</w:t>
            </w:r>
            <w:r>
              <w:rPr>
                <w:rFonts w:ascii="Tahoma" w:hAnsi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/>
                <w:i w:val="0"/>
                <w:noProof/>
                <w:sz w:val="20"/>
              </w:rPr>
              <w:t xml:space="preserve">комбинация от </w:t>
            </w:r>
            <w:r>
              <w:rPr>
                <w:rFonts w:ascii="Tahoma" w:hAnsi="Tahoma"/>
                <w:b/>
                <w:noProof/>
                <w:sz w:val="20"/>
              </w:rPr>
              <w:t xml:space="preserve">подвариант 1Б </w:t>
            </w:r>
            <w:r>
              <w:rPr>
                <w:rFonts w:ascii="Tahoma" w:hAnsi="Tahoma"/>
                <w:i w:val="0"/>
                <w:noProof/>
                <w:sz w:val="20"/>
              </w:rPr>
              <w:t>(овластяване на работниците чрез информация за заплатата преди назначаването на работа и право да се поиска информация</w:t>
            </w:r>
            <w:r>
              <w:rPr>
                <w:noProof/>
              </w:rPr>
              <w:t xml:space="preserve"> </w:t>
            </w:r>
            <w:r>
              <w:rPr>
                <w:rFonts w:ascii="Tahoma" w:hAnsi="Tahoma"/>
                <w:i w:val="0"/>
                <w:noProof/>
                <w:sz w:val="20"/>
              </w:rPr>
              <w:t xml:space="preserve">по време на трудовата заетост), </w:t>
            </w:r>
            <w:r>
              <w:rPr>
                <w:rFonts w:ascii="Tahoma" w:hAnsi="Tahoma"/>
                <w:b/>
                <w:noProof/>
                <w:sz w:val="20"/>
              </w:rPr>
              <w:t xml:space="preserve">подвариант 2Г </w:t>
            </w:r>
            <w:r>
              <w:rPr>
                <w:rFonts w:ascii="Tahoma" w:hAnsi="Tahoma"/>
                <w:i w:val="0"/>
                <w:noProof/>
                <w:sz w:val="20"/>
              </w:rPr>
              <w:t xml:space="preserve">засилено докладване във връзка със заплащането и съвместна оценка на заплащането в случай на статистически значими индикации за неравенства в заплащането и </w:t>
            </w:r>
            <w:r>
              <w:rPr>
                <w:rFonts w:ascii="Tahoma" w:hAnsi="Tahoma"/>
                <w:b/>
                <w:noProof/>
                <w:sz w:val="20"/>
              </w:rPr>
              <w:t>вариант 3</w:t>
            </w:r>
            <w:r>
              <w:rPr>
                <w:rFonts w:ascii="Tahoma" w:hAnsi="Tahoma"/>
                <w:i w:val="0"/>
                <w:noProof/>
                <w:sz w:val="20"/>
              </w:rPr>
              <w:t xml:space="preserve"> в една-единствена нова инициатива. Това е най-пропорционалното и целенасочено решение: с него се постигат общите и специфичните цели, като се осигурява баланс между ефективността и ефикасността и се отчитат липсата на „твърди“ данни за мащаба на проблема и настоящият икономически спад в резултат на пандемията от COVID</w:t>
            </w:r>
            <w:r>
              <w:rPr>
                <w:rFonts w:ascii="Tahoma" w:hAnsi="Tahoma"/>
                <w:i w:val="0"/>
                <w:noProof/>
                <w:sz w:val="20"/>
              </w:rPr>
              <w:noBreakHyphen/>
              <w:t>19.</w:t>
            </w:r>
          </w:p>
          <w:bookmarkEnd w:id="2"/>
          <w:p>
            <w:pPr>
              <w:spacing w:after="120"/>
              <w:jc w:val="both"/>
              <w:rPr>
                <w:rFonts w:ascii="Tahoma" w:hAnsi="Tahoma" w:cs="Tahoma"/>
                <w:noProof/>
              </w:rPr>
            </w:pPr>
            <w:r>
              <w:rPr>
                <w:rStyle w:val="normaltextrun"/>
                <w:rFonts w:ascii="Tahoma" w:hAnsi="Tahoma"/>
                <w:noProof/>
                <w:color w:val="000000" w:themeColor="text1"/>
              </w:rPr>
              <w:t>Предвиденият набор от законодателни мерки цели създаване на прозрачност относно заплащането и структурите на заплащане, овластяване на работниците и преодоляване на системното подценяване на работата на жените. С него ще се обезпечи правото на достъп на работниците до информацията, която име необходима, за да преценят дали са засегнати от основана на пола дискриминация в заплащането. Той също така ще позволи на работодателите да откриват и отстраняват дискриминация и предубеждения в структурите на заплащане. Законодателният</w:t>
            </w:r>
            <w:r>
              <w:rPr>
                <w:rStyle w:val="normaltextrun"/>
                <w:rFonts w:asciiTheme="minorHAnsi" w:hAnsiTheme="minorHAnsi"/>
                <w:noProof/>
                <w:color w:val="000000" w:themeColor="text1"/>
              </w:rPr>
              <w:t xml:space="preserve"> </w:t>
            </w:r>
            <w:r>
              <w:rPr>
                <w:rFonts w:ascii="Tahoma" w:hAnsi="Tahoma"/>
                <w:noProof/>
              </w:rPr>
              <w:t>вариант предполага освобождавания, така че правото на равно заплащане да се балансира с евентуалната тежест и разходи във връзка с различните мерки, както и мерките да се насочат там, където са най-необходими. Работодатели с по-малко от 250 служители няма да бъдат задължени нито да им предоставят проактивно периодична информация за заплащането или да докладват във връзка със заплащането; нито да извършват съвместни оценки на заплащането. В тези образувания правата на работниците ще се защитават посредством правото да се поиска съответната информация относно заплащането в съчетание със засилено прехвърляне на тежестта на доказване и подобрен достъп до правосъдие. Пакетът също така предполага по-добро прилагане на основните понятия, свързани с равното заплащане.</w:t>
            </w:r>
          </w:p>
        </w:tc>
      </w:tr>
      <w:tr>
        <w:tc>
          <w:tcPr>
            <w:tcW w:w="9464" w:type="dxa"/>
            <w:shd w:val="clear" w:color="auto" w:fill="E6E6E6"/>
          </w:tcPr>
          <w:p>
            <w:pPr>
              <w:pStyle w:val="Default"/>
              <w:spacing w:before="100" w:beforeAutospacing="1" w:after="20"/>
              <w:jc w:val="both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noProof/>
                <w:sz w:val="20"/>
                <w:szCs w:val="20"/>
              </w:rPr>
              <w:t>Какво е становището на различните заинтересовани страни? Кой подкрепя отделните варианти?</w:t>
            </w:r>
          </w:p>
        </w:tc>
      </w:tr>
      <w:tr>
        <w:trPr>
          <w:trHeight w:val="416"/>
        </w:trPr>
        <w:tc>
          <w:tcPr>
            <w:tcW w:w="946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</w:rPr>
              <w:t>За настоящата оценка на въздействието и за предишната оценка на правната уредба на ЕС в областта на равното заплащане бяха проведени широкообхватни консултации със заинтересованите страни.</w:t>
            </w:r>
          </w:p>
          <w:p>
            <w:pPr>
              <w:spacing w:after="12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b/>
                <w:noProof/>
              </w:rPr>
              <w:t>Частните лица</w:t>
            </w:r>
            <w:r>
              <w:rPr>
                <w:rFonts w:ascii="Tahoma" w:hAnsi="Tahoma"/>
                <w:noProof/>
              </w:rPr>
              <w:t>, които взеха участие в консултацията, изразиха цялостна подкрепа. Това е в съответствие с нагласите в обществените допитвания, например проучването на Евробарометър, проведено през 2017 г.</w:t>
            </w:r>
          </w:p>
          <w:p>
            <w:pPr>
              <w:spacing w:after="12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</w:rPr>
              <w:t xml:space="preserve">Повечето </w:t>
            </w:r>
            <w:r>
              <w:rPr>
                <w:rFonts w:ascii="Tahoma" w:hAnsi="Tahoma"/>
                <w:b/>
                <w:noProof/>
              </w:rPr>
              <w:t>работодатели</w:t>
            </w:r>
            <w:r>
              <w:rPr>
                <w:rFonts w:ascii="Tahoma" w:hAnsi="Tahoma"/>
                <w:noProof/>
              </w:rPr>
              <w:t xml:space="preserve"> биха предпочели да се отдаде приоритет на мерки за преодоляване на други основни причини за разликата в заплащането на жените и мъжете. Те считат, че тази инициатива няма да е толкова ефективна за намаляването на разликата в заплащането на жените и мъжете, а оттам и че е ненужно скъпа, особено за МСП. Те изтъкнаха трудностите да се прецени какво представлява труд с равна стойност, както и опасения във връзка със защитата на данните. Те също така посочиха автономността на социалните партньори и необходимостта да се запазят съществуващите инструменти за докладване на национално равнище.</w:t>
            </w:r>
          </w:p>
          <w:p>
            <w:pPr>
              <w:spacing w:after="12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b/>
                <w:noProof/>
              </w:rPr>
              <w:t>Синдикалните организации</w:t>
            </w:r>
            <w:r>
              <w:rPr>
                <w:rFonts w:ascii="Tahoma" w:hAnsi="Tahoma"/>
                <w:noProof/>
              </w:rPr>
              <w:t xml:space="preserve"> като цяло подкрепят инициативата и се обявяват за още по-амбициозни подходи, макар че някои я поставят под въпрос от гледна точка на субсидиарността.</w:t>
            </w:r>
          </w:p>
          <w:p>
            <w:pPr>
              <w:spacing w:after="12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b/>
                <w:noProof/>
              </w:rPr>
              <w:t>Държавите членки</w:t>
            </w:r>
            <w:r>
              <w:rPr>
                <w:rFonts w:ascii="Tahoma" w:hAnsi="Tahoma"/>
                <w:noProof/>
              </w:rPr>
              <w:t xml:space="preserve"> изразиха различни позиции, но повечето подкрепиха инициативата (по-специално държавите, които вече са въвели мерки за прозрачност).</w:t>
            </w:r>
          </w:p>
        </w:tc>
      </w:tr>
      <w:tr>
        <w:tc>
          <w:tcPr>
            <w:tcW w:w="9464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tabs>
                <w:tab w:val="left" w:pos="9192"/>
              </w:tabs>
              <w:spacing w:before="60" w:after="60"/>
              <w:rPr>
                <w:rFonts w:ascii="Tahoma" w:hAnsi="Tahoma" w:cs="Tahoma"/>
                <w:b/>
                <w:noProof/>
              </w:rPr>
            </w:pPr>
            <w:r>
              <w:rPr>
                <w:noProof/>
              </w:rPr>
              <w:br w:type="page"/>
            </w:r>
            <w:r>
              <w:rPr>
                <w:rFonts w:ascii="Tahoma" w:hAnsi="Tahoma"/>
                <w:b/>
                <w:noProof/>
              </w:rPr>
              <w:t>В. Въздействие на предпочитания вариант</w:t>
            </w:r>
          </w:p>
        </w:tc>
      </w:tr>
      <w:tr>
        <w:tc>
          <w:tcPr>
            <w:tcW w:w="9464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tabs>
                <w:tab w:val="left" w:pos="9192"/>
              </w:tabs>
              <w:jc w:val="both"/>
              <w:rPr>
                <w:rFonts w:ascii="Tahoma" w:hAnsi="Tahoma" w:cs="Tahoma"/>
                <w:noProof/>
                <w:color w:val="auto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noProof/>
                <w:color w:val="auto"/>
                <w:sz w:val="20"/>
                <w:szCs w:val="20"/>
              </w:rPr>
              <w:t>Какви са ползите от предпочитания вариант (ако има такъв; в противен случай — за основните варианти)?</w:t>
            </w:r>
          </w:p>
        </w:tc>
      </w:tr>
      <w:tr>
        <w:trPr>
          <w:trHeight w:val="416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Style w:val="normaltextrun"/>
                <w:rFonts w:ascii="Tahoma" w:eastAsiaTheme="minorHAnsi" w:hAnsi="Tahoma" w:cs="Tahoma"/>
                <w:noProof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ascii="Tahoma" w:hAnsi="Tahoma"/>
                <w:noProof/>
              </w:rPr>
              <w:t xml:space="preserve">В допълнение към основната цел за прилагане на основно право мерките за прозрачност в заплащането ще улеснят промяна в културата по отношение на проблемите, свързани с равенството между половете, и ще доведат до по-добре фокусирани и насочени действия на политиката в тази област. </w:t>
            </w:r>
            <w:r>
              <w:rPr>
                <w:rFonts w:ascii="Tahoma" w:hAnsi="Tahoma"/>
                <w:i/>
                <w:noProof/>
              </w:rPr>
              <w:t>По отношение на работниците</w:t>
            </w:r>
            <w:r>
              <w:rPr>
                <w:rFonts w:ascii="Tahoma" w:hAnsi="Tahoma"/>
                <w:noProof/>
              </w:rPr>
              <w:t xml:space="preserve"> прозрачността в заплащането подобрява удовлетвореността и ангажираността във връзка с работата. Тя повишава осведомеността и овластява работниците, по-специално жените, да потърсят правна защита срещу необосновани разлики в заплащането на индивидуално равнище и полово обусловени предубеждения при определянето на заплащането и оценката на работата. </w:t>
            </w:r>
            <w:r>
              <w:rPr>
                <w:rFonts w:ascii="Tahoma" w:hAnsi="Tahoma"/>
                <w:i/>
                <w:noProof/>
              </w:rPr>
              <w:t>По отношение на работодателите</w:t>
            </w:r>
            <w:r>
              <w:rPr>
                <w:rFonts w:ascii="Tahoma" w:hAnsi="Tahoma"/>
                <w:noProof/>
              </w:rPr>
              <w:t xml:space="preserve"> прилагането на прозрачност в заплащането означава подобрено задържане на служители, повишена привлекателност и рентабилност. </w:t>
            </w:r>
            <w:r>
              <w:rPr>
                <w:rFonts w:ascii="Tahoma" w:hAnsi="Tahoma"/>
                <w:i/>
                <w:noProof/>
              </w:rPr>
              <w:t>Обществото като цяло</w:t>
            </w:r>
            <w:r>
              <w:rPr>
                <w:rFonts w:ascii="Tahoma" w:hAnsi="Tahoma"/>
                <w:noProof/>
              </w:rPr>
              <w:t xml:space="preserve"> </w:t>
            </w:r>
            <w:r>
              <w:rPr>
                <w:rStyle w:val="normaltextrun"/>
                <w:rFonts w:ascii="Tahoma" w:hAnsi="Tahoma"/>
                <w:noProof/>
                <w:shd w:val="clear" w:color="auto" w:fill="FFFFFF" w:themeFill="background1"/>
              </w:rPr>
              <w:t xml:space="preserve">ще има полза от повишеното ниво на равенство и (което също е важно) от задълбоченото усещане за равенство. Повишеното равенство в </w:t>
            </w:r>
            <w:r>
              <w:rPr>
                <w:rFonts w:ascii="Tahoma" w:hAnsi="Tahoma"/>
                <w:noProof/>
                <w:shd w:val="clear" w:color="auto" w:fill="FFFFFF" w:themeFill="background1"/>
              </w:rPr>
              <w:t>заплащането</w:t>
            </w:r>
            <w:r>
              <w:rPr>
                <w:rFonts w:ascii="Tahoma" w:hAnsi="Tahoma"/>
                <w:noProof/>
              </w:rPr>
              <w:t xml:space="preserve"> подобрява разпределянето и използването на ресурсите, намалява неравенството и допринася за устойчивото развитие. </w:t>
            </w:r>
            <w:r>
              <w:rPr>
                <w:rFonts w:ascii="Tahoma" w:hAnsi="Tahoma"/>
                <w:noProof/>
                <w:shd w:val="clear" w:color="auto" w:fill="FFFFFF" w:themeFill="background1"/>
              </w:rPr>
              <w:t xml:space="preserve">Като цяло мерките за прозрачност в заплащането могат да доведат до значителни промени в поведението. Мащабът на </w:t>
            </w:r>
            <w:r>
              <w:rPr>
                <w:rStyle w:val="normaltextrun"/>
                <w:rFonts w:ascii="Tahoma" w:hAnsi="Tahoma"/>
                <w:noProof/>
                <w:shd w:val="clear" w:color="auto" w:fill="FFFFFF" w:themeFill="background1"/>
              </w:rPr>
              <w:t>ползите ще зависи от нивото на спазване на законодателството, както и от степента, до която работодателите предприемат последващи мерки.</w:t>
            </w:r>
          </w:p>
          <w:p>
            <w:pPr>
              <w:tabs>
                <w:tab w:val="left" w:pos="9192"/>
              </w:tabs>
              <w:spacing w:after="12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</w:rPr>
              <w:t xml:space="preserve">Потенциалното въздействие на пакета от мерки бе изчислено хипотетично като общо </w:t>
            </w:r>
            <w:r>
              <w:rPr>
                <w:rFonts w:ascii="Tahoma" w:hAnsi="Tahoma"/>
                <w:b/>
                <w:noProof/>
              </w:rPr>
              <w:t>намаление с 3 процентни пункта на необяснения дял от разликата в заплащането на жените и мъжете</w:t>
            </w:r>
            <w:r>
              <w:rPr>
                <w:rFonts w:ascii="Tahoma" w:hAnsi="Tahoma"/>
                <w:noProof/>
              </w:rPr>
              <w:t xml:space="preserve">. Това би довело до </w:t>
            </w:r>
            <w:r>
              <w:rPr>
                <w:rFonts w:ascii="Tahoma" w:hAnsi="Tahoma"/>
                <w:b/>
                <w:noProof/>
              </w:rPr>
              <w:t>спад в степента на изложеност на риск от изпадане в бедност</w:t>
            </w:r>
            <w:r>
              <w:rPr>
                <w:rFonts w:ascii="Tahoma" w:hAnsi="Tahoma"/>
                <w:noProof/>
              </w:rPr>
              <w:t xml:space="preserve"> в ЕС от средно 16,3 % до около 14,6 %, като са налице значителни различия между отделните държави и видовете домакинства. На свой ред това би довело до цялостно увеличение с 6,9 % на общите приходи и до цялостно намаление на неравенствата както на пазара, така и по отношение на разполагаемия доход. Степента на бедност се намалява най-вече за </w:t>
            </w:r>
            <w:r>
              <w:rPr>
                <w:rFonts w:ascii="Tahoma" w:hAnsi="Tahoma"/>
                <w:b/>
                <w:noProof/>
              </w:rPr>
              <w:t>домакинствата с един родител, 85 % от които са жени</w:t>
            </w:r>
            <w:r>
              <w:rPr>
                <w:rFonts w:ascii="Tahoma" w:hAnsi="Tahoma"/>
                <w:b/>
                <w:noProof/>
              </w:rPr>
              <w:noBreakHyphen/>
            </w:r>
            <w:r>
              <w:rPr>
                <w:rFonts w:ascii="Tahoma" w:hAnsi="Tahoma"/>
                <w:noProof/>
              </w:rPr>
              <w:t xml:space="preserve">. Оказва се и </w:t>
            </w:r>
            <w:r>
              <w:rPr>
                <w:rFonts w:ascii="Tahoma" w:hAnsi="Tahoma"/>
                <w:b/>
                <w:noProof/>
              </w:rPr>
              <w:t>положително въздействие върху националните бюджети</w:t>
            </w:r>
            <w:r>
              <w:rPr>
                <w:rFonts w:ascii="Tahoma" w:hAnsi="Tahoma"/>
                <w:noProof/>
              </w:rPr>
              <w:t>: държавните приходи от преки данъци и социалноосигурителни вноски биха се увеличили с около 7,5 %, а социалните плащания (т.е. паричните обезщетения) биха намалели с около 0,4 %, най-вече поради спад в социалните обезщетения с условия за имуществено състояние.</w:t>
            </w:r>
          </w:p>
        </w:tc>
      </w:tr>
      <w:tr>
        <w:tc>
          <w:tcPr>
            <w:tcW w:w="9464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tabs>
                <w:tab w:val="left" w:pos="9192"/>
              </w:tabs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noProof/>
                <w:sz w:val="20"/>
                <w:szCs w:val="20"/>
              </w:rPr>
              <w:t>Какви са разходите за предпочитания вариант (ако има такъв; в противен случай — за основните варианти)?</w:t>
            </w:r>
          </w:p>
        </w:tc>
      </w:tr>
      <w:tr>
        <w:trPr>
          <w:trHeight w:val="274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9192"/>
              </w:tabs>
              <w:spacing w:before="120" w:after="12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</w:rPr>
              <w:t xml:space="preserve">Очаква да бъдат ограничени както </w:t>
            </w:r>
            <w:r>
              <w:rPr>
                <w:rFonts w:ascii="Tahoma" w:hAnsi="Tahoma"/>
                <w:b/>
                <w:noProof/>
              </w:rPr>
              <w:t>административните</w:t>
            </w:r>
            <w:r>
              <w:rPr>
                <w:rFonts w:ascii="Tahoma" w:hAnsi="Tahoma"/>
                <w:noProof/>
              </w:rPr>
              <w:t xml:space="preserve"> разходи на държавите членки (за </w:t>
            </w:r>
            <w:r>
              <w:rPr>
                <w:rFonts w:ascii="Tahoma" w:hAnsi="Tahoma"/>
                <w:b/>
                <w:noProof/>
              </w:rPr>
              <w:t>транспониране и привеждане в изпълнение</w:t>
            </w:r>
            <w:r>
              <w:rPr>
                <w:rFonts w:ascii="Tahoma" w:hAnsi="Tahoma"/>
                <w:noProof/>
              </w:rPr>
              <w:t>), така и разходите във връзка с наблюдението на спазването.</w:t>
            </w:r>
          </w:p>
          <w:p>
            <w:pPr>
              <w:tabs>
                <w:tab w:val="left" w:pos="9192"/>
              </w:tabs>
              <w:spacing w:after="6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</w:rPr>
              <w:t xml:space="preserve">Пакетът би включвал еднократни разходи за </w:t>
            </w:r>
            <w:r>
              <w:rPr>
                <w:rFonts w:ascii="Tahoma" w:hAnsi="Tahoma"/>
                <w:b/>
                <w:noProof/>
              </w:rPr>
              <w:t>спазване</w:t>
            </w:r>
            <w:r>
              <w:rPr>
                <w:rFonts w:ascii="Tahoma" w:hAnsi="Tahoma"/>
                <w:noProof/>
              </w:rPr>
              <w:t xml:space="preserve"> за работодателите (които се очаква да варират от ниски до умерени) и би довел до по-ниски текущи разходи.</w:t>
            </w:r>
            <w:r>
              <w:rPr>
                <w:rFonts w:ascii="Tahoma" w:hAnsi="Tahoma"/>
                <w:noProof/>
              </w:rPr>
              <w:noBreakHyphen/>
              <w:t xml:space="preserve"> Общите разходи за всеки работодател бяха изчислени на следната основа:</w:t>
            </w:r>
          </w:p>
          <w:p>
            <w:pPr>
              <w:pStyle w:val="Text2"/>
              <w:numPr>
                <w:ilvl w:val="0"/>
                <w:numId w:val="2"/>
              </w:numPr>
              <w:tabs>
                <w:tab w:val="left" w:pos="9192"/>
              </w:tabs>
              <w:spacing w:after="60" w:line="276" w:lineRule="auto"/>
              <w:ind w:left="568" w:hanging="284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/>
                <w:noProof/>
                <w:sz w:val="20"/>
              </w:rPr>
              <w:t>осигуряване на информация преди назначаването на работа — 0 EUR;</w:t>
            </w:r>
          </w:p>
          <w:p>
            <w:pPr>
              <w:pStyle w:val="Text2"/>
              <w:numPr>
                <w:ilvl w:val="0"/>
                <w:numId w:val="2"/>
              </w:numPr>
              <w:tabs>
                <w:tab w:val="left" w:pos="9192"/>
              </w:tabs>
              <w:spacing w:after="60" w:line="276" w:lineRule="auto"/>
              <w:ind w:left="568" w:hanging="284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/>
                <w:noProof/>
                <w:sz w:val="20"/>
              </w:rPr>
              <w:t>отговор на индивидуално искане за информация за заплащането — 20 EUR (индикативна сума за предприятия с всякакъв размер);</w:t>
            </w:r>
          </w:p>
          <w:p>
            <w:pPr>
              <w:pStyle w:val="Text2"/>
              <w:numPr>
                <w:ilvl w:val="0"/>
                <w:numId w:val="2"/>
              </w:numPr>
              <w:tabs>
                <w:tab w:val="left" w:pos="9192"/>
              </w:tabs>
              <w:spacing w:after="60" w:line="276" w:lineRule="auto"/>
              <w:ind w:left="568" w:hanging="284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/>
                <w:noProof/>
                <w:sz w:val="20"/>
              </w:rPr>
              <w:t>задължително докладване във връзка със средните разлики в заплащането на жените и мъжете по категория работници — между 379—508 EUR и 721—890 EUR (за дружества с повече от 250 служители); както и</w:t>
            </w:r>
          </w:p>
          <w:p>
            <w:pPr>
              <w:pStyle w:val="Text2"/>
              <w:numPr>
                <w:ilvl w:val="0"/>
                <w:numId w:val="2"/>
              </w:numPr>
              <w:tabs>
                <w:tab w:val="left" w:pos="9192"/>
              </w:tabs>
              <w:spacing w:after="120" w:line="276" w:lineRule="auto"/>
              <w:ind w:left="568" w:hanging="284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/>
                <w:noProof/>
                <w:sz w:val="20"/>
              </w:rPr>
              <w:t>извършване на допълнителна оценка (при необходимост — за дружества с повече от 250 служители, когато при докладването във връзка със заплащането се установи статистически значима разлика в заплащането) — между 1180—1724 EUR и 1911—2266 EUR за работодател (като се очаква намаляване при последващи случаи).</w:t>
            </w:r>
          </w:p>
          <w:p>
            <w:pPr>
              <w:tabs>
                <w:tab w:val="left" w:pos="9192"/>
              </w:tabs>
              <w:spacing w:after="120"/>
              <w:jc w:val="both"/>
              <w:rPr>
                <w:rFonts w:ascii="Tahoma" w:hAnsi="Tahoma" w:cs="Tahoma"/>
                <w:noProof/>
                <w:highlight w:val="yellow"/>
              </w:rPr>
            </w:pPr>
            <w:r>
              <w:rPr>
                <w:rFonts w:ascii="Tahoma" w:hAnsi="Tahoma"/>
                <w:b/>
                <w:bCs/>
                <w:noProof/>
              </w:rPr>
              <w:t>Общите разходи за ЕС</w:t>
            </w:r>
            <w:r>
              <w:rPr>
                <w:rFonts w:ascii="Tahoma" w:hAnsi="Tahoma"/>
                <w:noProof/>
              </w:rPr>
              <w:t xml:space="preserve"> биха възлизали на 26—50 милиона евро за докладването във връзка със заплащането, плюс допълнителни разходи за евентуална съвместна оценка на заплащането и искания за информация за заплащането, като и двете зависят от мащаба на дискриминацията в заплащането.</w:t>
            </w:r>
          </w:p>
        </w:tc>
      </w:tr>
      <w:tr>
        <w:tc>
          <w:tcPr>
            <w:tcW w:w="9464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keepNext/>
              <w:tabs>
                <w:tab w:val="left" w:pos="9192"/>
              </w:tabs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noProof/>
                <w:sz w:val="20"/>
                <w:szCs w:val="20"/>
              </w:rPr>
              <w:t>Какво е въздействието върху МСП и конкурентоспособността?</w:t>
            </w:r>
          </w:p>
        </w:tc>
      </w:tr>
      <w:tr>
        <w:trPr>
          <w:trHeight w:val="613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9192"/>
              </w:tabs>
              <w:spacing w:before="120" w:after="12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</w:rPr>
              <w:t>Работодателите с по-малко от 250 служители са освободени от проактивното предоставяне на работниците на информация за заплащането, от докладване във връзка с разлики в заплащането и от извършване на условна съвместна оценка на заплащането. Мерките за докладване и оценка на заплащането биха се прилагали към 0,2 % от дружествата от ЕС (които обхващат 33 % от работната сила в ЕС). Всички работници обаче биха имали право да поискат конкретна информация за заплащането и всички работодатели биха били длъжни да я предоставят.</w:t>
            </w:r>
          </w:p>
          <w:p>
            <w:pPr>
              <w:tabs>
                <w:tab w:val="left" w:pos="9192"/>
              </w:tabs>
              <w:spacing w:after="12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</w:rPr>
              <w:t>Настоящата инициатива се отнася най-вече до прилагането на основно право на ЕС (правото на равно заплащане). В съчетание със социалните цели на ЕС тези цели имат предимство пред икономическото измерение на правото на равно заплащане</w:t>
            </w:r>
            <w:r>
              <w:rPr>
                <w:rStyle w:val="FootnoteReference"/>
                <w:noProof/>
              </w:rPr>
              <w:footnoteReference w:id="2"/>
            </w:r>
            <w:r>
              <w:rPr>
                <w:rFonts w:ascii="Tahoma" w:hAnsi="Tahoma"/>
                <w:noProof/>
              </w:rPr>
              <w:t>. Единствено съгласуван и всеобхватен подход в целия ЕС може да гарантира еднакви условия на конкуренция за всички държави членки и да попречи на работодателите да прибягват до нелоялни конкурентни предимства чрез дискриминация в заплащането.</w:t>
            </w:r>
          </w:p>
        </w:tc>
      </w:tr>
      <w:tr>
        <w:tc>
          <w:tcPr>
            <w:tcW w:w="9464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tabs>
                <w:tab w:val="left" w:pos="9192"/>
              </w:tabs>
              <w:jc w:val="both"/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</w:pPr>
            <w:r>
              <w:rPr>
                <w:rFonts w:ascii="Tahoma" w:hAnsi="Tahoma"/>
                <w:b/>
                <w:bCs/>
                <w:noProof/>
                <w:sz w:val="20"/>
                <w:szCs w:val="20"/>
              </w:rPr>
              <w:t>Ще има ли значително въздействие върху националните бюджети и администрации?</w:t>
            </w:r>
          </w:p>
        </w:tc>
      </w:tr>
      <w:tr>
        <w:trPr>
          <w:trHeight w:val="274"/>
        </w:trPr>
        <w:tc>
          <w:tcPr>
            <w:tcW w:w="9464" w:type="dxa"/>
            <w:shd w:val="clear" w:color="auto" w:fill="auto"/>
          </w:tcPr>
          <w:p>
            <w:pPr>
              <w:tabs>
                <w:tab w:val="left" w:pos="9192"/>
              </w:tabs>
              <w:spacing w:before="120" w:after="12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</w:rPr>
              <w:t>Очаква се предпочитаният вариант да породи ограничени разходи за изпълнение в общ план и по-конкретно за националните администрации. Разходите може да варират в зависимост от подкрепата, която държавите членки изберат да предоставят доброволно на работодателите (например специална ИТ инфраструктура, замяна на докладването във връзка със заплащането с докладване въз основа на административни данни, насоки и обучение относно неутрални по отношение на пола системи за оценка и класификация на професиите).</w:t>
            </w:r>
          </w:p>
          <w:p>
            <w:pPr>
              <w:tabs>
                <w:tab w:val="left" w:pos="9192"/>
              </w:tabs>
              <w:spacing w:after="120"/>
              <w:jc w:val="both"/>
              <w:rPr>
                <w:rFonts w:ascii="Tahoma" w:hAnsi="Tahoma" w:cs="Tahoma"/>
                <w:noProof/>
                <w:highlight w:val="yellow"/>
              </w:rPr>
            </w:pPr>
            <w:r>
              <w:rPr>
                <w:rFonts w:ascii="Tahoma" w:hAnsi="Tahoma"/>
                <w:noProof/>
              </w:rPr>
              <w:t>Същевременно се очакват положителни въздействия, макар че не е възможно да се представи надеждна цялостна прогноза. По-високите заплати на жените (които ще зависят от степента, в която се премахва дискриминацията в заплащането в резултат на настоящото предложение) биха могли да доведат до увеличение на държавните приходи (повишено събиране на данъци върху доходите и социалноосигурителни вноски). От друга страна, е възможно обаче повишението на средните заплати на жените да се компенсира от по-бавен ръст на заплатите на мъжете, което би подронило цялостния ефект. До степента, в която тези промени биха обхванали по-нископлатени работници, би могъл да настъпи и спад в социалните (парични) плащания, който се обяснява най-вече с намаление на социалните обезщетения с условия за имуществено състояние (вж. раздела относно обезщетенията по-горе).</w:t>
            </w:r>
          </w:p>
        </w:tc>
      </w:tr>
      <w:tr>
        <w:tc>
          <w:tcPr>
            <w:tcW w:w="9464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tabs>
                <w:tab w:val="left" w:pos="9192"/>
              </w:tabs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noProof/>
                <w:sz w:val="20"/>
                <w:szCs w:val="20"/>
              </w:rPr>
              <w:t>Ще има ли друго значително въздействие?</w:t>
            </w:r>
          </w:p>
        </w:tc>
      </w:tr>
      <w:tr>
        <w:trPr>
          <w:trHeight w:val="242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9192"/>
              </w:tabs>
              <w:spacing w:before="120" w:after="12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</w:rPr>
              <w:t xml:space="preserve">Не бе установено потенциално </w:t>
            </w:r>
            <w:r>
              <w:rPr>
                <w:rFonts w:ascii="Tahoma" w:hAnsi="Tahoma"/>
                <w:b/>
                <w:noProof/>
              </w:rPr>
              <w:t>екологично въздействие</w:t>
            </w:r>
            <w:r>
              <w:rPr>
                <w:rFonts w:ascii="Tahoma" w:hAnsi="Tahoma"/>
                <w:noProof/>
              </w:rPr>
              <w:t>.</w:t>
            </w:r>
          </w:p>
        </w:tc>
      </w:tr>
      <w:tr>
        <w:tc>
          <w:tcPr>
            <w:tcW w:w="9464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tabs>
                <w:tab w:val="left" w:pos="9192"/>
              </w:tabs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noProof/>
                <w:sz w:val="20"/>
                <w:szCs w:val="20"/>
              </w:rPr>
              <w:t>Пропорционалност?</w:t>
            </w:r>
          </w:p>
        </w:tc>
      </w:tr>
      <w:tr>
        <w:trPr>
          <w:trHeight w:val="1447"/>
        </w:trPr>
        <w:tc>
          <w:tcPr>
            <w:tcW w:w="9464" w:type="dxa"/>
            <w:shd w:val="clear" w:color="auto" w:fill="auto"/>
          </w:tcPr>
          <w:p>
            <w:pPr>
              <w:tabs>
                <w:tab w:val="left" w:pos="9192"/>
              </w:tabs>
              <w:spacing w:before="120" w:after="120"/>
              <w:jc w:val="both"/>
              <w:rPr>
                <w:noProof/>
              </w:rPr>
            </w:pPr>
            <w:r>
              <w:rPr>
                <w:rFonts w:ascii="Tahoma" w:hAnsi="Tahoma"/>
                <w:noProof/>
              </w:rPr>
              <w:t>Принципът на пропорционалност се спазва напълно, тъй като обхватът на мерките варира в зависимост от размера на работодателя, като по този начин се избягват прекомерните разходи и тежест и същевременно се гарантират основните права на работниците. В предложението се отчитат липсата на „твърди“ данни относно дискриминацията в заплащането и икономическият спад в резултат на пандемията от COVID</w:t>
            </w:r>
            <w:r>
              <w:rPr>
                <w:rFonts w:ascii="Tahoma" w:hAnsi="Tahoma"/>
                <w:noProof/>
              </w:rPr>
              <w:noBreakHyphen/>
              <w:t>19. Предвидената намеса представлява необходимият минимум за прилагане на принципа за равно заплащане по ефективен начин в държавите членки.</w:t>
            </w:r>
          </w:p>
        </w:tc>
      </w:tr>
      <w:tr>
        <w:tc>
          <w:tcPr>
            <w:tcW w:w="9464" w:type="dxa"/>
            <w:tcBorders>
              <w:bottom w:val="single" w:sz="4" w:space="0" w:color="auto"/>
            </w:tcBorders>
            <w:shd w:val="clear" w:color="auto" w:fill="C0C0C0"/>
          </w:tcPr>
          <w:p>
            <w:pPr>
              <w:tabs>
                <w:tab w:val="left" w:pos="9192"/>
              </w:tabs>
              <w:spacing w:before="60" w:after="60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/>
                <w:b/>
                <w:noProof/>
              </w:rPr>
              <w:t>Г. Последващи действия</w:t>
            </w:r>
          </w:p>
        </w:tc>
      </w:tr>
      <w:tr>
        <w:tc>
          <w:tcPr>
            <w:tcW w:w="9464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tabs>
                <w:tab w:val="left" w:pos="9192"/>
              </w:tabs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noProof/>
                <w:sz w:val="20"/>
                <w:szCs w:val="20"/>
              </w:rPr>
              <w:t>Кога ще се извърши преглед на политиката?</w:t>
            </w:r>
          </w:p>
        </w:tc>
      </w:tr>
      <w:tr>
        <w:trPr>
          <w:trHeight w:val="1129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9192"/>
              </w:tabs>
              <w:spacing w:before="120" w:after="120"/>
              <w:jc w:val="both"/>
              <w:rPr>
                <w:rFonts w:ascii="Tahoma" w:hAnsi="Tahoma" w:cs="Tahoma"/>
                <w:noProof/>
                <w:color w:val="FF0000"/>
              </w:rPr>
            </w:pPr>
            <w:r>
              <w:rPr>
                <w:rFonts w:ascii="Tahoma" w:hAnsi="Tahoma"/>
                <w:noProof/>
              </w:rPr>
              <w:t xml:space="preserve">Комисията възнамерява да извърши преглед на изпълнението на инициативата, за да оцени до каква степен са постигнати целите на политиката. Тази </w:t>
            </w:r>
            <w:r>
              <w:rPr>
                <w:rFonts w:ascii="Tahoma" w:hAnsi="Tahoma"/>
                <w:b/>
                <w:noProof/>
              </w:rPr>
              <w:t>оценка</w:t>
            </w:r>
            <w:r>
              <w:rPr>
                <w:rFonts w:ascii="Tahoma" w:hAnsi="Tahoma"/>
                <w:noProof/>
              </w:rPr>
              <w:t xml:space="preserve"> следва да бъде извършена </w:t>
            </w:r>
            <w:r>
              <w:rPr>
                <w:rFonts w:ascii="Tahoma" w:hAnsi="Tahoma"/>
                <w:b/>
                <w:noProof/>
              </w:rPr>
              <w:t>8 години</w:t>
            </w:r>
            <w:r>
              <w:rPr>
                <w:rFonts w:ascii="Tahoma" w:hAnsi="Tahoma"/>
                <w:noProof/>
              </w:rPr>
              <w:t xml:space="preserve"> след крайния срок за изпълнение на законодателството, евентуално в съчетание с публикуването на данните за разликата в заплащането на жените и мъжете (SES</w:t>
            </w:r>
            <w:r>
              <w:rPr>
                <w:rStyle w:val="FootnoteReference"/>
                <w:rFonts w:ascii="Tahoma" w:hAnsi="Tahoma" w:cs="Tahoma"/>
                <w:noProof/>
              </w:rPr>
              <w:footnoteReference w:id="3"/>
            </w:r>
            <w:r>
              <w:rPr>
                <w:rFonts w:ascii="Tahoma" w:hAnsi="Tahoma"/>
                <w:noProof/>
              </w:rPr>
              <w:t>), така че да се улесни значимата оценка на практиките и въздействията във всички държави членки.</w:t>
            </w:r>
          </w:p>
        </w:tc>
      </w:tr>
    </w:tbl>
    <w:p>
      <w:pPr>
        <w:tabs>
          <w:tab w:val="left" w:pos="9192"/>
        </w:tabs>
        <w:rPr>
          <w:noProof/>
        </w:rPr>
      </w:pP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274" w:bottom="1440" w:left="144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14374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"/>
        <w:ind w:left="0" w:hanging="11"/>
      </w:pPr>
      <w:r>
        <w:rPr>
          <w:rStyle w:val="FootnoteReference"/>
        </w:rPr>
        <w:footnoteRef/>
      </w:r>
      <w:r>
        <w:t xml:space="preserve"> </w:t>
      </w:r>
      <w:r>
        <w:rPr>
          <w:rFonts w:ascii="Tahoma" w:hAnsi="Tahoma"/>
          <w:sz w:val="18"/>
          <w:szCs w:val="18"/>
        </w:rPr>
        <w:t xml:space="preserve">Решение от 10 февруари 2000 г., </w:t>
      </w:r>
      <w:r>
        <w:rPr>
          <w:rFonts w:ascii="Tahoma" w:hAnsi="Tahoma"/>
          <w:i/>
          <w:sz w:val="18"/>
          <w:szCs w:val="18"/>
        </w:rPr>
        <w:t>Deutsche Telekom AG/Lilli Schröder</w:t>
      </w:r>
      <w:r>
        <w:rPr>
          <w:rFonts w:ascii="Tahoma" w:hAnsi="Tahoma"/>
          <w:sz w:val="18"/>
          <w:szCs w:val="18"/>
        </w:rPr>
        <w:t>, 50/96, EU:C:2000:72, т. 57.</w:t>
      </w:r>
    </w:p>
  </w:footnote>
  <w:footnote w:id="3">
    <w:p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ahoma" w:hAnsi="Tahoma"/>
          <w:color w:val="000000" w:themeColor="text1"/>
          <w:sz w:val="18"/>
          <w:szCs w:val="18"/>
          <w:shd w:val="clear" w:color="auto" w:fill="FFFFFF"/>
        </w:rPr>
        <w:t>Проучване на структурата на заплатите в ЕС.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0F96"/>
    <w:multiLevelType w:val="hybridMultilevel"/>
    <w:tmpl w:val="21868AE2"/>
    <w:lvl w:ilvl="0" w:tplc="01EC09CE">
      <w:start w:val="1"/>
      <w:numFmt w:val="bullet"/>
      <w:lvlText w:val=""/>
      <w:lvlJc w:val="left"/>
      <w:pPr>
        <w:ind w:left="6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">
    <w:nsid w:val="38753164"/>
    <w:multiLevelType w:val="hybridMultilevel"/>
    <w:tmpl w:val="D5EC45CE"/>
    <w:lvl w:ilvl="0" w:tplc="1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>
    <w:nsid w:val="57C26FAB"/>
    <w:multiLevelType w:val="hybridMultilevel"/>
    <w:tmpl w:val="9CFA8890"/>
    <w:lvl w:ilvl="0" w:tplc="01EC09CE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>
    <w:nsid w:val="71E64F58"/>
    <w:multiLevelType w:val="hybridMultilevel"/>
    <w:tmpl w:val="31A86B10"/>
    <w:lvl w:ilvl="0" w:tplc="08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7?\u1088?\u1080?\u1076?\u1088?\u1091?\u1078?\u1072?\u1074?\u1072?\u1097?"/>
    <w:docVar w:name="LW_CORRIGENDUM" w:val="&lt;UNUSED&gt;"/>
    <w:docVar w:name="LW_COVERPAGE_EXISTS" w:val="True"/>
    <w:docVar w:name="LW_COVERPAGE_GUID" w:val="3A80CBF5-AAD5-4B36-8ADB-0E772C3D1C66"/>
    <w:docVar w:name="LW_COVERPAGE_TYPE" w:val="1"/>
    <w:docVar w:name="LW_CROSSREFERENCE" w:val="{COM(2021) 93 final} - {SEC(2021) 101 final} - {SWD(2021) 41 final}"/>
    <w:docVar w:name="LW_DATE.ADOPT.CP_ISODATE" w:val="&lt;EMPTY&gt;"/>
    <w:docVar w:name="LW_DocType" w:val="NORMAL"/>
    <w:docVar w:name="LW_EMISSION" w:val="4.3.2021"/>
    <w:docVar w:name="LW_EMISSION_ISODATE" w:val="2021-03-04"/>
    <w:docVar w:name="LW_EMISSION_LOCATION" w:val="BRX"/>
    <w:docVar w:name="LW_EMISSION_PREFIX" w:val="Брюксел, "/>
    <w:docVar w:name="LW_EMISSION_SUFFIX" w:val=" \u1075?."/>
    <w:docVar w:name="LW_ID_DOCTYPE_NONLW" w:val="CP-027"/>
    <w:docVar w:name="LW_INTERETEEE.CP" w:val="&lt;UNUSED&gt;"/>
    <w:docVar w:name="LW_LANGUE" w:val="BG"/>
    <w:docVar w:name="LW_LANGUESFAISANTFOI.CP" w:val="&lt;UNUSED&gt;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FMT:Font=Calibri Cyr&gt;\u1044?\u1048?\u1056?\u1045?\u1050?\u1058?\u1048?\u1042?\u1040? \u1053?\u1040? \u1045?\u1042?\u1056?\u1054?\u1055?\u1045?\u1049?\u1057?\u1050?\u1048?\u1071? \u1055?\u1040?\u1056?\u1051?\u1040?\u1052?\u1045?\u1053?\u1058? \u1048? \u1057?\u1066?\u1042?\u1045?\u1058?\u1040?&lt;/FMT&gt;_x000b__x000b_&lt;FMT:Font=Calibri Cyr&gt;\u1079?\u1072? \u1091?\u1082?\u1088?\u1077?\u1087?\u1074?\u1072?\u1085?\u1077? \u1085?\u1072? \u1087?\u1088?\u1080?\u1083?\u1072?\u1075?\u1072?\u1085?\u1077?\u1090?\u1086? \u1085?\u1072? \u1087?\u1088?\u1080?\u1085?\u1094?\u1080?\u1087?\u1072? \u1079?\u1072? \u1088?\u1072?\u1074?\u1085?\u1086? \u1079?\u1072?\u1087?\u1083?\u1072?\u1097?\u1072?\u1085?\u1077? \u1085?\u1072? \u1078?\u1077?\u1085?\u1080?\u1090?\u1077? \u1080? \u1084?\u1098?\u1078?\u1077?\u1090?\u1077?&lt;/FMT&gt;&lt;FMT:Font=Calibri&gt; &lt;/FMT&gt;&lt;FMT:Font=Calibri Cyr&gt;\u1079?\u1072? \u1088?\u1072?\u1074?\u1077?\u1085? \u1090?\u1088?\u1091?\u1076? \u1080?\u1083?\u1080? \u1079?\u1072? \u1090?\u1088?\u1091?\u1076? \u1089? \u1088?\u1072?\u1074?\u1085?\u1072? \u1089?\u1090?\u1086?\u1081?\u1085?\u1086?\u1089?\u1090? \u1095?\u1088?\u1077?\u1079? \u1087?\u1088?\u1086?\u1079?\u1088?\u1072?\u1095?\u1085?\u1086?\u1089?\u1090? \u1074? \u1079?\u1072?\u1087?\u1083?\u1072?\u1097?\u1072?\u1085?\u1077?\u1090?\u1086? \u1080? \u1084?\u1077?\u1093?\u1072?\u1085?\u1080?\u1079?\u1084?\u1080? \u1079?\u1072? \u1082?\u1086?\u1085?\u1090?\u1088?\u1086?\u1083? \u1085?\u1072? \u1087?\u1088?\u1080?\u1083?\u1072?\u1075?\u1072?\u1085?\u1077?\u1090?\u1086?&lt;/FMT&gt;_x000d__x000d__x000d__x000b__x000d__x000d__x000d__x000b_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21"/>
    <w:docVar w:name="LW_REF.INST.NEW" w:val="SWD"/>
    <w:docVar w:name="LW_REF.INST.NEW_ADOPTED" w:val="final"/>
    <w:docVar w:name="LW_REF.INST.NEW_TEXT" w:val="(2021) 4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6?\u1045?\u1047?\u1070?\u1052?\u1045? \u1053?\u1040? \u1044?\u1054?\u1050?\u1051?\u1040?\u1044?\u1040? \u1047?\u1040? \u1054?\u1062?\u1045?\u1053?\u1050?\u1040?\u1058?\u1040? \u1053?\u1040? \u1042?\u1066?\u1047?\u1044?\u1045?\u1049?\u1057?\u1058?\u1042?\u1048?\u1045?\u1058?\u1054?,_x000b_"/>
    <w:docVar w:name="LW_TYPEACTEPRINCIPAL.CP" w:val="\u1055?\u1088?\u1077?\u1076?\u1083?\u1086?\u1078?\u1077?\u1085?\u1080?\u1077? \u1079?\u1072?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sz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Cs/>
      <w:i/>
      <w:sz w:val="24"/>
      <w:lang w:val="bg-BG" w:eastAsia="en-GB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qFormat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val="bg-BG" w:eastAsia="de-DE"/>
    </w:rPr>
  </w:style>
  <w:style w:type="character" w:styleId="FootnoteReference">
    <w:name w:val="footnote reference"/>
    <w:aliases w:val="Footnote Reference Superscript,BVI fnr,Footnote symbol,Footnote reference number,note TESI,Appel note de bas de p,Nota,SUPERS,Footnote number,EN Footnote Reference,-E Fußnotenzeichen,number Char Char,number,Ref,styl,B2,F,B21, BVI fnr"/>
    <w:basedOn w:val="DefaultParagraphFont"/>
    <w:link w:val="FootnotesymbolCarZchn"/>
    <w:uiPriority w:val="99"/>
    <w:qFormat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pPr>
      <w:spacing w:before="60" w:line="240" w:lineRule="exact"/>
      <w:ind w:left="357" w:hanging="357"/>
      <w:jc w:val="both"/>
    </w:pPr>
    <w:rPr>
      <w:vertAlign w:val="superscript"/>
    </w:rPr>
  </w:style>
  <w:style w:type="character" w:customStyle="1" w:styleId="normaltextrun">
    <w:name w:val="normaltextrun"/>
    <w:basedOn w:val="DefaultParagraphFont"/>
  </w:style>
  <w:style w:type="character" w:customStyle="1" w:styleId="ListParagraphChar">
    <w:name w:val="List Paragraph Char"/>
    <w:link w:val="ListParagraph"/>
    <w:uiPriority w:val="34"/>
    <w:locked/>
    <w:rPr>
      <w:rFonts w:ascii="Times New Roman" w:eastAsia="Times New Roman" w:hAnsi="Times New Roman" w:cs="Times New Roman"/>
      <w:sz w:val="24"/>
      <w:szCs w:val="24"/>
      <w:lang w:val="bg-BG" w:eastAsia="en-GB"/>
    </w:rPr>
  </w:style>
  <w:style w:type="paragraph" w:customStyle="1" w:styleId="Text2">
    <w:name w:val="Text 2"/>
    <w:basedOn w:val="Normal"/>
    <w:qFormat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sz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Cs/>
      <w:i/>
      <w:sz w:val="24"/>
      <w:lang w:val="bg-BG" w:eastAsia="en-GB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qFormat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val="bg-BG" w:eastAsia="de-DE"/>
    </w:rPr>
  </w:style>
  <w:style w:type="character" w:styleId="FootnoteReference">
    <w:name w:val="footnote reference"/>
    <w:aliases w:val="Footnote Reference Superscript,BVI fnr,Footnote symbol,Footnote reference number,note TESI,Appel note de bas de p,Nota,SUPERS,Footnote number,EN Footnote Reference,-E Fußnotenzeichen,number Char Char,number,Ref,styl,B2,F,B21, BVI fnr"/>
    <w:basedOn w:val="DefaultParagraphFont"/>
    <w:link w:val="FootnotesymbolCarZchn"/>
    <w:uiPriority w:val="99"/>
    <w:qFormat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pPr>
      <w:spacing w:before="60" w:line="240" w:lineRule="exact"/>
      <w:ind w:left="357" w:hanging="357"/>
      <w:jc w:val="both"/>
    </w:pPr>
    <w:rPr>
      <w:vertAlign w:val="superscript"/>
    </w:rPr>
  </w:style>
  <w:style w:type="character" w:customStyle="1" w:styleId="normaltextrun">
    <w:name w:val="normaltextrun"/>
    <w:basedOn w:val="DefaultParagraphFont"/>
  </w:style>
  <w:style w:type="character" w:customStyle="1" w:styleId="ListParagraphChar">
    <w:name w:val="List Paragraph Char"/>
    <w:link w:val="ListParagraph"/>
    <w:uiPriority w:val="34"/>
    <w:locked/>
    <w:rPr>
      <w:rFonts w:ascii="Times New Roman" w:eastAsia="Times New Roman" w:hAnsi="Times New Roman" w:cs="Times New Roman"/>
      <w:sz w:val="24"/>
      <w:szCs w:val="24"/>
      <w:lang w:val="bg-BG" w:eastAsia="en-GB"/>
    </w:rPr>
  </w:style>
  <w:style w:type="paragraph" w:customStyle="1" w:styleId="Text2">
    <w:name w:val="Text 2"/>
    <w:basedOn w:val="Normal"/>
    <w:qFormat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17A1C524D8DBC041BAC361A7FA0BC3BA" ma:contentTypeVersion="0" ma:contentTypeDescription="Create a new document in this library." ma:contentTypeScope="" ma:versionID="472184d01dc63c2631f13a6db2b93dd8">
  <xsd:schema xmlns:xsd="http://www.w3.org/2001/XMLSchema" xmlns:xs="http://www.w3.org/2001/XMLSchema" xmlns:p="http://schemas.microsoft.com/office/2006/metadata/properties" xmlns:ns2="http://schemas.microsoft.com/sharepoint/v3/fields" xmlns:ns3="724151e2-140d-4670-8684-77a651b4f52a" targetNamespace="http://schemas.microsoft.com/office/2006/metadata/properties" ma:root="true" ma:fieldsID="2be522cebc4dc708207e7baaea01d0b1" ns2:_="" ns3:_="">
    <xsd:import namespace="http://schemas.microsoft.com/sharepoint/v3/fields"/>
    <xsd:import namespace="724151e2-140d-4670-8684-77a651b4f52a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151e2-140d-4670-8684-77a651b4f52a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724151e2-140d-4670-8684-77a651b4f52a">EN</EC_Collab_DocumentLanguage>
    <EC_Collab_Status xmlns="724151e2-140d-4670-8684-77a651b4f52a">Not Started</EC_Collab_Status>
    <_Status xmlns="http://schemas.microsoft.com/sharepoint/v3/fields">Not Started</_Status>
    <EC_Collab_Reference xmlns="724151e2-140d-4670-8684-77a651b4f52a" xsi:nil="true"/>
  </documentManagement>
</p:properties>
</file>

<file path=customXml/itemProps1.xml><?xml version="1.0" encoding="utf-8"?>
<ds:datastoreItem xmlns:ds="http://schemas.openxmlformats.org/officeDocument/2006/customXml" ds:itemID="{A1B3F028-0CE6-4E85-A220-0E6FE7AFB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724151e2-140d-4670-8684-77a651b4f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608A4-89D0-46E3-9A38-F796B743E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B6EE5-582C-4EF9-ABD3-79F0BAB01AD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24151e2-140d-4670-8684-77a651b4f52a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2604</Words>
  <Characters>15313</Characters>
  <Application>Microsoft Office Word</Application>
  <DocSecurity>0</DocSecurity>
  <Lines>239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21</cp:revision>
  <dcterms:created xsi:type="dcterms:W3CDTF">2021-02-28T09:22:00Z</dcterms:created>
  <dcterms:modified xsi:type="dcterms:W3CDTF">2021-03-08T14:01:00Z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CP-027</vt:lpwstr>
  </property>
  <property fmtid="{D5CDD505-2E9C-101B-9397-08002B2CF9AE}" pid="7" name="Last edited using">
    <vt:lpwstr>LW 7.0.1, Build 20190916</vt:lpwstr>
  </property>
  <property fmtid="{D5CDD505-2E9C-101B-9397-08002B2CF9AE}" pid="8" name="Created using">
    <vt:lpwstr>LW 7.0.1, Build 20190916</vt:lpwstr>
  </property>
  <property fmtid="{D5CDD505-2E9C-101B-9397-08002B2CF9AE}" pid="9" name="_LW_INVALIDATED__LW_INVALIDATED__LW_INVALIDATED__LW_INVALIDATED__LW_INVALIDATED__LW_INVALIDATED__LW_INVALIDATED__LW_INVALIDATED_ContentTypeId">
    <vt:lpwstr>0x010100258AA79CEB83498886A3A086811232500017A1C524D8DBC041BAC361A7FA0BC3BA</vt:lpwstr>
  </property>
</Properties>
</file>