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2732FC49-66E8-45E6-A403-BD809BEB5462" style="width:450.45pt;height:422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Регламент (ЕС) 2019/6</w:t>
      </w:r>
      <w:r>
        <w:rPr>
          <w:rStyle w:val="FootnoteReference"/>
          <w:rFonts w:eastAsia="Arial Unicode MS"/>
          <w:noProof/>
        </w:rPr>
        <w:footnoteReference w:id="1"/>
      </w:r>
      <w:r>
        <w:rPr>
          <w:noProof/>
        </w:rPr>
        <w:t xml:space="preserve">, който влиза в сила на 28 януари 2022 г., заменя правната уредба за ветеринарните лекарствени продукти (ВЛП), установена с Директива 2001/82/EО и Регламент (ЕО) № 726/2004. В член 118, параграф 1 от Регламент (ЕС) 2019/6 се предвижда, че стопанските субекти от трети държави, изнасящи животни и продукти от животински произход за ЕС, ще трябва да спазват забраната за употреба на антимикробни средства за ускоряване на растежа и увеличаване на добива (член 107, параграф 2), както и забраната за употреба на антимикробни средства, запазени за лечение на някои инфекции при хората (член 37, параграф 5).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szCs w:val="24"/>
        </w:rPr>
      </w:pPr>
      <w:r>
        <w:rPr>
          <w:noProof/>
        </w:rPr>
        <w:t>С член 118, параграф 2 от Регламент (ЕС) 2019/6 на Комисията се предоставя правомощието да приема делегирани актове за определяне на подробни правила за прилагането на забраните, посочени в член 118. Регламент (ЕС) 2019/6 определя правната рамка за разрешаването на ветеринарни лекарствени продукти, докато член 118 от същия регламент се прилага за животни и продукти от животински произход. За разлика от други законодателни актове, които предвиждат правила за животните и продуктите от животински произход, Регламент (ЕС) 2019/6 не съдържа основни разпоредби относно условията/изискванията за внос или относно официалния контрол за съответствието на вноса с такива изисквания. Изискванията и условията за внос (като например списъци на трети държави и животновъдни обекти, както и сертификати) за животни и за продукти от животински произход са предвидени в съответното секторно законодателство, като например Законодателството за здравеопазването на животните</w:t>
      </w:r>
      <w:r>
        <w:rPr>
          <w:rStyle w:val="FootnoteReference"/>
          <w:noProof/>
          <w:szCs w:val="24"/>
        </w:rPr>
        <w:footnoteReference w:id="2"/>
      </w:r>
      <w:r>
        <w:rPr>
          <w:noProof/>
        </w:rPr>
        <w:t>, но могат да бъдат определени и въз основа на Регламент (ЕС) 2017/625 („Регламент относно официалния контрол“)</w:t>
      </w:r>
      <w:r>
        <w:rPr>
          <w:rStyle w:val="FootnoteReference"/>
          <w:noProof/>
          <w:szCs w:val="24"/>
        </w:rPr>
        <w:footnoteReference w:id="3"/>
      </w:r>
      <w:r>
        <w:rPr>
          <w:noProof/>
        </w:rPr>
        <w:t>. За да бъде включена трета държава в списък на трети държави, на които е разрешен износ за Съюза, е необходимо тя например да предостави гаранции, че съответните животни и стоки съответстват на изискванията на Съюза или на еквивалентни на тях изисквания, предвидени в съответното законодателство.</w:t>
      </w:r>
    </w:p>
    <w:p>
      <w:pPr>
        <w:spacing w:before="100" w:beforeAutospacing="1" w:after="100" w:afterAutospacing="1"/>
        <w:rPr>
          <w:noProof/>
        </w:rPr>
      </w:pPr>
      <w:r>
        <w:rPr>
          <w:noProof/>
        </w:rPr>
        <w:lastRenderedPageBreak/>
        <w:t>В член 1, параграф 4, буква в) от Регламента относно официалния контрол обаче се посочва, че той не се прилага по отношение на официалния контрол за проверка на съответствието с Директива 2001/82/EО относно ветеринарните лекарствени продукти. Когато Регламент (ЕС) 2019/6 влезе в сила на 28 януари 2022 г., позоваването на Директива 2001/82/EО всъщност ще стане позоваване на същия регламент</w:t>
      </w:r>
      <w:r>
        <w:rPr>
          <w:rStyle w:val="FootnoteReference"/>
          <w:noProof/>
          <w:szCs w:val="24"/>
        </w:rPr>
        <w:footnoteReference w:id="4"/>
      </w:r>
      <w:r>
        <w:rPr>
          <w:noProof/>
        </w:rPr>
        <w:t>. Член 1, параграф 4, буква в) от Регламента относно официалния контрол изключва целия Регламент (ЕС) 2019/6 от своето приложно поле. При липсата в Регламент (ЕС) 2019/6 на съответни разпоредби относно официалния контрол на съответствието на вноса с изискванията по горепосочения параграф, не би било възможно член 118 от Регламент (ЕС) 2019/6 да се изпълнява и прилага правилно, ако не бъде изменен Регламентът относно официалния контрол.</w:t>
      </w:r>
    </w:p>
    <w:p>
      <w:pPr>
        <w:spacing w:beforeAutospacing="1" w:afterAutospacing="1"/>
        <w:rPr>
          <w:noProof/>
        </w:rPr>
      </w:pPr>
      <w:r>
        <w:rPr>
          <w:noProof/>
        </w:rPr>
        <w:t>Целта на това изменение е да се промени член 1, параграф 4, буква в) от Регламента относно официалния контрол, за да се предвиди освобождаване от горепосоченото изключване, като в приложното поле на Регламента относно официалния контрол се добавят проверки за установяване на съответствието с член 118 от Регламент (ЕС) 2019/6. Това ще означава, че системата на Съюза за официален контрол на животни и продукти от животински произход ще може да се използва, за да се гарантира спазването на забраните по член 118 от Регламент (ЕС) 2019/6. От своя страна това ще позволи правилното изпълнение и прилагане на член 118.</w:t>
      </w:r>
    </w:p>
    <w:p>
      <w:pPr>
        <w:rPr>
          <w:noProof/>
        </w:rPr>
      </w:pPr>
      <w:r>
        <w:rPr>
          <w:noProof/>
        </w:rPr>
        <w:t xml:space="preserve">Член 123 от Регламент (ЕС) 2019/6, който беше част от предложението на Комисията, предвижда компетентните органи на държавите членки да извършват контрол за спазването на регламента. Този контрол обаче се прилага само за производители и вносители на ВЛП и активни вещества (и други лица, участващи в пускането на пазара и употребата на ВЛП и активни вещества). За да се гарантира, че внасяните в Съюза животни и продукти от животински произход са в съответствие с член 118 от Регламент (ЕС) 2019/6, е необходимо в приложното поле на Регламента относно официалния контрол да се предвиди включване на контрола на съответствието с член 118.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рамките на своята стратегия „От фермата до трапезата“ ЕС си постави амбициозната цел до 2030 г. общите продажби в ЕС на антимикробни средства, използвани за селскостопански животни и за аквакултури, да се намалят с 50 %. Въз основа на подхода „Едно здраве“ в Регламент (ЕС) 2019/6 се предвижда широк набор от конкретни мерки, които ще се прилагат за стопанските субекти от ЕС, за да се засили борбата с антимикробната резистентност (АМР) и да се насърчи по-разумната и отговорна употреба на антимикробни средства при животните. Като лидер в световната борба срещу АМР Съюзът носи отговорност и за насърчаване на намаляването на употребата и потреблението на антимикробни средства в трети държави, по-специално във връзка с вноса от трети държави, и е длъжен да популяризира своята визия за по-устойчива употреба на антимикробни средства, за да спомогне за запазването на тяхната ефективност на международната сцена. Член 118 от Регламент (ЕС) 2019/6 е ключов елемент в борбата срещу АМР.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Правните основания за настоящото предложение са член 43, параграф 2, член 114 и член 168, параграф 4, буква б) от Договора за функционирането на Европейския съюз.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lastRenderedPageBreak/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Вносът на животни и продукти от животински произход от трети държави е изчерпателно регламентиран на равнището на Съюза. Поради това не би било възможно въпросът да се реши на национално равнище.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Изменението на Регламента относно официалния контрол с цел в обхвата му да бъде включена проверка на съответствието с член 118, параграф 1 от Регламент (ЕС) 2019/6 е единственият ефективен начин да се гарантира, че член 118, параграф 1 от посочения регламент се спазва по отношение на вноса на животни и продукти от животински произход от трети държави. Самият Регламент (ЕС) 2019/6 не съдържа необходимите основни разпоредби, за да направи това възможно. Оправомощаването, предвидено в член 118, параграф 2 от Регламент (ЕС) 2019/6, няма да позволи на Комисията да приеме по отношение на официалния контрол на животни и продукти от животински произход необходимите правила, подобни на посочените в Регламента относно официалния контрол. Изменението е наложително, за да може системата на Съюза за официален контрол на животни и продукти от животински произход да се прилага за проверка на съответствието с член 118, параграф 1 от Регламент (ЕС) 2019/6.</w:t>
      </w:r>
    </w:p>
    <w:p>
      <w:pPr>
        <w:pStyle w:val="ManualHeading1"/>
        <w:rPr>
          <w:b w:val="0"/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От гледна точка на по-доброто законотворчество не са необходими пътна карта, консултация със заинтересованите страни или оценка на въздействието, тъй като предложението е техническа мярка, необходима за гарантиране на прилагането на член 118 от Регламент (ЕС) 2019/6. След като бъде прието, предложението ще позволи да се извършва официален контрол в съответствие с Регламента относно официалния контрол и по този начин няма да доведе до значителна тежест за икономическите стопански субекти и държавите членки. Необходимо е предложението да бъде прието преди началото на прилагане на Регламент (ЕС) 2019/6 през януари 2022 г. и достатъчно рано преди тази дата, за да се даде възможност за изготвяне на актове за изпълнение, с които да се уточнят редът и условията за извършване на официален контрол във връзка с член 118 от Регламент (ЕС) 2019/6. 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Предложението няма отражение върху бюджета на Съюза. 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Подробно разяснение на отделните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b/>
          <w:noProof/>
        </w:rPr>
      </w:pPr>
      <w:r>
        <w:rPr>
          <w:b/>
          <w:noProof/>
        </w:rPr>
        <w:t>Член 1, параграф 4, буква в)</w:t>
      </w:r>
    </w:p>
    <w:p>
      <w:pPr>
        <w:spacing w:beforeAutospacing="1" w:afterAutospacing="1"/>
        <w:rPr>
          <w:noProof/>
        </w:rPr>
      </w:pPr>
      <w:r>
        <w:rPr>
          <w:noProof/>
        </w:rPr>
        <w:t xml:space="preserve">Изменението на член 1, параграф 4, буква в) от Регламента относно официалния контрол е техническо изменение, което позволява проверката на съответствието с член 118, параграф 1 от Регламент (ЕС) 2019/6 да бъде включена в обхвата на Регламента относно официалния контрол. Това ще позволи да се използва системата на Съюза за официален контрол на животни и продукти от животински произход, за да се гарантира спазването на забраните по член 118, параграф 1 от Регламент (ЕС) 2019/6.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lastRenderedPageBreak/>
        <w:t xml:space="preserve">Комисията трябва да приеме делегиран акт в съответствие с член 118, параграф 2 от Регламент (ЕС) 2019/6, където следва да се определят материалноправните норми, които трябва да се спазват при вноса на животни и продукти от животински произход, въвеждани в Съюза от трети държави, за да бъдат те в съответствие с член 118, параграф 1. Изменението на член 1, параграф 4, буква в) от Регламента относно официалния контрол ще включи в обхвата на Регламента относно официалния контрол член 118, параграф 1, който се прилага за вноса на животни и продукти от животински произход, и ще позволи на Комисията впоследствие да приеме необходимия(-те) акт(-ове) за изпълнение.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b/>
          <w:noProof/>
        </w:rPr>
      </w:pPr>
      <w:r>
        <w:rPr>
          <w:b/>
          <w:noProof/>
        </w:rPr>
        <w:t>Член 47, параграф 1, буква д)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Целта на тази разпоредба е в Регламента относно официалния контрол да се поправи явна грешка по отношение на позоваването на Регламент (ЕС) 2016/429.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2021/0055 (COD)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Регламент (ЕС) 2017/625 по отношение на официалния контрол на животни и продукти от животински произход, изнасяни от трети държави за Съюза, за да се гарантира спазването на забраната на някои видове употреба на антимикробни средства</w:t>
      </w:r>
    </w:p>
    <w:p>
      <w:pPr>
        <w:pStyle w:val="IntrtEEE"/>
        <w:rPr>
          <w:noProof/>
        </w:rPr>
      </w:pPr>
      <w:r>
        <w:rPr>
          <w:noProof/>
        </w:rPr>
        <w:t>(текст от значение за ЕИП)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 и по-специално член 43, параграф 2, член 114 и член 168, параграф 4, буква б)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след предаване на проекта на законодателния акт на националните парламенти,</w:t>
      </w:r>
    </w:p>
    <w:p>
      <w:pPr>
        <w:rPr>
          <w:noProof/>
        </w:rPr>
      </w:pPr>
      <w:r>
        <w:rPr>
          <w:noProof/>
        </w:rPr>
        <w:t>като взеха предвид становището на Европейския икономически и социален комитет,</w:t>
      </w:r>
      <w:r>
        <w:rPr>
          <w:rStyle w:val="FootnoteReference"/>
          <w:noProof/>
        </w:rPr>
        <w:footnoteReference w:id="5"/>
      </w:r>
    </w:p>
    <w:p>
      <w:pPr>
        <w:rPr>
          <w:noProof/>
        </w:rPr>
      </w:pPr>
      <w:r>
        <w:rPr>
          <w:noProof/>
        </w:rPr>
        <w:t>като взеха предвид становището на Комитета на регионите</w:t>
      </w:r>
      <w:r>
        <w:rPr>
          <w:rStyle w:val="FootnoteReference"/>
          <w:noProof/>
        </w:rPr>
        <w:footnoteReference w:id="6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в съответствие с обикновената законодателна процедура,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ManualConsidrant"/>
        <w:rPr>
          <w:noProof/>
          <w:szCs w:val="24"/>
        </w:rPr>
      </w:pPr>
      <w:r>
        <w:t>(1)</w:t>
      </w:r>
      <w:r>
        <w:tab/>
      </w:r>
      <w:r>
        <w:rPr>
          <w:noProof/>
        </w:rPr>
        <w:t>С Регламент (ЕС) 2017/625 на Европейския парламент и на Съвета</w:t>
      </w:r>
      <w:r>
        <w:rPr>
          <w:rStyle w:val="FootnoteReference"/>
          <w:noProof/>
          <w:szCs w:val="24"/>
        </w:rPr>
        <w:footnoteReference w:id="7"/>
      </w:r>
      <w:r>
        <w:rPr>
          <w:noProof/>
        </w:rPr>
        <w:t xml:space="preserve"> се определят правилата за извършване на официален контрол с цел проверка на съответствието, </w:t>
      </w:r>
      <w:r>
        <w:rPr>
          <w:i/>
          <w:noProof/>
          <w:szCs w:val="24"/>
        </w:rPr>
        <w:t>inter alia</w:t>
      </w:r>
      <w:r>
        <w:rPr>
          <w:noProof/>
        </w:rPr>
        <w:t xml:space="preserve">, с правилата относно безопасността на храните и фуражите. </w:t>
      </w:r>
    </w:p>
    <w:p>
      <w:pPr>
        <w:pStyle w:val="ManualConsidrant"/>
        <w:rPr>
          <w:noProof/>
          <w:szCs w:val="24"/>
        </w:rPr>
      </w:pPr>
      <w:r>
        <w:t>(2)</w:t>
      </w:r>
      <w:r>
        <w:tab/>
      </w:r>
      <w:r>
        <w:rPr>
          <w:noProof/>
        </w:rPr>
        <w:t>С Регламент (ЕС) 2019/6 на Европейския парламент и на Съвета</w:t>
      </w:r>
      <w:r>
        <w:rPr>
          <w:rStyle w:val="FootnoteReference"/>
          <w:noProof/>
          <w:szCs w:val="24"/>
        </w:rPr>
        <w:footnoteReference w:id="8"/>
      </w:r>
      <w:r>
        <w:rPr>
          <w:noProof/>
        </w:rPr>
        <w:t xml:space="preserve"> се определят правила, </w:t>
      </w:r>
      <w:r>
        <w:rPr>
          <w:i/>
          <w:noProof/>
          <w:szCs w:val="24"/>
        </w:rPr>
        <w:t>inter alia</w:t>
      </w:r>
      <w:r>
        <w:rPr>
          <w:noProof/>
        </w:rPr>
        <w:t>, за контрола и употребата на ветеринарни лекарствени продукти.</w:t>
      </w:r>
    </w:p>
    <w:p>
      <w:pPr>
        <w:pStyle w:val="ManualConsidrant"/>
        <w:rPr>
          <w:noProof/>
          <w:szCs w:val="24"/>
        </w:rPr>
      </w:pPr>
      <w:r>
        <w:lastRenderedPageBreak/>
        <w:t>(3)</w:t>
      </w:r>
      <w:r>
        <w:tab/>
      </w:r>
      <w:r>
        <w:rPr>
          <w:noProof/>
        </w:rPr>
        <w:t>По силата на член 118, параграф 1 от Регламент (ЕС) 2019/6 се изисква стопанските субекти от трети държави, изнасящи животни и продукти от животински произход за ЕС, да спазват забраната за употреба на антимикробни средства за ускоряване на растежа и увеличаване на добива, както и забраната за употреба на антимикробни средства, запазени за лечение на някои инфекции при хората.</w:t>
      </w:r>
    </w:p>
    <w:p>
      <w:pPr>
        <w:pStyle w:val="ManualConsidrant"/>
        <w:rPr>
          <w:noProof/>
          <w:szCs w:val="24"/>
        </w:rPr>
      </w:pPr>
      <w:r>
        <w:t>(4)</w:t>
      </w:r>
      <w:r>
        <w:tab/>
      </w:r>
      <w:r>
        <w:rPr>
          <w:noProof/>
        </w:rPr>
        <w:t>Член 118 от Регламент (ЕС) 2019/6 се основава на плана за действие „Едно здраве“ срещу антимикробната резистентност (АМР)</w:t>
      </w:r>
      <w:r>
        <w:rPr>
          <w:rStyle w:val="FootnoteReference"/>
          <w:rFonts w:eastAsia="Arial Unicode MS"/>
          <w:noProof/>
        </w:rPr>
        <w:footnoteReference w:id="9"/>
      </w:r>
      <w:r>
        <w:rPr>
          <w:noProof/>
        </w:rPr>
        <w:t xml:space="preserve"> чрез засилване на профилактиката и контрола върху АМР и насърчаване на по-разумна и отговорна употреба на антимикробни средства при животните. Това е отразено и в стратегията на Комисията „От фермата до трапезата“</w:t>
      </w:r>
      <w:r>
        <w:rPr>
          <w:rStyle w:val="FootnoteReference"/>
          <w:rFonts w:eastAsia="Arial Unicode MS"/>
          <w:noProof/>
        </w:rPr>
        <w:footnoteReference w:id="10"/>
      </w:r>
      <w:r>
        <w:rPr>
          <w:noProof/>
        </w:rPr>
        <w:t xml:space="preserve">, в която Комисията си постави амбициозната цел до 2030 г. общите продажби в ЕС на антимикробни средства, използвани за селскостопански животни и за аквакултури, да се намалят с 50 %. 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 цел да се гарантира ефективното прилагане на забраната за употреба на антимикробни средства за ускоряване на растежа и увеличаване на добива, както и на забраната за употреба на антимикробни средства, запазени за лечение на някои инфекции при хората, в обхвата на Регламент (ЕС) 2017/625 следва да бъде включен официален контрол за проверка на съответствието на животните и продуктите от животински произход, изнасяни за Съюза, с член 118, параграф 1 от Регламент (ЕС) 2019/6.</w:t>
      </w:r>
    </w:p>
    <w:p>
      <w:pPr>
        <w:pStyle w:val="ManualConsidrant"/>
        <w:rPr>
          <w:noProof/>
          <w:szCs w:val="24"/>
        </w:rPr>
      </w:pPr>
      <w:r>
        <w:t>(6)</w:t>
      </w:r>
      <w:r>
        <w:tab/>
      </w:r>
      <w:r>
        <w:rPr>
          <w:noProof/>
        </w:rPr>
        <w:t xml:space="preserve">В съответствие с член 47, параграф 1, буква д) от Регламент (ЕС) 2017/625 компетентните органи следва да извършват на граничния контролен пункт на първо пристигане в Съюза официален контрол на всяка пратка животни и стоки, които подлежат, </w:t>
      </w:r>
      <w:r>
        <w:rPr>
          <w:i/>
          <w:noProof/>
          <w:szCs w:val="24"/>
        </w:rPr>
        <w:t>inter alia</w:t>
      </w:r>
      <w:r>
        <w:rPr>
          <w:noProof/>
        </w:rPr>
        <w:t>, на спешни мерки, предвидени в актове, приети в съответствие с член 249 от Регламент (ЕС) 2016/429 на Европейския парламент и на Съвета</w:t>
      </w:r>
      <w:r>
        <w:rPr>
          <w:rStyle w:val="FootnoteReference"/>
          <w:noProof/>
          <w:szCs w:val="24"/>
        </w:rPr>
        <w:footnoteReference w:id="11"/>
      </w:r>
      <w:r>
        <w:rPr>
          <w:noProof/>
        </w:rPr>
        <w:t>. Член 249 от Регламент (ЕС) 2016/429 обаче не се отнася до спешните мерки на Комисията. Поради това тази грешка следва да бъде поправена и следва да се направи позоваване на член 261 от Регламент (ЕС) 2016/429.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Поради това Регламент (ЕС) 2017/625 следва да бъде съответно изменен.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Тъй като Регламент (ЕО) 2019/6 се прилага от 28 януари 2022 г., настоящият регламент следва да се прилага от същата дата,</w:t>
      </w:r>
    </w:p>
    <w:p>
      <w:pPr>
        <w:pStyle w:val="Formuledadoption"/>
        <w:rPr>
          <w:noProof/>
        </w:rPr>
      </w:pPr>
      <w:r>
        <w:rPr>
          <w:noProof/>
        </w:rPr>
        <w:t>ПРИЕХА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Регламент (ЕС) 2017/625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lastRenderedPageBreak/>
        <w:t>1)</w:t>
      </w:r>
      <w:r>
        <w:rPr>
          <w:noProof/>
        </w:rPr>
        <w:tab/>
        <w:t>В член 1, параграф 4 буква в) се заменя със следното:</w:t>
      </w:r>
    </w:p>
    <w:p>
      <w:pPr>
        <w:pStyle w:val="Point1"/>
        <w:rPr>
          <w:noProof/>
        </w:rPr>
      </w:pPr>
      <w:r>
        <w:rPr>
          <w:noProof/>
        </w:rPr>
        <w:t>„в)</w:t>
      </w:r>
      <w:r>
        <w:rPr>
          <w:noProof/>
        </w:rPr>
        <w:tab/>
        <w:t>Регламент (ЕС) 2019/6 на Европейския парламент и на Съвета</w:t>
      </w:r>
      <w:r>
        <w:rPr>
          <w:noProof/>
          <w:vertAlign w:val="superscript"/>
        </w:rPr>
        <w:t>*</w:t>
      </w:r>
      <w:r>
        <w:rPr>
          <w:noProof/>
        </w:rPr>
        <w:t>; настоящият регламент обаче се прилага по отношение на официалния контрол за проверка на съответствието с член 118, параграф 1 от посочения регламент.“</w:t>
      </w:r>
    </w:p>
    <w:p>
      <w:pPr>
        <w:pStyle w:val="Point1"/>
        <w:rPr>
          <w:noProof/>
        </w:rPr>
      </w:pPr>
      <w:r>
        <w:rPr>
          <w:noProof/>
        </w:rPr>
        <w:t>------------------</w:t>
      </w:r>
    </w:p>
    <w:p>
      <w:pPr>
        <w:pStyle w:val="Point1"/>
        <w:ind w:left="2157" w:hanging="740"/>
        <w:rPr>
          <w:noProof/>
        </w:rPr>
      </w:pPr>
      <w:r>
        <w:rPr>
          <w:noProof/>
          <w:sz w:val="20"/>
          <w:szCs w:val="20"/>
          <w:vertAlign w:val="superscript"/>
        </w:rPr>
        <w:t>*</w:t>
      </w:r>
      <w:r>
        <w:rPr>
          <w:noProof/>
        </w:rPr>
        <w:tab/>
      </w:r>
      <w:r>
        <w:rPr>
          <w:noProof/>
          <w:sz w:val="20"/>
          <w:szCs w:val="20"/>
        </w:rPr>
        <w:t>Регламент (ЕС) 2019/6 на Европейския парламент и на Съвета от 11 декември 2018 г. относно ветеринарните лекарствени продукти и за отмяна на Директива 2001/82/ЕО (ОВ L 4, 7.1.2019, p. 43).</w:t>
      </w:r>
      <w:r>
        <w:rPr>
          <w:noProof/>
        </w:rPr>
        <w:t>“;</w:t>
      </w:r>
    </w:p>
    <w:p>
      <w:pPr>
        <w:pStyle w:val="Point1"/>
        <w:rPr>
          <w:noProof/>
        </w:rPr>
      </w:pPr>
    </w:p>
    <w:p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  <w:t>В член 47, параграф 1 буква д) се заменя със следното:</w:t>
      </w:r>
    </w:p>
    <w:p>
      <w:pPr>
        <w:pStyle w:val="Text1"/>
        <w:rPr>
          <w:noProof/>
        </w:rPr>
      </w:pPr>
      <w:r>
        <w:rPr>
          <w:noProof/>
        </w:rPr>
        <w:t>„д) животни и стоки, по отношение на които се прилага спешна мярка, предвидена в актове, приети в съответствие с член 53 от Регламент (ЕО) № 178/2002, член 261 от Регламент (ЕС) 2016/429 или член 28, параграф 1, член 30, параграф 1, член 40, параграф 3, член 41, параграф 3, член 49, параграф 1, член 53, параграф 3 и член 54, параграф 3 от Регламент (ЕС) 2016/2031, изискващи пратките с посочените животни или стоки, идентифицирани с техните кодове по Комбинираната номенклатура, да подлежат на официален контрол при въвеждането им в Съюза;“.</w:t>
      </w:r>
    </w:p>
    <w:p>
      <w:pPr>
        <w:pStyle w:val="Titrearticle"/>
        <w:ind w:left="3600" w:firstLine="720"/>
        <w:jc w:val="both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на двадесетия ден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Той се прилага от 28 януари 2022 г.</w:t>
      </w:r>
    </w:p>
    <w:p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2019/6 на Европейския парламент и на Съвета от 11 декември 2018 г. относно ветеринарните лекарствени продукти и за отмяна на Директива 2001/82/ЕО (ОВ L 4, 7.1.2019, p. 43).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2016/429 на Европейския парламент и на Съвета от 9 март 2016 г. за заразните болести по животните и за изменение и отмяна на определени актове в областта на здравеопазването на животните (Законодателство за здравеопазването на животните) (ОВ L 84, 31.3.2016 г., стр. 1).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2017/625 на Европейския парламент и на Съвета от 15 март 2017 г.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(ЕО) № 396/2005, (ЕО) № 1069/2009, (ЕО) № 1107/2009, (ЕС) № 1151/2012, (ЕС) № 652/2014, (ЕС) 2016/429 и (ЕС)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92/438/ЕИО на Съвета (Регламент относно официалния контрол) (ОВ L 95, 7.4.2017 г., стр. 1).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Член 149 от Регламент (ЕС) 2019/6.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OВ C […], […] г., стр. […].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OВ C […], […] г., стр. […].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2017/625 на Европейския парламент и на Съвета от 15 март 2017 г.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(ЕО) № 396/2005, (ЕО) № 1069/2009, (ЕО) № 1107/2009, (ЕС) № 1151/2012, (ЕС) № 652/2014, (ЕС) 2016/429 и (ЕС)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92/438/ЕИО на Съвета (Регламент относно официалния контрол) (ОВ L 95, 7.4.2017 г., стр. 1).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2019/6 на Европейския парламент и на Съвета от 11 декември 2018 г. относно ветеринарните лекарствени продукти и за отмяна на Директива 2001/82/ЕО (ОВ L 4, 7.1.2019, p. 43).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Европейска комисия, Европейски план за действие „Едно здраве“ срещу антимикробната резистентност (АМР),</w:t>
      </w:r>
      <w:r>
        <w:rPr>
          <w:i/>
        </w:rPr>
        <w:t xml:space="preserve"> </w:t>
      </w:r>
      <w:r>
        <w:t>юни 2017 г., https://ec.europa.eu/health/sites/health/files/antimicrobial_resistance/docs/amr_2017_action-plan.pdf.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Съобщение на Комисията от 20 май 2020 г. до Европейския парламент, Съвета, Европейския икономически и социален комитет и Комитета на регионите. Стратегия „От фермата до трапезата“ за справедлива, здравословна и екологосъобразна продоволствена система (COM/2020/381 final).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2016/429 на Европейския парламент и на Съвета от 9 март 2016 г. за заразните болести по животните и за изменение и отмяна на определени актове в областта на здравеопазването на животните (Законодателство за здравеопазването на животните) (ОВ L 84, 31.3.2016 г., стр. 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40036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31C00B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B99C07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1"/>
    <w:multiLevelType w:val="singleLevel"/>
    <w:tmpl w:val="EC46E0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AC0CE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A7233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7B0A9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5E2FC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attachedTemplate r:id="rId1"/>
  <w:revisionView w:markup="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2-26 13:32:4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2732FC49-66E8-45E6-A403-BD809BEB5462"/>
    <w:docVar w:name="LW_COVERPAGE_TYPE" w:val="1"/>
    <w:docVar w:name="LW_CROSSREFERENCE" w:val="&lt;UNUSED&gt;"/>
    <w:docVar w:name="LW_DocType" w:val="COM"/>
    <w:docVar w:name="LW_EMISSION" w:val="9.3.2021"/>
    <w:docVar w:name="LW_EMISSION_ISODATE" w:val="2021-03-09"/>
    <w:docVar w:name="LW_EMISSION_LOCATION" w:val="BRX"/>
    <w:docVar w:name="LW_EMISSION_PREFIX" w:val="Брюксел, "/>
    <w:docVar w:name="LW_EMISSION_SUFFIX" w:val=" \u1075?."/>
    <w:docVar w:name="LW_ID_DOCMODEL" w:val="SJ-023"/>
    <w:docVar w:name="LW_ID_DOCSIGNATURE" w:val="SJ-023"/>
    <w:docVar w:name="LW_ID_DOCSTRUCTURE" w:val="COM/PL/ORG"/>
    <w:docVar w:name="LW_ID_DOCTYPE" w:val="SJ-023"/>
    <w:docVar w:name="LW_ID_EXP.MOTIFS.NEW" w:val="EM_PL_"/>
    <w:docVar w:name="LW_ID_STATUT" w:val="SJ-023"/>
    <w:docVar w:name="LW_INTERETEEE.CP" w:val="(\u1090?\u1077?\u1082?\u1089?\u1090? \u1086?\u1090? \u1079?\u1085?\u1072?\u1095?\u1077?\u1085?\u1080?\u1077? \u1079?\u1072? \u1045?\u1048?\u1055?)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055"/>
    <w:docVar w:name="LW_REF.II.NEW.CP_YEAR" w:val="2021"/>
    <w:docVar w:name="LW_REF.INST.NEW" w:val="COM"/>
    <w:docVar w:name="LW_REF.INST.NEW_ADOPTED" w:val="final"/>
    <w:docVar w:name="LW_REF.INST.NEW_TEXT" w:val="(2021) 10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\u1045?\u1057?) 2017/625 \u1087?\u1086? \u1086?\u1090?\u1085?\u1086?\u1096?\u1077?\u1085?\u1080?\u1077? \u1085?\u1072? \u1086?\u1092?\u1080?\u1094?\u1080?\u1072?\u1083?\u1085?\u1080?\u1103? \u1082?\u1086?\u1085?\u1090?\u1088?\u1086?\u1083? \u1085?\u1072? \u1078?\u1080?\u1074?\u1086?\u1090?\u1085?\u1080? \u1080? \u1087?\u1088?\u1086?\u1076?\u1091?\u1082?\u1090?\u1080? \u1086?\u1090? \u1078?\u1080?\u1074?\u1086?\u1090?\u1080?\u1085?\u1089?\u1082?\u1080? \u1087?\u1088?\u1086?\u1080?\u1079?\u1093?\u1086?\u1076?, \u1080?\u1079?\u1085?\u1072?\u1089?\u1103?\u1085?\u1080? \u1086?\u1090? \u1090?\u1088?\u1077?\u1090?\u1080? \u1076?\u1098?\u1088?\u1078?\u1072?\u1074?\u1080? \u1079?\u1072? \u1057?\u1098?\u1102?\u1079?\u1072?, \u1079?\u1072? \u1076?\u1072? \u1089?\u1077? \u1075?\u1072?\u1088?\u1072?\u1085?\u1090?\u1080?\u1088?\u1072? \u1089?\u1087?\u1072?\u1079?\u1074?\u1072?\u1085?\u1077?\u1090?\u1086? \u1085?\u1072? \u1079?\u1072?\u1073?\u1088?\u1072?\u1085?\u1072?\u1090?\u1072? \u1085?\u1072? \u1085?\u1103?\u1082?\u1086?\u1080? \u1074?\u1080?\u1076?\u1086?\u1074?\u1077? \u1091?\u1087?\u1086?\u1090?\u1088?\u1077?\u1073?\u1072? \u1085?\u1072? \u1072?\u1085?\u1090?\u1080?\u1084?\u1080?\u1082?\u1088?\u1086?\u1073?\u1085?\u1080? \u1089?\u1088?\u1077?\u1076?\u1089?\u1090?\u1074?\u1072?"/>
    <w:docVar w:name="LW_TYPE.DOC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9E24-8F9D-4E7C-B37B-C1210400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8</Pages>
  <Words>2170</Words>
  <Characters>11962</Characters>
  <Application>Microsoft Office Word</Application>
  <DocSecurity>0</DocSecurity>
  <Lines>217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19</cp:revision>
  <dcterms:created xsi:type="dcterms:W3CDTF">2021-02-18T15:36:00Z</dcterms:created>
  <dcterms:modified xsi:type="dcterms:W3CDTF">2021-02-26T12:32:00Z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SJ-023</vt:lpwstr>
  </property>
  <property fmtid="{D5CDD505-2E9C-101B-9397-08002B2CF9AE}" pid="10" name="DQCStatus">
    <vt:lpwstr>Green (DQC version 03)</vt:lpwstr>
  </property>
</Properties>
</file>