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alt="844D313D-E8AE-4B0F-B7D9-61D12E617304" style="width:450.75pt;height:434.25pt">
            <v:imagedata r:id="rId8" o:title=""/>
          </v:shape>
        </w:pict>
      </w:r>
    </w:p>
    <w:bookmarkEnd w:id="0"/>
    <w:p>
      <w:pPr>
        <w:rPr>
          <w:rFonts w:eastAsiaTheme="minorHAnsi"/>
          <w:noProof/>
          <w:lang w:val="en-IE" w:eastAsia="en-US"/>
        </w:rPr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0" w:h="16840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spacing w:after="0"/>
        <w:jc w:val="center"/>
        <w:rPr>
          <w:rFonts w:eastAsiaTheme="minorHAnsi"/>
          <w:b/>
          <w:noProof/>
          <w:szCs w:val="24"/>
        </w:rPr>
      </w:pPr>
      <w:bookmarkStart w:id="1" w:name="_GoBack"/>
      <w:bookmarkEnd w:id="1"/>
      <w:r>
        <w:rPr>
          <w:b/>
          <w:noProof/>
          <w:szCs w:val="24"/>
        </w:rPr>
        <w:lastRenderedPageBreak/>
        <w:t xml:space="preserve">ПРИЛОЖЕНИЕ 1: </w:t>
      </w:r>
    </w:p>
    <w:p>
      <w:pPr>
        <w:spacing w:after="0"/>
        <w:jc w:val="center"/>
        <w:rPr>
          <w:rFonts w:eastAsiaTheme="minorHAnsi"/>
          <w:b/>
          <w:noProof/>
          <w:szCs w:val="24"/>
        </w:rPr>
      </w:pPr>
      <w:r>
        <w:rPr>
          <w:b/>
          <w:noProof/>
          <w:szCs w:val="24"/>
        </w:rPr>
        <w:t>КЛЮЧОВИ ДЕЙСТВИЯ НА КОМИСИЯТА</w:t>
      </w:r>
    </w:p>
    <w:p>
      <w:pPr>
        <w:spacing w:after="0"/>
        <w:jc w:val="center"/>
        <w:rPr>
          <w:rFonts w:eastAsiaTheme="minorHAnsi"/>
          <w:b/>
          <w:noProof/>
          <w:szCs w:val="24"/>
          <w:lang w:eastAsia="en-GB"/>
        </w:rPr>
      </w:pPr>
    </w:p>
    <w:p>
      <w:pPr>
        <w:spacing w:after="0"/>
        <w:jc w:val="center"/>
        <w:rPr>
          <w:rFonts w:eastAsiaTheme="minorHAnsi"/>
          <w:b/>
          <w:noProof/>
          <w:szCs w:val="24"/>
        </w:rPr>
      </w:pPr>
      <w:r>
        <w:rPr>
          <w:noProof/>
          <w:lang w:val="en-GB" w:eastAsia="en-GB"/>
        </w:rPr>
        <w:drawing>
          <wp:inline distT="0" distB="0" distL="0" distR="0">
            <wp:extent cx="5727700" cy="814197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8141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jc w:val="center"/>
        <w:rPr>
          <w:rFonts w:eastAsiaTheme="minorHAnsi"/>
          <w:b/>
          <w:noProof/>
          <w:szCs w:val="24"/>
        </w:rPr>
      </w:pPr>
      <w:r>
        <w:rPr>
          <w:noProof/>
        </w:rPr>
        <w:br w:type="page"/>
      </w:r>
    </w:p>
    <w:p>
      <w:pPr>
        <w:spacing w:after="0" w:line="276" w:lineRule="auto"/>
        <w:jc w:val="center"/>
        <w:rPr>
          <w:rFonts w:eastAsiaTheme="minorHAnsi"/>
          <w:b/>
          <w:noProof/>
          <w:szCs w:val="24"/>
        </w:rPr>
      </w:pPr>
      <w:r>
        <w:rPr>
          <w:b/>
          <w:noProof/>
          <w:szCs w:val="24"/>
        </w:rPr>
        <w:lastRenderedPageBreak/>
        <w:t>ПРИЛОЖЕНИЕ 2:</w:t>
      </w:r>
    </w:p>
    <w:p>
      <w:pPr>
        <w:spacing w:after="0" w:line="276" w:lineRule="auto"/>
        <w:jc w:val="center"/>
        <w:rPr>
          <w:rFonts w:eastAsiaTheme="minorHAnsi"/>
          <w:b/>
          <w:noProof/>
          <w:szCs w:val="24"/>
        </w:rPr>
      </w:pPr>
      <w:r>
        <w:rPr>
          <w:b/>
          <w:noProof/>
          <w:szCs w:val="24"/>
        </w:rPr>
        <w:t xml:space="preserve">ПРЕРАЗГЛЕДАНИЯТ НАБОР ОТ СОЦИАЛНИ ПОКАЗАТЕЛИ </w:t>
      </w:r>
    </w:p>
    <w:p>
      <w:pPr>
        <w:spacing w:after="0" w:line="276" w:lineRule="auto"/>
        <w:jc w:val="center"/>
        <w:rPr>
          <w:rFonts w:eastAsiaTheme="minorHAnsi"/>
          <w:noProof/>
          <w:szCs w:val="24"/>
          <w:lang w:val="ru-RU" w:eastAsia="en-US"/>
        </w:rPr>
      </w:pPr>
    </w:p>
    <w:tbl>
      <w:tblPr>
        <w:tblStyle w:val="TableGrid"/>
        <w:tblW w:w="10206" w:type="dxa"/>
        <w:tblInd w:w="-459" w:type="dxa"/>
        <w:tblLook w:val="04A0" w:firstRow="1" w:lastRow="0" w:firstColumn="1" w:lastColumn="0" w:noHBand="0" w:noVBand="1"/>
      </w:tblPr>
      <w:tblGrid>
        <w:gridCol w:w="555"/>
        <w:gridCol w:w="2958"/>
        <w:gridCol w:w="5240"/>
        <w:gridCol w:w="1453"/>
      </w:tblGrid>
      <w:tr>
        <w:trPr>
          <w:trHeight w:val="503"/>
        </w:trPr>
        <w:tc>
          <w:tcPr>
            <w:tcW w:w="563" w:type="dxa"/>
          </w:tcPr>
          <w:p>
            <w:pPr>
              <w:spacing w:after="0"/>
              <w:jc w:val="left"/>
              <w:rPr>
                <w:noProof/>
                <w:lang w:val="ru-RU"/>
              </w:rPr>
            </w:pPr>
          </w:p>
        </w:tc>
        <w:tc>
          <w:tcPr>
            <w:tcW w:w="3050" w:type="dxa"/>
            <w:vAlign w:val="center"/>
          </w:tcPr>
          <w:p>
            <w:pPr>
              <w:spacing w:after="0"/>
              <w:jc w:val="center"/>
              <w:rPr>
                <w:b/>
                <w:i/>
                <w:noProof/>
                <w:sz w:val="20"/>
              </w:rPr>
            </w:pPr>
            <w:r>
              <w:rPr>
                <w:b/>
                <w:i/>
                <w:noProof/>
                <w:sz w:val="20"/>
              </w:rPr>
              <w:t>Водещи показатели</w:t>
            </w:r>
          </w:p>
        </w:tc>
        <w:tc>
          <w:tcPr>
            <w:tcW w:w="5479" w:type="dxa"/>
            <w:vAlign w:val="center"/>
          </w:tcPr>
          <w:p>
            <w:pPr>
              <w:spacing w:after="0"/>
              <w:jc w:val="center"/>
              <w:rPr>
                <w:noProof/>
              </w:rPr>
            </w:pPr>
            <w:r>
              <w:rPr>
                <w:b/>
                <w:i/>
                <w:noProof/>
                <w:sz w:val="20"/>
              </w:rPr>
              <w:t xml:space="preserve">Вторични показатели </w:t>
            </w:r>
          </w:p>
        </w:tc>
        <w:tc>
          <w:tcPr>
            <w:tcW w:w="1114" w:type="dxa"/>
            <w:vAlign w:val="center"/>
          </w:tcPr>
          <w:p>
            <w:pPr>
              <w:spacing w:after="0"/>
              <w:jc w:val="left"/>
              <w:rPr>
                <w:noProof/>
              </w:rPr>
            </w:pPr>
            <w:r>
              <w:rPr>
                <w:b/>
                <w:i/>
                <w:noProof/>
                <w:sz w:val="20"/>
              </w:rPr>
              <w:t>ЦУР</w:t>
            </w:r>
          </w:p>
        </w:tc>
      </w:tr>
      <w:tr>
        <w:trPr>
          <w:cantSplit/>
          <w:trHeight w:val="1134"/>
        </w:trPr>
        <w:tc>
          <w:tcPr>
            <w:tcW w:w="563" w:type="dxa"/>
            <w:textDirection w:val="btLr"/>
          </w:tcPr>
          <w:p>
            <w:pPr>
              <w:spacing w:after="0"/>
              <w:ind w:left="113" w:right="113"/>
              <w:jc w:val="left"/>
              <w:rPr>
                <w:noProof/>
                <w:color w:val="000000" w:themeColor="text1"/>
              </w:rPr>
            </w:pPr>
            <w:r>
              <w:rPr>
                <w:b/>
                <w:noProof/>
                <w:color w:val="000000" w:themeColor="text1"/>
                <w:sz w:val="20"/>
              </w:rPr>
              <w:t>Равни възможности</w:t>
            </w:r>
          </w:p>
        </w:tc>
        <w:tc>
          <w:tcPr>
            <w:tcW w:w="3050" w:type="dxa"/>
          </w:tcPr>
          <w:p>
            <w:pPr>
              <w:shd w:val="clear" w:color="auto" w:fill="FFFFFF" w:themeFill="background1"/>
              <w:spacing w:after="0"/>
              <w:jc w:val="left"/>
              <w:rPr>
                <w:noProof/>
                <w:color w:val="000000" w:themeColor="text1"/>
                <w:sz w:val="20"/>
              </w:rPr>
            </w:pPr>
            <w:r>
              <w:rPr>
                <w:noProof/>
                <w:color w:val="000000" w:themeColor="text1"/>
                <w:sz w:val="20"/>
              </w:rPr>
              <w:t>Участие на възрастни в учебни дейности през последните 12 месеца **</w:t>
            </w:r>
          </w:p>
          <w:p>
            <w:pPr>
              <w:shd w:val="clear" w:color="auto" w:fill="FFFFFF" w:themeFill="background1"/>
              <w:spacing w:after="0"/>
              <w:jc w:val="left"/>
              <w:rPr>
                <w:noProof/>
                <w:color w:val="000000" w:themeColor="text1"/>
                <w:sz w:val="20"/>
                <w:lang w:val="ru-RU"/>
              </w:rPr>
            </w:pPr>
          </w:p>
          <w:p>
            <w:pPr>
              <w:shd w:val="clear" w:color="auto" w:fill="FFFFFF" w:themeFill="background1"/>
              <w:spacing w:after="0"/>
              <w:jc w:val="left"/>
              <w:rPr>
                <w:noProof/>
                <w:color w:val="000000" w:themeColor="text1"/>
                <w:sz w:val="20"/>
              </w:rPr>
            </w:pPr>
            <w:r>
              <w:rPr>
                <w:noProof/>
                <w:color w:val="000000" w:themeColor="text1"/>
                <w:sz w:val="20"/>
              </w:rPr>
              <w:t>Дял на преждевременно напускащите системата на образование и обучение</w:t>
            </w:r>
          </w:p>
          <w:p>
            <w:pPr>
              <w:shd w:val="clear" w:color="auto" w:fill="FFFFFF" w:themeFill="background1"/>
              <w:spacing w:after="0"/>
              <w:jc w:val="left"/>
              <w:rPr>
                <w:noProof/>
                <w:color w:val="000000" w:themeColor="text1"/>
                <w:sz w:val="20"/>
                <w:lang w:val="ru-RU"/>
              </w:rPr>
            </w:pPr>
          </w:p>
          <w:p>
            <w:pPr>
              <w:shd w:val="clear" w:color="auto" w:fill="FFFFFF" w:themeFill="background1"/>
              <w:spacing w:after="0"/>
              <w:jc w:val="left"/>
              <w:rPr>
                <w:noProof/>
                <w:color w:val="000000" w:themeColor="text1"/>
                <w:sz w:val="20"/>
              </w:rPr>
            </w:pPr>
            <w:r>
              <w:rPr>
                <w:noProof/>
                <w:color w:val="000000" w:themeColor="text1"/>
                <w:sz w:val="20"/>
              </w:rPr>
              <w:t>Равнище на цифровите умения за отделните лица</w:t>
            </w:r>
          </w:p>
          <w:p>
            <w:pPr>
              <w:shd w:val="clear" w:color="auto" w:fill="FFFFFF" w:themeFill="background1"/>
              <w:spacing w:after="0"/>
              <w:jc w:val="left"/>
              <w:rPr>
                <w:noProof/>
                <w:color w:val="000000" w:themeColor="text1"/>
                <w:sz w:val="20"/>
                <w:lang w:val="ru-RU"/>
              </w:rPr>
            </w:pPr>
          </w:p>
          <w:p>
            <w:pPr>
              <w:shd w:val="clear" w:color="auto" w:fill="FFFFFF" w:themeFill="background1"/>
              <w:spacing w:after="0"/>
              <w:jc w:val="left"/>
              <w:rPr>
                <w:noProof/>
                <w:color w:val="000000" w:themeColor="text1"/>
                <w:sz w:val="20"/>
              </w:rPr>
            </w:pPr>
            <w:r>
              <w:rPr>
                <w:noProof/>
                <w:color w:val="000000" w:themeColor="text1"/>
                <w:sz w:val="20"/>
              </w:rPr>
              <w:t>Дял на младите хора, незаети с работа, учене или обучение  (NEET) (15—29 г.)</w:t>
            </w:r>
          </w:p>
          <w:p>
            <w:pPr>
              <w:shd w:val="clear" w:color="auto" w:fill="FFFFFF" w:themeFill="background1"/>
              <w:spacing w:after="0"/>
              <w:jc w:val="left"/>
              <w:rPr>
                <w:noProof/>
                <w:color w:val="000000" w:themeColor="text1"/>
                <w:sz w:val="20"/>
                <w:lang w:val="ru-RU"/>
              </w:rPr>
            </w:pPr>
          </w:p>
          <w:p>
            <w:pPr>
              <w:shd w:val="clear" w:color="auto" w:fill="FFFFFF" w:themeFill="background1"/>
              <w:spacing w:after="0"/>
              <w:jc w:val="left"/>
              <w:rPr>
                <w:strike/>
                <w:noProof/>
                <w:color w:val="000000" w:themeColor="text1"/>
                <w:sz w:val="20"/>
              </w:rPr>
            </w:pPr>
            <w:r>
              <w:rPr>
                <w:noProof/>
                <w:color w:val="000000" w:themeColor="text1"/>
                <w:sz w:val="20"/>
              </w:rPr>
              <w:t>Разлика в заетостта между половете</w:t>
            </w:r>
          </w:p>
          <w:p>
            <w:pPr>
              <w:spacing w:after="0"/>
              <w:jc w:val="left"/>
              <w:rPr>
                <w:noProof/>
                <w:color w:val="000000" w:themeColor="text1"/>
                <w:sz w:val="20"/>
                <w:lang w:val="ru-RU"/>
              </w:rPr>
            </w:pPr>
          </w:p>
          <w:p>
            <w:pPr>
              <w:spacing w:after="0"/>
              <w:jc w:val="left"/>
              <w:rPr>
                <w:noProof/>
                <w:color w:val="000000" w:themeColor="text1"/>
              </w:rPr>
            </w:pPr>
            <w:r>
              <w:rPr>
                <w:noProof/>
                <w:color w:val="000000" w:themeColor="text1"/>
                <w:sz w:val="20"/>
              </w:rPr>
              <w:t>Квинтилно съотношение на доходите (S80/S20)</w:t>
            </w:r>
          </w:p>
        </w:tc>
        <w:tc>
          <w:tcPr>
            <w:tcW w:w="5479" w:type="dxa"/>
          </w:tcPr>
          <w:p>
            <w:pPr>
              <w:shd w:val="clear" w:color="auto" w:fill="FFFFFF" w:themeFill="background1"/>
              <w:spacing w:after="0"/>
              <w:jc w:val="left"/>
              <w:rPr>
                <w:noProof/>
                <w:color w:val="000000" w:themeColor="text1"/>
                <w:sz w:val="20"/>
              </w:rPr>
            </w:pPr>
            <w:r>
              <w:rPr>
                <w:noProof/>
                <w:color w:val="000000" w:themeColor="text1"/>
                <w:sz w:val="20"/>
              </w:rPr>
              <w:t xml:space="preserve">Завършили висше образование </w:t>
            </w:r>
          </w:p>
          <w:p>
            <w:pPr>
              <w:shd w:val="clear" w:color="auto" w:fill="FFFFFF" w:themeFill="background1"/>
              <w:spacing w:after="0"/>
              <w:jc w:val="left"/>
              <w:rPr>
                <w:noProof/>
                <w:color w:val="000000" w:themeColor="text1"/>
                <w:sz w:val="20"/>
              </w:rPr>
            </w:pPr>
            <w:r>
              <w:rPr>
                <w:noProof/>
                <w:color w:val="000000" w:themeColor="text1"/>
                <w:sz w:val="20"/>
              </w:rPr>
              <w:t>Слаби резултати в образованието (включително в областта на цифровите умения**)</w:t>
            </w:r>
          </w:p>
          <w:p>
            <w:pPr>
              <w:shd w:val="clear" w:color="auto" w:fill="FFFFFF" w:themeFill="background1"/>
              <w:spacing w:after="0"/>
              <w:jc w:val="left"/>
              <w:rPr>
                <w:noProof/>
                <w:color w:val="000000" w:themeColor="text1"/>
                <w:sz w:val="20"/>
              </w:rPr>
            </w:pPr>
            <w:r>
              <w:rPr>
                <w:noProof/>
                <w:color w:val="000000" w:themeColor="text1"/>
                <w:sz w:val="20"/>
              </w:rPr>
              <w:t>Участие на нискоквалифицирани възрастни в ученето **</w:t>
            </w:r>
          </w:p>
          <w:p>
            <w:pPr>
              <w:shd w:val="clear" w:color="auto" w:fill="FFFFFF" w:themeFill="background1"/>
              <w:spacing w:after="0"/>
              <w:jc w:val="left"/>
              <w:rPr>
                <w:noProof/>
                <w:color w:val="000000" w:themeColor="text1"/>
                <w:sz w:val="20"/>
              </w:rPr>
            </w:pPr>
            <w:r>
              <w:rPr>
                <w:noProof/>
                <w:color w:val="000000" w:themeColor="text1"/>
                <w:sz w:val="20"/>
              </w:rPr>
              <w:t>Дял на безработните лица, които са преминали обучение в последно време**</w:t>
            </w:r>
          </w:p>
          <w:p>
            <w:pPr>
              <w:shd w:val="clear" w:color="auto" w:fill="FFFFFF" w:themeFill="background1"/>
              <w:spacing w:after="0"/>
              <w:ind w:left="142" w:hanging="141"/>
              <w:jc w:val="left"/>
              <w:rPr>
                <w:noProof/>
                <w:color w:val="000000" w:themeColor="text1"/>
                <w:sz w:val="20"/>
              </w:rPr>
            </w:pPr>
            <w:r>
              <w:rPr>
                <w:noProof/>
                <w:color w:val="000000" w:themeColor="text1"/>
                <w:sz w:val="20"/>
              </w:rPr>
              <w:t>Разлика в равнището на учениците със слаби резултати между долната и горната четвърт на социално-икономическия индекс (PISA) **</w:t>
            </w:r>
          </w:p>
          <w:p>
            <w:pPr>
              <w:shd w:val="clear" w:color="auto" w:fill="FFFFFF" w:themeFill="background1"/>
              <w:spacing w:after="0"/>
              <w:jc w:val="left"/>
              <w:rPr>
                <w:strike/>
                <w:noProof/>
                <w:color w:val="000000" w:themeColor="text1"/>
                <w:sz w:val="20"/>
              </w:rPr>
            </w:pPr>
            <w:r>
              <w:rPr>
                <w:noProof/>
                <w:color w:val="000000" w:themeColor="text1"/>
                <w:sz w:val="20"/>
              </w:rPr>
              <w:t>Неравнопоставеност между половете по отношение на заетостта на непълно работно време</w:t>
            </w:r>
          </w:p>
          <w:p>
            <w:pPr>
              <w:shd w:val="clear" w:color="auto" w:fill="FFFFFF" w:themeFill="background1"/>
              <w:spacing w:after="0"/>
              <w:jc w:val="left"/>
              <w:rPr>
                <w:noProof/>
                <w:color w:val="000000" w:themeColor="text1"/>
                <w:sz w:val="20"/>
              </w:rPr>
            </w:pPr>
            <w:r>
              <w:rPr>
                <w:noProof/>
                <w:color w:val="000000" w:themeColor="text1"/>
                <w:sz w:val="20"/>
              </w:rPr>
              <w:t>Разлика в заплащането на мъжете и жените, некоригирани данни</w:t>
            </w:r>
          </w:p>
          <w:p>
            <w:pPr>
              <w:spacing w:after="0"/>
              <w:jc w:val="left"/>
              <w:rPr>
                <w:noProof/>
                <w:color w:val="000000" w:themeColor="text1"/>
                <w:sz w:val="20"/>
              </w:rPr>
            </w:pPr>
            <w:r>
              <w:rPr>
                <w:noProof/>
                <w:color w:val="000000" w:themeColor="text1"/>
                <w:sz w:val="20"/>
              </w:rPr>
              <w:t>Дял на доходите на 40-те % от населението с най-ниски доходи (ЦУР) **</w:t>
            </w:r>
          </w:p>
        </w:tc>
        <w:tc>
          <w:tcPr>
            <w:tcW w:w="1114" w:type="dxa"/>
          </w:tcPr>
          <w:p>
            <w:pPr>
              <w:spacing w:after="0"/>
              <w:jc w:val="left"/>
              <w:rPr>
                <w:noProof/>
                <w:color w:val="000000" w:themeColor="text1"/>
                <w:sz w:val="20"/>
              </w:rPr>
            </w:pPr>
            <w:r>
              <w:rPr>
                <w:noProof/>
                <w:color w:val="000000" w:themeColor="text1"/>
                <w:sz w:val="20"/>
              </w:rPr>
              <w:t>4. Качествено образование</w:t>
            </w:r>
          </w:p>
          <w:p>
            <w:pPr>
              <w:spacing w:after="0"/>
              <w:jc w:val="left"/>
              <w:rPr>
                <w:noProof/>
                <w:color w:val="000000" w:themeColor="text1"/>
                <w:sz w:val="20"/>
                <w:lang w:val="ru-RU"/>
              </w:rPr>
            </w:pPr>
          </w:p>
          <w:p>
            <w:pPr>
              <w:spacing w:after="0"/>
              <w:jc w:val="left"/>
              <w:rPr>
                <w:noProof/>
                <w:color w:val="000000" w:themeColor="text1"/>
                <w:sz w:val="20"/>
              </w:rPr>
            </w:pPr>
            <w:r>
              <w:rPr>
                <w:noProof/>
                <w:color w:val="000000" w:themeColor="text1"/>
                <w:sz w:val="20"/>
              </w:rPr>
              <w:t>5. Равенство между половете</w:t>
            </w:r>
          </w:p>
          <w:p>
            <w:pPr>
              <w:spacing w:after="0"/>
              <w:jc w:val="left"/>
              <w:rPr>
                <w:noProof/>
                <w:color w:val="000000" w:themeColor="text1"/>
                <w:sz w:val="20"/>
                <w:lang w:val="ru-RU"/>
              </w:rPr>
            </w:pPr>
          </w:p>
          <w:p>
            <w:pPr>
              <w:spacing w:after="0"/>
              <w:jc w:val="left"/>
              <w:rPr>
                <w:noProof/>
                <w:color w:val="000000" w:themeColor="text1"/>
                <w:sz w:val="20"/>
              </w:rPr>
            </w:pPr>
            <w:r>
              <w:rPr>
                <w:noProof/>
                <w:color w:val="000000" w:themeColor="text1"/>
                <w:sz w:val="20"/>
              </w:rPr>
              <w:t>10. Намаляване на неравенствата</w:t>
            </w:r>
          </w:p>
          <w:p>
            <w:pPr>
              <w:spacing w:after="0"/>
              <w:jc w:val="left"/>
              <w:rPr>
                <w:noProof/>
                <w:color w:val="000000" w:themeColor="text1"/>
                <w:lang w:val="ru-RU"/>
              </w:rPr>
            </w:pPr>
          </w:p>
        </w:tc>
      </w:tr>
      <w:tr>
        <w:trPr>
          <w:cantSplit/>
          <w:trHeight w:val="1625"/>
        </w:trPr>
        <w:tc>
          <w:tcPr>
            <w:tcW w:w="563" w:type="dxa"/>
            <w:textDirection w:val="btLr"/>
          </w:tcPr>
          <w:p>
            <w:pPr>
              <w:spacing w:after="0"/>
              <w:ind w:left="113" w:right="113"/>
              <w:jc w:val="left"/>
              <w:rPr>
                <w:noProof/>
                <w:color w:val="000000" w:themeColor="text1"/>
              </w:rPr>
            </w:pPr>
            <w:r>
              <w:rPr>
                <w:b/>
                <w:noProof/>
                <w:color w:val="000000" w:themeColor="text1"/>
                <w:sz w:val="20"/>
              </w:rPr>
              <w:t>Справедливи условия на труд</w:t>
            </w:r>
          </w:p>
        </w:tc>
        <w:tc>
          <w:tcPr>
            <w:tcW w:w="3050" w:type="dxa"/>
          </w:tcPr>
          <w:p>
            <w:pPr>
              <w:shd w:val="clear" w:color="auto" w:fill="FFFFFF" w:themeFill="background1"/>
              <w:spacing w:after="0"/>
              <w:jc w:val="left"/>
              <w:rPr>
                <w:noProof/>
                <w:color w:val="000000" w:themeColor="text1"/>
                <w:sz w:val="20"/>
              </w:rPr>
            </w:pPr>
            <w:r>
              <w:rPr>
                <w:noProof/>
                <w:color w:val="000000" w:themeColor="text1"/>
                <w:sz w:val="20"/>
              </w:rPr>
              <w:t>Равнище на заетост</w:t>
            </w:r>
          </w:p>
          <w:p>
            <w:pPr>
              <w:shd w:val="clear" w:color="auto" w:fill="FFFFFF" w:themeFill="background1"/>
              <w:spacing w:after="0"/>
              <w:jc w:val="left"/>
              <w:rPr>
                <w:noProof/>
                <w:color w:val="000000" w:themeColor="text1"/>
                <w:sz w:val="20"/>
                <w:lang w:val="ru-RU"/>
              </w:rPr>
            </w:pPr>
          </w:p>
          <w:p>
            <w:pPr>
              <w:shd w:val="clear" w:color="auto" w:fill="FFFFFF" w:themeFill="background1"/>
              <w:spacing w:after="0"/>
              <w:jc w:val="left"/>
              <w:rPr>
                <w:noProof/>
                <w:color w:val="000000" w:themeColor="text1"/>
                <w:sz w:val="20"/>
              </w:rPr>
            </w:pPr>
            <w:r>
              <w:rPr>
                <w:noProof/>
                <w:color w:val="000000" w:themeColor="text1"/>
                <w:sz w:val="20"/>
              </w:rPr>
              <w:t xml:space="preserve">Равнище на безработица </w:t>
            </w:r>
          </w:p>
          <w:p>
            <w:pPr>
              <w:shd w:val="clear" w:color="auto" w:fill="FFFFFF" w:themeFill="background1"/>
              <w:spacing w:after="0"/>
              <w:jc w:val="left"/>
              <w:rPr>
                <w:noProof/>
                <w:color w:val="000000" w:themeColor="text1"/>
                <w:sz w:val="20"/>
                <w:lang w:val="ru-RU"/>
              </w:rPr>
            </w:pPr>
          </w:p>
          <w:p>
            <w:pPr>
              <w:shd w:val="clear" w:color="auto" w:fill="FFFFFF" w:themeFill="background1"/>
              <w:spacing w:after="0"/>
              <w:jc w:val="left"/>
              <w:rPr>
                <w:noProof/>
                <w:color w:val="000000" w:themeColor="text1"/>
                <w:sz w:val="20"/>
              </w:rPr>
            </w:pPr>
            <w:r>
              <w:rPr>
                <w:noProof/>
                <w:color w:val="000000" w:themeColor="text1"/>
                <w:sz w:val="20"/>
              </w:rPr>
              <w:t>Равнище на дългосрочната безработица</w:t>
            </w:r>
          </w:p>
          <w:p>
            <w:pPr>
              <w:shd w:val="clear" w:color="auto" w:fill="FFFFFF" w:themeFill="background1"/>
              <w:spacing w:after="0"/>
              <w:jc w:val="left"/>
              <w:rPr>
                <w:noProof/>
                <w:color w:val="000000" w:themeColor="text1"/>
                <w:sz w:val="20"/>
                <w:lang w:val="ru-RU"/>
              </w:rPr>
            </w:pPr>
          </w:p>
          <w:p>
            <w:pPr>
              <w:shd w:val="clear" w:color="auto" w:fill="FFFFFF" w:themeFill="background1"/>
              <w:spacing w:after="0"/>
              <w:jc w:val="left"/>
              <w:rPr>
                <w:noProof/>
                <w:color w:val="000000" w:themeColor="text1"/>
                <w:sz w:val="20"/>
              </w:rPr>
            </w:pPr>
            <w:r>
              <w:rPr>
                <w:noProof/>
                <w:color w:val="000000" w:themeColor="text1"/>
                <w:sz w:val="20"/>
              </w:rPr>
              <w:t>Ръст на БРДД на глава от населението</w:t>
            </w:r>
          </w:p>
        </w:tc>
        <w:tc>
          <w:tcPr>
            <w:tcW w:w="5479" w:type="dxa"/>
          </w:tcPr>
          <w:p>
            <w:pPr>
              <w:shd w:val="clear" w:color="auto" w:fill="FFFFFF" w:themeFill="background1"/>
              <w:spacing w:after="0"/>
              <w:jc w:val="left"/>
              <w:rPr>
                <w:noProof/>
                <w:color w:val="000000" w:themeColor="text1"/>
                <w:sz w:val="20"/>
              </w:rPr>
            </w:pPr>
            <w:r>
              <w:rPr>
                <w:noProof/>
                <w:color w:val="000000" w:themeColor="text1"/>
                <w:sz w:val="20"/>
              </w:rPr>
              <w:t xml:space="preserve">Равнище на активност </w:t>
            </w:r>
          </w:p>
          <w:p>
            <w:pPr>
              <w:shd w:val="clear" w:color="auto" w:fill="FFFFFF" w:themeFill="background1"/>
              <w:spacing w:after="0"/>
              <w:jc w:val="left"/>
              <w:rPr>
                <w:noProof/>
                <w:color w:val="000000" w:themeColor="text1"/>
                <w:sz w:val="20"/>
              </w:rPr>
            </w:pPr>
            <w:r>
              <w:rPr>
                <w:noProof/>
                <w:color w:val="000000" w:themeColor="text1"/>
                <w:sz w:val="20"/>
              </w:rPr>
              <w:t>Равнище на безработицата сред младите хора</w:t>
            </w:r>
          </w:p>
          <w:p>
            <w:pPr>
              <w:shd w:val="clear" w:color="auto" w:fill="FFFFFF" w:themeFill="background1"/>
              <w:spacing w:after="0"/>
              <w:jc w:val="left"/>
              <w:rPr>
                <w:noProof/>
                <w:color w:val="000000" w:themeColor="text1"/>
                <w:sz w:val="20"/>
              </w:rPr>
            </w:pPr>
            <w:r>
              <w:rPr>
                <w:noProof/>
                <w:color w:val="000000" w:themeColor="text1"/>
                <w:sz w:val="20"/>
              </w:rPr>
              <w:t>Заетост на сегашното работно място по продължителност</w:t>
            </w:r>
          </w:p>
          <w:p>
            <w:pPr>
              <w:shd w:val="clear" w:color="auto" w:fill="FFFFFF" w:themeFill="background1"/>
              <w:spacing w:after="0"/>
              <w:jc w:val="left"/>
              <w:rPr>
                <w:noProof/>
                <w:color w:val="000000" w:themeColor="text1"/>
                <w:sz w:val="20"/>
              </w:rPr>
            </w:pPr>
            <w:r>
              <w:rPr>
                <w:noProof/>
                <w:color w:val="000000" w:themeColor="text1"/>
                <w:sz w:val="20"/>
              </w:rPr>
              <w:t xml:space="preserve">Процент на прехода от временни към постоянни договори </w:t>
            </w:r>
          </w:p>
          <w:p>
            <w:pPr>
              <w:shd w:val="clear" w:color="auto" w:fill="FFFFFF" w:themeFill="background1"/>
              <w:spacing w:after="0"/>
              <w:jc w:val="left"/>
              <w:rPr>
                <w:noProof/>
                <w:color w:val="000000" w:themeColor="text1"/>
                <w:sz w:val="20"/>
              </w:rPr>
            </w:pPr>
            <w:r>
              <w:rPr>
                <w:noProof/>
                <w:color w:val="000000" w:themeColor="text1"/>
                <w:sz w:val="20"/>
              </w:rPr>
              <w:t>Дял на наетите лица на временен трудов договор не по тяхно желание**</w:t>
            </w:r>
          </w:p>
          <w:p>
            <w:pPr>
              <w:shd w:val="clear" w:color="auto" w:fill="FFFFFF" w:themeFill="background1"/>
              <w:spacing w:after="0"/>
              <w:jc w:val="left"/>
              <w:rPr>
                <w:noProof/>
                <w:color w:val="000000" w:themeColor="text1"/>
                <w:sz w:val="20"/>
              </w:rPr>
            </w:pPr>
            <w:r>
              <w:rPr>
                <w:noProof/>
                <w:color w:val="000000" w:themeColor="text1"/>
                <w:sz w:val="20"/>
              </w:rPr>
              <w:t>Фатални трудови злополуки на 100 000 работници (ЦУР) **</w:t>
            </w:r>
          </w:p>
          <w:p>
            <w:pPr>
              <w:shd w:val="clear" w:color="auto" w:fill="FFFFFF" w:themeFill="background1"/>
              <w:spacing w:after="0"/>
              <w:jc w:val="left"/>
              <w:rPr>
                <w:noProof/>
                <w:color w:val="000000" w:themeColor="text1"/>
                <w:sz w:val="20"/>
              </w:rPr>
            </w:pPr>
            <w:r>
              <w:rPr>
                <w:noProof/>
                <w:color w:val="000000" w:themeColor="text1"/>
                <w:sz w:val="20"/>
              </w:rPr>
              <w:t xml:space="preserve">Дял на работещите лица, изложени на риск от бедност </w:t>
            </w:r>
          </w:p>
        </w:tc>
        <w:tc>
          <w:tcPr>
            <w:tcW w:w="1114" w:type="dxa"/>
          </w:tcPr>
          <w:p>
            <w:pPr>
              <w:spacing w:after="0"/>
              <w:jc w:val="left"/>
              <w:rPr>
                <w:noProof/>
                <w:color w:val="000000" w:themeColor="text1"/>
              </w:rPr>
            </w:pPr>
            <w:r>
              <w:rPr>
                <w:noProof/>
                <w:color w:val="000000" w:themeColor="text1"/>
                <w:sz w:val="20"/>
              </w:rPr>
              <w:t>8. Достоен труд и икономически растеж</w:t>
            </w:r>
          </w:p>
        </w:tc>
      </w:tr>
      <w:tr>
        <w:trPr>
          <w:cantSplit/>
          <w:trHeight w:val="1134"/>
        </w:trPr>
        <w:tc>
          <w:tcPr>
            <w:tcW w:w="563" w:type="dxa"/>
            <w:textDirection w:val="btLr"/>
          </w:tcPr>
          <w:p>
            <w:pPr>
              <w:spacing w:after="0"/>
              <w:ind w:left="113" w:right="113"/>
              <w:jc w:val="left"/>
              <w:rPr>
                <w:noProof/>
                <w:color w:val="000000" w:themeColor="text1"/>
              </w:rPr>
            </w:pPr>
            <w:r>
              <w:rPr>
                <w:b/>
                <w:noProof/>
                <w:color w:val="000000" w:themeColor="text1"/>
                <w:sz w:val="20"/>
              </w:rPr>
              <w:t>Социална защита и социално включване</w:t>
            </w:r>
          </w:p>
        </w:tc>
        <w:tc>
          <w:tcPr>
            <w:tcW w:w="3050" w:type="dxa"/>
          </w:tcPr>
          <w:p>
            <w:pPr>
              <w:shd w:val="clear" w:color="auto" w:fill="FFFFFF" w:themeFill="background1"/>
              <w:spacing w:after="0"/>
              <w:jc w:val="left"/>
              <w:rPr>
                <w:noProof/>
                <w:color w:val="000000" w:themeColor="text1"/>
                <w:sz w:val="20"/>
              </w:rPr>
            </w:pPr>
            <w:r>
              <w:rPr>
                <w:noProof/>
                <w:color w:val="000000" w:themeColor="text1"/>
                <w:sz w:val="20"/>
              </w:rPr>
              <w:t>Дял на изложените на риск от бедност или социално изключване (ИРБИ)</w:t>
            </w:r>
          </w:p>
          <w:p>
            <w:pPr>
              <w:shd w:val="clear" w:color="auto" w:fill="FFFFFF" w:themeFill="background1"/>
              <w:spacing w:after="0"/>
              <w:jc w:val="left"/>
              <w:rPr>
                <w:b/>
                <w:noProof/>
                <w:color w:val="000000" w:themeColor="text1"/>
                <w:sz w:val="20"/>
                <w:lang w:val="ru-RU"/>
              </w:rPr>
            </w:pPr>
          </w:p>
          <w:p>
            <w:pPr>
              <w:shd w:val="clear" w:color="auto" w:fill="FFFFFF" w:themeFill="background1"/>
              <w:spacing w:after="0"/>
              <w:jc w:val="left"/>
              <w:rPr>
                <w:noProof/>
                <w:color w:val="000000" w:themeColor="text1"/>
                <w:sz w:val="20"/>
              </w:rPr>
            </w:pPr>
            <w:r>
              <w:rPr>
                <w:noProof/>
                <w:color w:val="000000" w:themeColor="text1"/>
                <w:sz w:val="20"/>
              </w:rPr>
              <w:t>Процент на изложените на риск от бедност или изключване при децата (0—17 г.) **</w:t>
            </w:r>
          </w:p>
          <w:p>
            <w:pPr>
              <w:shd w:val="clear" w:color="auto" w:fill="FFFFFF" w:themeFill="background1"/>
              <w:spacing w:after="0"/>
              <w:jc w:val="left"/>
              <w:rPr>
                <w:noProof/>
                <w:color w:val="000000" w:themeColor="text1"/>
                <w:sz w:val="20"/>
                <w:lang w:val="ru-RU"/>
              </w:rPr>
            </w:pPr>
          </w:p>
          <w:p>
            <w:pPr>
              <w:shd w:val="clear" w:color="auto" w:fill="FFFFFF" w:themeFill="background1"/>
              <w:spacing w:after="0"/>
              <w:jc w:val="left"/>
              <w:rPr>
                <w:noProof/>
                <w:color w:val="000000" w:themeColor="text1"/>
                <w:sz w:val="20"/>
              </w:rPr>
            </w:pPr>
            <w:r>
              <w:rPr>
                <w:noProof/>
                <w:color w:val="000000" w:themeColor="text1"/>
                <w:sz w:val="20"/>
              </w:rPr>
              <w:t>Въздействие на социалните трансфери (различни от пенсии) върху намаляването на бедността</w:t>
            </w:r>
          </w:p>
          <w:p>
            <w:pPr>
              <w:shd w:val="clear" w:color="auto" w:fill="FFFFFF" w:themeFill="background1"/>
              <w:spacing w:after="0"/>
              <w:jc w:val="left"/>
              <w:rPr>
                <w:noProof/>
                <w:color w:val="000000" w:themeColor="text1"/>
                <w:sz w:val="20"/>
                <w:lang w:val="ru-RU"/>
              </w:rPr>
            </w:pPr>
          </w:p>
          <w:p>
            <w:pPr>
              <w:shd w:val="clear" w:color="auto" w:fill="FFFFFF" w:themeFill="background1"/>
              <w:spacing w:after="0"/>
              <w:jc w:val="left"/>
              <w:rPr>
                <w:noProof/>
                <w:color w:val="000000" w:themeColor="text1"/>
                <w:sz w:val="20"/>
              </w:rPr>
            </w:pPr>
            <w:r>
              <w:rPr>
                <w:noProof/>
                <w:color w:val="000000" w:themeColor="text1"/>
                <w:sz w:val="20"/>
              </w:rPr>
              <w:t>Разлика в заетостта между хората без увреждания и хората с увреждания**</w:t>
            </w:r>
          </w:p>
          <w:p>
            <w:pPr>
              <w:shd w:val="clear" w:color="auto" w:fill="FFFFFF" w:themeFill="background1"/>
              <w:spacing w:after="0"/>
              <w:jc w:val="left"/>
              <w:rPr>
                <w:noProof/>
                <w:color w:val="000000" w:themeColor="text1"/>
                <w:sz w:val="20"/>
                <w:lang w:val="ru-RU"/>
              </w:rPr>
            </w:pPr>
          </w:p>
          <w:p>
            <w:pPr>
              <w:shd w:val="clear" w:color="auto" w:fill="FFFFFF" w:themeFill="background1"/>
              <w:spacing w:after="0"/>
              <w:jc w:val="left"/>
              <w:rPr>
                <w:noProof/>
                <w:color w:val="000000" w:themeColor="text1"/>
                <w:sz w:val="20"/>
              </w:rPr>
            </w:pPr>
            <w:r>
              <w:rPr>
                <w:noProof/>
                <w:color w:val="000000" w:themeColor="text1"/>
                <w:sz w:val="20"/>
              </w:rPr>
              <w:t>Прекомерни разходи за жилище**</w:t>
            </w:r>
          </w:p>
          <w:p>
            <w:pPr>
              <w:shd w:val="clear" w:color="auto" w:fill="FFFFFF" w:themeFill="background1"/>
              <w:spacing w:after="0"/>
              <w:jc w:val="left"/>
              <w:rPr>
                <w:noProof/>
                <w:color w:val="000000" w:themeColor="text1"/>
                <w:sz w:val="20"/>
                <w:lang w:val="ru-RU"/>
              </w:rPr>
            </w:pPr>
          </w:p>
          <w:p>
            <w:pPr>
              <w:shd w:val="clear" w:color="auto" w:fill="FFFFFF" w:themeFill="background1"/>
              <w:spacing w:after="0"/>
              <w:jc w:val="left"/>
              <w:rPr>
                <w:noProof/>
                <w:color w:val="000000" w:themeColor="text1"/>
                <w:sz w:val="20"/>
              </w:rPr>
            </w:pPr>
            <w:r>
              <w:rPr>
                <w:noProof/>
                <w:color w:val="000000" w:themeColor="text1"/>
                <w:sz w:val="20"/>
              </w:rPr>
              <w:t>Деца под 3-годишна възраст в системата за професионални грижи</w:t>
            </w:r>
          </w:p>
          <w:p>
            <w:pPr>
              <w:spacing w:after="0"/>
              <w:jc w:val="left"/>
              <w:rPr>
                <w:noProof/>
                <w:color w:val="000000" w:themeColor="text1"/>
                <w:sz w:val="20"/>
                <w:lang w:val="ru-RU"/>
              </w:rPr>
            </w:pPr>
          </w:p>
          <w:p>
            <w:pPr>
              <w:spacing w:after="0"/>
              <w:jc w:val="left"/>
              <w:rPr>
                <w:noProof/>
                <w:color w:val="000000" w:themeColor="text1"/>
              </w:rPr>
            </w:pPr>
            <w:r>
              <w:rPr>
                <w:noProof/>
                <w:color w:val="000000" w:themeColor="text1"/>
                <w:sz w:val="20"/>
              </w:rPr>
              <w:t>Неудовлетворени потребности от медицински грижи, лично съобщени от заинтересованото лице</w:t>
            </w:r>
          </w:p>
        </w:tc>
        <w:tc>
          <w:tcPr>
            <w:tcW w:w="5479" w:type="dxa"/>
          </w:tcPr>
          <w:p>
            <w:pPr>
              <w:shd w:val="clear" w:color="auto" w:fill="FFFFFF" w:themeFill="background1"/>
              <w:spacing w:after="0"/>
              <w:jc w:val="left"/>
              <w:rPr>
                <w:noProof/>
                <w:color w:val="000000" w:themeColor="text1"/>
                <w:sz w:val="20"/>
              </w:rPr>
            </w:pPr>
            <w:r>
              <w:rPr>
                <w:noProof/>
                <w:color w:val="000000" w:themeColor="text1"/>
                <w:sz w:val="20"/>
              </w:rPr>
              <w:t>Процент на изложените на риск от бедност</w:t>
            </w:r>
            <w:r>
              <w:rPr>
                <w:noProof/>
              </w:rPr>
              <w:t xml:space="preserve"> </w:t>
            </w:r>
          </w:p>
          <w:p>
            <w:pPr>
              <w:shd w:val="clear" w:color="auto" w:fill="FFFFFF" w:themeFill="background1"/>
              <w:spacing w:after="0"/>
              <w:jc w:val="left"/>
              <w:rPr>
                <w:noProof/>
                <w:color w:val="000000" w:themeColor="text1"/>
                <w:sz w:val="20"/>
              </w:rPr>
            </w:pPr>
            <w:r>
              <w:rPr>
                <w:noProof/>
                <w:color w:val="000000" w:themeColor="text1"/>
                <w:sz w:val="20"/>
              </w:rPr>
              <w:t xml:space="preserve">Процент на тежките материални и социални лишения </w:t>
            </w:r>
          </w:p>
          <w:p>
            <w:pPr>
              <w:shd w:val="clear" w:color="auto" w:fill="FFFFFF" w:themeFill="background1"/>
              <w:spacing w:after="0"/>
              <w:jc w:val="left"/>
              <w:rPr>
                <w:noProof/>
                <w:color w:val="000000" w:themeColor="text1"/>
                <w:sz w:val="20"/>
              </w:rPr>
            </w:pPr>
            <w:r>
              <w:rPr>
                <w:noProof/>
                <w:color w:val="000000" w:themeColor="text1"/>
                <w:sz w:val="20"/>
              </w:rPr>
              <w:t>Лица, живеещи в домакинства с много ниска икономическа активност</w:t>
            </w:r>
          </w:p>
          <w:p>
            <w:pPr>
              <w:shd w:val="clear" w:color="auto" w:fill="FFFFFF" w:themeFill="background1"/>
              <w:spacing w:after="0"/>
              <w:jc w:val="left"/>
              <w:rPr>
                <w:noProof/>
                <w:color w:val="000000" w:themeColor="text1"/>
                <w:sz w:val="20"/>
              </w:rPr>
            </w:pPr>
            <w:r>
              <w:rPr>
                <w:noProof/>
                <w:color w:val="000000" w:themeColor="text1"/>
                <w:sz w:val="20"/>
              </w:rPr>
              <w:t>Жилища с изключително лоши условия (собственик и наемател)</w:t>
            </w:r>
          </w:p>
          <w:p>
            <w:pPr>
              <w:shd w:val="clear" w:color="auto" w:fill="FFFFFF" w:themeFill="background1"/>
              <w:spacing w:after="0"/>
              <w:jc w:val="left"/>
              <w:rPr>
                <w:noProof/>
                <w:color w:val="000000" w:themeColor="text1"/>
                <w:sz w:val="20"/>
              </w:rPr>
            </w:pPr>
            <w:r>
              <w:rPr>
                <w:noProof/>
                <w:color w:val="000000" w:themeColor="text1"/>
                <w:sz w:val="20"/>
              </w:rPr>
              <w:t>Медианна разлика в риска от изпадане в бедност**</w:t>
            </w:r>
          </w:p>
          <w:p>
            <w:pPr>
              <w:shd w:val="clear" w:color="auto" w:fill="FFFFFF" w:themeFill="background1"/>
              <w:spacing w:after="0"/>
              <w:ind w:left="142" w:hanging="141"/>
              <w:jc w:val="left"/>
              <w:rPr>
                <w:noProof/>
                <w:color w:val="000000" w:themeColor="text1"/>
                <w:sz w:val="20"/>
              </w:rPr>
            </w:pPr>
            <w:r>
              <w:rPr>
                <w:noProof/>
                <w:color w:val="000000" w:themeColor="text1"/>
                <w:sz w:val="20"/>
              </w:rPr>
              <w:t>Процент на лицата, получаващи обезщетения [дял на лицата на възраст 18—59 години, получаващи социални обезщетения (различни от обезщетения за старост), от изложеното на риск от бедност население]**</w:t>
            </w:r>
          </w:p>
          <w:p>
            <w:pPr>
              <w:shd w:val="clear" w:color="auto" w:fill="FFFFFF" w:themeFill="background1"/>
              <w:spacing w:after="0"/>
              <w:ind w:left="142" w:hanging="141"/>
              <w:jc w:val="left"/>
              <w:rPr>
                <w:noProof/>
                <w:color w:val="000000" w:themeColor="text1"/>
                <w:sz w:val="20"/>
              </w:rPr>
            </w:pPr>
            <w:r>
              <w:rPr>
                <w:noProof/>
                <w:color w:val="000000" w:themeColor="text1"/>
                <w:sz w:val="20"/>
              </w:rPr>
              <w:t>Общо социални разходи по функции (% от БВП): Социална закрила, здравеопазване, образование, дългосрочни грижи**</w:t>
            </w:r>
          </w:p>
          <w:p>
            <w:pPr>
              <w:shd w:val="clear" w:color="auto" w:fill="FFFFFF" w:themeFill="background1"/>
              <w:spacing w:after="0"/>
              <w:ind w:left="142" w:hanging="141"/>
              <w:jc w:val="left"/>
              <w:rPr>
                <w:noProof/>
                <w:color w:val="000000" w:themeColor="text1"/>
                <w:sz w:val="20"/>
              </w:rPr>
            </w:pPr>
            <w:r>
              <w:rPr>
                <w:noProof/>
                <w:color w:val="000000" w:themeColor="text1"/>
                <w:sz w:val="20"/>
              </w:rPr>
              <w:t>Обхванати от схеми за обезщетения за безработица [краткосрочно безработни лица]**</w:t>
            </w:r>
          </w:p>
          <w:p>
            <w:pPr>
              <w:shd w:val="clear" w:color="auto" w:fill="FFFFFF" w:themeFill="background1"/>
              <w:spacing w:after="0"/>
              <w:jc w:val="left"/>
              <w:rPr>
                <w:noProof/>
                <w:color w:val="000000" w:themeColor="text1"/>
                <w:sz w:val="20"/>
              </w:rPr>
            </w:pPr>
            <w:r>
              <w:rPr>
                <w:noProof/>
                <w:color w:val="000000" w:themeColor="text1"/>
                <w:sz w:val="20"/>
              </w:rPr>
              <w:t>Покритие на нуждите от дългосрочни грижи**</w:t>
            </w:r>
          </w:p>
          <w:p>
            <w:pPr>
              <w:shd w:val="clear" w:color="auto" w:fill="FFFFFF" w:themeFill="background1"/>
              <w:spacing w:after="0"/>
              <w:jc w:val="left"/>
              <w:rPr>
                <w:noProof/>
                <w:color w:val="000000" w:themeColor="text1"/>
                <w:sz w:val="20"/>
              </w:rPr>
            </w:pPr>
            <w:r>
              <w:rPr>
                <w:noProof/>
                <w:color w:val="000000" w:themeColor="text1"/>
                <w:sz w:val="20"/>
              </w:rPr>
              <w:t>Агрегиран коефициент на заместване за пенсиите</w:t>
            </w:r>
          </w:p>
          <w:p>
            <w:pPr>
              <w:shd w:val="clear" w:color="auto" w:fill="FFFFFF" w:themeFill="background1"/>
              <w:spacing w:after="0"/>
              <w:ind w:left="142" w:hanging="141"/>
              <w:jc w:val="left"/>
              <w:rPr>
                <w:noProof/>
                <w:color w:val="000000" w:themeColor="text1"/>
                <w:sz w:val="20"/>
              </w:rPr>
            </w:pPr>
            <w:r>
              <w:rPr>
                <w:noProof/>
                <w:color w:val="000000" w:themeColor="text1"/>
                <w:sz w:val="20"/>
              </w:rPr>
              <w:t>Дял от хората, които не са в състояние да поддържат домовете си достатъчно отоплени (ЦУР)**</w:t>
            </w:r>
          </w:p>
          <w:p>
            <w:pPr>
              <w:shd w:val="clear" w:color="auto" w:fill="FFFFFF" w:themeFill="background1"/>
              <w:spacing w:after="0"/>
              <w:ind w:left="142" w:hanging="141"/>
              <w:jc w:val="left"/>
              <w:rPr>
                <w:noProof/>
                <w:color w:val="000000" w:themeColor="text1"/>
                <w:sz w:val="20"/>
              </w:rPr>
            </w:pPr>
            <w:r>
              <w:rPr>
                <w:noProof/>
                <w:color w:val="000000" w:themeColor="text1"/>
                <w:sz w:val="20"/>
              </w:rPr>
              <w:t xml:space="preserve">Измерение „свързаност“ на Индекса за навлизането на цифровите технологии в икономиката и обществото </w:t>
            </w:r>
          </w:p>
          <w:p>
            <w:pPr>
              <w:shd w:val="clear" w:color="auto" w:fill="FFFFFF" w:themeFill="background1"/>
              <w:spacing w:after="0"/>
              <w:ind w:left="142" w:hanging="141"/>
              <w:jc w:val="left"/>
              <w:rPr>
                <w:noProof/>
                <w:color w:val="000000" w:themeColor="text1"/>
                <w:sz w:val="20"/>
              </w:rPr>
            </w:pPr>
            <w:r>
              <w:rPr>
                <w:noProof/>
                <w:color w:val="000000" w:themeColor="text1"/>
                <w:sz w:val="20"/>
              </w:rPr>
              <w:t>Деца от 3-годишна възраст до задължителната възраст за начално образование в заведения за професионални грижи за деца**</w:t>
            </w:r>
          </w:p>
          <w:p>
            <w:pPr>
              <w:shd w:val="clear" w:color="auto" w:fill="FFFFFF" w:themeFill="background1"/>
              <w:spacing w:after="0"/>
              <w:jc w:val="left"/>
              <w:rPr>
                <w:noProof/>
                <w:color w:val="000000" w:themeColor="text1"/>
                <w:sz w:val="20"/>
              </w:rPr>
            </w:pPr>
            <w:r>
              <w:rPr>
                <w:noProof/>
                <w:color w:val="000000" w:themeColor="text1"/>
                <w:sz w:val="20"/>
              </w:rPr>
              <w:t>Преки разходи за здравно обслужване</w:t>
            </w:r>
          </w:p>
          <w:p>
            <w:pPr>
              <w:shd w:val="clear" w:color="auto" w:fill="FFFFFF" w:themeFill="background1"/>
              <w:spacing w:after="0"/>
              <w:jc w:val="left"/>
              <w:rPr>
                <w:noProof/>
                <w:color w:val="000000" w:themeColor="text1"/>
                <w:sz w:val="20"/>
              </w:rPr>
            </w:pPr>
            <w:r>
              <w:rPr>
                <w:noProof/>
                <w:color w:val="000000" w:themeColor="text1"/>
                <w:sz w:val="20"/>
              </w:rPr>
              <w:t>Години живот в добро здраве на 65-годишна възраст: жени и мъже</w:t>
            </w:r>
          </w:p>
          <w:p>
            <w:pPr>
              <w:spacing w:after="0"/>
              <w:jc w:val="left"/>
              <w:rPr>
                <w:noProof/>
                <w:color w:val="000000" w:themeColor="text1"/>
              </w:rPr>
            </w:pPr>
            <w:r>
              <w:rPr>
                <w:noProof/>
                <w:color w:val="000000" w:themeColor="text1"/>
                <w:sz w:val="20"/>
              </w:rPr>
              <w:t xml:space="preserve">Стандартизирана предотвратима и лечима смъртност (ЦУР)** </w:t>
            </w:r>
          </w:p>
        </w:tc>
        <w:tc>
          <w:tcPr>
            <w:tcW w:w="1114" w:type="dxa"/>
          </w:tcPr>
          <w:p>
            <w:pPr>
              <w:spacing w:after="0"/>
              <w:jc w:val="left"/>
              <w:rPr>
                <w:noProof/>
                <w:color w:val="000000" w:themeColor="text1"/>
                <w:sz w:val="20"/>
              </w:rPr>
            </w:pPr>
            <w:r>
              <w:rPr>
                <w:noProof/>
                <w:color w:val="000000" w:themeColor="text1"/>
                <w:sz w:val="20"/>
              </w:rPr>
              <w:t>1. Без бедност</w:t>
            </w:r>
          </w:p>
          <w:p>
            <w:pPr>
              <w:spacing w:after="0"/>
              <w:jc w:val="left"/>
              <w:rPr>
                <w:noProof/>
                <w:color w:val="000000" w:themeColor="text1"/>
                <w:sz w:val="20"/>
                <w:lang w:val="ru-RU"/>
              </w:rPr>
            </w:pPr>
          </w:p>
          <w:p>
            <w:pPr>
              <w:spacing w:after="0"/>
              <w:jc w:val="left"/>
              <w:rPr>
                <w:noProof/>
                <w:color w:val="000000" w:themeColor="text1"/>
                <w:sz w:val="20"/>
              </w:rPr>
            </w:pPr>
            <w:r>
              <w:rPr>
                <w:noProof/>
                <w:color w:val="000000" w:themeColor="text1"/>
                <w:sz w:val="20"/>
              </w:rPr>
              <w:t>3. Добро здраве и благоденствие</w:t>
            </w:r>
          </w:p>
        </w:tc>
      </w:tr>
    </w:tbl>
    <w:p>
      <w:pPr>
        <w:spacing w:after="0"/>
        <w:rPr>
          <w:rFonts w:eastAsiaTheme="minorHAnsi"/>
          <w:noProof/>
          <w:color w:val="000000" w:themeColor="text1"/>
          <w:sz w:val="20"/>
        </w:rPr>
      </w:pPr>
      <w:r>
        <w:rPr>
          <w:noProof/>
          <w:color w:val="000000" w:themeColor="text1"/>
          <w:sz w:val="20"/>
        </w:rPr>
        <w:t>** Нов показател в сравнение с настоящата версия на набора от социални показатели (в скоби рамката, в която той се използва понастоящем)</w:t>
      </w:r>
    </w:p>
    <w:p>
      <w:pPr>
        <w:spacing w:after="160" w:line="259" w:lineRule="auto"/>
        <w:rPr>
          <w:rFonts w:eastAsiaTheme="minorHAnsi"/>
          <w:noProof/>
          <w:color w:val="000000" w:themeColor="text1"/>
          <w:sz w:val="20"/>
        </w:rPr>
      </w:pPr>
      <w:r>
        <w:rPr>
          <w:noProof/>
          <w:color w:val="000000" w:themeColor="text1"/>
          <w:sz w:val="20"/>
        </w:rPr>
        <w:t>Забележка — за допълване на анализа, когато е уместно, ще се използват разбивки по набора от социални показатели по възрастова група, пол, държава на раждане, увреждане.</w:t>
      </w:r>
    </w:p>
    <w:p>
      <w:pPr>
        <w:spacing w:after="0"/>
        <w:jc w:val="left"/>
        <w:rPr>
          <w:noProof/>
        </w:rPr>
      </w:pPr>
      <w:r>
        <w:rPr>
          <w:noProof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9"/>
        <w:gridCol w:w="8121"/>
      </w:tblGrid>
      <w:tr>
        <w:trPr>
          <w:trHeight w:val="557"/>
        </w:trPr>
        <w:tc>
          <w:tcPr>
            <w:tcW w:w="9010" w:type="dxa"/>
            <w:gridSpan w:val="2"/>
            <w:tcBorders>
              <w:top w:val="nil"/>
              <w:left w:val="nil"/>
              <w:right w:val="nil"/>
            </w:tcBorders>
          </w:tcPr>
          <w:p>
            <w:pPr>
              <w:spacing w:after="0"/>
              <w:jc w:val="center"/>
              <w:rPr>
                <w:rFonts w:eastAsiaTheme="minorHAnsi"/>
                <w:b/>
                <w:noProof/>
                <w:szCs w:val="24"/>
              </w:rPr>
            </w:pPr>
            <w:r>
              <w:rPr>
                <w:b/>
                <w:noProof/>
                <w:szCs w:val="24"/>
              </w:rPr>
              <w:t>ПРИЛОЖЕНИЕ 3: ПРИНЦИПИТЕ НА СТЪЛБА, ПРОГЛАСЕНИ НА СРЕЩАТА НА ВЪРХА В ГЬОТЕБОРГ ПРЕЗ 2017 г.</w:t>
            </w:r>
          </w:p>
        </w:tc>
      </w:tr>
      <w:tr>
        <w:tc>
          <w:tcPr>
            <w:tcW w:w="889" w:type="dxa"/>
          </w:tcPr>
          <w:p>
            <w:pPr>
              <w:jc w:val="center"/>
              <w:rPr>
                <w:noProof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>
                  <wp:extent cx="371960" cy="333955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960" cy="333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21" w:type="dxa"/>
          </w:tcPr>
          <w:p>
            <w:pPr>
              <w:shd w:val="clear" w:color="auto" w:fill="FFFFFF"/>
              <w:spacing w:after="0"/>
              <w:rPr>
                <w:rFonts w:ascii="Microsoft Himalaya" w:hAnsi="Microsoft Himalaya" w:cs="Microsoft Himalaya"/>
                <w:b/>
                <w:bCs/>
                <w:noProof/>
                <w:color w:val="000000"/>
                <w:sz w:val="20"/>
              </w:rPr>
            </w:pPr>
            <w:r>
              <w:rPr>
                <w:rFonts w:ascii="Microsoft Himalaya" w:hAnsi="Microsoft Himalaya"/>
                <w:b/>
                <w:bCs/>
                <w:noProof/>
                <w:color w:val="000000"/>
                <w:sz w:val="20"/>
              </w:rPr>
              <w:t xml:space="preserve">1. Образование, обучение и учене през целия живот </w:t>
            </w:r>
          </w:p>
          <w:p>
            <w:pPr>
              <w:shd w:val="clear" w:color="auto" w:fill="FFFFFF"/>
              <w:spacing w:after="0"/>
              <w:rPr>
                <w:rFonts w:ascii="Microsoft Himalaya" w:hAnsi="Microsoft Himalaya" w:cs="Microsoft Himalaya"/>
                <w:i/>
                <w:noProof/>
                <w:color w:val="000000"/>
                <w:sz w:val="20"/>
              </w:rPr>
            </w:pPr>
            <w:r>
              <w:rPr>
                <w:rFonts w:ascii="Microsoft Himalaya" w:hAnsi="Microsoft Himalaya"/>
                <w:i/>
                <w:noProof/>
                <w:color w:val="000000"/>
                <w:sz w:val="20"/>
              </w:rPr>
              <w:t>Всеки има право на достъп до качествено и приобщаващо образование, обучение и учене през целия живот, за да поддържа и придобива умения, които му дават възможност да участва пълноценно в обществото и успешно да осъществява преходи на пазара на труда.</w:t>
            </w:r>
            <w:r>
              <w:rPr>
                <w:noProof/>
                <w:sz w:val="20"/>
              </w:rPr>
              <w:t xml:space="preserve"> </w:t>
            </w:r>
          </w:p>
        </w:tc>
      </w:tr>
      <w:tr>
        <w:trPr>
          <w:trHeight w:val="988"/>
        </w:trPr>
        <w:tc>
          <w:tcPr>
            <w:tcW w:w="889" w:type="dxa"/>
          </w:tcPr>
          <w:p>
            <w:pPr>
              <w:jc w:val="center"/>
              <w:rPr>
                <w:noProof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>
                  <wp:extent cx="353695" cy="297815"/>
                  <wp:effectExtent l="0" t="0" r="8255" b="698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3695" cy="297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21" w:type="dxa"/>
          </w:tcPr>
          <w:p>
            <w:pPr>
              <w:spacing w:after="0"/>
              <w:jc w:val="left"/>
              <w:rPr>
                <w:noProof/>
                <w:sz w:val="20"/>
              </w:rPr>
            </w:pPr>
            <w:r>
              <w:rPr>
                <w:rFonts w:ascii="Microsoft Himalaya" w:hAnsi="Microsoft Himalaya"/>
                <w:b/>
                <w:bCs/>
                <w:noProof/>
                <w:color w:val="000000"/>
                <w:sz w:val="20"/>
              </w:rPr>
              <w:t>2. Равенство между половете</w:t>
            </w:r>
            <w:r>
              <w:rPr>
                <w:noProof/>
                <w:sz w:val="20"/>
              </w:rPr>
              <w:t xml:space="preserve"> </w:t>
            </w:r>
            <w:r>
              <w:rPr>
                <w:noProof/>
                <w:sz w:val="20"/>
              </w:rPr>
              <w:br/>
            </w:r>
            <w:r>
              <w:rPr>
                <w:rFonts w:ascii="Microsoft Himalaya" w:hAnsi="Microsoft Himalaya"/>
                <w:i/>
                <w:noProof/>
                <w:color w:val="000000"/>
                <w:sz w:val="20"/>
              </w:rPr>
              <w:t>а. Равното третиране и равните възможности между мъжете и жените трябва да бъдат гарантирани и насърчавани във всички области, включително по отношение на участието в пазара на труда, реда и условията за наемане на работа и напредъка в кариерата.</w:t>
            </w:r>
            <w:r>
              <w:rPr>
                <w:noProof/>
                <w:sz w:val="20"/>
              </w:rPr>
              <w:t xml:space="preserve"> </w:t>
            </w:r>
            <w:r>
              <w:rPr>
                <w:noProof/>
                <w:sz w:val="20"/>
              </w:rPr>
              <w:br/>
            </w:r>
            <w:r>
              <w:rPr>
                <w:rFonts w:ascii="Cambria" w:hAnsi="Cambria" w:cs="Cambria"/>
                <w:i/>
                <w:noProof/>
                <w:sz w:val="20"/>
              </w:rPr>
              <w:t>б</w:t>
            </w:r>
            <w:r>
              <w:rPr>
                <w:rFonts w:ascii="Microsoft Himalaya" w:hAnsi="Microsoft Himalaya"/>
                <w:i/>
                <w:noProof/>
                <w:sz w:val="20"/>
              </w:rPr>
              <w:t xml:space="preserve">. </w:t>
            </w:r>
            <w:r>
              <w:rPr>
                <w:rFonts w:ascii="Cambria" w:hAnsi="Cambria" w:cs="Cambria"/>
                <w:i/>
                <w:noProof/>
                <w:sz w:val="20"/>
              </w:rPr>
              <w:t>Жените</w:t>
            </w:r>
            <w:r>
              <w:rPr>
                <w:rFonts w:ascii="Microsoft Himalaya" w:hAnsi="Microsoft Himalaya"/>
                <w:i/>
                <w:noProof/>
                <w:sz w:val="20"/>
              </w:rPr>
              <w:t xml:space="preserve"> </w:t>
            </w:r>
            <w:r>
              <w:rPr>
                <w:rFonts w:ascii="Cambria" w:hAnsi="Cambria" w:cs="Cambria"/>
                <w:i/>
                <w:noProof/>
                <w:sz w:val="20"/>
              </w:rPr>
              <w:t>и</w:t>
            </w:r>
            <w:r>
              <w:rPr>
                <w:rFonts w:ascii="Microsoft Himalaya" w:hAnsi="Microsoft Himalaya"/>
                <w:i/>
                <w:noProof/>
                <w:sz w:val="20"/>
              </w:rPr>
              <w:t xml:space="preserve"> </w:t>
            </w:r>
            <w:r>
              <w:rPr>
                <w:rFonts w:ascii="Cambria" w:hAnsi="Cambria" w:cs="Cambria"/>
                <w:i/>
                <w:noProof/>
                <w:sz w:val="20"/>
              </w:rPr>
              <w:t>мъжете</w:t>
            </w:r>
            <w:r>
              <w:rPr>
                <w:rFonts w:ascii="Microsoft Himalaya" w:hAnsi="Microsoft Himalaya"/>
                <w:i/>
                <w:noProof/>
                <w:sz w:val="20"/>
              </w:rPr>
              <w:t xml:space="preserve"> </w:t>
            </w:r>
            <w:r>
              <w:rPr>
                <w:rFonts w:ascii="Cambria" w:hAnsi="Cambria" w:cs="Cambria"/>
                <w:i/>
                <w:noProof/>
                <w:sz w:val="20"/>
              </w:rPr>
              <w:t>имат</w:t>
            </w:r>
            <w:r>
              <w:rPr>
                <w:rFonts w:ascii="Microsoft Himalaya" w:hAnsi="Microsoft Himalaya"/>
                <w:i/>
                <w:noProof/>
                <w:sz w:val="20"/>
              </w:rPr>
              <w:t xml:space="preserve"> </w:t>
            </w:r>
            <w:r>
              <w:rPr>
                <w:rFonts w:ascii="Cambria" w:hAnsi="Cambria" w:cs="Cambria"/>
                <w:i/>
                <w:noProof/>
                <w:sz w:val="20"/>
              </w:rPr>
              <w:t>право</w:t>
            </w:r>
            <w:r>
              <w:rPr>
                <w:rFonts w:ascii="Microsoft Himalaya" w:hAnsi="Microsoft Himalaya"/>
                <w:i/>
                <w:noProof/>
                <w:sz w:val="20"/>
              </w:rPr>
              <w:t xml:space="preserve"> </w:t>
            </w:r>
            <w:r>
              <w:rPr>
                <w:rFonts w:ascii="Cambria" w:hAnsi="Cambria" w:cs="Cambria"/>
                <w:i/>
                <w:noProof/>
                <w:sz w:val="20"/>
              </w:rPr>
              <w:t>на</w:t>
            </w:r>
            <w:r>
              <w:rPr>
                <w:rFonts w:ascii="Microsoft Himalaya" w:hAnsi="Microsoft Himalaya"/>
                <w:i/>
                <w:noProof/>
                <w:sz w:val="20"/>
              </w:rPr>
              <w:t xml:space="preserve"> </w:t>
            </w:r>
            <w:r>
              <w:rPr>
                <w:rFonts w:ascii="Cambria" w:hAnsi="Cambria" w:cs="Cambria"/>
                <w:i/>
                <w:noProof/>
                <w:sz w:val="20"/>
              </w:rPr>
              <w:t>равно</w:t>
            </w:r>
            <w:r>
              <w:rPr>
                <w:rFonts w:ascii="Microsoft Himalaya" w:hAnsi="Microsoft Himalaya"/>
                <w:i/>
                <w:noProof/>
                <w:sz w:val="20"/>
              </w:rPr>
              <w:t xml:space="preserve"> </w:t>
            </w:r>
            <w:r>
              <w:rPr>
                <w:rFonts w:ascii="Cambria" w:hAnsi="Cambria" w:cs="Cambria"/>
                <w:i/>
                <w:noProof/>
                <w:sz w:val="20"/>
              </w:rPr>
              <w:t>заплащане</w:t>
            </w:r>
            <w:r>
              <w:rPr>
                <w:rFonts w:ascii="Microsoft Himalaya" w:hAnsi="Microsoft Himalaya"/>
                <w:i/>
                <w:noProof/>
                <w:sz w:val="20"/>
              </w:rPr>
              <w:t xml:space="preserve"> </w:t>
            </w:r>
            <w:r>
              <w:rPr>
                <w:rFonts w:ascii="Cambria" w:hAnsi="Cambria" w:cs="Cambria"/>
                <w:i/>
                <w:noProof/>
                <w:sz w:val="20"/>
              </w:rPr>
              <w:t>за</w:t>
            </w:r>
            <w:r>
              <w:rPr>
                <w:rFonts w:ascii="Microsoft Himalaya" w:hAnsi="Microsoft Himalaya"/>
                <w:i/>
                <w:noProof/>
                <w:sz w:val="20"/>
              </w:rPr>
              <w:t xml:space="preserve"> </w:t>
            </w:r>
            <w:r>
              <w:rPr>
                <w:rFonts w:ascii="Cambria" w:hAnsi="Cambria" w:cs="Cambria"/>
                <w:i/>
                <w:noProof/>
                <w:sz w:val="20"/>
              </w:rPr>
              <w:t>равностоен</w:t>
            </w:r>
            <w:r>
              <w:rPr>
                <w:rFonts w:ascii="Microsoft Himalaya" w:hAnsi="Microsoft Himalaya"/>
                <w:i/>
                <w:noProof/>
                <w:sz w:val="20"/>
              </w:rPr>
              <w:t xml:space="preserve"> </w:t>
            </w:r>
            <w:r>
              <w:rPr>
                <w:rFonts w:ascii="Cambria" w:hAnsi="Cambria" w:cs="Cambria"/>
                <w:i/>
                <w:noProof/>
                <w:sz w:val="20"/>
              </w:rPr>
              <w:t>труд</w:t>
            </w:r>
            <w:r>
              <w:rPr>
                <w:i/>
                <w:noProof/>
                <w:sz w:val="20"/>
              </w:rPr>
              <w:t>.</w:t>
            </w:r>
          </w:p>
        </w:tc>
      </w:tr>
      <w:tr>
        <w:tc>
          <w:tcPr>
            <w:tcW w:w="889" w:type="dxa"/>
          </w:tcPr>
          <w:p>
            <w:pPr>
              <w:jc w:val="center"/>
              <w:rPr>
                <w:noProof/>
              </w:rPr>
            </w:pPr>
            <w:r>
              <w:rPr>
                <w:rFonts w:asciiTheme="minorHAnsi" w:hAnsiTheme="minorHAnsi"/>
                <w:noProof/>
                <w:sz w:val="22"/>
                <w:szCs w:val="22"/>
                <w:lang w:val="en-GB" w:eastAsia="en-GB"/>
              </w:rPr>
              <w:drawing>
                <wp:inline distT="0" distB="0" distL="0" distR="0">
                  <wp:extent cx="336421" cy="341906"/>
                  <wp:effectExtent l="0" t="0" r="6985" b="127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421" cy="341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21" w:type="dxa"/>
          </w:tcPr>
          <w:p>
            <w:pPr>
              <w:spacing w:after="0"/>
              <w:jc w:val="left"/>
              <w:rPr>
                <w:rFonts w:ascii="Microsoft Himalaya" w:hAnsi="Microsoft Himalaya" w:cs="Microsoft Himalaya"/>
                <w:i/>
                <w:noProof/>
                <w:color w:val="000000"/>
                <w:sz w:val="20"/>
              </w:rPr>
            </w:pPr>
            <w:r>
              <w:rPr>
                <w:rFonts w:ascii="Microsoft Himalaya" w:hAnsi="Microsoft Himalaya"/>
                <w:b/>
                <w:bCs/>
                <w:noProof/>
                <w:color w:val="000000"/>
                <w:sz w:val="20"/>
              </w:rPr>
              <w:t>3. Равни възможности</w:t>
            </w:r>
            <w:r>
              <w:rPr>
                <w:noProof/>
                <w:sz w:val="20"/>
              </w:rPr>
              <w:t xml:space="preserve"> </w:t>
            </w:r>
            <w:r>
              <w:rPr>
                <w:noProof/>
                <w:sz w:val="20"/>
              </w:rPr>
              <w:br/>
            </w:r>
            <w:r>
              <w:rPr>
                <w:rFonts w:ascii="Microsoft Himalaya" w:hAnsi="Microsoft Himalaya"/>
                <w:i/>
                <w:noProof/>
                <w:color w:val="000000"/>
                <w:sz w:val="20"/>
              </w:rPr>
              <w:t>Независимо от пол, расов или етнически произход, религия или убеждения, увреждане, възраст или сексуална ориентация, всеки има право на равно третиране и равни възможности в областта на заетостта, социалната закрила, образованието, както и достъпа до стоки и услуги, които са на разположение на обществеността. Следва да се насърчава предоставянето на равни възможности на по-слабо представените групи.</w:t>
            </w:r>
          </w:p>
        </w:tc>
      </w:tr>
      <w:tr>
        <w:tc>
          <w:tcPr>
            <w:tcW w:w="889" w:type="dxa"/>
          </w:tcPr>
          <w:p>
            <w:pPr>
              <w:jc w:val="center"/>
              <w:rPr>
                <w:noProof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>
                  <wp:extent cx="397121" cy="353833"/>
                  <wp:effectExtent l="0" t="0" r="3175" b="8255"/>
                  <wp:docPr id="228" name="Picture 2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7121" cy="3538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21" w:type="dxa"/>
          </w:tcPr>
          <w:p>
            <w:pPr>
              <w:spacing w:after="0"/>
              <w:jc w:val="left"/>
              <w:rPr>
                <w:noProof/>
                <w:sz w:val="20"/>
              </w:rPr>
            </w:pPr>
            <w:r>
              <w:rPr>
                <w:rFonts w:ascii="Microsoft Himalaya" w:hAnsi="Microsoft Himalaya"/>
                <w:b/>
                <w:bCs/>
                <w:noProof/>
                <w:color w:val="000000"/>
                <w:sz w:val="20"/>
              </w:rPr>
              <w:t>4. Активна подкрепа за заетостта</w:t>
            </w:r>
            <w:r>
              <w:rPr>
                <w:noProof/>
                <w:sz w:val="20"/>
              </w:rPr>
              <w:t xml:space="preserve"> </w:t>
            </w:r>
            <w:r>
              <w:rPr>
                <w:noProof/>
                <w:sz w:val="20"/>
              </w:rPr>
              <w:br/>
            </w:r>
            <w:r>
              <w:rPr>
                <w:rFonts w:ascii="Microsoft Himalaya" w:hAnsi="Microsoft Himalaya"/>
                <w:i/>
                <w:noProof/>
                <w:color w:val="000000"/>
                <w:sz w:val="20"/>
              </w:rPr>
              <w:t>а. Всеки има право на навременна и съобразена с нуждите помощ за подобряване на перспективите за заетост или самостоятелна заетост. Това включва правото да се получи подкрепа за търсене на работа, обучение и преквалификация. Всеки има право да прехвърля права на социална закрила и обучение по време на преходите в професионалния си живот.</w:t>
            </w:r>
            <w:r>
              <w:rPr>
                <w:noProof/>
                <w:sz w:val="20"/>
              </w:rPr>
              <w:t xml:space="preserve"> </w:t>
            </w:r>
            <w:r>
              <w:rPr>
                <w:noProof/>
                <w:sz w:val="20"/>
              </w:rPr>
              <w:br/>
            </w:r>
            <w:r>
              <w:rPr>
                <w:rFonts w:ascii="Microsoft Himalaya" w:hAnsi="Microsoft Himalaya"/>
                <w:i/>
                <w:noProof/>
                <w:color w:val="000000"/>
                <w:sz w:val="20"/>
              </w:rPr>
              <w:t>б. Младите хора имат право на продължаващо образование, чиракуване, стаж или добро предложение за работа в рамките на 4 месеца, след като останат без работа или напуснат образователната система.</w:t>
            </w:r>
            <w:r>
              <w:rPr>
                <w:noProof/>
                <w:sz w:val="20"/>
              </w:rPr>
              <w:t xml:space="preserve"> </w:t>
            </w:r>
            <w:r>
              <w:rPr>
                <w:noProof/>
                <w:sz w:val="20"/>
              </w:rPr>
              <w:br/>
            </w:r>
            <w:r>
              <w:rPr>
                <w:rFonts w:ascii="Microsoft Himalaya" w:hAnsi="Microsoft Himalaya"/>
                <w:i/>
                <w:noProof/>
                <w:color w:val="000000"/>
                <w:sz w:val="20"/>
              </w:rPr>
              <w:t>в. Безработните лица имат право на персонализирана, непрекъсната и последователна подкрепа. Трайно безработните лица имат право на задълбочена индивидуална оценка най-късно през 18-ия месец от периода на безработица.</w:t>
            </w:r>
          </w:p>
        </w:tc>
      </w:tr>
      <w:tr>
        <w:tc>
          <w:tcPr>
            <w:tcW w:w="889" w:type="dxa"/>
          </w:tcPr>
          <w:p>
            <w:pPr>
              <w:jc w:val="center"/>
              <w:rPr>
                <w:noProof/>
              </w:rPr>
            </w:pPr>
            <w:r>
              <w:rPr>
                <w:rFonts w:asciiTheme="minorHAnsi" w:hAnsiTheme="minorHAnsi"/>
                <w:noProof/>
                <w:sz w:val="22"/>
                <w:szCs w:val="22"/>
                <w:lang w:val="en-GB" w:eastAsia="en-GB"/>
              </w:rPr>
              <w:drawing>
                <wp:inline distT="0" distB="0" distL="0" distR="0">
                  <wp:extent cx="343786" cy="322027"/>
                  <wp:effectExtent l="0" t="0" r="0" b="190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3786" cy="3220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21" w:type="dxa"/>
          </w:tcPr>
          <w:p>
            <w:pPr>
              <w:spacing w:after="0"/>
              <w:jc w:val="left"/>
              <w:rPr>
                <w:noProof/>
                <w:sz w:val="20"/>
              </w:rPr>
            </w:pPr>
            <w:r>
              <w:rPr>
                <w:rFonts w:ascii="Microsoft Himalaya" w:hAnsi="Microsoft Himalaya"/>
                <w:b/>
                <w:bCs/>
                <w:noProof/>
                <w:color w:val="000000"/>
                <w:sz w:val="20"/>
              </w:rPr>
              <w:t>5. Сигурна и гъвкава заетост</w:t>
            </w:r>
            <w:r>
              <w:rPr>
                <w:noProof/>
                <w:sz w:val="20"/>
              </w:rPr>
              <w:t xml:space="preserve"> </w:t>
            </w:r>
            <w:r>
              <w:rPr>
                <w:noProof/>
                <w:sz w:val="20"/>
              </w:rPr>
              <w:br/>
            </w:r>
            <w:r>
              <w:rPr>
                <w:rFonts w:ascii="Microsoft Himalaya" w:hAnsi="Microsoft Himalaya"/>
                <w:i/>
                <w:noProof/>
                <w:color w:val="000000"/>
                <w:sz w:val="20"/>
              </w:rPr>
              <w:t>а. Независимо от вида и продължителността на трудовото правоотношение, работниците имат право на справедливо и равно третиране по отношение на условията на труд и достъпа до социална закрила и обучение. Преходът към безсрочни форми на заетост следва да бъде насърчаван.</w:t>
            </w:r>
            <w:r>
              <w:rPr>
                <w:noProof/>
                <w:sz w:val="20"/>
              </w:rPr>
              <w:t xml:space="preserve"> </w:t>
            </w:r>
            <w:r>
              <w:rPr>
                <w:noProof/>
                <w:sz w:val="20"/>
              </w:rPr>
              <w:br/>
            </w:r>
            <w:r>
              <w:rPr>
                <w:rFonts w:ascii="Microsoft Himalaya" w:hAnsi="Microsoft Himalaya"/>
                <w:i/>
                <w:noProof/>
                <w:color w:val="000000"/>
                <w:sz w:val="20"/>
              </w:rPr>
              <w:t>б. В съответствие със законовите разпоредби и колективните споразумения трябва да бъде гарантирана необходимата гъвкавост за работодателите, за да могат бързо да се адаптират към промените в икономическите условия.</w:t>
            </w:r>
            <w:r>
              <w:rPr>
                <w:noProof/>
                <w:sz w:val="20"/>
              </w:rPr>
              <w:t xml:space="preserve"> </w:t>
            </w:r>
            <w:r>
              <w:rPr>
                <w:noProof/>
                <w:sz w:val="20"/>
              </w:rPr>
              <w:br/>
            </w:r>
            <w:r>
              <w:rPr>
                <w:rFonts w:ascii="Microsoft Himalaya" w:hAnsi="Microsoft Himalaya"/>
                <w:i/>
                <w:noProof/>
                <w:color w:val="000000"/>
                <w:sz w:val="20"/>
              </w:rPr>
              <w:t>в. Новаторските форми на труд, които осигуряват качествени условия, следва да бъдат насърчавани. Предприемачеството и самостоятелната заетост следва да бъдат насърчавани. Професионалната мобилност следва да се улеснява.</w:t>
            </w:r>
            <w:r>
              <w:rPr>
                <w:noProof/>
                <w:sz w:val="20"/>
              </w:rPr>
              <w:t xml:space="preserve"> </w:t>
            </w:r>
            <w:r>
              <w:rPr>
                <w:noProof/>
                <w:sz w:val="20"/>
              </w:rPr>
              <w:br/>
            </w:r>
            <w:r>
              <w:rPr>
                <w:rFonts w:ascii="Microsoft Himalaya" w:hAnsi="Microsoft Himalaya"/>
                <w:i/>
                <w:noProof/>
                <w:color w:val="000000"/>
                <w:sz w:val="20"/>
              </w:rPr>
              <w:t>г. Трудовите правоотношения, които водят до несигурни условия на труд, следва да се предотвратяват, включително чрез забрана на злоупотребата с нетипични договори. Изпитателният срок следва да бъде с разумна продължителност.</w:t>
            </w:r>
          </w:p>
        </w:tc>
      </w:tr>
      <w:tr>
        <w:trPr>
          <w:trHeight w:val="1686"/>
        </w:trPr>
        <w:tc>
          <w:tcPr>
            <w:tcW w:w="889" w:type="dxa"/>
          </w:tcPr>
          <w:p>
            <w:pPr>
              <w:jc w:val="center"/>
              <w:rPr>
                <w:noProof/>
              </w:rPr>
            </w:pPr>
            <w:r>
              <w:rPr>
                <w:rFonts w:asciiTheme="minorHAnsi" w:hAnsiTheme="minorHAnsi"/>
                <w:noProof/>
                <w:sz w:val="22"/>
                <w:szCs w:val="22"/>
                <w:lang w:val="en-GB" w:eastAsia="en-GB"/>
              </w:rPr>
              <w:drawing>
                <wp:inline distT="0" distB="0" distL="0" distR="0">
                  <wp:extent cx="337185" cy="317500"/>
                  <wp:effectExtent l="0" t="0" r="5715" b="635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7185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21" w:type="dxa"/>
          </w:tcPr>
          <w:p>
            <w:pPr>
              <w:spacing w:after="0"/>
              <w:jc w:val="left"/>
              <w:rPr>
                <w:rFonts w:ascii="Microsoft Himalaya" w:hAnsi="Microsoft Himalaya" w:cs="Microsoft Himalaya"/>
                <w:i/>
                <w:noProof/>
                <w:color w:val="000000"/>
                <w:sz w:val="20"/>
              </w:rPr>
            </w:pPr>
            <w:r>
              <w:rPr>
                <w:rFonts w:ascii="Microsoft Himalaya" w:hAnsi="Microsoft Himalaya"/>
                <w:b/>
                <w:bCs/>
                <w:noProof/>
                <w:color w:val="000000"/>
                <w:sz w:val="20"/>
              </w:rPr>
              <w:t>6. Работни заплати</w:t>
            </w:r>
            <w:r>
              <w:rPr>
                <w:noProof/>
                <w:sz w:val="20"/>
              </w:rPr>
              <w:t xml:space="preserve"> </w:t>
            </w:r>
            <w:r>
              <w:rPr>
                <w:noProof/>
                <w:sz w:val="20"/>
              </w:rPr>
              <w:br/>
            </w:r>
            <w:r>
              <w:rPr>
                <w:rFonts w:ascii="Microsoft Himalaya" w:hAnsi="Microsoft Himalaya"/>
                <w:i/>
                <w:noProof/>
                <w:color w:val="000000"/>
                <w:sz w:val="20"/>
              </w:rPr>
              <w:t>а. Работниците имат право на справедливо възнаграждение, което осигурява достоен стандарт на живот.</w:t>
            </w:r>
            <w:r>
              <w:rPr>
                <w:noProof/>
                <w:sz w:val="20"/>
              </w:rPr>
              <w:t xml:space="preserve"> </w:t>
            </w:r>
            <w:r>
              <w:rPr>
                <w:noProof/>
                <w:sz w:val="20"/>
              </w:rPr>
              <w:br/>
            </w:r>
            <w:r>
              <w:rPr>
                <w:rFonts w:ascii="Microsoft Himalaya" w:hAnsi="Microsoft Himalaya"/>
                <w:i/>
                <w:noProof/>
                <w:color w:val="000000"/>
                <w:sz w:val="20"/>
              </w:rPr>
              <w:t>б. Следва да се осигуряват адекватни минимални работни заплати по такъв начин, че да се удовлетворяват потребностите на работника и неговото семейство в контекста на националните икономически и социални условия, като същевременно се запази достъпът до заетост и стимулите за търсене на работа. Следва да се предотвратява бедността сред работещите.</w:t>
            </w:r>
            <w:r>
              <w:rPr>
                <w:noProof/>
                <w:sz w:val="20"/>
              </w:rPr>
              <w:t xml:space="preserve"> </w:t>
            </w:r>
            <w:r>
              <w:rPr>
                <w:noProof/>
                <w:sz w:val="20"/>
              </w:rPr>
              <w:br/>
            </w:r>
            <w:r>
              <w:rPr>
                <w:rFonts w:ascii="Microsoft Himalaya" w:hAnsi="Microsoft Himalaya"/>
                <w:i/>
                <w:noProof/>
                <w:color w:val="000000"/>
                <w:sz w:val="20"/>
              </w:rPr>
              <w:t>в. Всички работни заплати следва да се определят по прозрачен и предвидим начин в съответствие с националните практики и като се зачита автономността на социалните партньори.</w:t>
            </w:r>
          </w:p>
        </w:tc>
      </w:tr>
      <w:tr>
        <w:trPr>
          <w:trHeight w:val="1468"/>
        </w:trPr>
        <w:tc>
          <w:tcPr>
            <w:tcW w:w="889" w:type="dxa"/>
          </w:tcPr>
          <w:p>
            <w:pPr>
              <w:jc w:val="center"/>
              <w:rPr>
                <w:noProof/>
              </w:rPr>
            </w:pPr>
            <w:r>
              <w:rPr>
                <w:rFonts w:asciiTheme="minorHAnsi" w:hAnsiTheme="minorHAnsi"/>
                <w:noProof/>
                <w:sz w:val="22"/>
                <w:szCs w:val="22"/>
                <w:lang w:val="en-GB" w:eastAsia="en-GB"/>
              </w:rPr>
              <w:drawing>
                <wp:inline distT="0" distB="0" distL="0" distR="0">
                  <wp:extent cx="417443" cy="352425"/>
                  <wp:effectExtent l="0" t="0" r="1905" b="0"/>
                  <wp:docPr id="229" name="Picture 2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7443" cy="352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21" w:type="dxa"/>
          </w:tcPr>
          <w:p>
            <w:pPr>
              <w:spacing w:after="0"/>
              <w:jc w:val="left"/>
              <w:rPr>
                <w:noProof/>
                <w:sz w:val="20"/>
              </w:rPr>
            </w:pPr>
            <w:r>
              <w:rPr>
                <w:rFonts w:ascii="Microsoft Himalaya" w:hAnsi="Microsoft Himalaya"/>
                <w:b/>
                <w:bCs/>
                <w:noProof/>
                <w:color w:val="000000"/>
                <w:sz w:val="20"/>
              </w:rPr>
              <w:t>7. Информация за условията на работа и защита в случай на уволнение</w:t>
            </w:r>
            <w:r>
              <w:rPr>
                <w:noProof/>
                <w:sz w:val="20"/>
              </w:rPr>
              <w:t xml:space="preserve"> </w:t>
            </w:r>
            <w:r>
              <w:rPr>
                <w:noProof/>
                <w:sz w:val="20"/>
              </w:rPr>
              <w:br/>
            </w:r>
            <w:r>
              <w:rPr>
                <w:rFonts w:ascii="Microsoft Himalaya" w:hAnsi="Microsoft Himalaya"/>
                <w:i/>
                <w:noProof/>
                <w:color w:val="000000"/>
                <w:sz w:val="20"/>
              </w:rPr>
              <w:t>а. Работниците имат право да бъдат информирани писмено при наемането на работа за своите права и задължения, произтичащи от трудовите правоотношения, включително за изпитателния срок.</w:t>
            </w:r>
            <w:r>
              <w:rPr>
                <w:noProof/>
                <w:sz w:val="20"/>
              </w:rPr>
              <w:t xml:space="preserve"> </w:t>
            </w:r>
            <w:r>
              <w:rPr>
                <w:noProof/>
                <w:sz w:val="20"/>
              </w:rPr>
              <w:br/>
            </w:r>
            <w:r>
              <w:rPr>
                <w:rFonts w:ascii="Microsoft Himalaya" w:hAnsi="Microsoft Himalaya"/>
                <w:i/>
                <w:noProof/>
                <w:color w:val="000000"/>
                <w:sz w:val="20"/>
              </w:rPr>
              <w:t>б. Преди уволнение работниците имат право да бъдат информирани за причините и да получат предизвестие в разумен срок. Те имат право на достъп до ефективно и безпристрастно разрешаване на спорове и, в случай на неоснователно уволнение, правото на правна защита, включително подходящо обезщетение.</w:t>
            </w:r>
          </w:p>
        </w:tc>
      </w:tr>
      <w:tr>
        <w:tc>
          <w:tcPr>
            <w:tcW w:w="889" w:type="dxa"/>
          </w:tcPr>
          <w:p>
            <w:pPr>
              <w:jc w:val="center"/>
              <w:rPr>
                <w:noProof/>
              </w:rPr>
            </w:pPr>
            <w:r>
              <w:rPr>
                <w:rFonts w:asciiTheme="minorHAnsi" w:hAnsiTheme="minorHAnsi"/>
                <w:noProof/>
                <w:sz w:val="22"/>
                <w:szCs w:val="22"/>
                <w:lang w:val="en-GB" w:eastAsia="en-GB"/>
              </w:rPr>
              <w:drawing>
                <wp:inline distT="0" distB="0" distL="0" distR="0">
                  <wp:extent cx="385638" cy="313198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5638" cy="3131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21" w:type="dxa"/>
          </w:tcPr>
          <w:p>
            <w:pPr>
              <w:spacing w:after="0"/>
              <w:jc w:val="left"/>
              <w:rPr>
                <w:noProof/>
                <w:sz w:val="20"/>
              </w:rPr>
            </w:pPr>
            <w:r>
              <w:rPr>
                <w:rFonts w:ascii="Microsoft Himalaya" w:hAnsi="Microsoft Himalaya"/>
                <w:b/>
                <w:bCs/>
                <w:noProof/>
                <w:color w:val="000000"/>
                <w:sz w:val="20"/>
              </w:rPr>
              <w:t>8. Социален диалог и участие на работниците</w:t>
            </w:r>
            <w:r>
              <w:rPr>
                <w:noProof/>
                <w:sz w:val="20"/>
              </w:rPr>
              <w:t xml:space="preserve"> </w:t>
            </w:r>
            <w:r>
              <w:rPr>
                <w:noProof/>
                <w:sz w:val="20"/>
              </w:rPr>
              <w:br/>
            </w:r>
            <w:r>
              <w:rPr>
                <w:rFonts w:ascii="Microsoft Himalaya" w:hAnsi="Microsoft Himalaya"/>
                <w:i/>
                <w:noProof/>
                <w:color w:val="000000"/>
                <w:sz w:val="20"/>
              </w:rPr>
              <w:t>а. Следва да се провеждат консултации със социалните партньори относно разработването и изпълнението на политиките в областта на икономиката, заетостта и социалните политики в съответствие с националните практики. Те следва да бъдат насърчавани да договарят и сключват колективни споразумения в области от значение за тях, при спазване на тяхната автономност и право на колективни действия. Когато е целесъобразно, сключените между социалните партньори споразумения следва да бъдат прилагани на равнището на Съюза и неговите държави членки.</w:t>
            </w:r>
            <w:r>
              <w:rPr>
                <w:noProof/>
                <w:sz w:val="20"/>
              </w:rPr>
              <w:t xml:space="preserve"> </w:t>
            </w:r>
            <w:r>
              <w:rPr>
                <w:noProof/>
                <w:sz w:val="20"/>
              </w:rPr>
              <w:br/>
            </w:r>
            <w:r>
              <w:rPr>
                <w:rFonts w:ascii="Microsoft Himalaya" w:hAnsi="Microsoft Himalaya"/>
                <w:i/>
                <w:noProof/>
                <w:color w:val="000000"/>
                <w:sz w:val="20"/>
              </w:rPr>
              <w:t>б. Работниците или техните представители имат право да бъдат информирани и да се иска тяхното мнение своевременно по въпроси от значение за тях, особено във връзка с прехвърлянето, преструктурирането и сливането на предприятия и колективни уволнения.</w:t>
            </w:r>
            <w:r>
              <w:rPr>
                <w:noProof/>
                <w:sz w:val="20"/>
              </w:rPr>
              <w:t xml:space="preserve"> </w:t>
            </w:r>
            <w:r>
              <w:rPr>
                <w:noProof/>
                <w:sz w:val="20"/>
              </w:rPr>
              <w:br/>
            </w:r>
            <w:r>
              <w:rPr>
                <w:rFonts w:ascii="Microsoft Himalaya" w:hAnsi="Microsoft Himalaya"/>
                <w:i/>
                <w:noProof/>
                <w:color w:val="000000"/>
                <w:sz w:val="20"/>
              </w:rPr>
              <w:t>в. Следва да се насърчава подкрепата за увеличаване на капацитета на социалните партньори с цел да се насърчава социалният диалог.</w:t>
            </w:r>
          </w:p>
        </w:tc>
      </w:tr>
      <w:tr>
        <w:tc>
          <w:tcPr>
            <w:tcW w:w="889" w:type="dxa"/>
          </w:tcPr>
          <w:p>
            <w:pPr>
              <w:tabs>
                <w:tab w:val="left" w:pos="425"/>
              </w:tabs>
              <w:jc w:val="center"/>
              <w:rPr>
                <w:noProof/>
              </w:rPr>
            </w:pPr>
            <w:r>
              <w:rPr>
                <w:rFonts w:asciiTheme="minorHAnsi" w:hAnsiTheme="minorHAnsi"/>
                <w:noProof/>
                <w:sz w:val="22"/>
                <w:szCs w:val="22"/>
                <w:lang w:val="en-GB" w:eastAsia="en-GB"/>
              </w:rPr>
              <w:drawing>
                <wp:inline distT="0" distB="0" distL="0" distR="0">
                  <wp:extent cx="427628" cy="327246"/>
                  <wp:effectExtent l="0" t="0" r="0" b="0"/>
                  <wp:docPr id="230" name="Picture 2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7628" cy="327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21" w:type="dxa"/>
          </w:tcPr>
          <w:p>
            <w:pPr>
              <w:shd w:val="clear" w:color="auto" w:fill="FFFFFF"/>
              <w:spacing w:after="0"/>
              <w:rPr>
                <w:rFonts w:ascii="Microsoft Himalaya" w:hAnsi="Microsoft Himalaya" w:cs="Microsoft Himalaya"/>
                <w:b/>
                <w:bCs/>
                <w:noProof/>
                <w:color w:val="000000"/>
                <w:sz w:val="20"/>
              </w:rPr>
            </w:pPr>
            <w:r>
              <w:rPr>
                <w:rFonts w:ascii="Microsoft Himalaya" w:hAnsi="Microsoft Himalaya"/>
                <w:b/>
                <w:bCs/>
                <w:noProof/>
                <w:color w:val="000000"/>
                <w:sz w:val="20"/>
              </w:rPr>
              <w:t xml:space="preserve">9.   Равновесие между професионалния и личния живот </w:t>
            </w:r>
          </w:p>
          <w:p>
            <w:pPr>
              <w:shd w:val="clear" w:color="auto" w:fill="FFFFFF"/>
              <w:spacing w:after="0"/>
              <w:rPr>
                <w:rFonts w:ascii="Microsoft Himalaya" w:hAnsi="Microsoft Himalaya" w:cs="Microsoft Himalaya"/>
                <w:i/>
                <w:noProof/>
                <w:color w:val="000000"/>
                <w:sz w:val="20"/>
              </w:rPr>
            </w:pPr>
            <w:r>
              <w:rPr>
                <w:rFonts w:ascii="Microsoft Himalaya" w:hAnsi="Microsoft Himalaya"/>
                <w:i/>
                <w:noProof/>
                <w:color w:val="000000"/>
                <w:sz w:val="20"/>
              </w:rPr>
              <w:t>Родителите и лицата с отговорности за полагане на грижи имат право на подходящ отпуск, гъвкаво работно време и достъп до услуги за полагане на грижи. Жените и мъжете следва да имат равнопоставен достъп до специални отпуски, за да изпълняват своите отговорности за полагане на грижи, и следва да бъдат насърчавани да ги използват по балансиран начин.</w:t>
            </w:r>
          </w:p>
        </w:tc>
      </w:tr>
      <w:tr>
        <w:trPr>
          <w:trHeight w:val="1291"/>
        </w:trPr>
        <w:tc>
          <w:tcPr>
            <w:tcW w:w="889" w:type="dxa"/>
          </w:tcPr>
          <w:p>
            <w:pPr>
              <w:jc w:val="center"/>
              <w:rPr>
                <w:noProof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>
                  <wp:extent cx="349857" cy="357719"/>
                  <wp:effectExtent l="0" t="0" r="0" b="4445"/>
                  <wp:docPr id="238" name="Picture 2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9857" cy="3577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21" w:type="dxa"/>
          </w:tcPr>
          <w:p>
            <w:pPr>
              <w:spacing w:after="0"/>
              <w:jc w:val="left"/>
              <w:rPr>
                <w:noProof/>
                <w:sz w:val="20"/>
              </w:rPr>
            </w:pPr>
            <w:r>
              <w:rPr>
                <w:rFonts w:ascii="Microsoft Himalaya" w:hAnsi="Microsoft Himalaya"/>
                <w:b/>
                <w:bCs/>
                <w:noProof/>
                <w:color w:val="000000"/>
                <w:sz w:val="20"/>
              </w:rPr>
              <w:t>10.   Здравословна, безопасна и добре приспособена работна среда и защита на личните данни</w:t>
            </w:r>
            <w:r>
              <w:rPr>
                <w:noProof/>
                <w:sz w:val="20"/>
              </w:rPr>
              <w:t xml:space="preserve"> </w:t>
            </w:r>
            <w:r>
              <w:rPr>
                <w:noProof/>
                <w:sz w:val="20"/>
              </w:rPr>
              <w:br/>
            </w:r>
            <w:r>
              <w:rPr>
                <w:rFonts w:ascii="Microsoft Himalaya" w:hAnsi="Microsoft Himalaya"/>
                <w:i/>
                <w:noProof/>
                <w:color w:val="000000"/>
                <w:sz w:val="20"/>
              </w:rPr>
              <w:t>а. Работниците имат право на високо ниво на защита на здравето и безопасността на работното място.</w:t>
            </w:r>
            <w:r>
              <w:rPr>
                <w:noProof/>
                <w:sz w:val="20"/>
              </w:rPr>
              <w:t xml:space="preserve"> </w:t>
            </w:r>
            <w:r>
              <w:rPr>
                <w:noProof/>
                <w:sz w:val="20"/>
              </w:rPr>
              <w:br/>
            </w:r>
            <w:r>
              <w:rPr>
                <w:rFonts w:ascii="Microsoft Himalaya" w:hAnsi="Microsoft Himalaya"/>
                <w:i/>
                <w:noProof/>
                <w:color w:val="000000"/>
                <w:sz w:val="20"/>
              </w:rPr>
              <w:t>б. Работниците имат право на работна среда, приспособена към техните професионални нужди и която им дава възможност да удължат участието си на пазара на труда.</w:t>
            </w:r>
            <w:r>
              <w:rPr>
                <w:noProof/>
                <w:sz w:val="20"/>
              </w:rPr>
              <w:t xml:space="preserve"> </w:t>
            </w:r>
            <w:r>
              <w:rPr>
                <w:noProof/>
                <w:sz w:val="20"/>
              </w:rPr>
              <w:br/>
            </w:r>
            <w:r>
              <w:rPr>
                <w:rFonts w:ascii="Cambria" w:hAnsi="Cambria" w:cs="Cambria"/>
                <w:i/>
                <w:noProof/>
                <w:color w:val="000000"/>
                <w:sz w:val="20"/>
              </w:rPr>
              <w:t>в</w:t>
            </w:r>
            <w:r>
              <w:rPr>
                <w:rFonts w:ascii="Microsoft Himalaya" w:hAnsi="Microsoft Himalaya"/>
                <w:i/>
                <w:noProof/>
                <w:color w:val="000000"/>
                <w:sz w:val="20"/>
              </w:rPr>
              <w:t xml:space="preserve">. </w:t>
            </w:r>
            <w:r>
              <w:rPr>
                <w:rFonts w:ascii="Cambria" w:hAnsi="Cambria" w:cs="Cambria"/>
                <w:i/>
                <w:noProof/>
                <w:color w:val="000000"/>
                <w:sz w:val="20"/>
              </w:rPr>
              <w:t>Работниците</w:t>
            </w:r>
            <w:r>
              <w:rPr>
                <w:rFonts w:ascii="Microsoft Himalaya" w:hAnsi="Microsoft Himalaya"/>
                <w:i/>
                <w:noProof/>
                <w:color w:val="000000"/>
                <w:sz w:val="20"/>
              </w:rPr>
              <w:t xml:space="preserve"> </w:t>
            </w:r>
            <w:r>
              <w:rPr>
                <w:rFonts w:ascii="Cambria" w:hAnsi="Cambria" w:cs="Cambria"/>
                <w:i/>
                <w:noProof/>
                <w:color w:val="000000"/>
                <w:sz w:val="20"/>
              </w:rPr>
              <w:t>имат</w:t>
            </w:r>
            <w:r>
              <w:rPr>
                <w:rFonts w:ascii="Microsoft Himalaya" w:hAnsi="Microsoft Himalaya"/>
                <w:i/>
                <w:noProof/>
                <w:color w:val="000000"/>
                <w:sz w:val="20"/>
              </w:rPr>
              <w:t xml:space="preserve"> </w:t>
            </w:r>
            <w:r>
              <w:rPr>
                <w:rFonts w:ascii="Cambria" w:hAnsi="Cambria" w:cs="Cambria"/>
                <w:i/>
                <w:noProof/>
                <w:color w:val="000000"/>
                <w:sz w:val="20"/>
              </w:rPr>
              <w:t>право</w:t>
            </w:r>
            <w:r>
              <w:rPr>
                <w:rFonts w:ascii="Microsoft Himalaya" w:hAnsi="Microsoft Himalaya"/>
                <w:i/>
                <w:noProof/>
                <w:color w:val="000000"/>
                <w:sz w:val="20"/>
              </w:rPr>
              <w:t xml:space="preserve"> </w:t>
            </w:r>
            <w:r>
              <w:rPr>
                <w:rFonts w:ascii="Cambria" w:hAnsi="Cambria" w:cs="Cambria"/>
                <w:i/>
                <w:noProof/>
                <w:color w:val="000000"/>
                <w:sz w:val="20"/>
              </w:rPr>
              <w:t>на</w:t>
            </w:r>
            <w:r>
              <w:rPr>
                <w:rFonts w:ascii="Microsoft Himalaya" w:hAnsi="Microsoft Himalaya"/>
                <w:i/>
                <w:noProof/>
                <w:color w:val="000000"/>
                <w:sz w:val="20"/>
              </w:rPr>
              <w:t xml:space="preserve"> </w:t>
            </w:r>
            <w:r>
              <w:rPr>
                <w:rFonts w:ascii="Cambria" w:hAnsi="Cambria" w:cs="Cambria"/>
                <w:i/>
                <w:noProof/>
                <w:color w:val="000000"/>
                <w:sz w:val="20"/>
              </w:rPr>
              <w:t>защита</w:t>
            </w:r>
            <w:r>
              <w:rPr>
                <w:rFonts w:ascii="Microsoft Himalaya" w:hAnsi="Microsoft Himalaya"/>
                <w:i/>
                <w:noProof/>
                <w:color w:val="000000"/>
                <w:sz w:val="20"/>
              </w:rPr>
              <w:t xml:space="preserve"> </w:t>
            </w:r>
            <w:r>
              <w:rPr>
                <w:rFonts w:ascii="Cambria" w:hAnsi="Cambria" w:cs="Cambria"/>
                <w:i/>
                <w:noProof/>
                <w:color w:val="000000"/>
                <w:sz w:val="20"/>
              </w:rPr>
              <w:t>на</w:t>
            </w:r>
            <w:r>
              <w:rPr>
                <w:rFonts w:ascii="Microsoft Himalaya" w:hAnsi="Microsoft Himalaya"/>
                <w:i/>
                <w:noProof/>
                <w:color w:val="000000"/>
                <w:sz w:val="20"/>
              </w:rPr>
              <w:t xml:space="preserve"> </w:t>
            </w:r>
            <w:r>
              <w:rPr>
                <w:rFonts w:ascii="Cambria" w:hAnsi="Cambria" w:cs="Cambria"/>
                <w:i/>
                <w:noProof/>
                <w:color w:val="000000"/>
                <w:sz w:val="20"/>
              </w:rPr>
              <w:t>личните</w:t>
            </w:r>
            <w:r>
              <w:rPr>
                <w:rFonts w:ascii="Microsoft Himalaya" w:hAnsi="Microsoft Himalaya"/>
                <w:i/>
                <w:noProof/>
                <w:color w:val="000000"/>
                <w:sz w:val="20"/>
              </w:rPr>
              <w:t xml:space="preserve"> </w:t>
            </w:r>
            <w:r>
              <w:rPr>
                <w:rFonts w:ascii="Cambria" w:hAnsi="Cambria" w:cs="Cambria"/>
                <w:i/>
                <w:noProof/>
                <w:color w:val="000000"/>
                <w:sz w:val="20"/>
              </w:rPr>
              <w:t>си</w:t>
            </w:r>
            <w:r>
              <w:rPr>
                <w:rFonts w:ascii="Microsoft Himalaya" w:hAnsi="Microsoft Himalaya"/>
                <w:i/>
                <w:noProof/>
                <w:color w:val="000000"/>
                <w:sz w:val="20"/>
              </w:rPr>
              <w:t xml:space="preserve"> </w:t>
            </w:r>
            <w:r>
              <w:rPr>
                <w:rFonts w:ascii="Cambria" w:hAnsi="Cambria" w:cs="Cambria"/>
                <w:i/>
                <w:noProof/>
                <w:color w:val="000000"/>
                <w:sz w:val="20"/>
              </w:rPr>
              <w:t>данни</w:t>
            </w:r>
            <w:r>
              <w:rPr>
                <w:rFonts w:ascii="Microsoft Himalaya" w:hAnsi="Microsoft Himalaya"/>
                <w:i/>
                <w:noProof/>
                <w:color w:val="000000"/>
                <w:sz w:val="20"/>
              </w:rPr>
              <w:t xml:space="preserve"> </w:t>
            </w:r>
            <w:r>
              <w:rPr>
                <w:rFonts w:ascii="Cambria" w:hAnsi="Cambria" w:cs="Cambria"/>
                <w:i/>
                <w:noProof/>
                <w:color w:val="000000"/>
                <w:sz w:val="20"/>
              </w:rPr>
              <w:t>в</w:t>
            </w:r>
            <w:r>
              <w:rPr>
                <w:rFonts w:ascii="Microsoft Himalaya" w:hAnsi="Microsoft Himalaya"/>
                <w:i/>
                <w:noProof/>
                <w:color w:val="000000"/>
                <w:sz w:val="20"/>
              </w:rPr>
              <w:t xml:space="preserve"> </w:t>
            </w:r>
            <w:r>
              <w:rPr>
                <w:rFonts w:ascii="Cambria" w:hAnsi="Cambria" w:cs="Cambria"/>
                <w:i/>
                <w:noProof/>
                <w:color w:val="000000"/>
                <w:sz w:val="20"/>
              </w:rPr>
              <w:t>контекста</w:t>
            </w:r>
            <w:r>
              <w:rPr>
                <w:rFonts w:ascii="Microsoft Himalaya" w:hAnsi="Microsoft Himalaya"/>
                <w:i/>
                <w:noProof/>
                <w:color w:val="000000"/>
                <w:sz w:val="20"/>
              </w:rPr>
              <w:t xml:space="preserve"> </w:t>
            </w:r>
            <w:r>
              <w:rPr>
                <w:rFonts w:ascii="Cambria" w:hAnsi="Cambria" w:cs="Cambria"/>
                <w:i/>
                <w:noProof/>
                <w:color w:val="000000"/>
                <w:sz w:val="20"/>
              </w:rPr>
              <w:t>на</w:t>
            </w:r>
            <w:r>
              <w:rPr>
                <w:rFonts w:ascii="Microsoft Himalaya" w:hAnsi="Microsoft Himalaya"/>
                <w:i/>
                <w:noProof/>
                <w:color w:val="000000"/>
                <w:sz w:val="20"/>
              </w:rPr>
              <w:t xml:space="preserve"> </w:t>
            </w:r>
            <w:r>
              <w:rPr>
                <w:rFonts w:ascii="Cambria" w:hAnsi="Cambria" w:cs="Cambria"/>
                <w:i/>
                <w:noProof/>
                <w:color w:val="000000"/>
                <w:sz w:val="20"/>
              </w:rPr>
              <w:t>работата</w:t>
            </w:r>
            <w:r>
              <w:rPr>
                <w:rFonts w:ascii="Microsoft Himalaya" w:hAnsi="Microsoft Himalaya"/>
                <w:i/>
                <w:noProof/>
                <w:color w:val="000000"/>
                <w:sz w:val="20"/>
              </w:rPr>
              <w:t>.</w:t>
            </w:r>
          </w:p>
        </w:tc>
      </w:tr>
      <w:tr>
        <w:trPr>
          <w:trHeight w:val="972"/>
        </w:trPr>
        <w:tc>
          <w:tcPr>
            <w:tcW w:w="889" w:type="dxa"/>
          </w:tcPr>
          <w:p>
            <w:pPr>
              <w:jc w:val="center"/>
              <w:rPr>
                <w:noProof/>
              </w:rPr>
            </w:pPr>
            <w:r>
              <w:rPr>
                <w:rFonts w:asciiTheme="minorHAnsi" w:hAnsiTheme="minorHAnsi"/>
                <w:noProof/>
                <w:sz w:val="22"/>
                <w:szCs w:val="22"/>
                <w:lang w:val="en-GB" w:eastAsia="en-GB"/>
              </w:rPr>
              <w:drawing>
                <wp:inline distT="0" distB="0" distL="0" distR="0">
                  <wp:extent cx="306070" cy="298942"/>
                  <wp:effectExtent l="0" t="0" r="0" b="6350"/>
                  <wp:docPr id="232" name="Picture 2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242" t="13309" r="1"/>
                          <a:stretch/>
                        </pic:blipFill>
                        <pic:spPr bwMode="auto">
                          <a:xfrm>
                            <a:off x="0" y="0"/>
                            <a:ext cx="306604" cy="2994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21" w:type="dxa"/>
          </w:tcPr>
          <w:p>
            <w:pPr>
              <w:spacing w:after="0"/>
              <w:jc w:val="left"/>
              <w:rPr>
                <w:noProof/>
                <w:sz w:val="20"/>
              </w:rPr>
            </w:pPr>
            <w:r>
              <w:rPr>
                <w:rFonts w:ascii="Microsoft Himalaya" w:hAnsi="Microsoft Himalaya"/>
                <w:b/>
                <w:bCs/>
                <w:noProof/>
                <w:color w:val="000000"/>
                <w:sz w:val="20"/>
              </w:rPr>
              <w:t>11. Грижи и подкрепа за децата</w:t>
            </w:r>
            <w:r>
              <w:rPr>
                <w:noProof/>
                <w:sz w:val="20"/>
              </w:rPr>
              <w:t xml:space="preserve"> </w:t>
            </w:r>
            <w:r>
              <w:rPr>
                <w:noProof/>
                <w:sz w:val="20"/>
              </w:rPr>
              <w:br/>
            </w:r>
            <w:r>
              <w:rPr>
                <w:rFonts w:ascii="Microsoft Himalaya" w:hAnsi="Microsoft Himalaya"/>
                <w:i/>
                <w:noProof/>
                <w:color w:val="000000"/>
                <w:sz w:val="20"/>
              </w:rPr>
              <w:t>а. Децата имат право на достъпно ранно образование и грижи с добро качество.</w:t>
            </w:r>
            <w:r>
              <w:rPr>
                <w:noProof/>
                <w:sz w:val="20"/>
              </w:rPr>
              <w:t xml:space="preserve"> </w:t>
            </w:r>
            <w:r>
              <w:rPr>
                <w:noProof/>
                <w:sz w:val="20"/>
              </w:rPr>
              <w:br/>
            </w:r>
            <w:r>
              <w:rPr>
                <w:rFonts w:ascii="Microsoft Himalaya" w:hAnsi="Microsoft Himalaya"/>
                <w:i/>
                <w:noProof/>
                <w:color w:val="000000"/>
                <w:sz w:val="20"/>
              </w:rPr>
              <w:t>б. Децата имат право на закрила от бедността. Децата от семейства в неравностойно положение имат право на специални мерки за насърчаване на равните възможности.</w:t>
            </w:r>
          </w:p>
        </w:tc>
      </w:tr>
      <w:tr>
        <w:tc>
          <w:tcPr>
            <w:tcW w:w="889" w:type="dxa"/>
          </w:tcPr>
          <w:p>
            <w:pPr>
              <w:jc w:val="center"/>
              <w:rPr>
                <w:noProof/>
              </w:rPr>
            </w:pPr>
            <w:r>
              <w:rPr>
                <w:rFonts w:asciiTheme="minorHAnsi" w:hAnsiTheme="minorHAnsi"/>
                <w:noProof/>
                <w:sz w:val="22"/>
                <w:szCs w:val="22"/>
                <w:lang w:val="en-GB" w:eastAsia="en-GB"/>
              </w:rPr>
              <w:drawing>
                <wp:inline distT="0" distB="0" distL="0" distR="0">
                  <wp:extent cx="349857" cy="349857"/>
                  <wp:effectExtent l="0" t="0" r="0" b="0"/>
                  <wp:docPr id="233" name="Picture 2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9857" cy="3498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21" w:type="dxa"/>
          </w:tcPr>
          <w:p>
            <w:pPr>
              <w:shd w:val="clear" w:color="auto" w:fill="FFFFFF"/>
              <w:spacing w:after="0"/>
              <w:rPr>
                <w:rFonts w:ascii="Microsoft Himalaya" w:hAnsi="Microsoft Himalaya" w:cs="Microsoft Himalaya"/>
                <w:b/>
                <w:bCs/>
                <w:noProof/>
                <w:color w:val="000000"/>
                <w:sz w:val="20"/>
              </w:rPr>
            </w:pPr>
            <w:r>
              <w:rPr>
                <w:rFonts w:ascii="Microsoft Himalaya" w:hAnsi="Microsoft Himalaya"/>
                <w:b/>
                <w:bCs/>
                <w:noProof/>
                <w:color w:val="000000"/>
                <w:sz w:val="20"/>
              </w:rPr>
              <w:t xml:space="preserve">12.   Социална закрила </w:t>
            </w:r>
          </w:p>
          <w:p>
            <w:pPr>
              <w:spacing w:after="0"/>
              <w:rPr>
                <w:noProof/>
                <w:sz w:val="20"/>
              </w:rPr>
            </w:pPr>
            <w:r>
              <w:rPr>
                <w:rFonts w:ascii="Microsoft Himalaya" w:hAnsi="Microsoft Himalaya"/>
                <w:i/>
                <w:noProof/>
                <w:color w:val="000000"/>
                <w:sz w:val="20"/>
              </w:rPr>
              <w:t>Независимо от вида и продължителността на своето трудово правоотношение, работниците и, при съпоставими условия, самостоятелно заетите лица, имат право на подходяща социална закрила.</w:t>
            </w:r>
          </w:p>
        </w:tc>
      </w:tr>
      <w:tr>
        <w:tc>
          <w:tcPr>
            <w:tcW w:w="889" w:type="dxa"/>
          </w:tcPr>
          <w:p>
            <w:pPr>
              <w:jc w:val="center"/>
              <w:rPr>
                <w:noProof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>
                  <wp:extent cx="355935" cy="357808"/>
                  <wp:effectExtent l="0" t="0" r="6350" b="4445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935" cy="3578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21" w:type="dxa"/>
          </w:tcPr>
          <w:p>
            <w:pPr>
              <w:spacing w:after="0"/>
              <w:jc w:val="left"/>
              <w:rPr>
                <w:rFonts w:ascii="Microsoft Himalaya" w:hAnsi="Microsoft Himalaya" w:cs="Microsoft Himalaya"/>
                <w:i/>
                <w:noProof/>
                <w:color w:val="000000"/>
                <w:sz w:val="20"/>
              </w:rPr>
            </w:pPr>
            <w:r>
              <w:rPr>
                <w:rFonts w:ascii="Microsoft Himalaya" w:hAnsi="Microsoft Himalaya"/>
                <w:b/>
                <w:bCs/>
                <w:noProof/>
                <w:color w:val="000000"/>
                <w:sz w:val="20"/>
              </w:rPr>
              <w:t>13.   Обезщетения за безработица</w:t>
            </w:r>
            <w:r>
              <w:rPr>
                <w:noProof/>
                <w:sz w:val="20"/>
              </w:rPr>
              <w:t xml:space="preserve"> </w:t>
            </w:r>
            <w:r>
              <w:rPr>
                <w:noProof/>
                <w:sz w:val="20"/>
              </w:rPr>
              <w:br/>
            </w:r>
            <w:r>
              <w:rPr>
                <w:rFonts w:ascii="Microsoft Himalaya" w:hAnsi="Microsoft Himalaya"/>
                <w:i/>
                <w:noProof/>
                <w:color w:val="000000"/>
                <w:sz w:val="20"/>
              </w:rPr>
              <w:t>Безработните лица имат право на подходяща подкрепа за активизиране от публичните служби по заетостта, за да се интегрират (повторно) на пазара на труда, както и на адекватни обезщетения за безработица с разумна продължителност, в съответствие със своите вноски и с националните правила за допустимост. Тези обезщетения не трябва да бъдат демотивиращ фактор за бързото завръщане към заетост.</w:t>
            </w:r>
          </w:p>
        </w:tc>
      </w:tr>
      <w:tr>
        <w:tc>
          <w:tcPr>
            <w:tcW w:w="889" w:type="dxa"/>
          </w:tcPr>
          <w:p>
            <w:pPr>
              <w:jc w:val="center"/>
              <w:rPr>
                <w:noProof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>
                  <wp:extent cx="366987" cy="326004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6987" cy="326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21" w:type="dxa"/>
          </w:tcPr>
          <w:p>
            <w:pPr>
              <w:spacing w:after="0"/>
              <w:jc w:val="left"/>
              <w:rPr>
                <w:rFonts w:ascii="Microsoft Himalaya" w:hAnsi="Microsoft Himalaya" w:cs="Microsoft Himalaya"/>
                <w:i/>
                <w:noProof/>
                <w:color w:val="000000"/>
                <w:sz w:val="20"/>
              </w:rPr>
            </w:pPr>
            <w:r>
              <w:rPr>
                <w:rFonts w:ascii="Microsoft Himalaya" w:hAnsi="Microsoft Himalaya"/>
                <w:b/>
                <w:bCs/>
                <w:noProof/>
                <w:color w:val="000000"/>
                <w:sz w:val="20"/>
              </w:rPr>
              <w:t>14.   Минимален доход</w:t>
            </w:r>
            <w:r>
              <w:rPr>
                <w:noProof/>
                <w:sz w:val="20"/>
              </w:rPr>
              <w:t xml:space="preserve"> </w:t>
            </w:r>
            <w:r>
              <w:rPr>
                <w:noProof/>
                <w:sz w:val="20"/>
              </w:rPr>
              <w:br/>
            </w:r>
            <w:r>
              <w:rPr>
                <w:rFonts w:ascii="Microsoft Himalaya" w:hAnsi="Microsoft Himalaya"/>
                <w:i/>
                <w:noProof/>
                <w:color w:val="000000"/>
                <w:sz w:val="20"/>
              </w:rPr>
              <w:t>Всеки човек, който не разполага с достатъчно средства, има право на подходящи обезщетения за минимален доход, гарантиращи достоен живот на всички етапи от живота, както и ефективен достъп до стоки и услуги за подкрепа. За лицата, които могат да полагат труд, обезщетенията за минимален доход следва да бъдат съчетани със стимули за (повторно) интегриране на пазара на труда.</w:t>
            </w:r>
          </w:p>
        </w:tc>
      </w:tr>
      <w:tr>
        <w:tc>
          <w:tcPr>
            <w:tcW w:w="889" w:type="dxa"/>
          </w:tcPr>
          <w:p>
            <w:pPr>
              <w:jc w:val="center"/>
              <w:rPr>
                <w:noProof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>
                  <wp:extent cx="359410" cy="333375"/>
                  <wp:effectExtent l="0" t="0" r="2540" b="9525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410" cy="333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21" w:type="dxa"/>
          </w:tcPr>
          <w:p>
            <w:pPr>
              <w:spacing w:after="0"/>
              <w:jc w:val="left"/>
              <w:rPr>
                <w:rFonts w:ascii="Microsoft Himalaya" w:hAnsi="Microsoft Himalaya" w:cs="Microsoft Himalaya"/>
                <w:b/>
                <w:bCs/>
                <w:noProof/>
                <w:color w:val="000000"/>
                <w:sz w:val="20"/>
              </w:rPr>
            </w:pPr>
            <w:r>
              <w:rPr>
                <w:rFonts w:ascii="Microsoft Himalaya" w:hAnsi="Microsoft Himalaya"/>
                <w:b/>
                <w:bCs/>
                <w:noProof/>
                <w:color w:val="000000"/>
                <w:sz w:val="20"/>
              </w:rPr>
              <w:t>15.   Доходи и пенсии за старост</w:t>
            </w:r>
            <w:r>
              <w:rPr>
                <w:noProof/>
                <w:sz w:val="20"/>
              </w:rPr>
              <w:t xml:space="preserve"> </w:t>
            </w:r>
            <w:r>
              <w:rPr>
                <w:noProof/>
                <w:sz w:val="20"/>
              </w:rPr>
              <w:br/>
            </w:r>
            <w:r>
              <w:rPr>
                <w:rFonts w:ascii="Microsoft Himalaya" w:hAnsi="Microsoft Himalaya"/>
                <w:i/>
                <w:noProof/>
                <w:color w:val="000000"/>
                <w:sz w:val="20"/>
              </w:rPr>
              <w:t>а. Работниците и самостоятелно заетите лица при пенсиониране имат право на пенсия, съответстваща на техните вноски и гарантираща адекватни доходи. Жените и мъжете следва да имат равни възможности за придобиване на пенсионни права.</w:t>
            </w:r>
            <w:r>
              <w:rPr>
                <w:noProof/>
                <w:sz w:val="20"/>
              </w:rPr>
              <w:t xml:space="preserve"> </w:t>
            </w:r>
            <w:r>
              <w:rPr>
                <w:noProof/>
                <w:sz w:val="20"/>
              </w:rPr>
              <w:br/>
            </w:r>
            <w:r>
              <w:rPr>
                <w:rFonts w:ascii="Microsoft Himalaya" w:hAnsi="Microsoft Himalaya"/>
                <w:i/>
                <w:noProof/>
                <w:color w:val="000000"/>
                <w:sz w:val="20"/>
              </w:rPr>
              <w:t>б. Всички хора в напреднала възраст имат право на средства, които да гарантират достоен живот.</w:t>
            </w:r>
          </w:p>
        </w:tc>
      </w:tr>
      <w:tr>
        <w:tc>
          <w:tcPr>
            <w:tcW w:w="889" w:type="dxa"/>
          </w:tcPr>
          <w:p>
            <w:pPr>
              <w:jc w:val="center"/>
              <w:rPr>
                <w:noProof/>
              </w:rPr>
            </w:pPr>
            <w:r>
              <w:rPr>
                <w:rFonts w:asciiTheme="minorHAnsi" w:hAnsiTheme="minorHAnsi"/>
                <w:noProof/>
                <w:sz w:val="22"/>
                <w:szCs w:val="22"/>
                <w:lang w:val="en-GB" w:eastAsia="en-GB"/>
              </w:rPr>
              <w:drawing>
                <wp:inline distT="0" distB="0" distL="0" distR="0">
                  <wp:extent cx="357505" cy="310515"/>
                  <wp:effectExtent l="0" t="0" r="4445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7505" cy="310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21" w:type="dxa"/>
          </w:tcPr>
          <w:p>
            <w:pPr>
              <w:spacing w:after="0"/>
              <w:rPr>
                <w:noProof/>
                <w:sz w:val="20"/>
              </w:rPr>
            </w:pPr>
            <w:r>
              <w:rPr>
                <w:rFonts w:ascii="Microsoft Himalaya" w:hAnsi="Microsoft Himalaya"/>
                <w:b/>
                <w:bCs/>
                <w:noProof/>
                <w:color w:val="000000"/>
                <w:sz w:val="20"/>
              </w:rPr>
              <w:t>16.   Здравеопазване</w:t>
            </w:r>
            <w:r>
              <w:rPr>
                <w:noProof/>
                <w:sz w:val="20"/>
              </w:rPr>
              <w:t xml:space="preserve"> </w:t>
            </w:r>
            <w:r>
              <w:rPr>
                <w:noProof/>
                <w:sz w:val="20"/>
              </w:rPr>
              <w:br/>
            </w:r>
            <w:r>
              <w:rPr>
                <w:rFonts w:ascii="Microsoft Himalaya" w:hAnsi="Microsoft Himalaya"/>
                <w:i/>
                <w:noProof/>
                <w:color w:val="000000"/>
                <w:sz w:val="20"/>
              </w:rPr>
              <w:t>Всеки има право на своевременен достъп до финансово достъпни превантивни и лечебни медицински грижи с добро качество.</w:t>
            </w:r>
          </w:p>
        </w:tc>
      </w:tr>
      <w:tr>
        <w:tc>
          <w:tcPr>
            <w:tcW w:w="889" w:type="dxa"/>
          </w:tcPr>
          <w:p>
            <w:pPr>
              <w:jc w:val="center"/>
              <w:rPr>
                <w:noProof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>
                  <wp:extent cx="337820" cy="303530"/>
                  <wp:effectExtent l="0" t="0" r="5080" b="127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7820" cy="303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21" w:type="dxa"/>
          </w:tcPr>
          <w:p>
            <w:pPr>
              <w:spacing w:after="0"/>
              <w:jc w:val="left"/>
              <w:rPr>
                <w:noProof/>
                <w:sz w:val="20"/>
              </w:rPr>
            </w:pPr>
            <w:r>
              <w:rPr>
                <w:rFonts w:ascii="Microsoft Himalaya" w:hAnsi="Microsoft Himalaya"/>
                <w:b/>
                <w:bCs/>
                <w:noProof/>
                <w:color w:val="000000"/>
                <w:sz w:val="20"/>
              </w:rPr>
              <w:t>17.   Интеграция на хората с увреждания</w:t>
            </w:r>
            <w:r>
              <w:rPr>
                <w:noProof/>
                <w:sz w:val="20"/>
              </w:rPr>
              <w:t xml:space="preserve"> </w:t>
            </w:r>
            <w:r>
              <w:rPr>
                <w:noProof/>
                <w:sz w:val="20"/>
              </w:rPr>
              <w:br/>
            </w:r>
            <w:r>
              <w:rPr>
                <w:rFonts w:ascii="Microsoft Himalaya" w:hAnsi="Microsoft Himalaya"/>
                <w:i/>
                <w:noProof/>
                <w:color w:val="000000"/>
                <w:sz w:val="20"/>
              </w:rPr>
              <w:t>Хората с увреждания имат право на подпомагане на доходите, което осигурява достоен живот, услуги, които им дават възможност да участват на пазара на труда и в обществото, и работна среда, приспособена към техните нужди.</w:t>
            </w:r>
          </w:p>
        </w:tc>
      </w:tr>
      <w:tr>
        <w:trPr>
          <w:trHeight w:val="682"/>
        </w:trPr>
        <w:tc>
          <w:tcPr>
            <w:tcW w:w="889" w:type="dxa"/>
          </w:tcPr>
          <w:p>
            <w:pPr>
              <w:jc w:val="center"/>
              <w:rPr>
                <w:noProof/>
              </w:rPr>
            </w:pPr>
            <w:r>
              <w:rPr>
                <w:rFonts w:asciiTheme="minorHAnsi" w:hAnsiTheme="minorHAnsi"/>
                <w:noProof/>
                <w:sz w:val="22"/>
                <w:szCs w:val="22"/>
                <w:lang w:val="en-GB" w:eastAsia="en-GB"/>
              </w:rPr>
              <w:drawing>
                <wp:inline distT="0" distB="0" distL="0" distR="0">
                  <wp:extent cx="326004" cy="313465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6004" cy="313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21" w:type="dxa"/>
          </w:tcPr>
          <w:p>
            <w:pPr>
              <w:spacing w:after="0"/>
              <w:jc w:val="left"/>
              <w:rPr>
                <w:noProof/>
                <w:sz w:val="20"/>
              </w:rPr>
            </w:pPr>
            <w:r>
              <w:rPr>
                <w:rFonts w:ascii="Microsoft Himalaya" w:hAnsi="Microsoft Himalaya"/>
                <w:b/>
                <w:bCs/>
                <w:noProof/>
                <w:color w:val="000000"/>
                <w:sz w:val="20"/>
              </w:rPr>
              <w:t>18.   Дългосрочни грижи</w:t>
            </w:r>
            <w:r>
              <w:rPr>
                <w:noProof/>
                <w:sz w:val="20"/>
              </w:rPr>
              <w:t xml:space="preserve"> </w:t>
            </w:r>
            <w:r>
              <w:rPr>
                <w:noProof/>
                <w:sz w:val="20"/>
              </w:rPr>
              <w:br/>
            </w:r>
            <w:r>
              <w:rPr>
                <w:rFonts w:ascii="Microsoft Himalaya" w:hAnsi="Microsoft Himalaya"/>
                <w:i/>
                <w:noProof/>
                <w:color w:val="000000"/>
                <w:sz w:val="20"/>
              </w:rPr>
              <w:t>Всеки има право на достъп до финансово достъпни дългосрочни грижи с добро качество, по-специално домашни грижи и обществени услуги по места.</w:t>
            </w:r>
          </w:p>
        </w:tc>
      </w:tr>
      <w:tr>
        <w:tc>
          <w:tcPr>
            <w:tcW w:w="889" w:type="dxa"/>
          </w:tcPr>
          <w:p>
            <w:pPr>
              <w:jc w:val="center"/>
              <w:rPr>
                <w:noProof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>
                  <wp:extent cx="393065" cy="290195"/>
                  <wp:effectExtent l="0" t="0" r="6985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3065" cy="290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21" w:type="dxa"/>
          </w:tcPr>
          <w:p>
            <w:pPr>
              <w:spacing w:after="0"/>
              <w:jc w:val="left"/>
              <w:rPr>
                <w:noProof/>
                <w:sz w:val="20"/>
              </w:rPr>
            </w:pPr>
            <w:r>
              <w:rPr>
                <w:rFonts w:ascii="Microsoft Himalaya" w:hAnsi="Microsoft Himalaya"/>
                <w:b/>
                <w:bCs/>
                <w:noProof/>
                <w:color w:val="000000"/>
                <w:sz w:val="20"/>
              </w:rPr>
              <w:t>19.   Жилищно настаняване и помощ за бездомните хора</w:t>
            </w:r>
            <w:r>
              <w:rPr>
                <w:noProof/>
                <w:sz w:val="20"/>
              </w:rPr>
              <w:t xml:space="preserve"> </w:t>
            </w:r>
            <w:r>
              <w:rPr>
                <w:noProof/>
                <w:sz w:val="20"/>
              </w:rPr>
              <w:br/>
            </w:r>
            <w:r>
              <w:rPr>
                <w:rFonts w:ascii="Microsoft Himalaya" w:hAnsi="Microsoft Himalaya"/>
                <w:i/>
                <w:noProof/>
                <w:color w:val="000000"/>
                <w:sz w:val="20"/>
              </w:rPr>
              <w:t>а. На нуждаещите се следва да се предоставя достъп до социално жилищно настаняване или жилищно подпомагане с добро качество.</w:t>
            </w:r>
            <w:r>
              <w:rPr>
                <w:noProof/>
                <w:sz w:val="20"/>
              </w:rPr>
              <w:t xml:space="preserve"> </w:t>
            </w:r>
            <w:r>
              <w:rPr>
                <w:noProof/>
                <w:sz w:val="20"/>
              </w:rPr>
              <w:br/>
            </w:r>
            <w:r>
              <w:rPr>
                <w:rFonts w:ascii="Microsoft Himalaya" w:hAnsi="Microsoft Himalaya"/>
                <w:i/>
                <w:noProof/>
                <w:color w:val="000000"/>
                <w:sz w:val="20"/>
              </w:rPr>
              <w:t>б. Уязвимите хора имат право да получават подходяща помощ и закрила срещу принудително изселване.</w:t>
            </w:r>
            <w:r>
              <w:rPr>
                <w:noProof/>
                <w:sz w:val="20"/>
              </w:rPr>
              <w:t xml:space="preserve"> </w:t>
            </w:r>
            <w:r>
              <w:rPr>
                <w:noProof/>
                <w:sz w:val="20"/>
              </w:rPr>
              <w:br/>
            </w:r>
            <w:r>
              <w:rPr>
                <w:rFonts w:ascii="Microsoft Himalaya" w:hAnsi="Microsoft Himalaya"/>
                <w:i/>
                <w:noProof/>
                <w:color w:val="000000"/>
                <w:sz w:val="20"/>
              </w:rPr>
              <w:t>в. На бездомните хора следва да се предоставят подходящ подслон и услуги с цел да се насърчи тяхното социално приобщаване.</w:t>
            </w:r>
          </w:p>
        </w:tc>
      </w:tr>
      <w:tr>
        <w:tc>
          <w:tcPr>
            <w:tcW w:w="889" w:type="dxa"/>
          </w:tcPr>
          <w:p>
            <w:pPr>
              <w:jc w:val="center"/>
              <w:rPr>
                <w:noProof/>
              </w:rPr>
            </w:pPr>
            <w:r>
              <w:rPr>
                <w:rFonts w:asciiTheme="minorHAnsi" w:hAnsiTheme="minorHAnsi"/>
                <w:noProof/>
                <w:sz w:val="22"/>
                <w:szCs w:val="22"/>
                <w:lang w:val="en-GB" w:eastAsia="en-GB"/>
              </w:rPr>
              <w:drawing>
                <wp:inline distT="0" distB="0" distL="0" distR="0">
                  <wp:extent cx="297815" cy="339725"/>
                  <wp:effectExtent l="0" t="0" r="6985" b="3175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815" cy="339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21" w:type="dxa"/>
          </w:tcPr>
          <w:p>
            <w:pPr>
              <w:spacing w:after="0"/>
              <w:rPr>
                <w:rFonts w:ascii="Microsoft Himalaya" w:hAnsi="Microsoft Himalaya" w:cs="Microsoft Himalaya"/>
                <w:b/>
                <w:bCs/>
                <w:noProof/>
                <w:color w:val="000000"/>
                <w:sz w:val="20"/>
              </w:rPr>
            </w:pPr>
            <w:r>
              <w:rPr>
                <w:rFonts w:ascii="Microsoft Himalaya" w:hAnsi="Microsoft Himalaya"/>
                <w:b/>
                <w:bCs/>
                <w:noProof/>
                <w:color w:val="000000"/>
                <w:sz w:val="20"/>
              </w:rPr>
              <w:t>20.   Достъп до основни услуги</w:t>
            </w:r>
          </w:p>
          <w:p>
            <w:pPr>
              <w:spacing w:after="0"/>
              <w:rPr>
                <w:noProof/>
                <w:sz w:val="20"/>
              </w:rPr>
            </w:pPr>
            <w:r>
              <w:rPr>
                <w:rFonts w:ascii="Microsoft Himalaya" w:hAnsi="Microsoft Himalaya"/>
                <w:i/>
                <w:noProof/>
                <w:color w:val="000000"/>
                <w:sz w:val="20"/>
              </w:rPr>
              <w:t>Всеки има право на достъп до основни услуги с добро качество, включително водоснабдяване, канализация, енергия, транспорт, финансови услуги и цифрови комуникации. Следва да се осигури подкрепа на достъпа до такива услуги на нуждаещите се.</w:t>
            </w:r>
          </w:p>
        </w:tc>
      </w:tr>
    </w:tbl>
    <w:p>
      <w:pPr>
        <w:rPr>
          <w:noProof/>
        </w:rPr>
      </w:pPr>
    </w:p>
    <w:sectPr>
      <w:headerReference w:type="even" r:id="rId36"/>
      <w:headerReference w:type="default" r:id="rId37"/>
      <w:footerReference w:type="even" r:id="rId38"/>
      <w:footerReference w:type="default" r:id="rId39"/>
      <w:headerReference w:type="first" r:id="rId40"/>
      <w:footerReference w:type="first" r:id="rId41"/>
      <w:pgSz w:w="11900" w:h="16840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</w:rPr>
      <w:id w:val="-614291561"/>
      <w:docPartObj>
        <w:docPartGallery w:val="Page Numbers (Bottom of Page)"/>
        <w:docPartUnique/>
      </w:docPartObj>
    </w:sdtPr>
    <w:sdtEndPr>
      <w:rPr>
        <w:noProof/>
      </w:rPr>
    </w:sdtEndPr>
    <w:sdtContent>
      <w:p>
        <w:pPr>
          <w:pStyle w:val="Footer"/>
          <w:jc w:val="center"/>
          <w:rPr>
            <w:sz w:val="20"/>
          </w:rPr>
        </w:pPr>
        <w:r>
          <w:rPr>
            <w:sz w:val="20"/>
          </w:rPr>
          <w:fldChar w:fldCharType="begin"/>
        </w:r>
        <w:r>
          <w:rPr>
            <w:sz w:val="20"/>
          </w:rPr>
          <w:instrText xml:space="preserve"> PAGE   \* MERGEFORMAT </w:instrText>
        </w:r>
        <w:r>
          <w:rPr>
            <w:sz w:val="20"/>
          </w:rPr>
          <w:fldChar w:fldCharType="separate"/>
        </w:r>
        <w:r>
          <w:rPr>
            <w:noProof/>
            <w:sz w:val="20"/>
          </w:rPr>
          <w:t>1</w:t>
        </w:r>
        <w:r>
          <w:rPr>
            <w:sz w:val="20"/>
          </w:rPr>
          <w:fldChar w:fldCharType="end"/>
        </w:r>
      </w:p>
    </w:sdtContent>
  </w:sdt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revisionView w:markup="0"/>
  <w:defaultTabStop w:val="720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Status" w:val="Green"/>
    <w:docVar w:name="LW_ACCOMPAGNANT.CP" w:val="\u1082?\u1098?\u1084?"/>
    <w:docVar w:name="LW_ANNEX_NBR_FIRST" w:val="1"/>
    <w:docVar w:name="LW_ANNEX_NBR_LAST" w:val="3"/>
    <w:docVar w:name="LW_ANNEX_UNIQUE" w:val="0"/>
    <w:docVar w:name="LW_CORRIGENDUM" w:val="&lt;UNUSED&gt;"/>
    <w:docVar w:name="LW_COVERPAGE_EXISTS" w:val="True"/>
    <w:docVar w:name="LW_COVERPAGE_GUID" w:val="844D313D-E8AE-4B0F-B7D9-61D12E617304"/>
    <w:docVar w:name="LW_COVERPAGE_TYPE" w:val="1"/>
    <w:docVar w:name="LW_CROSSREFERENCE" w:val="{SWD(2021) 46 final}"/>
    <w:docVar w:name="LW_DocType" w:val="NORMAL"/>
    <w:docVar w:name="LW_EMISSION" w:val="4.3.2021"/>
    <w:docVar w:name="LW_EMISSION_ISODATE" w:val="2021-03-04"/>
    <w:docVar w:name="LW_EMISSION_LOCATION" w:val="BRX"/>
    <w:docVar w:name="LW_EMISSION_PREFIX" w:val="Брюксел, "/>
    <w:docVar w:name="LW_EMISSION_SUFFIX" w:val=" \u1075?."/>
    <w:docVar w:name="LW_ID_DOCTYPE_NONLW" w:val="CP-039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.CP" w:val="\u1055?\u1083?\u1072?\u1085?\u1098?\u1090? \u1079?\u1072? \u1076?\u1077?\u1081?\u1089?\u1090?\u1074?\u1080?\u1077? \u1087?\u1086? \u1045?\u1074?\u1088?\u1086?\u1087?\u1077?\u1081?\u1089?\u1082?\u1080?\u1103? \u1089?\u1090?\u1098?\u1083?\u1073? \u1085?\u1072? \u1089?\u1086?\u1094?\u1080?\u1072?\u1083?\u1085?\u1080?\u1090?\u1077? \u1087?\u1088?\u1072?\u1074?\u1072? _x000b_"/>
    <w:docVar w:name="LW_PART_NBR" w:val="&lt;UNUSED&gt;"/>
    <w:docVar w:name="LW_PART_NBR_TOTAL" w:val="&lt;UNUSED&gt;"/>
    <w:docVar w:name="LW_REF.INST.NEW" w:val="COM"/>
    <w:docVar w:name="LW_REF.INST.NEW_ADOPTED" w:val="final"/>
    <w:docVar w:name="LW_REF.INST.NEW_TEXT" w:val="(2021) 102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Config isAvailable=&quot;false&quot; isMandatory=&quot;false&quot; sensitiveMarkingMandatory=&quot;false&quot; specialMarkingMandatory=&quot;true&quot; isOptionDisplayInHeaderAvailable=&quot;true&quot; sensitiveMarkingListSee=&quot;SensitiveMarkings&quot; specialMarkingListSee=&quot;SpecialMarkings&quot; sensitiveFootnoteTextSee=&quot;sensitiveFootnote&quot; specialFootnoteTextSee=&quot;specialFootnote&quot; /&gt;_x000d__x000a_  &lt;chosenMainMarking xsi:nil=&quot;true&quot; /&gt;_x000d__x000a_  &lt;dateMarking xsi:nil=&quot;true&quot; /&gt;_x000d__x000a_  &lt;releasableToConfig isAvailable=&quot;false&quot; institutionListSee=&quot;DefaultInstitutions&quot; /&gt;_x000d__x000a_  &lt;chosenReleasableTo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isRestricted&gt;false&lt;/isRestricted&gt;_x000d__x000a_&lt;/SensitivityLevel&gt;"/>
    <w:docVar w:name="LW_SUPERTITRE" w:val="&lt;UNUSED&gt;"/>
    <w:docVar w:name="LW_TYPE.DOC.CP" w:val="\u1055?\u1056?\u1048?\u1051?\u1054?\u1046?\u1045?\u1053?\u1048?\u1071?_x000b_"/>
    <w:docVar w:name="LW_TYPEACTEPRINCIPAL.CP" w:val="\u1057?\u1066?\u1054?\u1041?\u1065?\u1045?\u1053?\u1048?\u1045? \u1053?\u1040? \u1050?\u1054?\u1052?\u1048?\u1057?\u1048?\u1071?\u1058?\u1040? \u1044?\u1054? \u1045?\u1042?\u1056?\u1054?\u1055?\u1045?\u1049?\u1057?\u1050?\u1048?\u1071? \u1055?\u1040?\u1056?\u1051?\u1040?\u1052?\u1045?\u1053?\u1058?, \u1057?\u1066?\u1042?\u1045?\u1058?\u1040?, \u1045?\u1042?\u1056?\u1054?\u1055?\u1045?\u1049?\u1057?\u1050?\u1048?\u1071? \u1048?\u1050?\u1054?\u1053?\u1054?\u1052?\u1048?\u1063?\u1045?\u1057?\u1050?\u1048? \u1048? \u1057?\u1054?\u1062?\u1048?\u1040?\u1051?\u1045?\u1053? \u1050?\u1054?\u1052?\u1048?\u1058?\u1045?\u1058? \u1048? \u1050?\u1054?\u1052?\u1048?\u1058?\u1045?\u1058?\u1040? \u1053?\u1040? \u1056?\u1045?\u1043?\u1048?\u1054?\u1053?\u1048?\u1058?\u1045?_x000b_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9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0"/>
    <w:qFormat/>
    <w:pPr>
      <w:spacing w:after="240"/>
      <w:jc w:val="both"/>
    </w:pPr>
    <w:rPr>
      <w:rFonts w:ascii="Times New Roman" w:eastAsia="Times New Roman" w:hAnsi="Times New Roman" w:cs="Times New Roman"/>
      <w:szCs w:val="20"/>
      <w:lang w:eastAsia="fr-B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aliases w:val="Footnote Text Char2,Footnote Text Char1 Char"/>
    <w:basedOn w:val="DefaultParagraphFont"/>
    <w:uiPriority w:val="99"/>
    <w:semiHidden/>
    <w:rPr>
      <w:sz w:val="16"/>
      <w:szCs w:val="16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/>
    </w:pPr>
    <w:rPr>
      <w:rFonts w:eastAsiaTheme="minorHAnsi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Times New Roman" w:hAnsi="Times New Roman" w:cs="Times New Roman"/>
      <w:szCs w:val="20"/>
      <w:lang w:val="bg-BG" w:eastAsia="fr-BE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Times New Roman" w:hAnsi="Times New Roman" w:cs="Times New Roman"/>
      <w:szCs w:val="20"/>
      <w:lang w:val="bg-BG" w:eastAsia="fr-BE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eastAsia="Times New Roman" w:hAnsi="Times New Roman" w:cs="Times New Roman"/>
      <w:szCs w:val="20"/>
      <w:lang w:eastAsia="fr-BE"/>
    </w:rPr>
  </w:style>
  <w:style w:type="paragraph" w:customStyle="1" w:styleId="FooterSensitivity">
    <w:name w:val="Footer Sensitivity"/>
    <w:basedOn w:val="Normal"/>
    <w:link w:val="Foot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character" w:customStyle="1" w:styleId="FooterSensitivityChar">
    <w:name w:val="Footer Sensitivity Char"/>
    <w:basedOn w:val="DefaultParagraphFont"/>
    <w:link w:val="FooterSensitivity"/>
    <w:rPr>
      <w:rFonts w:ascii="Times New Roman" w:eastAsia="Times New Roman" w:hAnsi="Times New Roman" w:cs="Times New Roman"/>
      <w:b/>
      <w:sz w:val="32"/>
      <w:szCs w:val="20"/>
      <w:lang w:eastAsia="fr-BE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/>
    </w:p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eastAsia="Times New Roman" w:hAnsi="Times New Roman" w:cs="Times New Roman"/>
      <w:szCs w:val="20"/>
      <w:lang w:eastAsia="fr-BE"/>
    </w:rPr>
  </w:style>
  <w:style w:type="paragraph" w:customStyle="1" w:styleId="HeaderSensitivity">
    <w:name w:val="Header Sensitivity"/>
    <w:basedOn w:val="Normal"/>
    <w:link w:val="Head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ind w:left="113" w:right="113"/>
      <w:jc w:val="center"/>
    </w:pPr>
    <w:rPr>
      <w:b/>
      <w:sz w:val="32"/>
    </w:rPr>
  </w:style>
  <w:style w:type="character" w:customStyle="1" w:styleId="HeaderSensitivityChar">
    <w:name w:val="Header Sensitivity Char"/>
    <w:basedOn w:val="DefaultParagraphFont"/>
    <w:link w:val="HeaderSensitivity"/>
    <w:rPr>
      <w:rFonts w:ascii="Times New Roman" w:eastAsia="Times New Roman" w:hAnsi="Times New Roman" w:cs="Times New Roman"/>
      <w:b/>
      <w:sz w:val="32"/>
      <w:szCs w:val="20"/>
      <w:lang w:eastAsia="fr-BE"/>
    </w:rPr>
  </w:style>
  <w:style w:type="paragraph" w:customStyle="1" w:styleId="HeaderSensitivityRight">
    <w:name w:val="Header Sensitivity Right"/>
    <w:basedOn w:val="Normal"/>
    <w:link w:val="HeaderSensitivityRightChar"/>
    <w:pPr>
      <w:spacing w:after="120"/>
      <w:jc w:val="right"/>
    </w:pPr>
    <w:rPr>
      <w:sz w:val="28"/>
    </w:rPr>
  </w:style>
  <w:style w:type="character" w:customStyle="1" w:styleId="HeaderSensitivityRightChar">
    <w:name w:val="Header Sensitivity Right Char"/>
    <w:basedOn w:val="DefaultParagraphFont"/>
    <w:link w:val="HeaderSensitivityRight"/>
    <w:rPr>
      <w:rFonts w:ascii="Times New Roman" w:eastAsia="Times New Roman" w:hAnsi="Times New Roman" w:cs="Times New Roman"/>
      <w:sz w:val="28"/>
      <w:szCs w:val="20"/>
      <w:lang w:eastAsia="fr-BE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eastAsia="Times New Roman" w:hAnsi="Times New Roman" w:cs="Times New Roman"/>
      <w:sz w:val="20"/>
      <w:szCs w:val="20"/>
      <w:lang w:val="bg-BG" w:eastAsia="fr-B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val="bg-BG" w:eastAsia="fr-BE"/>
    </w:rPr>
  </w:style>
  <w:style w:type="paragraph" w:styleId="Revision">
    <w:name w:val="Revision"/>
    <w:hidden/>
    <w:uiPriority w:val="99"/>
    <w:semiHidden/>
    <w:rPr>
      <w:rFonts w:ascii="Times New Roman" w:eastAsia="Times New Roman" w:hAnsi="Times New Roman" w:cs="Times New Roman"/>
      <w:szCs w:val="20"/>
      <w:lang w:eastAsia="fr-B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9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0"/>
    <w:qFormat/>
    <w:pPr>
      <w:spacing w:after="240"/>
      <w:jc w:val="both"/>
    </w:pPr>
    <w:rPr>
      <w:rFonts w:ascii="Times New Roman" w:eastAsia="Times New Roman" w:hAnsi="Times New Roman" w:cs="Times New Roman"/>
      <w:szCs w:val="20"/>
      <w:lang w:eastAsia="fr-B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aliases w:val="Footnote Text Char2,Footnote Text Char1 Char"/>
    <w:basedOn w:val="DefaultParagraphFont"/>
    <w:uiPriority w:val="99"/>
    <w:semiHidden/>
    <w:rPr>
      <w:sz w:val="16"/>
      <w:szCs w:val="16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/>
    </w:pPr>
    <w:rPr>
      <w:rFonts w:eastAsiaTheme="minorHAnsi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Times New Roman" w:hAnsi="Times New Roman" w:cs="Times New Roman"/>
      <w:szCs w:val="20"/>
      <w:lang w:val="bg-BG" w:eastAsia="fr-BE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Times New Roman" w:hAnsi="Times New Roman" w:cs="Times New Roman"/>
      <w:szCs w:val="20"/>
      <w:lang w:val="bg-BG" w:eastAsia="fr-BE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eastAsia="Times New Roman" w:hAnsi="Times New Roman" w:cs="Times New Roman"/>
      <w:szCs w:val="20"/>
      <w:lang w:eastAsia="fr-BE"/>
    </w:rPr>
  </w:style>
  <w:style w:type="paragraph" w:customStyle="1" w:styleId="FooterSensitivity">
    <w:name w:val="Footer Sensitivity"/>
    <w:basedOn w:val="Normal"/>
    <w:link w:val="Foot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character" w:customStyle="1" w:styleId="FooterSensitivityChar">
    <w:name w:val="Footer Sensitivity Char"/>
    <w:basedOn w:val="DefaultParagraphFont"/>
    <w:link w:val="FooterSensitivity"/>
    <w:rPr>
      <w:rFonts w:ascii="Times New Roman" w:eastAsia="Times New Roman" w:hAnsi="Times New Roman" w:cs="Times New Roman"/>
      <w:b/>
      <w:sz w:val="32"/>
      <w:szCs w:val="20"/>
      <w:lang w:eastAsia="fr-BE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/>
    </w:p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eastAsia="Times New Roman" w:hAnsi="Times New Roman" w:cs="Times New Roman"/>
      <w:szCs w:val="20"/>
      <w:lang w:eastAsia="fr-BE"/>
    </w:rPr>
  </w:style>
  <w:style w:type="paragraph" w:customStyle="1" w:styleId="HeaderSensitivity">
    <w:name w:val="Header Sensitivity"/>
    <w:basedOn w:val="Normal"/>
    <w:link w:val="Head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ind w:left="113" w:right="113"/>
      <w:jc w:val="center"/>
    </w:pPr>
    <w:rPr>
      <w:b/>
      <w:sz w:val="32"/>
    </w:rPr>
  </w:style>
  <w:style w:type="character" w:customStyle="1" w:styleId="HeaderSensitivityChar">
    <w:name w:val="Header Sensitivity Char"/>
    <w:basedOn w:val="DefaultParagraphFont"/>
    <w:link w:val="HeaderSensitivity"/>
    <w:rPr>
      <w:rFonts w:ascii="Times New Roman" w:eastAsia="Times New Roman" w:hAnsi="Times New Roman" w:cs="Times New Roman"/>
      <w:b/>
      <w:sz w:val="32"/>
      <w:szCs w:val="20"/>
      <w:lang w:eastAsia="fr-BE"/>
    </w:rPr>
  </w:style>
  <w:style w:type="paragraph" w:customStyle="1" w:styleId="HeaderSensitivityRight">
    <w:name w:val="Header Sensitivity Right"/>
    <w:basedOn w:val="Normal"/>
    <w:link w:val="HeaderSensitivityRightChar"/>
    <w:pPr>
      <w:spacing w:after="120"/>
      <w:jc w:val="right"/>
    </w:pPr>
    <w:rPr>
      <w:sz w:val="28"/>
    </w:rPr>
  </w:style>
  <w:style w:type="character" w:customStyle="1" w:styleId="HeaderSensitivityRightChar">
    <w:name w:val="Header Sensitivity Right Char"/>
    <w:basedOn w:val="DefaultParagraphFont"/>
    <w:link w:val="HeaderSensitivityRight"/>
    <w:rPr>
      <w:rFonts w:ascii="Times New Roman" w:eastAsia="Times New Roman" w:hAnsi="Times New Roman" w:cs="Times New Roman"/>
      <w:sz w:val="28"/>
      <w:szCs w:val="20"/>
      <w:lang w:eastAsia="fr-BE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eastAsia="Times New Roman" w:hAnsi="Times New Roman" w:cs="Times New Roman"/>
      <w:sz w:val="20"/>
      <w:szCs w:val="20"/>
      <w:lang w:val="bg-BG" w:eastAsia="fr-B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val="bg-BG" w:eastAsia="fr-BE"/>
    </w:rPr>
  </w:style>
  <w:style w:type="paragraph" w:styleId="Revision">
    <w:name w:val="Revision"/>
    <w:hidden/>
    <w:uiPriority w:val="99"/>
    <w:semiHidden/>
    <w:rPr>
      <w:rFonts w:ascii="Times New Roman" w:eastAsia="Times New Roman" w:hAnsi="Times New Roman" w:cs="Times New Roman"/>
      <w:szCs w:val="20"/>
      <w:lang w:eastAsia="fr-B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image" Target="media/image5.png"/><Relationship Id="rId26" Type="http://schemas.openxmlformats.org/officeDocument/2006/relationships/image" Target="media/image13.png"/><Relationship Id="rId39" Type="http://schemas.openxmlformats.org/officeDocument/2006/relationships/footer" Target="footer5.xml"/><Relationship Id="rId3" Type="http://schemas.microsoft.com/office/2007/relationships/stylesWithEffects" Target="stylesWithEffects.xml"/><Relationship Id="rId21" Type="http://schemas.openxmlformats.org/officeDocument/2006/relationships/image" Target="media/image8.png"/><Relationship Id="rId34" Type="http://schemas.openxmlformats.org/officeDocument/2006/relationships/image" Target="media/image21.png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image" Target="media/image4.png"/><Relationship Id="rId25" Type="http://schemas.openxmlformats.org/officeDocument/2006/relationships/image" Target="media/image12.png"/><Relationship Id="rId33" Type="http://schemas.openxmlformats.org/officeDocument/2006/relationships/image" Target="media/image20.png"/><Relationship Id="rId38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20" Type="http://schemas.openxmlformats.org/officeDocument/2006/relationships/image" Target="media/image7.png"/><Relationship Id="rId29" Type="http://schemas.openxmlformats.org/officeDocument/2006/relationships/image" Target="media/image16.png"/><Relationship Id="rId41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image" Target="media/image11.png"/><Relationship Id="rId32" Type="http://schemas.openxmlformats.org/officeDocument/2006/relationships/image" Target="media/image19.png"/><Relationship Id="rId37" Type="http://schemas.openxmlformats.org/officeDocument/2006/relationships/header" Target="header5.xml"/><Relationship Id="rId40" Type="http://schemas.openxmlformats.org/officeDocument/2006/relationships/header" Target="header6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23" Type="http://schemas.openxmlformats.org/officeDocument/2006/relationships/image" Target="media/image10.png"/><Relationship Id="rId28" Type="http://schemas.openxmlformats.org/officeDocument/2006/relationships/image" Target="media/image15.png"/><Relationship Id="rId36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image" Target="media/image6.png"/><Relationship Id="rId31" Type="http://schemas.openxmlformats.org/officeDocument/2006/relationships/image" Target="media/image18.pn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image" Target="media/image9.png"/><Relationship Id="rId27" Type="http://schemas.openxmlformats.org/officeDocument/2006/relationships/image" Target="media/image14.png"/><Relationship Id="rId30" Type="http://schemas.openxmlformats.org/officeDocument/2006/relationships/image" Target="media/image17.png"/><Relationship Id="rId35" Type="http://schemas.openxmlformats.org/officeDocument/2006/relationships/image" Target="media/image22.png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6DBC6240-99D4-4701-91C5-38BA16006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6</Pages>
  <Words>1862</Words>
  <Characters>10858</Characters>
  <Application>Microsoft Office Word</Application>
  <DocSecurity>0</DocSecurity>
  <Lines>319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Tchorzewska</dc:creator>
  <cp:keywords/>
  <dc:description/>
  <cp:lastModifiedBy>WES PDFC Administrator</cp:lastModifiedBy>
  <cp:revision>14</cp:revision>
  <dcterms:created xsi:type="dcterms:W3CDTF">2021-03-02T14:48:00Z</dcterms:created>
  <dcterms:modified xsi:type="dcterms:W3CDTF">2021-03-09T16:14:00Z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evel of sensitivity">
    <vt:lpwstr>Standard treatment</vt:lpwstr>
  </property>
  <property fmtid="{D5CDD505-2E9C-101B-9397-08002B2CF9AE}" pid="3" name="First annex">
    <vt:lpwstr>1</vt:lpwstr>
  </property>
  <property fmtid="{D5CDD505-2E9C-101B-9397-08002B2CF9AE}" pid="4" name="Last annex">
    <vt:lpwstr>3</vt:lpwstr>
  </property>
  <property fmtid="{D5CDD505-2E9C-101B-9397-08002B2CF9AE}" pid="5" name="Unique annex">
    <vt:lpwstr>0</vt:lpwstr>
  </property>
  <property fmtid="{D5CDD505-2E9C-101B-9397-08002B2CF9AE}" pid="6" name="Part">
    <vt:lpwstr>&lt;UNUSED&gt;</vt:lpwstr>
  </property>
  <property fmtid="{D5CDD505-2E9C-101B-9397-08002B2CF9AE}" pid="7" name="Total parts">
    <vt:lpwstr>&lt;UNUSED&gt;</vt:lpwstr>
  </property>
  <property fmtid="{D5CDD505-2E9C-101B-9397-08002B2CF9AE}" pid="8" name="DocStatus">
    <vt:lpwstr>Green</vt:lpwstr>
  </property>
  <property fmtid="{D5CDD505-2E9C-101B-9397-08002B2CF9AE}" pid="9" name="CPTemplateID">
    <vt:lpwstr>CP-039</vt:lpwstr>
  </property>
  <property fmtid="{D5CDD505-2E9C-101B-9397-08002B2CF9AE}" pid="10" name="Last edited using">
    <vt:lpwstr>LW 7.0, Build 20190717</vt:lpwstr>
  </property>
  <property fmtid="{D5CDD505-2E9C-101B-9397-08002B2CF9AE}" pid="11" name="Created using">
    <vt:lpwstr>LW 7.0.1, Build 20190916</vt:lpwstr>
  </property>
</Properties>
</file>