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564DA3D-2608-44CF-A152-F3EB2569709C" style="width:450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  <w:r>
        <w:rPr>
          <w:noProof/>
        </w:rPr>
        <w:t>Приложение IА към Регламент (ЕС) 2021/92 се изменя, както следва:</w:t>
      </w:r>
    </w:p>
    <w:p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>В приложение IA таблицата относно възможностите за риболов на пясъчница във водите на Съюза от участъци 2a и 3a на ICES и подзона 4 на ICES се заменя със следното:</w:t>
      </w:r>
    </w:p>
    <w:p>
      <w:pPr>
        <w:rPr>
          <w:noProof/>
        </w:rPr>
      </w:pPr>
      <w:r>
        <w:rPr>
          <w:noProof/>
        </w:rPr>
        <w:t>„</w:t>
      </w:r>
    </w:p>
    <w:tbl>
      <w:tblPr>
        <w:tblW w:w="9111" w:type="dxa"/>
        <w:tblInd w:w="108" w:type="dxa"/>
        <w:tblLook w:val="04A0" w:firstRow="1" w:lastRow="0" w:firstColumn="1" w:lastColumn="0" w:noHBand="0" w:noVBand="1"/>
      </w:tblPr>
      <w:tblGrid>
        <w:gridCol w:w="1242"/>
        <w:gridCol w:w="1145"/>
        <w:gridCol w:w="1144"/>
        <w:gridCol w:w="1147"/>
        <w:gridCol w:w="1076"/>
        <w:gridCol w:w="1143"/>
        <w:gridCol w:w="1142"/>
        <w:gridCol w:w="1072"/>
      </w:tblGrid>
      <w:tr>
        <w:trPr>
          <w:trHeight w:val="255"/>
        </w:trPr>
        <w:tc>
          <w:tcPr>
            <w:tcW w:w="1242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Пясъчница и съответен прилов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335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Води на Съюза от 2a, 3a и 4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</w:tr>
      <w:tr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 xml:space="preserve">Ammodytes </w:t>
            </w:r>
            <w:r>
              <w:rPr>
                <w:iCs/>
                <w:noProof/>
                <w:sz w:val="18"/>
                <w:szCs w:val="18"/>
              </w:rPr>
              <w:t>spp.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Дания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Аналитичен ОДУ</w:t>
            </w:r>
          </w:p>
        </w:tc>
        <w:tc>
          <w:tcPr>
            <w:tcW w:w="11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  <w:highlight w:val="yellow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pm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4433" w:type="dxa"/>
            <w:gridSpan w:val="4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Член 3 от Регламент (ЕО) № 847/96 не се прилага.</w:t>
            </w: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Швеция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4433" w:type="dxa"/>
            <w:gridSpan w:val="4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noProof/>
                <w:color w:val="000000"/>
                <w:sz w:val="18"/>
                <w:szCs w:val="18"/>
              </w:rPr>
              <w:t>Член 4 от Регламент (ЕО) № 847/96 не се прилага.</w:t>
            </w: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0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2387" w:type="dxa"/>
            <w:gridSpan w:val="2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144" w:type="dxa"/>
            <w:noWrap/>
          </w:tcPr>
          <w:p>
            <w:pPr>
              <w:spacing w:after="0" w:line="276" w:lineRule="auto"/>
              <w:jc w:val="right"/>
              <w:rPr>
                <w:noProof/>
                <w:sz w:val="22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1147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076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5655" w:type="dxa"/>
            <w:gridSpan w:val="5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С изключение на водите в шестмилната зона от изходните линии на Обединеното кралство при Shetland, Fair Isle и Foula.</w:t>
            </w: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7869" w:type="dxa"/>
            <w:gridSpan w:val="7"/>
            <w:noWrap/>
            <w:hideMark/>
          </w:tcPr>
          <w:p>
            <w:pPr>
              <w:spacing w:after="0"/>
              <w:rPr>
                <w:rFonts w:eastAsia="Times New Roman"/>
                <w:i/>
                <w:noProof/>
                <w:szCs w:val="24"/>
                <w:vertAlign w:val="superscript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Приловът на меджид и скумрия може да бъде до 2 % от квотата (OT1/*2A3A4X). Сумата от прилова на меджид и скумрия, приспаднат от квотата в съответствие с настоящата разпоредба, и от прилова на видове, приспаднат от квотата в съответствие с член 15, параграф 8 от Регламент (ЕС) № 1380/2013, не надхвърля 9 % от квотата.</w:t>
            </w:r>
            <w:r>
              <w:rPr>
                <w:i/>
                <w:noProof/>
                <w:sz w:val="18"/>
                <w:szCs w:val="18"/>
                <w:vertAlign w:val="superscript"/>
              </w:rPr>
              <w:t xml:space="preserve"> </w:t>
            </w:r>
          </w:p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91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Специално условие: уловът в рамките на определените по-горе квоти не може да надвишава посочените по-долу количества в следните зони на управление на запасите от пясъчница, определени в приложение III:</w:t>
            </w: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655" w:type="dxa"/>
            <w:gridSpan w:val="5"/>
            <w:noWrap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bCs/>
                <w:noProof/>
                <w:sz w:val="18"/>
                <w:szCs w:val="18"/>
              </w:rPr>
              <w:t>Зона: Води на Съюза в зоните на управление на запасите от пясъчница</w:t>
            </w:r>
          </w:p>
          <w:p>
            <w:pPr>
              <w:spacing w:after="0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1r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2r</w:t>
            </w:r>
            <w:r>
              <w:rPr>
                <w:b/>
                <w:bCs/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3r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5r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7r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(SAN/234_1R)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(SAN/234_2R)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(SAN/234_3R)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(SAN/234_4)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(SAN/234_5R)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(SAN/234_6)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(SAN/234_7R) 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Дания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Германия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Швеция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Съюз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Обединено кралство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</w:tr>
      <w:tr>
        <w:trPr>
          <w:trHeight w:val="270"/>
        </w:trPr>
        <w:tc>
          <w:tcPr>
            <w:tcW w:w="911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(1) В зона на управление 2r ОДУ може да се осъществява само като мониторингов ОДУ с асоцииран протокол за вземане на проби за риболовната дейност.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>
      <w:pPr>
        <w:rPr>
          <w:noProof/>
        </w:rPr>
      </w:pPr>
      <w:r>
        <w:rPr>
          <w:noProof/>
        </w:rPr>
        <w:t>“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51620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15232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885C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7F010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39EA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9C0DF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9A56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AE8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1-03-03 09:05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564DA3D-2608-44CF-A152-F3EB2569709C"/>
    <w:docVar w:name="LW_COVERPAGE_TYPE" w:val="1"/>
    <w:docVar w:name="LW_CROSSREFERENCE" w:val="&lt;UNUSED&gt;"/>
    <w:docVar w:name="LW_DocType" w:val="ANNEX"/>
    <w:docVar w:name="LW_EMISSION" w:val="10.3.2021"/>
    <w:docVar w:name="LW_EMISSION_ISODATE" w:val="2021-03-10"/>
    <w:docVar w:name="LW_EMISSION_LOCATION" w:val="BRX"/>
    <w:docVar w:name="LW_EMISSION_PREFIX" w:val="Брюксел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 (\u1045?\u1057?) 2021/92 \u1087?\u1086? \u1086?\u1090?\u1085?\u1086?\u1096?\u1077?\u1085?\u1080?\u1077? \u1085?\u1072? \u1086?\u1087?\u1088?\u1077?\u1076?\u1077?\u1083?\u1077?\u1085?\u1080? \u1074?\u1098?\u1079?\u1084?\u1086?\u1078?\u1085?\u1086?\u1089?\u1090?\u1080? \u1079?\u1072? \u1088?\u1080?\u1073?\u1086?\u1083?\u1086?\u1074? \u1079?\u1072? 2021 \u1075?. \u1074?\u1098?\u1074? \u1074?\u1086?\u1076?\u1080? \u1085?\u1072? \u1057?\u1098?\u1102?\u1079?\u1072? \u1080? \u1074?\u1086?\u1076?\u1080? \u1080?\u1079?\u1074?\u1098?\u1085? \u1057?\u1098?\u1102?\u1079?\u1072?"/>
    <w:docVar w:name="LW_OBJETACTEPRINCIPAL.CP" w:val="\u1079?\u1072? \u1080?\u1079?\u1084?\u1077?\u1085?\u1077?\u1085?\u1080?\u1077? \u1085?\u1072? \u1056?\u1077?\u1075?\u1083?\u1072?\u1084?\u1077?\u1085?\u1090? (\u1045?\u1057?) 2021/92 \u1087?\u1086? \u1086?\u1090?\u1085?\u1086?\u1096?\u1077?\u1085?\u1080?\u1077? \u1085?\u1072? \u1086?\u1087?\u1088?\u1077?\u1076?\u1077?\u1083?\u1077?\u1085?\u1080? \u1074?\u1098?\u1079?\u1084?\u1086?\u1078?\u1085?\u1086?\u1089?\u1090?\u1080? \u1079?\u1072? \u1088?\u1080?\u1073?\u1086?\u1083?\u1086?\u1074? \u1079?\u1072? 2021 \u1075?. \u1074?\u1098?\u1074? \u1074?\u1086?\u1076?\u1080? \u1085?\u1072? \u1057?\u1098?\u1102?\u1079?\u1072? \u1080? \u1074?\u1086?\u1076?\u1080? \u1080?\u1079?\u1074?\u1098?\u1085? \u1057?\u1098?\u1102?\u1079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21) 1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_x000b_\u1056?\u1045?\u1043?\u1051?\u1040?\u1052?\u1045?\u1053?\u1058? \u1053?\u1040? \u1057?\u1066?\u1042?\u1045?\u1058?\u1040?_x000b__x000b_"/>
    <w:docVar w:name="LW_TYPEACTEPRINCIPAL.CP" w:val="\u1055?\u1088?\u1077?\u1076?\u1083?\u1086?\u1078?\u1077?\u1085?\u1080?\u1077? \u1079?\u1072?_x000b__x000b_\u1056?\u1045?\u1043?\u1051?\u1040?\u1052?\u1045?\u1053?\u1058? \u1053?\u1040? \u1057?\u1066?\u1042?\u1045?\u1058?\u1040?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ingCentered">
    <w:name w:val="Heading Centered"/>
    <w:basedOn w:val="Normal"/>
    <w:next w:val="Normal"/>
    <w:pPr>
      <w:spacing w:before="360" w:line="360" w:lineRule="auto"/>
      <w:jc w:val="center"/>
      <w:outlineLvl w:val="0"/>
    </w:pPr>
    <w:rPr>
      <w:b/>
      <w:caps/>
      <w:u w:val="single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"/>
    <w:basedOn w:val="DefaultParagraphFont"/>
    <w:semiHidden/>
    <w:unhideWhenUsed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en-US" w:bidi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ingCentered">
    <w:name w:val="Heading Centered"/>
    <w:basedOn w:val="Normal"/>
    <w:next w:val="Normal"/>
    <w:pPr>
      <w:spacing w:before="360" w:line="360" w:lineRule="auto"/>
      <w:jc w:val="center"/>
      <w:outlineLvl w:val="0"/>
    </w:pPr>
    <w:rPr>
      <w:b/>
      <w:caps/>
      <w:u w:val="single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"/>
    <w:basedOn w:val="DefaultParagraphFont"/>
    <w:semiHidden/>
    <w:unhideWhenUsed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en-US" w:bidi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BDE1685-B01A-4C7C-A117-2C7FF85D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2</Pages>
  <Words>324</Words>
  <Characters>1468</Characters>
  <Application>Microsoft Office Word</Application>
  <DocSecurity>0</DocSecurity>
  <Lines>183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SANZ Carmen (MARE)</dc:creator>
  <cp:lastModifiedBy>WES PDFC Administrator</cp:lastModifiedBy>
  <cp:revision>9</cp:revision>
  <cp:lastPrinted>2020-02-21T08:58:00Z</cp:lastPrinted>
  <dcterms:created xsi:type="dcterms:W3CDTF">2021-03-02T10:29:00Z</dcterms:created>
  <dcterms:modified xsi:type="dcterms:W3CDTF">2021-03-03T08:05:00Z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