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764C" w:rsidRDefault="00A17FAC">
      <w:pPr>
        <w:pStyle w:val="Pagedecouverture"/>
        <w:rPr>
          <w:noProof/>
          <w:lang w:val="en-GB"/>
        </w:rPr>
      </w:pPr>
      <w:bookmarkStart w:id="0" w:name="LW_BM_COVERPAGE"/>
      <w:bookmarkStart w:id="1" w:name="_GoBack"/>
      <w:bookmarkEnd w:id="1"/>
      <w:r>
        <w:rPr>
          <w:noProof/>
          <w:lang w:val="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11502E66-BB7C-43DF-8A25-45D3BD90988B" style="width:450.15pt;height:320.65pt">
            <v:imagedata r:id="rId11" o:title=""/>
          </v:shape>
        </w:pict>
      </w:r>
    </w:p>
    <w:bookmarkEnd w:id="0"/>
    <w:p w:rsidR="0007764C" w:rsidRDefault="0007764C">
      <w:pPr>
        <w:spacing w:after="120"/>
        <w:rPr>
          <w:noProof/>
          <w:lang w:val="en-GB"/>
        </w:rPr>
        <w:sectPr w:rsidR="0007764C">
          <w:headerReference w:type="even" r:id="rId12"/>
          <w:headerReference w:type="default" r:id="rId13"/>
          <w:footerReference w:type="even" r:id="rId14"/>
          <w:footerReference w:type="default" r:id="rId15"/>
          <w:headerReference w:type="first" r:id="rId16"/>
          <w:footerReference w:type="first" r:id="rId17"/>
          <w:pgSz w:w="11906" w:h="16838"/>
          <w:pgMar w:top="1134" w:right="1417" w:bottom="1134" w:left="1417" w:header="709" w:footer="709" w:gutter="0"/>
          <w:pgNumType w:start="0"/>
          <w:cols w:space="720"/>
          <w:docGrid w:linePitch="360"/>
        </w:sectPr>
      </w:pPr>
    </w:p>
    <w:p w:rsidR="0007764C" w:rsidRDefault="00A17FAC">
      <w:pPr>
        <w:pStyle w:val="Heading1"/>
        <w:numPr>
          <w:ilvl w:val="0"/>
          <w:numId w:val="65"/>
        </w:numPr>
        <w:spacing w:after="120"/>
        <w:rPr>
          <w:noProof/>
        </w:rPr>
      </w:pPr>
      <w:bookmarkStart w:id="2" w:name="_Toc64388632"/>
      <w:bookmarkStart w:id="3" w:name="_Toc64456126"/>
      <w:bookmarkStart w:id="4" w:name="_Toc64456175"/>
      <w:bookmarkStart w:id="5" w:name="_Toc64493218"/>
      <w:bookmarkStart w:id="6" w:name="_Toc64495312"/>
      <w:bookmarkStart w:id="7" w:name="_Toc64581243"/>
      <w:bookmarkStart w:id="8" w:name="_Toc64584035"/>
      <w:bookmarkStart w:id="9" w:name="_Toc65313729"/>
      <w:r>
        <w:rPr>
          <w:noProof/>
        </w:rPr>
        <w:lastRenderedPageBreak/>
        <w:t xml:space="preserve">Joining forces: digital transformation for Europe’s resilience </w:t>
      </w:r>
      <w:bookmarkEnd w:id="2"/>
      <w:bookmarkEnd w:id="3"/>
      <w:bookmarkEnd w:id="4"/>
      <w:bookmarkEnd w:id="5"/>
      <w:bookmarkEnd w:id="6"/>
      <w:bookmarkEnd w:id="7"/>
      <w:bookmarkEnd w:id="8"/>
      <w:bookmarkEnd w:id="9"/>
    </w:p>
    <w:p w:rsidR="0007764C" w:rsidRDefault="00A17FAC">
      <w:pPr>
        <w:spacing w:after="120" w:line="259" w:lineRule="auto"/>
        <w:jc w:val="both"/>
        <w:rPr>
          <w:rFonts w:ascii="Times New Roman" w:hAnsi="Times New Roman" w:cs="Times New Roman"/>
          <w:noProof/>
          <w:lang w:val="en-GB"/>
        </w:rPr>
      </w:pPr>
      <w:bookmarkStart w:id="10" w:name="_Toc64388634"/>
      <w:bookmarkStart w:id="11" w:name="_Toc64456127"/>
      <w:bookmarkStart w:id="12" w:name="_Toc64456176"/>
      <w:bookmarkStart w:id="13" w:name="_Toc64493219"/>
      <w:bookmarkStart w:id="14" w:name="_Toc64495313"/>
      <w:r>
        <w:rPr>
          <w:rFonts w:ascii="Times New Roman" w:hAnsi="Times New Roman" w:cs="Times New Roman"/>
          <w:noProof/>
          <w:lang w:val="en-GB"/>
        </w:rPr>
        <w:t xml:space="preserve">In just a year, the COVID-19 pandemic has radically changed the role and perception </w:t>
      </w:r>
      <w:r>
        <w:rPr>
          <w:rFonts w:ascii="Times New Roman" w:hAnsi="Times New Roman" w:cs="Times New Roman"/>
          <w:noProof/>
          <w:lang w:val="en-GB"/>
        </w:rPr>
        <w:t>of digitalisation in our societies and economies, and accelerated its pace. Digital technologies are now imperative for working, learning, entertaining, socialising, shopping and accessing everything from health services to culture. It has also shown the d</w:t>
      </w:r>
      <w:r>
        <w:rPr>
          <w:rFonts w:ascii="Times New Roman" w:hAnsi="Times New Roman" w:cs="Times New Roman"/>
          <w:noProof/>
          <w:lang w:val="en-GB"/>
        </w:rPr>
        <w:t>ecisive role that disruptive innovation</w:t>
      </w:r>
      <w:r>
        <w:rPr>
          <w:rFonts w:ascii="Times New Roman" w:hAnsi="Times New Roman" w:cs="Times New Roman"/>
          <w:b/>
          <w:noProof/>
          <w:lang w:val="en-GB"/>
        </w:rPr>
        <w:t xml:space="preserve"> </w:t>
      </w:r>
      <w:r>
        <w:rPr>
          <w:rFonts w:ascii="Times New Roman" w:hAnsi="Times New Roman" w:cs="Times New Roman"/>
          <w:noProof/>
          <w:lang w:val="en-GB"/>
        </w:rPr>
        <w:t>can play</w:t>
      </w:r>
      <w:r>
        <w:rPr>
          <w:rStyle w:val="FootnoteReference"/>
          <w:rFonts w:ascii="Times New Roman" w:hAnsi="Times New Roman" w:cs="Times New Roman"/>
          <w:noProof/>
          <w:lang w:val="en-GB"/>
        </w:rPr>
        <w:footnoteReference w:id="2"/>
      </w:r>
      <w:r>
        <w:rPr>
          <w:rFonts w:ascii="Times New Roman" w:hAnsi="Times New Roman" w:cs="Times New Roman"/>
          <w:noProof/>
          <w:lang w:val="en-GB"/>
        </w:rPr>
        <w:t>. The pandemic has also exposed the vulnerabilities of our digital space, its dependencies on non-European technologies, and the impact of disinformation on our democratic societies.</w:t>
      </w:r>
    </w:p>
    <w:p w:rsidR="0007764C" w:rsidRDefault="00A17FAC">
      <w:pPr>
        <w:spacing w:after="120" w:line="259" w:lineRule="auto"/>
        <w:jc w:val="both"/>
        <w:rPr>
          <w:rFonts w:ascii="Times New Roman" w:hAnsi="Times New Roman" w:cs="Times New Roman"/>
          <w:noProof/>
          <w:lang w:val="en-GB"/>
        </w:rPr>
      </w:pPr>
      <w:r>
        <w:rPr>
          <w:rFonts w:ascii="Times New Roman" w:hAnsi="Times New Roman" w:cs="Times New Roman"/>
          <w:noProof/>
          <w:lang w:val="en-GB"/>
        </w:rPr>
        <w:t>In the light of these ch</w:t>
      </w:r>
      <w:r>
        <w:rPr>
          <w:rFonts w:ascii="Times New Roman" w:hAnsi="Times New Roman" w:cs="Times New Roman"/>
          <w:noProof/>
          <w:lang w:val="en-GB"/>
        </w:rPr>
        <w:t xml:space="preserve">allenges, our stated ambition is more relevant than ever: to pursue digital policies that empower people and businesses to seize a human centred, sustainable and more prosperous digital future. </w:t>
      </w:r>
    </w:p>
    <w:p w:rsidR="0007764C" w:rsidRDefault="00A17FAC">
      <w:pPr>
        <w:spacing w:after="120" w:line="259" w:lineRule="auto"/>
        <w:jc w:val="both"/>
        <w:rPr>
          <w:rFonts w:ascii="Times New Roman" w:hAnsi="Times New Roman" w:cs="Times New Roman"/>
          <w:noProof/>
          <w:lang w:val="en-GB"/>
        </w:rPr>
      </w:pPr>
      <w:r>
        <w:rPr>
          <w:rFonts w:ascii="Times New Roman" w:hAnsi="Times New Roman" w:cs="Times New Roman"/>
          <w:noProof/>
          <w:lang w:val="en-GB"/>
        </w:rPr>
        <w:t>Europe will have to build on its strengths – an open and comp</w:t>
      </w:r>
      <w:r>
        <w:rPr>
          <w:rFonts w:ascii="Times New Roman" w:hAnsi="Times New Roman" w:cs="Times New Roman"/>
          <w:noProof/>
          <w:lang w:val="en-GB"/>
        </w:rPr>
        <w:t xml:space="preserve">etitive single market, strong rules embedding European values, being an assertive player in fair and rule-based international trade, its solid industrial base, highly-skilled citizens and a robust civil society. </w:t>
      </w:r>
    </w:p>
    <w:p w:rsidR="0007764C" w:rsidRDefault="00A17FAC">
      <w:pPr>
        <w:spacing w:after="120" w:line="259" w:lineRule="auto"/>
        <w:jc w:val="both"/>
        <w:rPr>
          <w:rFonts w:ascii="Times New Roman" w:hAnsi="Times New Roman" w:cs="Times New Roman"/>
          <w:noProof/>
          <w:lang w:val="en-GB"/>
        </w:rPr>
      </w:pPr>
      <w:r>
        <w:rPr>
          <w:rFonts w:ascii="Times New Roman" w:hAnsi="Times New Roman" w:cs="Times New Roman"/>
          <w:noProof/>
          <w:lang w:val="en-GB"/>
        </w:rPr>
        <w:t>At the same time, it needs to carefully ass</w:t>
      </w:r>
      <w:r>
        <w:rPr>
          <w:rFonts w:ascii="Times New Roman" w:hAnsi="Times New Roman" w:cs="Times New Roman"/>
          <w:noProof/>
          <w:lang w:val="en-GB"/>
        </w:rPr>
        <w:t>ess and address any strategic weaknesses, vulnerabilities and high-risk dependencies which put at risk the attainment of its ambitions and will need to accelerate associated investment</w:t>
      </w:r>
      <w:r>
        <w:rPr>
          <w:rStyle w:val="FootnoteReference"/>
          <w:rFonts w:ascii="Times New Roman" w:hAnsi="Times New Roman" w:cs="Times New Roman"/>
          <w:noProof/>
          <w:lang w:val="en-GB"/>
        </w:rPr>
        <w:footnoteReference w:id="3"/>
      </w:r>
      <w:r>
        <w:rPr>
          <w:rFonts w:ascii="Times New Roman" w:hAnsi="Times New Roman" w:cs="Times New Roman"/>
          <w:noProof/>
          <w:lang w:val="en-GB"/>
        </w:rPr>
        <w:t>.</w:t>
      </w:r>
    </w:p>
    <w:p w:rsidR="0007764C" w:rsidRDefault="00A17FAC">
      <w:pPr>
        <w:spacing w:after="120" w:line="259" w:lineRule="auto"/>
        <w:jc w:val="both"/>
        <w:rPr>
          <w:rFonts w:ascii="Times New Roman" w:hAnsi="Times New Roman" w:cs="Times New Roman"/>
          <w:noProof/>
          <w:lang w:val="en-GB"/>
        </w:rPr>
      </w:pPr>
      <w:r>
        <w:rPr>
          <w:rFonts w:ascii="Times New Roman" w:hAnsi="Times New Roman" w:cs="Times New Roman"/>
          <w:noProof/>
          <w:lang w:val="en-GB"/>
        </w:rPr>
        <w:t>That is the way for Europe to be digitally sovereign in an interconne</w:t>
      </w:r>
      <w:r>
        <w:rPr>
          <w:rFonts w:ascii="Times New Roman" w:hAnsi="Times New Roman" w:cs="Times New Roman"/>
          <w:noProof/>
          <w:lang w:val="en-GB"/>
        </w:rPr>
        <w:t>cted world by building and deploying technological capabilities in a way that empowers people and businesses to seize the potential of the digital transformation, and helps build a healthier and greener society.</w:t>
      </w:r>
      <w:r>
        <w:rPr>
          <w:rStyle w:val="FootnoteReference"/>
          <w:rFonts w:ascii="Times New Roman" w:hAnsi="Times New Roman" w:cs="Times New Roman"/>
          <w:noProof/>
          <w:lang w:val="en-GB"/>
        </w:rPr>
        <w:footnoteReference w:id="4"/>
      </w:r>
      <w:r>
        <w:rPr>
          <w:rFonts w:ascii="Times New Roman" w:hAnsi="Times New Roman" w:cs="Times New Roman"/>
          <w:noProof/>
          <w:lang w:val="en-GB"/>
        </w:rPr>
        <w:t xml:space="preserve"> </w:t>
      </w:r>
    </w:p>
    <w:p w:rsidR="0007764C" w:rsidRDefault="00A17FAC">
      <w:pPr>
        <w:spacing w:after="120" w:line="259" w:lineRule="auto"/>
        <w:jc w:val="both"/>
        <w:rPr>
          <w:rFonts w:ascii="Times New Roman" w:hAnsi="Times New Roman" w:cs="Times New Roman"/>
          <w:noProof/>
          <w:lang w:val="en-GB"/>
        </w:rPr>
      </w:pPr>
      <w:r>
        <w:rPr>
          <w:rFonts w:ascii="Times New Roman" w:hAnsi="Times New Roman" w:cs="Times New Roman"/>
          <w:noProof/>
          <w:lang w:val="en-GB"/>
        </w:rPr>
        <w:t>In the State of the Union Address in Septe</w:t>
      </w:r>
      <w:r>
        <w:rPr>
          <w:rFonts w:ascii="Times New Roman" w:hAnsi="Times New Roman" w:cs="Times New Roman"/>
          <w:noProof/>
          <w:lang w:val="en-GB"/>
        </w:rPr>
        <w:t>mber 2020, President von der Leyen announced that Europe should secure digital sovereignty with a common vision of the EU in 2030, based on clear goals and principles. The President put special emphasis on a European Cloud, leadership in ethical artificial</w:t>
      </w:r>
      <w:r>
        <w:rPr>
          <w:rFonts w:ascii="Times New Roman" w:hAnsi="Times New Roman" w:cs="Times New Roman"/>
          <w:noProof/>
          <w:lang w:val="en-GB"/>
        </w:rPr>
        <w:t xml:space="preserve"> intelligence, a secure digital identity for all, and vastly improved data, supercomputer and connectivity infrastructures. In response, the European Council invited the Commission to present a comprehensive Digital Compass by March 2021, setting out digit</w:t>
      </w:r>
      <w:r>
        <w:rPr>
          <w:rFonts w:ascii="Times New Roman" w:hAnsi="Times New Roman" w:cs="Times New Roman"/>
          <w:noProof/>
          <w:lang w:val="en-GB"/>
        </w:rPr>
        <w:t xml:space="preserve">al ambitions for 2030, establishing a monitoring system and outlining key milestones and the means of achieving these ambitions. </w:t>
      </w:r>
    </w:p>
    <w:p w:rsidR="0007764C" w:rsidRDefault="00A17FAC">
      <w:pPr>
        <w:spacing w:after="120" w:line="259" w:lineRule="auto"/>
        <w:jc w:val="both"/>
        <w:rPr>
          <w:rFonts w:ascii="Times New Roman" w:hAnsi="Times New Roman" w:cs="Times New Roman"/>
          <w:noProof/>
          <w:lang w:val="en-GB"/>
        </w:rPr>
      </w:pPr>
      <w:r>
        <w:rPr>
          <w:rFonts w:ascii="Times New Roman" w:hAnsi="Times New Roman" w:cs="Times New Roman"/>
          <w:noProof/>
          <w:lang w:val="en-GB"/>
        </w:rPr>
        <w:t>This political impetus calls for an intensification of the work begun in the past decade to accelerate Europe’s digital transf</w:t>
      </w:r>
      <w:r>
        <w:rPr>
          <w:rFonts w:ascii="Times New Roman" w:hAnsi="Times New Roman" w:cs="Times New Roman"/>
          <w:noProof/>
          <w:lang w:val="en-GB"/>
        </w:rPr>
        <w:t xml:space="preserve">ormation – building on progress towards a fully functioning </w:t>
      </w:r>
      <w:r>
        <w:rPr>
          <w:rFonts w:ascii="Times New Roman" w:hAnsi="Times New Roman" w:cs="Times New Roman"/>
          <w:noProof/>
          <w:u w:val="single"/>
          <w:lang w:val="en-GB"/>
        </w:rPr>
        <w:lastRenderedPageBreak/>
        <w:t>Digital Single Market</w:t>
      </w:r>
      <w:r>
        <w:rPr>
          <w:rStyle w:val="FootnoteReference"/>
          <w:rFonts w:ascii="Times New Roman" w:hAnsi="Times New Roman" w:cs="Times New Roman"/>
          <w:noProof/>
          <w:lang w:val="en-GB"/>
        </w:rPr>
        <w:footnoteReference w:id="5"/>
      </w:r>
      <w:r>
        <w:rPr>
          <w:rFonts w:ascii="Times New Roman" w:hAnsi="Times New Roman" w:cs="Times New Roman"/>
          <w:noProof/>
          <w:u w:val="single"/>
          <w:lang w:val="en-GB"/>
        </w:rPr>
        <w:t>,</w:t>
      </w:r>
      <w:r>
        <w:rPr>
          <w:rFonts w:ascii="Times New Roman" w:hAnsi="Times New Roman" w:cs="Times New Roman"/>
          <w:noProof/>
          <w:lang w:val="en-GB"/>
        </w:rPr>
        <w:t xml:space="preserve"> and intensifying actions defined in the strategy for </w:t>
      </w:r>
      <w:r>
        <w:rPr>
          <w:rFonts w:ascii="Times New Roman" w:hAnsi="Times New Roman" w:cs="Times New Roman"/>
          <w:noProof/>
          <w:u w:val="single"/>
          <w:lang w:val="en-GB"/>
        </w:rPr>
        <w:t>Shaping Europe’s digital future</w:t>
      </w:r>
      <w:r>
        <w:rPr>
          <w:rStyle w:val="FootnoteReference"/>
          <w:rFonts w:ascii="Times New Roman" w:hAnsi="Times New Roman" w:cs="Times New Roman"/>
          <w:noProof/>
          <w:lang w:val="en-GB"/>
        </w:rPr>
        <w:footnoteReference w:id="6"/>
      </w:r>
      <w:r>
        <w:rPr>
          <w:rFonts w:ascii="Times New Roman" w:hAnsi="Times New Roman" w:cs="Times New Roman"/>
          <w:noProof/>
          <w:lang w:val="en-GB"/>
        </w:rPr>
        <w:t>. The strategy set out a programme of policy reform</w:t>
      </w:r>
      <w:r>
        <w:rPr>
          <w:rStyle w:val="FootnoteReference"/>
          <w:rFonts w:ascii="Times New Roman" w:hAnsi="Times New Roman" w:cs="Times New Roman"/>
          <w:noProof/>
          <w:lang w:val="en-GB"/>
        </w:rPr>
        <w:footnoteReference w:id="7"/>
      </w:r>
      <w:r>
        <w:rPr>
          <w:rFonts w:ascii="Times New Roman" w:hAnsi="Times New Roman" w:cs="Times New Roman"/>
          <w:noProof/>
          <w:lang w:val="en-GB"/>
        </w:rPr>
        <w:t>, which have started already with t</w:t>
      </w:r>
      <w:r>
        <w:rPr>
          <w:rFonts w:ascii="Times New Roman" w:hAnsi="Times New Roman" w:cs="Times New Roman"/>
          <w:noProof/>
          <w:lang w:val="en-GB"/>
        </w:rPr>
        <w:t>he Data Governance Act, the Digital Services Act, the Digital Markets Act and the Cybersecurity Strategy. A number of Union budget instruments will support the investments necessary for the digital transition, including the Cohesion programmes, the Technic</w:t>
      </w:r>
      <w:r>
        <w:rPr>
          <w:rFonts w:ascii="Times New Roman" w:hAnsi="Times New Roman" w:cs="Times New Roman"/>
          <w:noProof/>
          <w:lang w:val="en-GB"/>
        </w:rPr>
        <w:t>al Support Instrument, and the Digital Europe Programme. The agreement by the co-legislators that a minimum of 20% of the Recovery and Resilience Facility should support the digital transition and will help underpin this reform agenda, with funding to buil</w:t>
      </w:r>
      <w:r>
        <w:rPr>
          <w:rFonts w:ascii="Times New Roman" w:hAnsi="Times New Roman" w:cs="Times New Roman"/>
          <w:noProof/>
          <w:lang w:val="en-GB"/>
        </w:rPr>
        <w:t>d Europe’s Digital Decade on solid foundations.</w:t>
      </w:r>
    </w:p>
    <w:p w:rsidR="0007764C" w:rsidRDefault="00A17FAC">
      <w:pPr>
        <w:pStyle w:val="Heading1"/>
        <w:numPr>
          <w:ilvl w:val="0"/>
          <w:numId w:val="65"/>
        </w:numPr>
        <w:spacing w:after="120"/>
        <w:rPr>
          <w:noProof/>
        </w:rPr>
      </w:pPr>
      <w:bookmarkStart w:id="15" w:name="_Toc64581244"/>
      <w:bookmarkStart w:id="16" w:name="_Toc64584036"/>
      <w:bookmarkStart w:id="17" w:name="_Toc65313730"/>
      <w:r>
        <w:rPr>
          <w:noProof/>
        </w:rPr>
        <w:t xml:space="preserve">The Vision for 2030: empowered citizens and businesses </w:t>
      </w:r>
      <w:bookmarkEnd w:id="10"/>
      <w:bookmarkEnd w:id="11"/>
      <w:bookmarkEnd w:id="12"/>
      <w:bookmarkEnd w:id="13"/>
      <w:bookmarkEnd w:id="14"/>
      <w:bookmarkEnd w:id="15"/>
      <w:bookmarkEnd w:id="16"/>
      <w:bookmarkEnd w:id="17"/>
    </w:p>
    <w:p w:rsidR="0007764C" w:rsidRDefault="00A17FAC">
      <w:pPr>
        <w:spacing w:after="120" w:line="259" w:lineRule="auto"/>
        <w:jc w:val="both"/>
        <w:rPr>
          <w:rFonts w:ascii="Times New Roman" w:hAnsi="Times New Roman" w:cs="Times New Roman"/>
          <w:noProof/>
          <w:lang w:val="en-GB"/>
        </w:rPr>
      </w:pPr>
      <w:r>
        <w:rPr>
          <w:rFonts w:ascii="Times New Roman" w:hAnsi="Times New Roman" w:cs="Times New Roman"/>
          <w:noProof/>
          <w:lang w:val="en-GB"/>
        </w:rPr>
        <w:t xml:space="preserve">The European way to a digitalised economy and society is about solidarity, prosperity, and sustainability, anchored in empowerment of its citizens and businesses, ensuring the security and resilience of its digital ecosystem and supply chains. </w:t>
      </w:r>
    </w:p>
    <w:p w:rsidR="0007764C" w:rsidRDefault="00A17FAC">
      <w:pPr>
        <w:spacing w:before="120" w:after="120"/>
        <w:jc w:val="both"/>
        <w:rPr>
          <w:rFonts w:ascii="Times New Roman" w:hAnsi="Times New Roman" w:cs="Times New Roman"/>
          <w:noProof/>
          <w:lang w:val="en-US"/>
        </w:rPr>
      </w:pPr>
      <w:r>
        <w:rPr>
          <w:rFonts w:ascii="Times New Roman" w:hAnsi="Times New Roman" w:cs="Times New Roman"/>
          <w:noProof/>
          <w:lang w:val="en-GB"/>
        </w:rPr>
        <w:t xml:space="preserve">One of the </w:t>
      </w:r>
      <w:r>
        <w:rPr>
          <w:rFonts w:ascii="Times New Roman" w:hAnsi="Times New Roman" w:cs="Times New Roman"/>
          <w:noProof/>
          <w:lang w:val="en-GB"/>
        </w:rPr>
        <w:t>key lessons of the pandemic is that digitalisation can bring people together independently of where they are physically located. Digital infrastructure and rapid connectivity bring people new opportunities. Digitalisation can become a decisive enabler of r</w:t>
      </w:r>
      <w:r>
        <w:rPr>
          <w:rFonts w:ascii="Times New Roman" w:hAnsi="Times New Roman" w:cs="Times New Roman"/>
          <w:noProof/>
          <w:lang w:val="en-GB"/>
        </w:rPr>
        <w:t xml:space="preserve">ights and freedoms, allowing people to reach out beyond specific territories, social positions or community groups, and opening new possibilities to learn, have fun, work, explore and fulfil one’s ambitions. This </w:t>
      </w:r>
      <w:r>
        <w:rPr>
          <w:rFonts w:ascii="Times New Roman" w:eastAsia="Times New Roman" w:hAnsi="Times New Roman" w:cs="Times New Roman"/>
          <w:noProof/>
          <w:lang w:val="en-US"/>
        </w:rPr>
        <w:t>will enable a society where geographical di</w:t>
      </w:r>
      <w:r>
        <w:rPr>
          <w:rFonts w:ascii="Times New Roman" w:eastAsia="Times New Roman" w:hAnsi="Times New Roman" w:cs="Times New Roman"/>
          <w:noProof/>
          <w:lang w:val="en-US"/>
        </w:rPr>
        <w:t xml:space="preserve">stance matters less, because people can work, learn, interact with public administrations, </w:t>
      </w:r>
      <w:r>
        <w:rPr>
          <w:rFonts w:ascii="Times New Roman" w:hAnsi="Times New Roman" w:cs="Times New Roman"/>
          <w:noProof/>
          <w:lang w:val="en-GB"/>
        </w:rPr>
        <w:t xml:space="preserve">manage their finance and payments, </w:t>
      </w:r>
      <w:r>
        <w:rPr>
          <w:rFonts w:ascii="Times New Roman" w:eastAsia="Times New Roman" w:hAnsi="Times New Roman" w:cs="Times New Roman"/>
          <w:noProof/>
          <w:lang w:val="en-US"/>
        </w:rPr>
        <w:t>make use of health care systems, automated transport systems, participate to democratic life, be entertained or meet and discuss w</w:t>
      </w:r>
      <w:r>
        <w:rPr>
          <w:rFonts w:ascii="Times New Roman" w:eastAsia="Times New Roman" w:hAnsi="Times New Roman" w:cs="Times New Roman"/>
          <w:noProof/>
          <w:lang w:val="en-US"/>
        </w:rPr>
        <w:t>ith people anywhere in the EU, including in rural and remote areas.</w:t>
      </w:r>
    </w:p>
    <w:p w:rsidR="0007764C" w:rsidRDefault="00A17FAC">
      <w:pPr>
        <w:spacing w:after="120" w:line="259" w:lineRule="auto"/>
        <w:jc w:val="both"/>
        <w:rPr>
          <w:rFonts w:ascii="Times New Roman" w:hAnsi="Times New Roman" w:cs="Times New Roman"/>
          <w:noProof/>
          <w:lang w:val="en-GB"/>
        </w:rPr>
      </w:pPr>
      <w:r>
        <w:rPr>
          <w:rFonts w:ascii="Times New Roman" w:hAnsi="Times New Roman" w:cs="Times New Roman"/>
          <w:noProof/>
          <w:lang w:val="en-GB"/>
        </w:rPr>
        <w:t>However, the crisis also exposed the vulnerabilities of our digital space, its increased dependency on critical, often non-EU based, technologies, highlighted the reliance on a few big tec</w:t>
      </w:r>
      <w:r>
        <w:rPr>
          <w:rFonts w:ascii="Times New Roman" w:hAnsi="Times New Roman" w:cs="Times New Roman"/>
          <w:noProof/>
          <w:lang w:val="en-GB"/>
        </w:rPr>
        <w:t>h companies, saw a rise in an influx of counterfeit products and cyber theft, and magnified the impact of disinformation on our democratic societies. A new digital divide has also emerged, not only between well-connected urban areas and rural and remote te</w:t>
      </w:r>
      <w:r>
        <w:rPr>
          <w:rFonts w:ascii="Times New Roman" w:hAnsi="Times New Roman" w:cs="Times New Roman"/>
          <w:noProof/>
          <w:lang w:val="en-GB"/>
        </w:rPr>
        <w:t>rritories, but also between those who can fully benefit from an enriched, accessible and secure digital space with a full range of services, and those who cannot. A similar divide emerged between those businesses already able to leverage the full potential</w:t>
      </w:r>
      <w:r>
        <w:rPr>
          <w:rFonts w:ascii="Times New Roman" w:hAnsi="Times New Roman" w:cs="Times New Roman"/>
          <w:noProof/>
          <w:lang w:val="en-GB"/>
        </w:rPr>
        <w:t xml:space="preserve"> of digital environment and those not yet fully digitalised. In this sense, the COVID-19 pandemic has exposed a new ”digital poverty”, making it imperative to ensure that all citizens and businesses in Europe can leverage the digital transformation for a b</w:t>
      </w:r>
      <w:r>
        <w:rPr>
          <w:rFonts w:ascii="Times New Roman" w:hAnsi="Times New Roman" w:cs="Times New Roman"/>
          <w:noProof/>
          <w:lang w:val="en-GB"/>
        </w:rPr>
        <w:t>etter and more prosperous life. The European vision for 2030 is a digital society where no-one is left behind.</w:t>
      </w:r>
    </w:p>
    <w:p w:rsidR="0007764C" w:rsidRDefault="00A17FAC">
      <w:pPr>
        <w:pBdr>
          <w:top w:val="single" w:sz="8" w:space="1" w:color="auto"/>
          <w:left w:val="single" w:sz="8" w:space="4" w:color="auto"/>
          <w:bottom w:val="single" w:sz="8" w:space="1" w:color="auto"/>
          <w:right w:val="single" w:sz="8" w:space="4" w:color="auto"/>
        </w:pBdr>
        <w:shd w:val="clear" w:color="auto" w:fill="D9D9D9"/>
        <w:spacing w:after="120"/>
        <w:jc w:val="both"/>
        <w:rPr>
          <w:rFonts w:ascii="Times New Roman" w:hAnsi="Times New Roman" w:cs="Times New Roman"/>
          <w:i/>
          <w:noProof/>
          <w:sz w:val="22"/>
          <w:szCs w:val="22"/>
          <w:u w:val="single"/>
          <w:lang w:val="en-GB"/>
        </w:rPr>
      </w:pPr>
      <w:r>
        <w:rPr>
          <w:rFonts w:ascii="Times New Roman" w:hAnsi="Times New Roman" w:cs="Times New Roman"/>
          <w:i/>
          <w:noProof/>
          <w:sz w:val="22"/>
          <w:szCs w:val="22"/>
          <w:u w:val="single"/>
          <w:lang w:val="en-GB"/>
        </w:rPr>
        <w:t>Digitally enabled health solutions</w:t>
      </w:r>
      <w:r>
        <w:rPr>
          <w:rFonts w:ascii="Times New Roman" w:hAnsi="Times New Roman" w:cs="Times New Roman"/>
          <w:i/>
          <w:noProof/>
          <w:sz w:val="22"/>
          <w:szCs w:val="22"/>
          <w:lang w:val="en-GB"/>
        </w:rPr>
        <w:t xml:space="preserve"> </w:t>
      </w:r>
    </w:p>
    <w:p w:rsidR="0007764C" w:rsidRDefault="00A17FAC">
      <w:pPr>
        <w:pBdr>
          <w:top w:val="single" w:sz="8" w:space="1" w:color="auto"/>
          <w:left w:val="single" w:sz="8" w:space="4" w:color="auto"/>
          <w:bottom w:val="single" w:sz="8" w:space="1" w:color="auto"/>
          <w:right w:val="single" w:sz="8" w:space="4" w:color="auto"/>
        </w:pBdr>
        <w:shd w:val="clear" w:color="auto" w:fill="D9D9D9"/>
        <w:spacing w:after="120"/>
        <w:jc w:val="both"/>
        <w:rPr>
          <w:noProof/>
          <w:sz w:val="22"/>
          <w:szCs w:val="22"/>
          <w:lang w:val="en-GB"/>
        </w:rPr>
      </w:pPr>
      <w:r>
        <w:rPr>
          <w:rFonts w:ascii="Times New Roman" w:hAnsi="Times New Roman" w:cs="Times New Roman"/>
          <w:i/>
          <w:noProof/>
          <w:sz w:val="22"/>
          <w:szCs w:val="22"/>
          <w:lang w:val="en-GB"/>
        </w:rPr>
        <w:t>The COVID-19 pandemic has shown the potential and paved the way for generalised use of innovative telemedicin</w:t>
      </w:r>
      <w:r>
        <w:rPr>
          <w:rFonts w:ascii="Times New Roman" w:hAnsi="Times New Roman" w:cs="Times New Roman"/>
          <w:i/>
          <w:noProof/>
          <w:sz w:val="22"/>
          <w:szCs w:val="22"/>
          <w:lang w:val="en-GB"/>
        </w:rPr>
        <w:t>e, remote care and robotics solutions for protecting medical staff and helping patients being remotely cared for at their home. Digital technologies can empower citizens to monitor their health status, adapt their lifestyles, support independent living, pr</w:t>
      </w:r>
      <w:r>
        <w:rPr>
          <w:rFonts w:ascii="Times New Roman" w:hAnsi="Times New Roman" w:cs="Times New Roman"/>
          <w:i/>
          <w:noProof/>
          <w:sz w:val="22"/>
          <w:szCs w:val="22"/>
          <w:lang w:val="en-GB"/>
        </w:rPr>
        <w:t>event non-communicable diseases, and bring efficiency to health and care providers and health systems. Coupled with adequate digital skills, citizens will be using tools that help them to continue active professional life as they age, and health profession</w:t>
      </w:r>
      <w:r>
        <w:rPr>
          <w:rFonts w:ascii="Times New Roman" w:hAnsi="Times New Roman" w:cs="Times New Roman"/>
          <w:i/>
          <w:noProof/>
          <w:sz w:val="22"/>
          <w:szCs w:val="22"/>
          <w:lang w:val="en-GB"/>
        </w:rPr>
        <w:t>als and carers will be able to reap the full benefits of digitally enabled health solutions to monitor and treat their patients</w:t>
      </w:r>
      <w:r>
        <w:rPr>
          <w:noProof/>
          <w:sz w:val="22"/>
          <w:szCs w:val="22"/>
          <w:lang w:val="en-GB"/>
        </w:rPr>
        <w:t>.</w:t>
      </w:r>
    </w:p>
    <w:p w:rsidR="0007764C" w:rsidRDefault="00A17FAC">
      <w:pPr>
        <w:spacing w:after="120" w:line="259" w:lineRule="auto"/>
        <w:jc w:val="both"/>
        <w:rPr>
          <w:rFonts w:ascii="Times New Roman" w:hAnsi="Times New Roman"/>
          <w:noProof/>
          <w:lang w:val="en-GB"/>
        </w:rPr>
      </w:pPr>
      <w:r>
        <w:rPr>
          <w:rFonts w:ascii="Times New Roman" w:hAnsi="Times New Roman" w:cs="Times New Roman"/>
          <w:noProof/>
          <w:lang w:val="en-GB"/>
        </w:rPr>
        <w:t>Digitalisation endows people with new sources of prosperity</w:t>
      </w:r>
      <w:r>
        <w:rPr>
          <w:rStyle w:val="FootnoteReference"/>
          <w:rFonts w:ascii="Times New Roman" w:hAnsi="Times New Roman" w:cs="Times New Roman"/>
          <w:noProof/>
          <w:lang w:val="en-GB"/>
        </w:rPr>
        <w:footnoteReference w:id="8"/>
      </w:r>
      <w:r>
        <w:rPr>
          <w:rFonts w:ascii="Times New Roman" w:hAnsi="Times New Roman" w:cs="Times New Roman"/>
          <w:noProof/>
          <w:lang w:val="en-GB"/>
        </w:rPr>
        <w:t>, allowing entrepreneurs to innovate, set up and grow their busines</w:t>
      </w:r>
      <w:r>
        <w:rPr>
          <w:rFonts w:ascii="Times New Roman" w:hAnsi="Times New Roman" w:cs="Times New Roman"/>
          <w:noProof/>
          <w:lang w:val="en-GB"/>
        </w:rPr>
        <w:t xml:space="preserve">s wherever they live, opening markets and investments across Europe and globally, and creating new jobs at a time when an increasing number of Europeans feel threatened in their economic security or environment. </w:t>
      </w:r>
    </w:p>
    <w:p w:rsidR="0007764C" w:rsidRDefault="00A17FAC">
      <w:pPr>
        <w:spacing w:after="120" w:line="259" w:lineRule="auto"/>
        <w:jc w:val="both"/>
        <w:rPr>
          <w:rFonts w:ascii="Times New Roman" w:hAnsi="Times New Roman" w:cs="Times New Roman"/>
          <w:noProof/>
          <w:lang w:val="en-GB"/>
        </w:rPr>
      </w:pPr>
      <w:r>
        <w:rPr>
          <w:rFonts w:ascii="Times New Roman" w:hAnsi="Times New Roman" w:cs="Times New Roman"/>
          <w:noProof/>
          <w:lang w:val="en-GB"/>
        </w:rPr>
        <w:t>Digital technologies can significantly cont</w:t>
      </w:r>
      <w:r>
        <w:rPr>
          <w:rFonts w:ascii="Times New Roman" w:hAnsi="Times New Roman" w:cs="Times New Roman"/>
          <w:noProof/>
          <w:lang w:val="en-GB"/>
        </w:rPr>
        <w:t>ribute to the achievement of the European Green Deal objectives. The uptake of digital solutions and the use of data will help in the transition to a climate neutral, circular and more resilient economy. The substitution of business travel by videoconferen</w:t>
      </w:r>
      <w:r>
        <w:rPr>
          <w:rFonts w:ascii="Times New Roman" w:hAnsi="Times New Roman" w:cs="Times New Roman"/>
          <w:noProof/>
          <w:lang w:val="en-GB"/>
        </w:rPr>
        <w:t xml:space="preserve">cing reduces emissions while digital technologies allow greener processes in agriculture, energy, buildings, industry or city planning and services, thus contributing to Europe’s proposed goal to reduce greenhouse gas emissions by at least 55% by 2030 and </w:t>
      </w:r>
      <w:r>
        <w:rPr>
          <w:rFonts w:ascii="Times New Roman" w:hAnsi="Times New Roman" w:cs="Times New Roman"/>
          <w:noProof/>
          <w:lang w:val="en-GB"/>
        </w:rPr>
        <w:t>a better protection of our environment. Digital infrastructures and technologies themselves will have to become more sustainable and energy and resource efficient. With innovation and ambitious eco-standards, businesses, in their digital transformation, wi</w:t>
      </w:r>
      <w:r>
        <w:rPr>
          <w:rFonts w:ascii="Times New Roman" w:hAnsi="Times New Roman" w:cs="Times New Roman"/>
          <w:noProof/>
          <w:lang w:val="en-GB"/>
        </w:rPr>
        <w:t xml:space="preserve">ll be able to adopt digital technologies with lower environmental footprint and higher energy and material efficiency. </w:t>
      </w:r>
    </w:p>
    <w:p w:rsidR="0007764C" w:rsidRDefault="00A17FAC">
      <w:pPr>
        <w:pBdr>
          <w:top w:val="single" w:sz="4" w:space="1" w:color="auto"/>
          <w:left w:val="single" w:sz="4" w:space="1" w:color="auto"/>
          <w:bottom w:val="single" w:sz="4" w:space="1" w:color="auto"/>
          <w:right w:val="single" w:sz="4" w:space="1" w:color="auto"/>
        </w:pBdr>
        <w:shd w:val="clear" w:color="auto" w:fill="D9D9D9"/>
        <w:spacing w:after="120"/>
        <w:jc w:val="both"/>
        <w:rPr>
          <w:rFonts w:ascii="Times New Roman" w:hAnsi="Times New Roman" w:cs="Times New Roman"/>
          <w:i/>
          <w:iCs/>
          <w:noProof/>
          <w:sz w:val="22"/>
          <w:szCs w:val="22"/>
          <w:u w:val="single"/>
          <w:lang w:val="en-US" w:eastAsia="en-US"/>
        </w:rPr>
      </w:pPr>
      <w:r>
        <w:rPr>
          <w:rFonts w:ascii="Times New Roman" w:hAnsi="Times New Roman" w:cs="Times New Roman"/>
          <w:i/>
          <w:iCs/>
          <w:noProof/>
          <w:sz w:val="22"/>
          <w:szCs w:val="22"/>
          <w:u w:val="single"/>
          <w:lang w:val="en-US"/>
        </w:rPr>
        <w:t xml:space="preserve">Digitally enabled green </w:t>
      </w:r>
      <w:r>
        <w:rPr>
          <w:rFonts w:ascii="Times New Roman" w:hAnsi="Times New Roman" w:cs="Times New Roman"/>
          <w:i/>
          <w:noProof/>
          <w:sz w:val="22"/>
          <w:szCs w:val="22"/>
          <w:u w:val="single"/>
          <w:lang w:val="en-US"/>
        </w:rPr>
        <w:t>solutions</w:t>
      </w:r>
      <w:r>
        <w:rPr>
          <w:rFonts w:ascii="Times New Roman" w:hAnsi="Times New Roman" w:cs="Times New Roman"/>
          <w:i/>
          <w:iCs/>
          <w:noProof/>
          <w:sz w:val="22"/>
          <w:szCs w:val="22"/>
          <w:u w:val="single"/>
          <w:lang w:val="en-US"/>
        </w:rPr>
        <w:t xml:space="preserve"> – Digital Product Passport</w:t>
      </w:r>
    </w:p>
    <w:p w:rsidR="0007764C" w:rsidRDefault="00A17FAC">
      <w:pPr>
        <w:pBdr>
          <w:top w:val="single" w:sz="4" w:space="1" w:color="auto"/>
          <w:left w:val="single" w:sz="4" w:space="1" w:color="auto"/>
          <w:bottom w:val="single" w:sz="4" w:space="1" w:color="auto"/>
          <w:right w:val="single" w:sz="4" w:space="1" w:color="auto"/>
        </w:pBdr>
        <w:shd w:val="clear" w:color="auto" w:fill="D9D9D9"/>
        <w:spacing w:after="120"/>
        <w:jc w:val="both"/>
        <w:rPr>
          <w:rFonts w:ascii="Times New Roman" w:hAnsi="Times New Roman" w:cs="Times New Roman"/>
          <w:i/>
          <w:noProof/>
          <w:sz w:val="22"/>
          <w:szCs w:val="22"/>
          <w:lang w:val="en-GB"/>
        </w:rPr>
      </w:pPr>
      <w:r>
        <w:rPr>
          <w:rFonts w:ascii="Times New Roman" w:hAnsi="Times New Roman" w:cs="Times New Roman"/>
          <w:i/>
          <w:noProof/>
          <w:sz w:val="22"/>
          <w:szCs w:val="22"/>
          <w:lang w:val="en-GB"/>
        </w:rPr>
        <w:t xml:space="preserve">Transition to a sustainable economy requires smarter management of </w:t>
      </w:r>
      <w:r>
        <w:rPr>
          <w:rFonts w:ascii="Times New Roman" w:hAnsi="Times New Roman" w:cs="Times New Roman"/>
          <w:i/>
          <w:noProof/>
          <w:sz w:val="22"/>
          <w:szCs w:val="22"/>
          <w:lang w:val="en-GB"/>
        </w:rPr>
        <w:t>product-related data across the product lifecycle. Most of this information exists, but is not available to those that could use it best. Digital technologies provide the possibility to tag, trace, localise and share product related data along value chains</w:t>
      </w:r>
      <w:r>
        <w:rPr>
          <w:rFonts w:ascii="Times New Roman" w:hAnsi="Times New Roman" w:cs="Times New Roman"/>
          <w:i/>
          <w:noProof/>
          <w:sz w:val="22"/>
          <w:szCs w:val="22"/>
          <w:lang w:val="en-GB"/>
        </w:rPr>
        <w:t>, down to the level of the individual components and materials. Starting with batteries for electric vehicles and industrial applications, the European digital product passport (as part of the Sustainable Products Initiative) will improve information avail</w:t>
      </w:r>
      <w:r>
        <w:rPr>
          <w:rFonts w:ascii="Times New Roman" w:hAnsi="Times New Roman" w:cs="Times New Roman"/>
          <w:i/>
          <w:noProof/>
          <w:sz w:val="22"/>
          <w:szCs w:val="22"/>
          <w:lang w:val="en-GB"/>
        </w:rPr>
        <w:t>able to business, boost resource efficiency and empower consumers to make sustain able choices.</w:t>
      </w:r>
    </w:p>
    <w:p w:rsidR="0007764C" w:rsidRDefault="00A17FAC">
      <w:pPr>
        <w:spacing w:after="120" w:line="259" w:lineRule="auto"/>
        <w:jc w:val="both"/>
        <w:rPr>
          <w:rFonts w:ascii="Times New Roman" w:hAnsi="Times New Roman" w:cs="Times New Roman"/>
          <w:noProof/>
          <w:lang w:val="en-GB"/>
        </w:rPr>
      </w:pPr>
      <w:r>
        <w:rPr>
          <w:rFonts w:ascii="Times New Roman" w:hAnsi="Times New Roman" w:cs="Times New Roman"/>
          <w:noProof/>
          <w:lang w:val="en-GB"/>
        </w:rPr>
        <w:t>Resilient, secure and trustworthy infrastructures and technologies are indispensable to ensure the respect of European rules and values.</w:t>
      </w:r>
      <w:r>
        <w:rPr>
          <w:noProof/>
          <w:lang w:val="en-GB"/>
        </w:rPr>
        <w:t xml:space="preserve"> </w:t>
      </w:r>
      <w:r>
        <w:rPr>
          <w:rFonts w:ascii="Times New Roman" w:hAnsi="Times New Roman" w:cs="Times New Roman"/>
          <w:noProof/>
          <w:lang w:val="en-GB"/>
        </w:rPr>
        <w:t>A strong single market,</w:t>
      </w:r>
      <w:r>
        <w:rPr>
          <w:rFonts w:ascii="Times New Roman" w:hAnsi="Times New Roman" w:cs="Times New Roman"/>
          <w:noProof/>
          <w:lang w:val="en-GB"/>
        </w:rPr>
        <w:t xml:space="preserve"> fair competition and a functioning rules-based trade are critical assets for the EU’s economic success and resilience. </w:t>
      </w:r>
    </w:p>
    <w:p w:rsidR="0007764C" w:rsidRDefault="00A17FAC">
      <w:pPr>
        <w:spacing w:after="120" w:line="259" w:lineRule="auto"/>
        <w:jc w:val="both"/>
        <w:rPr>
          <w:rFonts w:ascii="Times New Roman" w:hAnsi="Times New Roman" w:cs="Times New Roman"/>
          <w:noProof/>
          <w:lang w:val="en-GB"/>
        </w:rPr>
      </w:pPr>
      <w:r>
        <w:rPr>
          <w:rFonts w:ascii="Times New Roman" w:hAnsi="Times New Roman" w:cs="Times New Roman"/>
          <w:noProof/>
          <w:lang w:val="en-GB"/>
        </w:rPr>
        <w:t>At the same time, digital technologies are mostly developed outside the EU</w:t>
      </w:r>
      <w:r>
        <w:rPr>
          <w:rStyle w:val="FootnoteReference"/>
          <w:rFonts w:ascii="Times New Roman" w:hAnsi="Times New Roman" w:cs="Times New Roman"/>
          <w:noProof/>
          <w:lang w:val="en-GB"/>
        </w:rPr>
        <w:footnoteReference w:id="9"/>
      </w:r>
      <w:r>
        <w:rPr>
          <w:rFonts w:ascii="Times New Roman" w:hAnsi="Times New Roman" w:cs="Times New Roman"/>
          <w:noProof/>
          <w:lang w:val="en-GB"/>
        </w:rPr>
        <w:t xml:space="preserve"> and the convergence across Member States on digitalisation </w:t>
      </w:r>
      <w:r>
        <w:rPr>
          <w:rFonts w:ascii="Times New Roman" w:hAnsi="Times New Roman" w:cs="Times New Roman"/>
          <w:noProof/>
          <w:lang w:val="en-GB"/>
        </w:rPr>
        <w:t>remains limited, hampering economies of scale</w:t>
      </w:r>
      <w:r>
        <w:rPr>
          <w:rStyle w:val="FootnoteReference"/>
          <w:rFonts w:ascii="Times New Roman" w:hAnsi="Times New Roman" w:cs="Times New Roman"/>
          <w:noProof/>
          <w:lang w:val="en-GB"/>
        </w:rPr>
        <w:footnoteReference w:id="10"/>
      </w:r>
      <w:r>
        <w:rPr>
          <w:rFonts w:ascii="Times New Roman" w:hAnsi="Times New Roman" w:cs="Times New Roman"/>
          <w:noProof/>
          <w:lang w:val="en-GB"/>
        </w:rPr>
        <w:t>. The EU will be a stronger international partner thanks to reinforced internal strengths and capacities. A massive scale-up of investments,</w:t>
      </w:r>
      <w:r>
        <w:rPr>
          <w:noProof/>
          <w:lang w:val="en-GB"/>
        </w:rPr>
        <w:t xml:space="preserve"> </w:t>
      </w:r>
      <w:r>
        <w:rPr>
          <w:rFonts w:ascii="Times New Roman" w:hAnsi="Times New Roman" w:cs="Times New Roman"/>
          <w:noProof/>
          <w:lang w:val="en-GB"/>
        </w:rPr>
        <w:t>through all relevant EU funds and national spending, is necessary, in</w:t>
      </w:r>
      <w:r>
        <w:rPr>
          <w:rFonts w:ascii="Times New Roman" w:hAnsi="Times New Roman" w:cs="Times New Roman"/>
          <w:noProof/>
          <w:lang w:val="en-GB"/>
        </w:rPr>
        <w:t xml:space="preserve">cluding leveraging significant private investments, to allow the EU to develop critical technologies in a way that fosters its productivity growth and economic development in full coherence with its societal values and objectives. </w:t>
      </w:r>
    </w:p>
    <w:p w:rsidR="0007764C" w:rsidRDefault="00A17FAC">
      <w:pPr>
        <w:pStyle w:val="Heading1"/>
        <w:spacing w:after="120"/>
        <w:rPr>
          <w:noProof/>
        </w:rPr>
      </w:pPr>
      <w:bookmarkStart w:id="18" w:name="_Toc64581331"/>
      <w:bookmarkStart w:id="19" w:name="_Toc64581332"/>
      <w:bookmarkStart w:id="20" w:name="_Toc64581333"/>
      <w:bookmarkStart w:id="21" w:name="_Toc64581334"/>
      <w:bookmarkStart w:id="22" w:name="_Toc64581335"/>
      <w:bookmarkStart w:id="23" w:name="_Toc64581336"/>
      <w:bookmarkStart w:id="24" w:name="_Toc64581337"/>
      <w:bookmarkStart w:id="25" w:name="_Toc64584037"/>
      <w:bookmarkStart w:id="26" w:name="_Toc64456128"/>
      <w:bookmarkStart w:id="27" w:name="_Toc64456177"/>
      <w:bookmarkStart w:id="28" w:name="_Toc64493220"/>
      <w:bookmarkStart w:id="29" w:name="_Toc64495314"/>
      <w:bookmarkStart w:id="30" w:name="_Toc64581245"/>
      <w:bookmarkStart w:id="31" w:name="_Toc64584038"/>
      <w:bookmarkStart w:id="32" w:name="_Toc65313731"/>
      <w:bookmarkEnd w:id="18"/>
      <w:bookmarkEnd w:id="19"/>
      <w:bookmarkEnd w:id="20"/>
      <w:bookmarkEnd w:id="21"/>
      <w:bookmarkEnd w:id="22"/>
      <w:bookmarkEnd w:id="23"/>
      <w:bookmarkEnd w:id="24"/>
      <w:bookmarkEnd w:id="25"/>
      <w:r>
        <w:rPr>
          <w:noProof/>
        </w:rPr>
        <w:t xml:space="preserve">3. </w:t>
      </w:r>
      <w:r>
        <w:rPr>
          <w:noProof/>
        </w:rPr>
        <w:tab/>
        <w:t>Four Cardinal points</w:t>
      </w:r>
      <w:r>
        <w:rPr>
          <w:noProof/>
        </w:rPr>
        <w:t xml:space="preserve"> for mapping the EU’s trajectory</w:t>
      </w:r>
      <w:bookmarkEnd w:id="26"/>
      <w:bookmarkEnd w:id="27"/>
      <w:bookmarkEnd w:id="28"/>
      <w:bookmarkEnd w:id="29"/>
      <w:bookmarkEnd w:id="30"/>
      <w:bookmarkEnd w:id="31"/>
      <w:bookmarkEnd w:id="32"/>
    </w:p>
    <w:p w:rsidR="0007764C" w:rsidRDefault="00A17FAC">
      <w:pPr>
        <w:spacing w:after="120" w:line="259" w:lineRule="auto"/>
        <w:jc w:val="both"/>
        <w:rPr>
          <w:rFonts w:ascii="Times New Roman" w:hAnsi="Times New Roman" w:cs="Times New Roman"/>
          <w:noProof/>
          <w:lang w:val="en-GB"/>
        </w:rPr>
      </w:pPr>
      <w:r>
        <w:rPr>
          <w:rFonts w:ascii="Times New Roman" w:hAnsi="Times New Roman" w:cs="Times New Roman"/>
          <w:noProof/>
          <w:lang w:val="en-GB"/>
        </w:rPr>
        <w:t>The Commission proposes to set up a Digital Compass to translate the EUʼs digital ambitions for 2030 into concrete targets and to ensure that these objectives will be met. The Compass will be based on an enhanced monitoring</w:t>
      </w:r>
      <w:r>
        <w:rPr>
          <w:rFonts w:ascii="Times New Roman" w:hAnsi="Times New Roman" w:cs="Times New Roman"/>
          <w:noProof/>
          <w:lang w:val="en-GB"/>
        </w:rPr>
        <w:t xml:space="preserve"> system</w:t>
      </w:r>
      <w:r>
        <w:rPr>
          <w:rStyle w:val="FootnoteReference"/>
          <w:rFonts w:ascii="Times New Roman" w:hAnsi="Times New Roman" w:cs="Times New Roman"/>
          <w:noProof/>
          <w:lang w:val="en-GB"/>
        </w:rPr>
        <w:footnoteReference w:id="11"/>
      </w:r>
      <w:r>
        <w:rPr>
          <w:rFonts w:ascii="Times New Roman" w:hAnsi="Times New Roman" w:cs="Times New Roman"/>
          <w:noProof/>
          <w:lang w:val="en-GB"/>
        </w:rPr>
        <w:t>, to follow the EU’s trajectory regarding the pace of a digital transformation, gaps in European strategic digital capacities as well as the implementation of digital principles. It will include the means to deliver the vision</w:t>
      </w:r>
      <w:r>
        <w:rPr>
          <w:noProof/>
          <w:lang w:val="en-IE"/>
        </w:rPr>
        <w:t xml:space="preserve"> </w:t>
      </w:r>
      <w:r>
        <w:rPr>
          <w:rFonts w:ascii="Times New Roman" w:hAnsi="Times New Roman" w:cs="Times New Roman"/>
          <w:noProof/>
          <w:lang w:val="en-GB"/>
        </w:rPr>
        <w:t>and set out key miles</w:t>
      </w:r>
      <w:r>
        <w:rPr>
          <w:rFonts w:ascii="Times New Roman" w:hAnsi="Times New Roman" w:cs="Times New Roman"/>
          <w:noProof/>
          <w:lang w:val="en-GB"/>
        </w:rPr>
        <w:t xml:space="preserve">tones along four cardinal points. The first two are focused on digital capacities in infrastructures and education &amp; skills, and the two other are focused on digital transformation of business and public services. </w:t>
      </w:r>
      <w:bookmarkStart w:id="33" w:name="_Toc64388636"/>
      <w:bookmarkStart w:id="34" w:name="_Toc64456129"/>
      <w:bookmarkStart w:id="35" w:name="_Toc64456178"/>
      <w:bookmarkStart w:id="36" w:name="_Toc64493221"/>
      <w:bookmarkStart w:id="37" w:name="_Toc64495315"/>
    </w:p>
    <w:p w:rsidR="0007764C" w:rsidRDefault="00A17FAC">
      <w:pPr>
        <w:spacing w:before="240" w:after="120"/>
        <w:ind w:left="284"/>
        <w:outlineLvl w:val="1"/>
        <w:rPr>
          <w:rFonts w:ascii="Times New Roman" w:eastAsiaTheme="majorEastAsia" w:hAnsi="Times New Roman" w:cs="Times New Roman"/>
          <w:b/>
          <w:i/>
          <w:noProof/>
          <w:lang w:val="en-GB" w:eastAsia="en-US"/>
        </w:rPr>
      </w:pPr>
      <w:r>
        <w:rPr>
          <w:rFonts w:ascii="Times New Roman" w:eastAsiaTheme="majorEastAsia" w:hAnsi="Times New Roman" w:cs="Times New Roman"/>
          <w:b/>
          <w:i/>
          <w:noProof/>
          <w:lang w:val="en-GB" w:eastAsia="en-US"/>
        </w:rPr>
        <w:t>3.1</w:t>
      </w:r>
      <w:r>
        <w:rPr>
          <w:rFonts w:ascii="Times New Roman" w:eastAsiaTheme="majorEastAsia" w:hAnsi="Times New Roman" w:cs="Times New Roman"/>
          <w:b/>
          <w:i/>
          <w:noProof/>
          <w:lang w:val="en-GB" w:eastAsia="en-US"/>
        </w:rPr>
        <w:tab/>
        <w:t>A digitally skilled population and hi</w:t>
      </w:r>
      <w:r>
        <w:rPr>
          <w:rFonts w:ascii="Times New Roman" w:eastAsiaTheme="majorEastAsia" w:hAnsi="Times New Roman" w:cs="Times New Roman"/>
          <w:b/>
          <w:i/>
          <w:noProof/>
          <w:lang w:val="en-GB" w:eastAsia="en-US"/>
        </w:rPr>
        <w:t>ghly skilled digital professionals</w:t>
      </w:r>
    </w:p>
    <w:p w:rsidR="0007764C" w:rsidRDefault="00A17FAC">
      <w:pPr>
        <w:spacing w:after="120" w:line="259" w:lineRule="auto"/>
        <w:jc w:val="both"/>
        <w:rPr>
          <w:rFonts w:ascii="Times New Roman" w:hAnsi="Times New Roman" w:cs="Times New Roman"/>
          <w:noProof/>
          <w:lang w:val="en-GB"/>
        </w:rPr>
      </w:pPr>
      <w:r>
        <w:rPr>
          <w:rFonts w:ascii="Times New Roman" w:hAnsi="Times New Roman" w:cs="Times New Roman"/>
          <w:noProof/>
          <w:lang w:val="en-GB"/>
        </w:rPr>
        <w:t xml:space="preserve">In the world of tomorrow, if we want to be the master of our own destiny, confident in our means, value and choices, we must rely on </w:t>
      </w:r>
      <w:r>
        <w:rPr>
          <w:rFonts w:ascii="Times New Roman" w:hAnsi="Times New Roman" w:cs="Times New Roman"/>
          <w:b/>
          <w:noProof/>
          <w:lang w:val="en-GB"/>
        </w:rPr>
        <w:t>digitally empowered and capable citizens</w:t>
      </w:r>
      <w:r>
        <w:rPr>
          <w:rFonts w:ascii="Times New Roman" w:hAnsi="Times New Roman" w:cs="Times New Roman"/>
          <w:noProof/>
          <w:lang w:val="en-GB"/>
        </w:rPr>
        <w:t xml:space="preserve">, a digitally skilled workforce and way more </w:t>
      </w:r>
      <w:r>
        <w:rPr>
          <w:rFonts w:ascii="Times New Roman" w:hAnsi="Times New Roman" w:cs="Times New Roman"/>
          <w:noProof/>
          <w:lang w:val="en-GB"/>
        </w:rPr>
        <w:t>digital experts than today. This should be fostered by the development of a high-performing digital education ecosystem, as well as by an effective policy to promote links with and attract talent from all over the globe.</w:t>
      </w:r>
    </w:p>
    <w:p w:rsidR="0007764C" w:rsidRDefault="00A17FAC">
      <w:pPr>
        <w:spacing w:after="120" w:line="259" w:lineRule="auto"/>
        <w:jc w:val="both"/>
        <w:rPr>
          <w:rFonts w:ascii="Times New Roman" w:hAnsi="Times New Roman"/>
          <w:i/>
          <w:noProof/>
          <w:sz w:val="22"/>
          <w:szCs w:val="22"/>
          <w:lang w:val="en-IE"/>
        </w:rPr>
      </w:pPr>
      <w:r>
        <w:rPr>
          <w:rFonts w:ascii="Times New Roman" w:hAnsi="Times New Roman"/>
          <w:noProof/>
          <w:lang w:val="en-GB"/>
        </w:rPr>
        <w:t>Digital skills will be essential to</w:t>
      </w:r>
      <w:r>
        <w:rPr>
          <w:rFonts w:ascii="Times New Roman" w:hAnsi="Times New Roman"/>
          <w:noProof/>
          <w:lang w:val="en-GB"/>
        </w:rPr>
        <w:t xml:space="preserve"> reinforce our collective resilience as a society. Basic digital skills for all citizens </w:t>
      </w:r>
      <w:r>
        <w:rPr>
          <w:rFonts w:ascii="Times New Roman" w:hAnsi="Times New Roman" w:cs="Times New Roman"/>
          <w:noProof/>
          <w:lang w:val="en-GB"/>
        </w:rPr>
        <w:t xml:space="preserve">and the opportunity to acquire new specialised digital skills for the workforce </w:t>
      </w:r>
      <w:r>
        <w:rPr>
          <w:rFonts w:ascii="Times New Roman" w:hAnsi="Times New Roman"/>
          <w:noProof/>
          <w:lang w:val="en-GB"/>
        </w:rPr>
        <w:t xml:space="preserve">are a prerequisite to participate </w:t>
      </w:r>
      <w:r>
        <w:rPr>
          <w:rFonts w:ascii="Times New Roman" w:hAnsi="Times New Roman" w:cs="Times New Roman"/>
          <w:noProof/>
          <w:lang w:val="en-GB"/>
        </w:rPr>
        <w:t xml:space="preserve">actively </w:t>
      </w:r>
      <w:r>
        <w:rPr>
          <w:rFonts w:ascii="Times New Roman" w:hAnsi="Times New Roman"/>
          <w:noProof/>
          <w:lang w:val="en-GB"/>
        </w:rPr>
        <w:t>in the Digital Decade, as explained in the E</w:t>
      </w:r>
      <w:r>
        <w:rPr>
          <w:rFonts w:ascii="Times New Roman" w:hAnsi="Times New Roman"/>
          <w:noProof/>
          <w:lang w:val="en-GB"/>
        </w:rPr>
        <w:t>uropean Skills Agenda</w:t>
      </w:r>
      <w:r>
        <w:rPr>
          <w:rStyle w:val="FootnoteReference"/>
          <w:rFonts w:ascii="Times New Roman" w:hAnsi="Times New Roman" w:cs="Times New Roman"/>
          <w:noProof/>
          <w:lang w:val="en-GB"/>
        </w:rPr>
        <w:footnoteReference w:id="12"/>
      </w:r>
      <w:r>
        <w:rPr>
          <w:rFonts w:ascii="Times New Roman" w:hAnsi="Times New Roman" w:cs="Times New Roman"/>
          <w:noProof/>
          <w:lang w:val="en-GB"/>
        </w:rPr>
        <w:t xml:space="preserve">. </w:t>
      </w:r>
    </w:p>
    <w:p w:rsidR="0007764C" w:rsidRDefault="00A17FAC">
      <w:pPr>
        <w:spacing w:after="120" w:line="259" w:lineRule="auto"/>
        <w:jc w:val="both"/>
        <w:rPr>
          <w:rFonts w:ascii="Times New Roman" w:hAnsi="Times New Roman"/>
          <w:noProof/>
          <w:lang w:val="en-GB"/>
        </w:rPr>
      </w:pPr>
      <w:r>
        <w:rPr>
          <w:rFonts w:ascii="Times New Roman" w:hAnsi="Times New Roman"/>
          <w:noProof/>
          <w:lang w:val="en-GB"/>
        </w:rPr>
        <w:t>The European Pillar of Social Rights Action Plan projects the target for adults with at least basic digital skills to 80% in 2030.</w:t>
      </w:r>
      <w:r>
        <w:rPr>
          <w:rStyle w:val="FootnoteReference"/>
          <w:rFonts w:ascii="Times New Roman" w:hAnsi="Times New Roman"/>
          <w:noProof/>
          <w:lang w:val="en-US"/>
        </w:rPr>
        <w:footnoteReference w:id="13"/>
      </w:r>
      <w:r>
        <w:rPr>
          <w:rFonts w:ascii="Times New Roman" w:hAnsi="Times New Roman"/>
          <w:noProof/>
          <w:lang w:val="en-GB"/>
        </w:rPr>
        <w:t xml:space="preserve"> To allow all Europeans to fully benefit from the welfare brought by an inclusive digital society, ,</w:t>
      </w:r>
      <w:r>
        <w:rPr>
          <w:rFonts w:ascii="Times New Roman" w:hAnsi="Times New Roman"/>
          <w:noProof/>
          <w:lang w:val="en-GB"/>
        </w:rPr>
        <w:t xml:space="preserve"> and as proposed in the chapter on digital principles (Section 4), access to education allowing the acquisition of basic digital skills should be a right for all EU citizens</w:t>
      </w:r>
      <w:r>
        <w:rPr>
          <w:rFonts w:ascii="Times New Roman" w:hAnsi="Times New Roman" w:cs="Times New Roman"/>
          <w:noProof/>
          <w:lang w:val="en-GB"/>
        </w:rPr>
        <w:t xml:space="preserve"> and lifelong learning should become a reality</w:t>
      </w:r>
      <w:r>
        <w:rPr>
          <w:rFonts w:ascii="Times New Roman" w:hAnsi="Times New Roman"/>
          <w:noProof/>
          <w:lang w:val="en-GB"/>
        </w:rPr>
        <w:t>.</w:t>
      </w:r>
    </w:p>
    <w:p w:rsidR="0007764C" w:rsidRDefault="00A17FAC">
      <w:pPr>
        <w:spacing w:after="120" w:line="259" w:lineRule="auto"/>
        <w:jc w:val="both"/>
        <w:rPr>
          <w:rFonts w:ascii="Times New Roman" w:hAnsi="Times New Roman"/>
          <w:noProof/>
          <w:lang w:val="en-GB"/>
        </w:rPr>
      </w:pPr>
      <w:r>
        <w:rPr>
          <w:rFonts w:ascii="Times New Roman" w:hAnsi="Times New Roman" w:cs="Times New Roman"/>
          <w:noProof/>
          <w:lang w:val="en-GB"/>
        </w:rPr>
        <w:t xml:space="preserve"> Broad-based digital skills should </w:t>
      </w:r>
      <w:r>
        <w:rPr>
          <w:rFonts w:ascii="Times New Roman" w:hAnsi="Times New Roman" w:cs="Times New Roman"/>
          <w:noProof/>
          <w:lang w:val="en-GB"/>
        </w:rPr>
        <w:t xml:space="preserve">also </w:t>
      </w:r>
      <w:r>
        <w:rPr>
          <w:rFonts w:ascii="Times New Roman" w:hAnsi="Times New Roman"/>
          <w:noProof/>
          <w:lang w:val="en-GB"/>
        </w:rPr>
        <w:t xml:space="preserve">build a society which </w:t>
      </w:r>
      <w:r>
        <w:rPr>
          <w:rFonts w:ascii="Times New Roman" w:hAnsi="Times New Roman" w:cs="Times New Roman"/>
          <w:noProof/>
          <w:lang w:val="en-GB"/>
        </w:rPr>
        <w:t xml:space="preserve">can </w:t>
      </w:r>
      <w:r>
        <w:rPr>
          <w:rFonts w:ascii="Times New Roman" w:hAnsi="Times New Roman"/>
          <w:noProof/>
          <w:lang w:val="en-GB"/>
        </w:rPr>
        <w:t xml:space="preserve">trust </w:t>
      </w:r>
      <w:r>
        <w:rPr>
          <w:rFonts w:ascii="Times New Roman" w:hAnsi="Times New Roman" w:cs="Times New Roman"/>
          <w:noProof/>
          <w:lang w:val="en-GB"/>
        </w:rPr>
        <w:t>digital products and online services</w:t>
      </w:r>
      <w:r>
        <w:rPr>
          <w:rFonts w:ascii="Times New Roman" w:hAnsi="Times New Roman"/>
          <w:noProof/>
          <w:lang w:val="en-GB"/>
        </w:rPr>
        <w:t xml:space="preserve">, identify disinformation </w:t>
      </w:r>
      <w:r>
        <w:rPr>
          <w:rFonts w:ascii="Times New Roman" w:hAnsi="Times New Roman" w:cs="Times New Roman"/>
          <w:noProof/>
          <w:lang w:val="en-GB"/>
        </w:rPr>
        <w:t xml:space="preserve">and fraud </w:t>
      </w:r>
      <w:r>
        <w:rPr>
          <w:rFonts w:ascii="Times New Roman" w:hAnsi="Times New Roman"/>
          <w:noProof/>
          <w:lang w:val="en-GB"/>
        </w:rPr>
        <w:t xml:space="preserve">attempts, protect itself against </w:t>
      </w:r>
      <w:r>
        <w:rPr>
          <w:rFonts w:ascii="Times New Roman" w:hAnsi="Times New Roman" w:cs="Times New Roman"/>
          <w:noProof/>
          <w:lang w:val="en-GB"/>
        </w:rPr>
        <w:t>cyberattacks, scams and fraud online</w:t>
      </w:r>
      <w:r>
        <w:rPr>
          <w:rFonts w:ascii="Times New Roman" w:hAnsi="Times New Roman"/>
          <w:noProof/>
          <w:lang w:val="en-GB"/>
        </w:rPr>
        <w:t xml:space="preserve">, and in which </w:t>
      </w:r>
      <w:r>
        <w:rPr>
          <w:rFonts w:ascii="Times New Roman" w:hAnsi="Times New Roman" w:cs="Times New Roman"/>
          <w:noProof/>
          <w:lang w:val="en-GB"/>
        </w:rPr>
        <w:t>children learn how to understand and navigate through the myria</w:t>
      </w:r>
      <w:r>
        <w:rPr>
          <w:rFonts w:ascii="Times New Roman" w:hAnsi="Times New Roman" w:cs="Times New Roman"/>
          <w:noProof/>
          <w:lang w:val="en-GB"/>
        </w:rPr>
        <w:t>d of information they are exposed to online</w:t>
      </w:r>
      <w:r>
        <w:rPr>
          <w:rFonts w:ascii="Times New Roman" w:hAnsi="Times New Roman"/>
          <w:noProof/>
          <w:lang w:val="en-GB"/>
        </w:rPr>
        <w:t xml:space="preserve">.  </w:t>
      </w:r>
    </w:p>
    <w:p w:rsidR="0007764C" w:rsidRDefault="00A17FAC">
      <w:pPr>
        <w:spacing w:after="120" w:line="259" w:lineRule="auto"/>
        <w:jc w:val="both"/>
        <w:rPr>
          <w:rFonts w:ascii="Times New Roman" w:hAnsi="Times New Roman" w:cs="Times New Roman"/>
          <w:noProof/>
          <w:lang w:val="en-IE"/>
        </w:rPr>
      </w:pPr>
      <w:r>
        <w:rPr>
          <w:rFonts w:ascii="Times New Roman" w:hAnsi="Times New Roman"/>
          <w:noProof/>
          <w:lang w:val="en-GB"/>
        </w:rPr>
        <w:t xml:space="preserve">Advanced digital skills require more than mastering coding or having </w:t>
      </w:r>
      <w:r>
        <w:rPr>
          <w:rFonts w:ascii="Times New Roman" w:hAnsi="Times New Roman" w:cs="Times New Roman"/>
          <w:noProof/>
          <w:lang w:val="en-GB"/>
        </w:rPr>
        <w:t>a</w:t>
      </w:r>
      <w:r>
        <w:rPr>
          <w:rFonts w:ascii="Times New Roman" w:hAnsi="Times New Roman"/>
          <w:noProof/>
          <w:lang w:val="en-GB"/>
        </w:rPr>
        <w:t xml:space="preserve"> basis </w:t>
      </w:r>
      <w:r>
        <w:rPr>
          <w:rFonts w:ascii="Times New Roman" w:hAnsi="Times New Roman" w:cs="Times New Roman"/>
          <w:noProof/>
          <w:lang w:val="en-GB"/>
        </w:rPr>
        <w:t>of</w:t>
      </w:r>
      <w:r>
        <w:rPr>
          <w:rFonts w:ascii="Times New Roman" w:hAnsi="Times New Roman"/>
          <w:noProof/>
          <w:lang w:val="en-GB"/>
        </w:rPr>
        <w:t xml:space="preserve"> computing sciences. Digital training and education should </w:t>
      </w:r>
      <w:r>
        <w:rPr>
          <w:rFonts w:ascii="Times New Roman" w:hAnsi="Times New Roman" w:cs="Times New Roman"/>
          <w:noProof/>
          <w:lang w:val="en-GB"/>
        </w:rPr>
        <w:t>support a workforce in which people can acquire specialised digital ski</w:t>
      </w:r>
      <w:r>
        <w:rPr>
          <w:rFonts w:ascii="Times New Roman" w:hAnsi="Times New Roman" w:cs="Times New Roman"/>
          <w:noProof/>
          <w:lang w:val="en-GB"/>
        </w:rPr>
        <w:t xml:space="preserve">lls to get quality jobs and rewarding careers. </w:t>
      </w:r>
      <w:r>
        <w:rPr>
          <w:rFonts w:ascii="Times New Roman" w:hAnsi="Times New Roman" w:cs="Times New Roman"/>
          <w:noProof/>
          <w:lang w:val="en-IE"/>
        </w:rPr>
        <w:t>As of 2019, there were 7.8 million ICT specialists with a prior annual growth rate of 4.2%. If this trend continues, the EU will be far below the projected need of 20 million experts e.g. for key areas, such a</w:t>
      </w:r>
      <w:r>
        <w:rPr>
          <w:rFonts w:ascii="Times New Roman" w:hAnsi="Times New Roman" w:cs="Times New Roman"/>
          <w:noProof/>
          <w:lang w:val="en-IE"/>
        </w:rPr>
        <w:t>s cybersecurity or data analysis. More than 70% of businesses report a lack of staff with adequate digital skills as an obstacle to investment. There is also a severe gender imbalance with only one in six ICT specialists and one in three STEM graduates bei</w:t>
      </w:r>
      <w:r>
        <w:rPr>
          <w:rFonts w:ascii="Times New Roman" w:hAnsi="Times New Roman" w:cs="Times New Roman"/>
          <w:noProof/>
          <w:lang w:val="en-IE"/>
        </w:rPr>
        <w:t>ng women</w:t>
      </w:r>
      <w:r>
        <w:rPr>
          <w:rFonts w:ascii="Times New Roman" w:hAnsi="Times New Roman" w:cs="Times New Roman"/>
          <w:noProof/>
          <w:vertAlign w:val="superscript"/>
          <w:lang w:val="en-IE"/>
        </w:rPr>
        <w:footnoteReference w:id="14"/>
      </w:r>
      <w:r>
        <w:rPr>
          <w:rFonts w:ascii="Times New Roman" w:hAnsi="Times New Roman" w:cs="Times New Roman"/>
          <w:noProof/>
          <w:lang w:val="en-IE"/>
        </w:rPr>
        <w:t>. This is compounded by a lack of capacity in terms of specialised education and training programs in areas such as Artificial Intelligence, quantum and cybersecurity and by a low integration of digital subjects and educational multimedia tools in</w:t>
      </w:r>
      <w:r>
        <w:rPr>
          <w:rFonts w:ascii="Times New Roman" w:hAnsi="Times New Roman" w:cs="Times New Roman"/>
          <w:noProof/>
          <w:lang w:val="en-IE"/>
        </w:rPr>
        <w:t xml:space="preserve"> other disciplines. Addressing this challenge requires massive investment to train future generations of workers and to up-skill and re-skill the workforce. </w:t>
      </w:r>
    </w:p>
    <w:p w:rsidR="0007764C" w:rsidRDefault="00A17FAC">
      <w:pPr>
        <w:spacing w:after="120" w:line="259" w:lineRule="auto"/>
        <w:jc w:val="both"/>
        <w:rPr>
          <w:rFonts w:ascii="Times New Roman" w:hAnsi="Times New Roman"/>
          <w:noProof/>
          <w:lang w:val="en-GB"/>
        </w:rPr>
      </w:pPr>
      <w:r>
        <w:rPr>
          <w:rFonts w:ascii="Times New Roman" w:hAnsi="Times New Roman"/>
          <w:noProof/>
          <w:lang w:val="en-GB"/>
        </w:rPr>
        <w:t xml:space="preserve">Actions at home should be complemented by support to enhance digital literacy globally, to </w:t>
      </w:r>
      <w:r>
        <w:rPr>
          <w:rFonts w:ascii="Times New Roman" w:hAnsi="Times New Roman" w:cs="Times New Roman"/>
          <w:noProof/>
          <w:lang w:val="en-GB"/>
        </w:rPr>
        <w:t>achieve</w:t>
      </w:r>
      <w:r>
        <w:rPr>
          <w:rFonts w:ascii="Times New Roman" w:hAnsi="Times New Roman"/>
          <w:noProof/>
          <w:lang w:val="en-GB"/>
        </w:rPr>
        <w:t xml:space="preserve"> the UN Sustainable Development Goals (SDGs). </w:t>
      </w:r>
      <w:r>
        <w:rPr>
          <w:rFonts w:ascii="Times New Roman" w:hAnsi="Times New Roman" w:cs="Times New Roman"/>
          <w:noProof/>
          <w:lang w:val="en-GB"/>
        </w:rPr>
        <w:t xml:space="preserve">The Erasmus+ programme will also provide opportunities for </w:t>
      </w:r>
      <w:r>
        <w:rPr>
          <w:rFonts w:ascii="Times New Roman" w:hAnsi="Times New Roman"/>
          <w:noProof/>
          <w:lang w:val="en-GB"/>
        </w:rPr>
        <w:t xml:space="preserve">third country digital engineers and specialists </w:t>
      </w:r>
      <w:r>
        <w:rPr>
          <w:rFonts w:ascii="Times New Roman" w:hAnsi="Times New Roman" w:cs="Times New Roman"/>
          <w:noProof/>
          <w:lang w:val="en-GB"/>
        </w:rPr>
        <w:t>and generally increase</w:t>
      </w:r>
      <w:r>
        <w:rPr>
          <w:rFonts w:ascii="Times New Roman" w:hAnsi="Times New Roman"/>
          <w:noProof/>
          <w:lang w:val="en-GB"/>
        </w:rPr>
        <w:t xml:space="preserve"> digital </w:t>
      </w:r>
      <w:r>
        <w:rPr>
          <w:rFonts w:ascii="Times New Roman" w:hAnsi="Times New Roman" w:cs="Times New Roman"/>
          <w:noProof/>
          <w:lang w:val="en-GB"/>
        </w:rPr>
        <w:t>learning environments</w:t>
      </w:r>
      <w:r>
        <w:rPr>
          <w:rFonts w:ascii="Times New Roman" w:hAnsi="Times New Roman"/>
          <w:noProof/>
          <w:lang w:val="en-GB"/>
        </w:rPr>
        <w:t xml:space="preserve">. In Africa, </w:t>
      </w:r>
      <w:r>
        <w:rPr>
          <w:rFonts w:ascii="Times New Roman" w:hAnsi="Times New Roman" w:cs="Times New Roman"/>
          <w:noProof/>
          <w:lang w:val="en-GB"/>
        </w:rPr>
        <w:t>national</w:t>
      </w:r>
      <w:r>
        <w:rPr>
          <w:rFonts w:ascii="Times New Roman" w:hAnsi="Times New Roman"/>
          <w:noProof/>
          <w:lang w:val="en-GB"/>
        </w:rPr>
        <w:t xml:space="preserve"> </w:t>
      </w:r>
      <w:r>
        <w:rPr>
          <w:rFonts w:ascii="Times New Roman" w:hAnsi="Times New Roman"/>
          <w:b/>
          <w:noProof/>
          <w:lang w:val="en-GB"/>
        </w:rPr>
        <w:t xml:space="preserve">digital skills and jobs </w:t>
      </w:r>
      <w:r>
        <w:rPr>
          <w:rFonts w:ascii="Times New Roman" w:hAnsi="Times New Roman" w:cs="Times New Roman"/>
          <w:b/>
          <w:noProof/>
          <w:lang w:val="en-GB"/>
        </w:rPr>
        <w:t>coalitions</w:t>
      </w:r>
      <w:r>
        <w:rPr>
          <w:rFonts w:ascii="Times New Roman" w:hAnsi="Times New Roman"/>
          <w:noProof/>
          <w:lang w:val="en-GB"/>
        </w:rPr>
        <w:t xml:space="preserve"> could develop common digital skills </w:t>
      </w:r>
      <w:r>
        <w:rPr>
          <w:rFonts w:ascii="Times New Roman" w:hAnsi="Times New Roman" w:cs="Times New Roman"/>
          <w:noProof/>
          <w:lang w:val="en-GB"/>
        </w:rPr>
        <w:t>curricula</w:t>
      </w:r>
      <w:r>
        <w:rPr>
          <w:rFonts w:ascii="Times New Roman" w:hAnsi="Times New Roman"/>
          <w:noProof/>
          <w:lang w:val="en-GB"/>
        </w:rPr>
        <w:t xml:space="preserve"> and support governments with expertise and projects to </w:t>
      </w:r>
      <w:r>
        <w:rPr>
          <w:rFonts w:ascii="Times New Roman" w:hAnsi="Times New Roman" w:cs="Times New Roman"/>
          <w:noProof/>
          <w:lang w:val="en-GB"/>
        </w:rPr>
        <w:t>bring</w:t>
      </w:r>
      <w:r>
        <w:rPr>
          <w:rFonts w:ascii="Times New Roman" w:hAnsi="Times New Roman"/>
          <w:noProof/>
          <w:lang w:val="en-GB"/>
        </w:rPr>
        <w:t xml:space="preserve"> schools</w:t>
      </w:r>
      <w:r>
        <w:rPr>
          <w:rFonts w:ascii="Times New Roman" w:hAnsi="Times New Roman" w:cs="Times New Roman"/>
          <w:noProof/>
          <w:lang w:val="en-GB"/>
        </w:rPr>
        <w:t xml:space="preserve"> and education institutions to the digital age</w:t>
      </w:r>
      <w:r>
        <w:rPr>
          <w:rFonts w:ascii="Times New Roman" w:hAnsi="Times New Roman"/>
          <w:noProof/>
          <w:lang w:val="en-GB"/>
        </w:rPr>
        <w:t>. Likewise, digital skills and literacy are becoming a central element in digital cap</w:t>
      </w:r>
      <w:r>
        <w:rPr>
          <w:rFonts w:ascii="Times New Roman" w:hAnsi="Times New Roman"/>
          <w:noProof/>
          <w:lang w:val="en-GB"/>
        </w:rPr>
        <w:t>acity building in our relations with the Latin American and Caribbean region.</w:t>
      </w:r>
    </w:p>
    <w:p w:rsidR="0007764C" w:rsidRDefault="00A17FAC">
      <w:pPr>
        <w:spacing w:after="120" w:line="259" w:lineRule="auto"/>
        <w:jc w:val="both"/>
        <w:rPr>
          <w:rFonts w:ascii="Times New Roman" w:hAnsi="Times New Roman" w:cs="Times New Roman"/>
          <w:noProof/>
          <w:lang w:val="en-IE"/>
        </w:rPr>
      </w:pPr>
      <w:r>
        <w:rPr>
          <w:rFonts w:ascii="Times New Roman" w:hAnsi="Times New Roman" w:cs="Times New Roman"/>
          <w:noProof/>
          <w:lang w:val="en-IE"/>
        </w:rPr>
        <w:t>Going towards 2030, the global competition for talent will be fierce, as expertise will remain scarce and be a critical factor of innovation, productivity growth and prosperity f</w:t>
      </w:r>
      <w:r>
        <w:rPr>
          <w:rFonts w:ascii="Times New Roman" w:hAnsi="Times New Roman" w:cs="Times New Roman"/>
          <w:noProof/>
          <w:lang w:val="en-IE"/>
        </w:rPr>
        <w:t xml:space="preserve">or all countries. The fostering of the EU’s attractiveness as well as support schemes for digital talent will play a key role in EU’s digital transformation. </w:t>
      </w:r>
    </w:p>
    <w:p w:rsidR="0007764C" w:rsidRDefault="00A17FAC">
      <w:pPr>
        <w:pBdr>
          <w:top w:val="single" w:sz="4" w:space="1" w:color="auto"/>
          <w:left w:val="single" w:sz="4" w:space="1" w:color="auto"/>
          <w:bottom w:val="single" w:sz="4" w:space="1" w:color="auto"/>
          <w:right w:val="single" w:sz="4" w:space="1" w:color="auto"/>
        </w:pBdr>
        <w:spacing w:after="120" w:line="259" w:lineRule="auto"/>
        <w:jc w:val="both"/>
        <w:rPr>
          <w:rFonts w:ascii="Times New Roman" w:hAnsi="Times New Roman"/>
          <w:b/>
          <w:i/>
          <w:noProof/>
          <w:lang w:val="en-IE"/>
        </w:rPr>
      </w:pPr>
      <w:r>
        <w:rPr>
          <w:rFonts w:ascii="Times New Roman" w:hAnsi="Times New Roman" w:cs="Times New Roman"/>
          <w:i/>
          <w:noProof/>
          <w:lang w:val="en-US"/>
        </w:rPr>
        <w:t xml:space="preserve">It is our proposed level of ambition that </w:t>
      </w:r>
      <w:r>
        <w:rPr>
          <w:rFonts w:ascii="Times New Roman" w:hAnsi="Times New Roman" w:cs="Times New Roman"/>
          <w:b/>
          <w:i/>
          <w:noProof/>
          <w:lang w:val="en-US"/>
        </w:rPr>
        <w:t>by</w:t>
      </w:r>
      <w:r>
        <w:rPr>
          <w:rFonts w:ascii="Times New Roman" w:hAnsi="Times New Roman"/>
          <w:b/>
          <w:i/>
          <w:noProof/>
          <w:lang w:val="en-US"/>
        </w:rPr>
        <w:t xml:space="preserve"> 2030</w:t>
      </w:r>
      <w:r>
        <w:rPr>
          <w:rFonts w:ascii="Times New Roman" w:hAnsi="Times New Roman"/>
          <w:b/>
          <w:i/>
          <w:noProof/>
          <w:lang w:val="en-IE"/>
        </w:rPr>
        <w:t>:</w:t>
      </w:r>
    </w:p>
    <w:p w:rsidR="0007764C" w:rsidRDefault="00A17FAC">
      <w:pPr>
        <w:pBdr>
          <w:top w:val="single" w:sz="4" w:space="1" w:color="auto"/>
          <w:left w:val="single" w:sz="4" w:space="1" w:color="auto"/>
          <w:bottom w:val="single" w:sz="4" w:space="1" w:color="auto"/>
          <w:right w:val="single" w:sz="4" w:space="1" w:color="auto"/>
        </w:pBdr>
        <w:spacing w:after="120" w:line="259" w:lineRule="auto"/>
        <w:ind w:left="426" w:hanging="426"/>
        <w:jc w:val="both"/>
        <w:rPr>
          <w:rFonts w:ascii="Times New Roman" w:hAnsi="Times New Roman"/>
          <w:b/>
          <w:i/>
          <w:noProof/>
          <w:sz w:val="22"/>
          <w:lang w:val="en-GB"/>
        </w:rPr>
      </w:pPr>
      <w:r>
        <w:rPr>
          <w:rFonts w:ascii="Times New Roman" w:hAnsi="Times New Roman"/>
          <w:b/>
          <w:i/>
          <w:noProof/>
          <w:lang w:val="en-IE"/>
        </w:rPr>
        <w:t xml:space="preserve"> </w:t>
      </w:r>
      <w:r>
        <w:rPr>
          <w:rFonts w:ascii="Times New Roman" w:hAnsi="Times New Roman" w:cs="Times New Roman"/>
          <w:b/>
          <w:i/>
          <w:noProof/>
          <w:lang w:val="en-GB" w:eastAsia="en-US"/>
        </w:rPr>
        <w:t xml:space="preserve">- </w:t>
      </w:r>
      <w:r>
        <w:rPr>
          <w:rFonts w:ascii="Times New Roman" w:hAnsi="Times New Roman" w:cs="Times New Roman"/>
          <w:b/>
          <w:i/>
          <w:noProof/>
          <w:lang w:val="en-GB" w:eastAsia="en-US"/>
        </w:rPr>
        <w:tab/>
        <w:t>In addition to the target on basic digital</w:t>
      </w:r>
      <w:r>
        <w:rPr>
          <w:rFonts w:ascii="Times New Roman" w:hAnsi="Times New Roman" w:cs="Times New Roman"/>
          <w:b/>
          <w:i/>
          <w:noProof/>
          <w:lang w:val="en-GB" w:eastAsia="en-US"/>
        </w:rPr>
        <w:t xml:space="preserve"> skills established in the European Pillar of Social Rights Action Plan, there</w:t>
      </w:r>
      <w:r>
        <w:rPr>
          <w:rFonts w:ascii="Times New Roman" w:hAnsi="Times New Roman"/>
          <w:b/>
          <w:i/>
          <w:noProof/>
          <w:lang w:val="en-GB"/>
        </w:rPr>
        <w:t xml:space="preserve"> are 20 million employed ICT specialists in the EU</w:t>
      </w:r>
      <w:r>
        <w:rPr>
          <w:rFonts w:ascii="Times New Roman" w:hAnsi="Times New Roman" w:cs="Times New Roman"/>
          <w:b/>
          <w:i/>
          <w:noProof/>
          <w:lang w:val="en-GB" w:eastAsia="en-US"/>
        </w:rPr>
        <w:t>,</w:t>
      </w:r>
      <w:r>
        <w:rPr>
          <w:rFonts w:ascii="Times New Roman" w:hAnsi="Times New Roman"/>
          <w:b/>
          <w:i/>
          <w:noProof/>
          <w:lang w:val="en-GB"/>
        </w:rPr>
        <w:t xml:space="preserve"> with convergence between women and men</w:t>
      </w:r>
      <w:r>
        <w:rPr>
          <w:rFonts w:ascii="Times New Roman" w:hAnsi="Times New Roman" w:cs="Times New Roman"/>
          <w:b/>
          <w:i/>
          <w:noProof/>
          <w:lang w:val="en-GB" w:eastAsia="en-US"/>
        </w:rPr>
        <w:t>.</w:t>
      </w:r>
    </w:p>
    <w:p w:rsidR="0007764C" w:rsidRDefault="00A17FAC">
      <w:pPr>
        <w:spacing w:before="240" w:after="120"/>
        <w:ind w:left="284"/>
        <w:outlineLvl w:val="1"/>
        <w:rPr>
          <w:rFonts w:ascii="Times New Roman" w:eastAsiaTheme="majorEastAsia" w:hAnsi="Times New Roman" w:cs="Times New Roman"/>
          <w:b/>
          <w:i/>
          <w:noProof/>
          <w:lang w:val="en-GB" w:eastAsia="en-US"/>
        </w:rPr>
      </w:pPr>
      <w:bookmarkStart w:id="38" w:name="_Toc64581246"/>
      <w:bookmarkStart w:id="39" w:name="_Toc64584039"/>
      <w:bookmarkStart w:id="40" w:name="_Toc65313732"/>
      <w:r>
        <w:rPr>
          <w:rFonts w:ascii="Times New Roman" w:eastAsiaTheme="majorEastAsia" w:hAnsi="Times New Roman" w:cs="Times New Roman"/>
          <w:b/>
          <w:i/>
          <w:noProof/>
          <w:lang w:val="en-GB" w:eastAsia="en-US"/>
        </w:rPr>
        <w:t>3.2</w:t>
      </w:r>
      <w:r>
        <w:rPr>
          <w:rFonts w:ascii="Times New Roman" w:eastAsiaTheme="majorEastAsia" w:hAnsi="Times New Roman" w:cs="Times New Roman"/>
          <w:b/>
          <w:i/>
          <w:noProof/>
          <w:lang w:val="en-GB" w:eastAsia="en-US"/>
        </w:rPr>
        <w:tab/>
        <w:t>Secure and performant sustainable digital infrastructures</w:t>
      </w:r>
      <w:bookmarkEnd w:id="33"/>
      <w:bookmarkEnd w:id="34"/>
      <w:bookmarkEnd w:id="35"/>
      <w:bookmarkEnd w:id="36"/>
      <w:bookmarkEnd w:id="37"/>
      <w:bookmarkEnd w:id="38"/>
      <w:bookmarkEnd w:id="39"/>
      <w:bookmarkEnd w:id="40"/>
    </w:p>
    <w:p w:rsidR="0007764C" w:rsidRDefault="00A17FAC">
      <w:pPr>
        <w:spacing w:after="120" w:line="259" w:lineRule="auto"/>
        <w:jc w:val="both"/>
        <w:rPr>
          <w:rFonts w:ascii="Times New Roman" w:hAnsi="Times New Roman" w:cs="Times New Roman"/>
          <w:noProof/>
          <w:lang w:val="en-GB"/>
        </w:rPr>
      </w:pPr>
      <w:r>
        <w:rPr>
          <w:rFonts w:ascii="Times New Roman" w:hAnsi="Times New Roman" w:cs="Times New Roman"/>
          <w:noProof/>
          <w:lang w:val="en-GB"/>
        </w:rPr>
        <w:t xml:space="preserve">Europe will only achieve digital leadership by building it on a </w:t>
      </w:r>
      <w:r>
        <w:rPr>
          <w:rFonts w:ascii="Times New Roman" w:eastAsiaTheme="majorEastAsia" w:hAnsi="Times New Roman" w:cs="Times New Roman"/>
          <w:noProof/>
          <w:lang w:val="en-GB" w:eastAsia="en-US"/>
        </w:rPr>
        <w:t>sustainable digital infrastructure regarding</w:t>
      </w:r>
      <w:r>
        <w:rPr>
          <w:rFonts w:ascii="Times New Roman" w:hAnsi="Times New Roman" w:cs="Times New Roman"/>
          <w:noProof/>
          <w:lang w:val="en-GB"/>
        </w:rPr>
        <w:t xml:space="preserve"> </w:t>
      </w:r>
      <w:r>
        <w:rPr>
          <w:rFonts w:ascii="Times New Roman" w:hAnsi="Times New Roman"/>
          <w:b/>
          <w:noProof/>
          <w:lang w:val="en-GB"/>
        </w:rPr>
        <w:t>connectivity, microelectronics and</w:t>
      </w:r>
      <w:r>
        <w:rPr>
          <w:rFonts w:ascii="Times New Roman" w:hAnsi="Times New Roman" w:cs="Times New Roman"/>
          <w:b/>
          <w:noProof/>
          <w:lang w:val="en-GB"/>
        </w:rPr>
        <w:t xml:space="preserve"> the ability to process vast</w:t>
      </w:r>
      <w:r>
        <w:rPr>
          <w:rFonts w:ascii="Times New Roman" w:hAnsi="Times New Roman"/>
          <w:b/>
          <w:noProof/>
          <w:lang w:val="en-GB"/>
        </w:rPr>
        <w:t xml:space="preserve"> data</w:t>
      </w:r>
      <w:r>
        <w:rPr>
          <w:rFonts w:ascii="Times New Roman" w:hAnsi="Times New Roman" w:cs="Times New Roman"/>
          <w:noProof/>
          <w:lang w:val="en-GB"/>
        </w:rPr>
        <w:t xml:space="preserve"> as they act as enablers for other technological developments and support our in</w:t>
      </w:r>
      <w:r>
        <w:rPr>
          <w:rFonts w:ascii="Times New Roman" w:hAnsi="Times New Roman" w:cs="Times New Roman"/>
          <w:noProof/>
          <w:lang w:val="en-GB"/>
        </w:rPr>
        <w:t xml:space="preserve">dustry's competitive edge. Significant investments need to be made in all of these areas that require coordination to achieve European scale. </w:t>
      </w:r>
    </w:p>
    <w:p w:rsidR="0007764C" w:rsidRDefault="00A17FAC">
      <w:pPr>
        <w:spacing w:after="120" w:line="259" w:lineRule="auto"/>
        <w:jc w:val="both"/>
        <w:rPr>
          <w:rFonts w:ascii="Times New Roman" w:hAnsi="Times New Roman" w:cs="Times New Roman"/>
          <w:noProof/>
          <w:lang w:val="en-US"/>
        </w:rPr>
      </w:pPr>
      <w:r>
        <w:rPr>
          <w:rFonts w:ascii="Times New Roman" w:hAnsi="Times New Roman" w:cs="Times New Roman"/>
          <w:b/>
          <w:noProof/>
          <w:lang w:val="en-US"/>
        </w:rPr>
        <w:t>Excellent and secure connectivity</w:t>
      </w:r>
      <w:r>
        <w:rPr>
          <w:rFonts w:ascii="Times New Roman" w:hAnsi="Times New Roman" w:cs="Times New Roman"/>
          <w:noProof/>
          <w:lang w:val="en-US"/>
        </w:rPr>
        <w:t xml:space="preserve"> for everybody and everywhere in Europe is a prerequisite for a society in which</w:t>
      </w:r>
      <w:r>
        <w:rPr>
          <w:rFonts w:ascii="Times New Roman" w:hAnsi="Times New Roman" w:cs="Times New Roman"/>
          <w:noProof/>
          <w:lang w:val="en-US"/>
        </w:rPr>
        <w:t xml:space="preserve"> every business and citizen can fully participate</w:t>
      </w:r>
      <w:r>
        <w:rPr>
          <w:rFonts w:ascii="Times New Roman" w:hAnsi="Times New Roman"/>
          <w:noProof/>
          <w:lang w:val="en-US"/>
        </w:rPr>
        <w:t xml:space="preserve">. Achieving gigabit connectivity by 2030 is key. Although this ambition can be reached with any technology mix, the focus should be </w:t>
      </w:r>
      <w:r>
        <w:rPr>
          <w:rFonts w:ascii="Times New Roman" w:hAnsi="Times New Roman" w:cs="Times New Roman"/>
          <w:noProof/>
          <w:lang w:val="en-US"/>
        </w:rPr>
        <w:t>on the more sustainable next generation fixed, mobile and satellite connect</w:t>
      </w:r>
      <w:r>
        <w:rPr>
          <w:rFonts w:ascii="Times New Roman" w:hAnsi="Times New Roman" w:cs="Times New Roman"/>
          <w:noProof/>
          <w:lang w:val="en-US"/>
        </w:rPr>
        <w:t>ivity, with Very High Capacity Networks including 5G being rolled out, based on swift and efficient allocation of spectrum and respect of the 5G cybersecurity toolbox</w:t>
      </w:r>
      <w:r>
        <w:rPr>
          <w:rStyle w:val="FootnoteReference"/>
          <w:rFonts w:ascii="Times New Roman" w:hAnsi="Times New Roman" w:cs="Times New Roman"/>
          <w:noProof/>
          <w:lang w:val="en-US"/>
        </w:rPr>
        <w:footnoteReference w:id="15"/>
      </w:r>
      <w:r>
        <w:rPr>
          <w:rFonts w:ascii="Times New Roman" w:hAnsi="Times New Roman" w:cs="Times New Roman"/>
          <w:noProof/>
          <w:lang w:val="en-US"/>
        </w:rPr>
        <w:t>, and with 6G being developed in the years to come</w:t>
      </w:r>
      <w:r>
        <w:rPr>
          <w:rFonts w:ascii="Times New Roman" w:hAnsi="Times New Roman" w:cs="Times New Roman"/>
          <w:noProof/>
          <w:vertAlign w:val="superscript"/>
          <w:lang w:val="en-US"/>
        </w:rPr>
        <w:footnoteReference w:id="16"/>
      </w:r>
      <w:r>
        <w:rPr>
          <w:rFonts w:ascii="Times New Roman" w:hAnsi="Times New Roman" w:cs="Times New Roman"/>
          <w:noProof/>
          <w:lang w:val="en-US"/>
        </w:rPr>
        <w:t>.</w:t>
      </w:r>
    </w:p>
    <w:p w:rsidR="0007764C" w:rsidRDefault="00A17FAC">
      <w:pPr>
        <w:spacing w:after="120" w:line="259" w:lineRule="auto"/>
        <w:jc w:val="both"/>
        <w:rPr>
          <w:rFonts w:ascii="Times New Roman" w:hAnsi="Times New Roman" w:cs="Times New Roman"/>
          <w:noProof/>
          <w:lang w:val="en-US"/>
        </w:rPr>
      </w:pPr>
      <w:r>
        <w:rPr>
          <w:rFonts w:ascii="Times New Roman" w:hAnsi="Times New Roman"/>
          <w:noProof/>
          <w:lang w:val="en-US"/>
        </w:rPr>
        <w:t>As the decade progresses, households</w:t>
      </w:r>
      <w:r>
        <w:rPr>
          <w:rFonts w:ascii="Times New Roman" w:hAnsi="Times New Roman"/>
          <w:noProof/>
          <w:lang w:val="en-US"/>
        </w:rPr>
        <w:t xml:space="preserve"> will increase the take up of such network technologies reflecting their rising needs for very high capacity connectivity. </w:t>
      </w:r>
      <w:r>
        <w:rPr>
          <w:rFonts w:ascii="Times New Roman" w:hAnsi="Times New Roman" w:cs="Times New Roman"/>
          <w:noProof/>
          <w:lang w:val="en-US"/>
        </w:rPr>
        <w:t>By the end of this decade, new digital communications features and capabilities such as high-precision, holographic media, and digita</w:t>
      </w:r>
      <w:r>
        <w:rPr>
          <w:rFonts w:ascii="Times New Roman" w:hAnsi="Times New Roman" w:cs="Times New Roman"/>
          <w:noProof/>
          <w:lang w:val="en-US"/>
        </w:rPr>
        <w:t>l-senses over the networks, are expected to provide a whole new perspective to a digitally enabled society underpinning the need for gigabit connectivity. Well before the end of the decade, businesses will need dedicated Gigabit connections and data infras</w:t>
      </w:r>
      <w:r>
        <w:rPr>
          <w:rFonts w:ascii="Times New Roman" w:hAnsi="Times New Roman" w:cs="Times New Roman"/>
          <w:noProof/>
          <w:lang w:val="en-US"/>
        </w:rPr>
        <w:t xml:space="preserve">tructures for cloud computing and data processing, in the same way as schools and hospitals will need this for eEducation and eHealth. High performance computing (HPC) will require terabit connections to allow real-time data processing. </w:t>
      </w:r>
    </w:p>
    <w:p w:rsidR="0007764C" w:rsidRDefault="00A17FAC">
      <w:pPr>
        <w:pBdr>
          <w:top w:val="single" w:sz="4" w:space="1" w:color="auto"/>
          <w:left w:val="single" w:sz="4" w:space="4" w:color="auto"/>
          <w:bottom w:val="single" w:sz="4" w:space="1" w:color="auto"/>
          <w:right w:val="single" w:sz="4" w:space="4" w:color="auto"/>
        </w:pBdr>
        <w:spacing w:after="120" w:line="259" w:lineRule="auto"/>
        <w:jc w:val="both"/>
        <w:rPr>
          <w:rFonts w:ascii="Times New Roman" w:hAnsi="Times New Roman" w:cs="Times New Roman"/>
          <w:b/>
          <w:i/>
          <w:noProof/>
          <w:lang w:val="en-IE"/>
        </w:rPr>
      </w:pPr>
      <w:r>
        <w:rPr>
          <w:rFonts w:ascii="Times New Roman" w:hAnsi="Times New Roman" w:cs="Times New Roman"/>
          <w:i/>
          <w:noProof/>
          <w:lang w:val="en-US"/>
        </w:rPr>
        <w:t xml:space="preserve">It is our proposed level of ambition that </w:t>
      </w:r>
      <w:r>
        <w:rPr>
          <w:rFonts w:ascii="Times New Roman" w:hAnsi="Times New Roman" w:cs="Times New Roman"/>
          <w:b/>
          <w:i/>
          <w:noProof/>
          <w:lang w:val="en-IE"/>
        </w:rPr>
        <w:t xml:space="preserve">by 2030 </w:t>
      </w:r>
    </w:p>
    <w:p w:rsidR="0007764C" w:rsidRDefault="00A17FAC">
      <w:pPr>
        <w:pBdr>
          <w:top w:val="single" w:sz="4" w:space="1" w:color="auto"/>
          <w:left w:val="single" w:sz="4" w:space="4" w:color="auto"/>
          <w:bottom w:val="single" w:sz="4" w:space="1" w:color="auto"/>
          <w:right w:val="single" w:sz="4" w:space="4" w:color="auto"/>
        </w:pBdr>
        <w:spacing w:after="120" w:line="259" w:lineRule="auto"/>
        <w:jc w:val="both"/>
        <w:rPr>
          <w:rFonts w:ascii="Times New Roman" w:hAnsi="Times New Roman" w:cs="Times New Roman"/>
          <w:i/>
          <w:noProof/>
          <w:lang w:val="en-US"/>
        </w:rPr>
      </w:pPr>
      <w:r>
        <w:rPr>
          <w:rFonts w:ascii="Times New Roman" w:hAnsi="Times New Roman" w:cs="Times New Roman"/>
          <w:b/>
          <w:i/>
          <w:noProof/>
          <w:lang w:val="en-IE" w:eastAsia="en-US"/>
        </w:rPr>
        <w:t>All European households will be covered by a Gigabit network, with all populated areas covered by 5G</w:t>
      </w:r>
      <w:r>
        <w:rPr>
          <w:rStyle w:val="FootnoteReference"/>
          <w:rFonts w:ascii="Times New Roman" w:hAnsi="Times New Roman" w:cs="Times New Roman"/>
          <w:b/>
          <w:i/>
          <w:noProof/>
          <w:lang w:val="en-IE" w:eastAsia="en-US"/>
        </w:rPr>
        <w:footnoteReference w:id="17"/>
      </w:r>
      <w:r>
        <w:rPr>
          <w:i/>
          <w:noProof/>
          <w:lang w:val="en-IE" w:eastAsia="en-US"/>
        </w:rPr>
        <w:t>.</w:t>
      </w:r>
    </w:p>
    <w:p w:rsidR="0007764C" w:rsidRDefault="00A17FAC">
      <w:pPr>
        <w:spacing w:after="120" w:line="259" w:lineRule="auto"/>
        <w:jc w:val="both"/>
        <w:rPr>
          <w:rFonts w:ascii="Times New Roman" w:hAnsi="Times New Roman"/>
          <w:noProof/>
          <w:lang w:val="en-IE"/>
        </w:rPr>
      </w:pPr>
      <w:r>
        <w:rPr>
          <w:rFonts w:ascii="Times New Roman" w:hAnsi="Times New Roman"/>
          <w:noProof/>
          <w:lang w:val="en-US"/>
        </w:rPr>
        <w:t>Europe’s digital leadership and global competitiveness depend on strong internal and external connecti</w:t>
      </w:r>
      <w:r>
        <w:rPr>
          <w:rFonts w:ascii="Times New Roman" w:hAnsi="Times New Roman"/>
          <w:noProof/>
          <w:lang w:val="en-US"/>
        </w:rPr>
        <w:t xml:space="preserve">vity and should also inform our </w:t>
      </w:r>
      <w:r>
        <w:rPr>
          <w:rFonts w:ascii="Times New Roman" w:hAnsi="Times New Roman"/>
          <w:b/>
          <w:noProof/>
          <w:lang w:val="en-US"/>
        </w:rPr>
        <w:t xml:space="preserve">international engagement, </w:t>
      </w:r>
      <w:r>
        <w:rPr>
          <w:rFonts w:ascii="Times New Roman" w:hAnsi="Times New Roman"/>
          <w:noProof/>
          <w:lang w:val="en-US"/>
        </w:rPr>
        <w:t xml:space="preserve">in particular along the European time zones, and taking account the emergence of data gateways around EU periphery. The EU has a comprehensive program of engagement including Broadband rollout with </w:t>
      </w:r>
      <w:r>
        <w:rPr>
          <w:rFonts w:ascii="Times New Roman" w:hAnsi="Times New Roman"/>
          <w:noProof/>
          <w:lang w:val="en-US"/>
        </w:rPr>
        <w:t xml:space="preserve">partners in the Western Balkans and Eastern Partnership. Europe will be linked to its partners in the Neighborhood and Africa, including via terrestrial and submarine cables and a secure constellation of satellites. In addition, </w:t>
      </w:r>
      <w:r>
        <w:rPr>
          <w:rFonts w:ascii="Times New Roman" w:hAnsi="Times New Roman"/>
          <w:noProof/>
          <w:lang w:val="en-IE"/>
        </w:rPr>
        <w:t>the EU will step up impleme</w:t>
      </w:r>
      <w:r>
        <w:rPr>
          <w:rFonts w:ascii="Times New Roman" w:hAnsi="Times New Roman"/>
          <w:noProof/>
          <w:lang w:val="en-IE"/>
        </w:rPr>
        <w:t>ntation of the EU-Asia Connectivity Strategy via new Connectivity Partnerships with India and ASEAN. Digital Partnership with Latin America &amp; the Caribbean will complement the launch of connectivity component of the Digital Alliance with Latin America &amp; th</w:t>
      </w:r>
      <w:r>
        <w:rPr>
          <w:rFonts w:ascii="Times New Roman" w:hAnsi="Times New Roman"/>
          <w:noProof/>
          <w:lang w:val="en-IE"/>
        </w:rPr>
        <w:t xml:space="preserve">e Caribbean, building on the BELLA Cable. </w:t>
      </w:r>
    </w:p>
    <w:p w:rsidR="0007764C" w:rsidRDefault="00A17FAC">
      <w:pPr>
        <w:spacing w:after="120" w:line="259" w:lineRule="auto"/>
        <w:jc w:val="both"/>
        <w:rPr>
          <w:rFonts w:ascii="Times New Roman" w:hAnsi="Times New Roman" w:cs="Times New Roman"/>
          <w:noProof/>
          <w:lang w:val="en-US"/>
        </w:rPr>
      </w:pPr>
      <w:r>
        <w:rPr>
          <w:rFonts w:ascii="Times New Roman" w:hAnsi="Times New Roman" w:cs="Times New Roman"/>
          <w:noProof/>
          <w:lang w:val="en-US"/>
        </w:rPr>
        <w:t xml:space="preserve">If connectivity is a precondition for digital transformation, </w:t>
      </w:r>
      <w:r>
        <w:rPr>
          <w:rFonts w:ascii="Times New Roman" w:hAnsi="Times New Roman" w:cs="Times New Roman"/>
          <w:b/>
          <w:noProof/>
          <w:lang w:val="en-US"/>
        </w:rPr>
        <w:t>microprocessors</w:t>
      </w:r>
      <w:r>
        <w:rPr>
          <w:rFonts w:ascii="Times New Roman" w:hAnsi="Times New Roman" w:cs="Times New Roman"/>
          <w:noProof/>
          <w:lang w:val="en-US"/>
        </w:rPr>
        <w:t xml:space="preserve"> are at the start of most of the key, strategic value chains such as connected cars, phones, Internet of Things, high performance comput</w:t>
      </w:r>
      <w:r>
        <w:rPr>
          <w:rFonts w:ascii="Times New Roman" w:hAnsi="Times New Roman" w:cs="Times New Roman"/>
          <w:noProof/>
          <w:lang w:val="en-US"/>
        </w:rPr>
        <w:t>ers, edge computers and Artificial Intelligence.  While Europe designs and manufactures high-end chips, there are important gaps, notably in state-of-the-art fabrication technologies and in chip design, exposing Europe to a number of vulnerabilities.</w:t>
      </w:r>
      <w:r>
        <w:rPr>
          <w:rStyle w:val="FootnoteReference"/>
          <w:rFonts w:ascii="Times New Roman" w:hAnsi="Times New Roman" w:cs="Times New Roman"/>
          <w:noProof/>
          <w:lang w:val="en-US"/>
        </w:rPr>
        <w:footnoteReference w:id="18"/>
      </w:r>
      <w:r>
        <w:rPr>
          <w:rFonts w:ascii="Times New Roman" w:hAnsi="Times New Roman" w:cs="Times New Roman"/>
          <w:noProof/>
          <w:lang w:val="en-US"/>
        </w:rPr>
        <w:t xml:space="preserve"> </w:t>
      </w:r>
    </w:p>
    <w:p w:rsidR="0007764C" w:rsidRDefault="00A17FAC">
      <w:pPr>
        <w:keepNext/>
        <w:pBdr>
          <w:top w:val="single" w:sz="4" w:space="1" w:color="auto"/>
          <w:left w:val="single" w:sz="4" w:space="4" w:color="auto"/>
          <w:bottom w:val="single" w:sz="4" w:space="1" w:color="auto"/>
          <w:right w:val="single" w:sz="4" w:space="4" w:color="auto"/>
        </w:pBdr>
        <w:spacing w:after="120" w:line="276" w:lineRule="auto"/>
        <w:jc w:val="both"/>
        <w:rPr>
          <w:rFonts w:ascii="Times New Roman" w:hAnsi="Times New Roman" w:cs="Times New Roman"/>
          <w:b/>
          <w:i/>
          <w:noProof/>
          <w:lang w:val="en-IE"/>
        </w:rPr>
      </w:pPr>
      <w:r>
        <w:rPr>
          <w:rFonts w:ascii="Times New Roman" w:hAnsi="Times New Roman" w:cs="Times New Roman"/>
          <w:i/>
          <w:noProof/>
          <w:lang w:val="en-US"/>
        </w:rPr>
        <w:t xml:space="preserve">It </w:t>
      </w:r>
      <w:r>
        <w:rPr>
          <w:rFonts w:ascii="Times New Roman" w:hAnsi="Times New Roman" w:cs="Times New Roman"/>
          <w:i/>
          <w:noProof/>
          <w:lang w:val="en-US"/>
        </w:rPr>
        <w:t xml:space="preserve">is our proposed level of ambition that </w:t>
      </w:r>
      <w:r>
        <w:rPr>
          <w:rFonts w:ascii="Times New Roman" w:hAnsi="Times New Roman" w:cs="Times New Roman"/>
          <w:b/>
          <w:i/>
          <w:noProof/>
          <w:lang w:val="en-IE"/>
        </w:rPr>
        <w:t xml:space="preserve">by 2030 </w:t>
      </w:r>
    </w:p>
    <w:p w:rsidR="0007764C" w:rsidRDefault="00A17FAC">
      <w:pPr>
        <w:pBdr>
          <w:top w:val="single" w:sz="4" w:space="1" w:color="auto"/>
          <w:left w:val="single" w:sz="4" w:space="4" w:color="auto"/>
          <w:bottom w:val="single" w:sz="4" w:space="1" w:color="auto"/>
          <w:right w:val="single" w:sz="4" w:space="4" w:color="auto"/>
        </w:pBdr>
        <w:spacing w:after="120" w:line="276" w:lineRule="auto"/>
        <w:jc w:val="both"/>
        <w:rPr>
          <w:rFonts w:ascii="Times New Roman" w:hAnsi="Times New Roman"/>
          <w:i/>
          <w:noProof/>
          <w:sz w:val="22"/>
          <w:lang w:val="en-US"/>
        </w:rPr>
      </w:pPr>
      <w:r>
        <w:rPr>
          <w:rFonts w:ascii="Times New Roman" w:hAnsi="Times New Roman" w:cs="Times New Roman"/>
          <w:b/>
          <w:i/>
          <w:noProof/>
          <w:lang w:val="en-IE"/>
        </w:rPr>
        <w:t>The</w:t>
      </w:r>
      <w:r>
        <w:rPr>
          <w:rFonts w:ascii="Times New Roman" w:hAnsi="Times New Roman"/>
          <w:b/>
          <w:i/>
          <w:noProof/>
          <w:lang w:val="en-IE"/>
        </w:rPr>
        <w:t xml:space="preserve"> production of cutting-edge and sustainable semiconductors in Europe including processors is at least 20% of world production in value </w:t>
      </w:r>
      <w:r>
        <w:rPr>
          <w:rFonts w:ascii="Times New Roman" w:hAnsi="Times New Roman"/>
          <w:i/>
          <w:noProof/>
          <w:lang w:val="en-IE"/>
        </w:rPr>
        <w:t xml:space="preserve">(meaning manufacturing capacities </w:t>
      </w:r>
      <w:r>
        <w:rPr>
          <w:rFonts w:ascii="Times New Roman" w:hAnsi="Times New Roman" w:cs="Times New Roman"/>
          <w:i/>
          <w:noProof/>
          <w:lang w:val="en-IE"/>
        </w:rPr>
        <w:t>below 5nm</w:t>
      </w:r>
      <w:r>
        <w:rPr>
          <w:rFonts w:ascii="Times New Roman" w:hAnsi="Times New Roman"/>
          <w:i/>
          <w:noProof/>
          <w:lang w:val="en-IE"/>
        </w:rPr>
        <w:t xml:space="preserve"> nodes aiming at 2nm and 10 times more energy efficient than today)</w:t>
      </w:r>
      <w:r>
        <w:rPr>
          <w:rStyle w:val="FootnoteReference"/>
          <w:rFonts w:ascii="Times New Roman" w:hAnsi="Times New Roman"/>
          <w:noProof/>
          <w:lang w:val="en-IE"/>
        </w:rPr>
        <w:footnoteReference w:id="19"/>
      </w:r>
      <w:r>
        <w:rPr>
          <w:rFonts w:ascii="Times New Roman" w:hAnsi="Times New Roman"/>
          <w:noProof/>
          <w:lang w:val="en-IE"/>
        </w:rPr>
        <w:t xml:space="preserve">. </w:t>
      </w:r>
    </w:p>
    <w:p w:rsidR="0007764C" w:rsidRDefault="00A17FAC">
      <w:pPr>
        <w:spacing w:after="120" w:line="259" w:lineRule="auto"/>
        <w:jc w:val="both"/>
        <w:rPr>
          <w:rFonts w:ascii="Times New Roman" w:hAnsi="Times New Roman" w:cs="Times New Roman"/>
          <w:noProof/>
          <w:lang w:val="en-US"/>
        </w:rPr>
      </w:pPr>
      <w:r>
        <w:rPr>
          <w:rFonts w:ascii="Times New Roman" w:hAnsi="Times New Roman" w:cs="Times New Roman"/>
          <w:noProof/>
          <w:lang w:val="en-US"/>
        </w:rPr>
        <w:t>A digital infrastructure serving citizens, SMEs, the public sector and large companies require high performance computing and comprehensive data infrastructures. Today, data produced in</w:t>
      </w:r>
      <w:r>
        <w:rPr>
          <w:rFonts w:ascii="Times New Roman" w:hAnsi="Times New Roman" w:cs="Times New Roman"/>
          <w:noProof/>
          <w:lang w:val="en-US"/>
        </w:rPr>
        <w:t xml:space="preserve"> Europe is generally stored and processed outside Europe, and its value is also extracted outside Europe</w:t>
      </w:r>
      <w:r>
        <w:rPr>
          <w:rStyle w:val="FootnoteReference"/>
          <w:rFonts w:ascii="Times New Roman" w:hAnsi="Times New Roman" w:cs="Times New Roman"/>
          <w:noProof/>
          <w:lang w:val="en-US"/>
        </w:rPr>
        <w:footnoteReference w:id="20"/>
      </w:r>
      <w:r>
        <w:rPr>
          <w:rFonts w:ascii="Times New Roman" w:hAnsi="Times New Roman" w:cs="Times New Roman"/>
          <w:noProof/>
          <w:lang w:val="en-US"/>
        </w:rPr>
        <w:t>. While businesses generating and exploiting data should retain free choice in this regard, this can bring risks in terms of cybersecurity, supply vuln</w:t>
      </w:r>
      <w:r>
        <w:rPr>
          <w:rFonts w:ascii="Times New Roman" w:hAnsi="Times New Roman" w:cs="Times New Roman"/>
          <w:noProof/>
          <w:lang w:val="en-US"/>
        </w:rPr>
        <w:t>erabilities, switching possibilities as well as unlawful access to data by third countries.</w:t>
      </w:r>
      <w:r>
        <w:rPr>
          <w:rStyle w:val="FootnoteReference"/>
          <w:rFonts w:ascii="Times New Roman" w:hAnsi="Times New Roman" w:cs="Times New Roman"/>
          <w:noProof/>
          <w:lang w:val="en-US"/>
        </w:rPr>
        <w:footnoteReference w:id="21"/>
      </w:r>
      <w:r>
        <w:rPr>
          <w:rFonts w:ascii="Times New Roman" w:hAnsi="Times New Roman" w:cs="Times New Roman"/>
          <w:noProof/>
          <w:lang w:val="en-US"/>
        </w:rPr>
        <w:t xml:space="preserve"> EU-based cloud providers have only a small share of the cloud market, which leaves the EU exposed to such risks and limits the investment potential for the Europea</w:t>
      </w:r>
      <w:r>
        <w:rPr>
          <w:rFonts w:ascii="Times New Roman" w:hAnsi="Times New Roman" w:cs="Times New Roman"/>
          <w:noProof/>
          <w:lang w:val="en-US"/>
        </w:rPr>
        <w:t xml:space="preserve">n digital industry in the data processing market. Also, given the impact of data centers and cloud infrastructures on energy consumption, the EU should take the lead in making these infrastructures climate neutral and energy efficient by 2030, while using </w:t>
      </w:r>
      <w:r>
        <w:rPr>
          <w:rFonts w:ascii="Times New Roman" w:hAnsi="Times New Roman" w:cs="Times New Roman"/>
          <w:noProof/>
          <w:lang w:val="en-US"/>
        </w:rPr>
        <w:t>their excess energy to help heating our homes, businesses and common public spaces. As part of the enhanced Digital Economy and Society Index (DESI), the Commission will introduce mechanisms to measure the energy efficiency of data centers and electronic c</w:t>
      </w:r>
      <w:r>
        <w:rPr>
          <w:rFonts w:ascii="Times New Roman" w:hAnsi="Times New Roman" w:cs="Times New Roman"/>
          <w:noProof/>
          <w:lang w:val="en-US"/>
        </w:rPr>
        <w:t xml:space="preserve">ommunications networks used by European companies. </w:t>
      </w:r>
    </w:p>
    <w:p w:rsidR="0007764C" w:rsidRDefault="00A17FAC">
      <w:pPr>
        <w:spacing w:after="120" w:line="259" w:lineRule="auto"/>
        <w:jc w:val="both"/>
        <w:rPr>
          <w:rFonts w:ascii="Times New Roman" w:hAnsi="Times New Roman" w:cs="Times New Roman"/>
          <w:noProof/>
          <w:lang w:val="en-US"/>
        </w:rPr>
      </w:pPr>
      <w:r>
        <w:rPr>
          <w:rFonts w:ascii="Times New Roman" w:hAnsi="Times New Roman" w:cs="Times New Roman"/>
          <w:noProof/>
          <w:lang w:val="en-US"/>
        </w:rPr>
        <w:t>As highlighted in the European data strategy, the volume of data generated is greatly increasing and a growing proportion of data is expected to be processed at the edge, closer to the users and where dat</w:t>
      </w:r>
      <w:r>
        <w:rPr>
          <w:rFonts w:ascii="Times New Roman" w:hAnsi="Times New Roman" w:cs="Times New Roman"/>
          <w:noProof/>
          <w:lang w:val="en-US"/>
        </w:rPr>
        <w:t>a are generated. This shift will require the development and deployment of fundamentally new data processing technologies encompassing the edge, moving away from centralised cloud-based infrastructure models. To address these trends towards increasing dist</w:t>
      </w:r>
      <w:r>
        <w:rPr>
          <w:rFonts w:ascii="Times New Roman" w:hAnsi="Times New Roman" w:cs="Times New Roman"/>
          <w:noProof/>
          <w:lang w:val="en-US"/>
        </w:rPr>
        <w:t>ribution and decentralization of data processing capacities, and to overcome the gap of suitable cloud supply meeting the needs of European businesses and public administration, Europe needs to strengthen its own cloud infrastructure and capacities</w:t>
      </w:r>
      <w:r>
        <w:rPr>
          <w:rStyle w:val="FootnoteReference"/>
          <w:rFonts w:ascii="Times New Roman" w:hAnsi="Times New Roman" w:cs="Times New Roman"/>
          <w:noProof/>
          <w:lang w:val="en-US"/>
        </w:rPr>
        <w:footnoteReference w:id="22"/>
      </w:r>
      <w:r>
        <w:rPr>
          <w:rFonts w:ascii="Times New Roman" w:hAnsi="Times New Roman" w:cs="Times New Roman"/>
          <w:noProof/>
          <w:lang w:val="en-US"/>
        </w:rPr>
        <w:t xml:space="preserve">. </w:t>
      </w:r>
    </w:p>
    <w:p w:rsidR="0007764C" w:rsidRDefault="00A17FAC">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jc w:val="both"/>
        <w:rPr>
          <w:rFonts w:ascii="Times New Roman" w:hAnsi="Times New Roman"/>
          <w:i/>
          <w:noProof/>
          <w:sz w:val="22"/>
          <w:szCs w:val="22"/>
          <w:u w:val="single"/>
          <w:lang w:val="en-IE"/>
        </w:rPr>
      </w:pPr>
      <w:r>
        <w:rPr>
          <w:rFonts w:ascii="Times New Roman" w:hAnsi="Times New Roman"/>
          <w:i/>
          <w:noProof/>
          <w:sz w:val="22"/>
          <w:szCs w:val="22"/>
          <w:u w:val="single"/>
          <w:lang w:val="en-IE"/>
        </w:rPr>
        <w:t>Intelligent edge computing - applications</w:t>
      </w:r>
    </w:p>
    <w:p w:rsidR="0007764C" w:rsidRDefault="00A17FAC">
      <w:pPr>
        <w:pStyle w:val="ListParagraph"/>
        <w:numPr>
          <w:ilvl w:val="0"/>
          <w:numId w:val="74"/>
        </w:numPr>
        <w:pBdr>
          <w:top w:val="single" w:sz="4" w:space="1" w:color="auto"/>
          <w:left w:val="single" w:sz="4" w:space="4" w:color="auto"/>
          <w:bottom w:val="single" w:sz="4" w:space="1" w:color="auto"/>
          <w:right w:val="single" w:sz="4" w:space="4" w:color="auto"/>
        </w:pBdr>
        <w:shd w:val="clear" w:color="auto" w:fill="D9D9D9" w:themeFill="background1" w:themeFillShade="D9"/>
        <w:spacing w:after="120"/>
        <w:ind w:left="426" w:hanging="426"/>
        <w:jc w:val="both"/>
        <w:rPr>
          <w:rFonts w:ascii="Times New Roman" w:hAnsi="Times New Roman"/>
          <w:i/>
          <w:noProof/>
          <w:lang w:val="en-IE"/>
        </w:rPr>
      </w:pPr>
      <w:r>
        <w:rPr>
          <w:rFonts w:ascii="Times New Roman" w:eastAsiaTheme="minorEastAsia" w:hAnsi="Times New Roman"/>
          <w:i/>
          <w:noProof/>
          <w:lang w:val="en-IE" w:eastAsia="fr-FR"/>
        </w:rPr>
        <w:t>To monitor</w:t>
      </w:r>
      <w:r>
        <w:rPr>
          <w:rFonts w:ascii="Times New Roman" w:hAnsi="Times New Roman"/>
          <w:i/>
          <w:noProof/>
          <w:lang w:val="en-IE"/>
        </w:rPr>
        <w:t xml:space="preserve"> dangerous intersections for an </w:t>
      </w:r>
      <w:r>
        <w:rPr>
          <w:rFonts w:ascii="Times New Roman" w:hAnsi="Times New Roman"/>
          <w:b/>
          <w:i/>
          <w:noProof/>
          <w:lang w:val="en-IE"/>
        </w:rPr>
        <w:t>autonomous vehicle</w:t>
      </w:r>
      <w:r>
        <w:rPr>
          <w:rFonts w:ascii="Times New Roman" w:hAnsi="Times New Roman"/>
          <w:i/>
          <w:noProof/>
          <w:lang w:val="en-IE"/>
        </w:rPr>
        <w:t xml:space="preserve"> so that it can travel safely.  </w:t>
      </w:r>
    </w:p>
    <w:p w:rsidR="0007764C" w:rsidRDefault="00A17FAC">
      <w:pPr>
        <w:pStyle w:val="ListParagraph"/>
        <w:numPr>
          <w:ilvl w:val="0"/>
          <w:numId w:val="74"/>
        </w:numPr>
        <w:pBdr>
          <w:top w:val="single" w:sz="4" w:space="1" w:color="auto"/>
          <w:left w:val="single" w:sz="4" w:space="4" w:color="auto"/>
          <w:bottom w:val="single" w:sz="4" w:space="1" w:color="auto"/>
          <w:right w:val="single" w:sz="4" w:space="4" w:color="auto"/>
        </w:pBdr>
        <w:shd w:val="clear" w:color="auto" w:fill="D9D9D9" w:themeFill="background1" w:themeFillShade="D9"/>
        <w:spacing w:after="120"/>
        <w:ind w:left="426" w:hanging="426"/>
        <w:jc w:val="both"/>
        <w:rPr>
          <w:rFonts w:ascii="Times New Roman" w:hAnsi="Times New Roman"/>
          <w:i/>
          <w:noProof/>
          <w:lang w:val="en-IE"/>
        </w:rPr>
      </w:pPr>
      <w:r>
        <w:rPr>
          <w:rFonts w:ascii="Times New Roman" w:hAnsi="Times New Roman"/>
          <w:i/>
          <w:noProof/>
          <w:lang w:val="en-IE"/>
        </w:rPr>
        <w:t>In “</w:t>
      </w:r>
      <w:r>
        <w:rPr>
          <w:rFonts w:ascii="Times New Roman" w:hAnsi="Times New Roman"/>
          <w:b/>
          <w:i/>
          <w:noProof/>
          <w:lang w:val="en-IE"/>
        </w:rPr>
        <w:t>Smart Farming</w:t>
      </w:r>
      <w:r>
        <w:rPr>
          <w:rFonts w:ascii="Times New Roman" w:hAnsi="Times New Roman"/>
          <w:i/>
          <w:noProof/>
          <w:lang w:val="en-IE"/>
        </w:rPr>
        <w:t xml:space="preserve">” where the deployment of edge capacity connected to machinery in farms will allow to collect </w:t>
      </w:r>
      <w:r>
        <w:rPr>
          <w:rFonts w:ascii="Times New Roman" w:hAnsi="Times New Roman"/>
          <w:i/>
          <w:noProof/>
          <w:lang w:val="en-IE"/>
        </w:rPr>
        <w:t>agriculture data in real time, provide advanced services to farmers like harvest prediction or farm management, and optimise food supply chains.</w:t>
      </w:r>
    </w:p>
    <w:p w:rsidR="0007764C" w:rsidRDefault="00A17FAC">
      <w:pPr>
        <w:pStyle w:val="ListParagraph"/>
        <w:numPr>
          <w:ilvl w:val="0"/>
          <w:numId w:val="74"/>
        </w:numPr>
        <w:pBdr>
          <w:top w:val="single" w:sz="4" w:space="1" w:color="auto"/>
          <w:left w:val="single" w:sz="4" w:space="4" w:color="auto"/>
          <w:bottom w:val="single" w:sz="4" w:space="1" w:color="auto"/>
          <w:right w:val="single" w:sz="4" w:space="4" w:color="auto"/>
        </w:pBdr>
        <w:shd w:val="clear" w:color="auto" w:fill="D9D9D9" w:themeFill="background1" w:themeFillShade="D9"/>
        <w:spacing w:after="120"/>
        <w:ind w:left="426" w:hanging="426"/>
        <w:jc w:val="both"/>
        <w:rPr>
          <w:rFonts w:ascii="Times New Roman" w:hAnsi="Times New Roman"/>
          <w:i/>
          <w:noProof/>
          <w:lang w:val="en-IE"/>
        </w:rPr>
      </w:pPr>
      <w:r>
        <w:rPr>
          <w:rFonts w:ascii="Times New Roman" w:hAnsi="Times New Roman"/>
          <w:i/>
          <w:noProof/>
          <w:lang w:val="en-IE"/>
        </w:rPr>
        <w:t xml:space="preserve">In </w:t>
      </w:r>
      <w:r>
        <w:rPr>
          <w:rFonts w:ascii="Times New Roman" w:hAnsi="Times New Roman"/>
          <w:b/>
          <w:i/>
          <w:noProof/>
          <w:lang w:val="en-IE"/>
        </w:rPr>
        <w:t>Manufacturing-as-a-service</w:t>
      </w:r>
      <w:r>
        <w:rPr>
          <w:rFonts w:ascii="Times New Roman" w:hAnsi="Times New Roman"/>
          <w:i/>
          <w:noProof/>
          <w:lang w:val="en-IE"/>
        </w:rPr>
        <w:t xml:space="preserve"> enabling manufacturing companies – notably SMEs – to have local access to cloud-b</w:t>
      </w:r>
      <w:r>
        <w:rPr>
          <w:rFonts w:ascii="Times New Roman" w:hAnsi="Times New Roman"/>
          <w:i/>
          <w:noProof/>
          <w:lang w:val="en-IE"/>
        </w:rPr>
        <w:t xml:space="preserve">ased innovative industrial services platforms, and market places to boost the visibility of their production capacities. </w:t>
      </w:r>
    </w:p>
    <w:p w:rsidR="0007764C" w:rsidRDefault="00A17FAC">
      <w:pPr>
        <w:pStyle w:val="ListParagraph"/>
        <w:numPr>
          <w:ilvl w:val="0"/>
          <w:numId w:val="74"/>
        </w:numPr>
        <w:pBdr>
          <w:top w:val="single" w:sz="4" w:space="1" w:color="auto"/>
          <w:left w:val="single" w:sz="4" w:space="4" w:color="auto"/>
          <w:bottom w:val="single" w:sz="4" w:space="1" w:color="auto"/>
          <w:right w:val="single" w:sz="4" w:space="4" w:color="auto"/>
        </w:pBdr>
        <w:shd w:val="clear" w:color="auto" w:fill="D9D9D9" w:themeFill="background1" w:themeFillShade="D9"/>
        <w:spacing w:after="120"/>
        <w:ind w:left="426" w:hanging="426"/>
        <w:jc w:val="both"/>
        <w:rPr>
          <w:rFonts w:ascii="Times New Roman" w:hAnsi="Times New Roman"/>
          <w:i/>
          <w:noProof/>
          <w:lang w:val="en-IE"/>
        </w:rPr>
      </w:pPr>
      <w:r>
        <w:rPr>
          <w:rFonts w:ascii="Times New Roman" w:hAnsi="Times New Roman"/>
          <w:b/>
          <w:i/>
          <w:noProof/>
          <w:lang w:val="en-IE"/>
        </w:rPr>
        <w:t>Health data and health records:</w:t>
      </w:r>
      <w:r>
        <w:rPr>
          <w:rFonts w:ascii="Times New Roman" w:hAnsi="Times New Roman"/>
          <w:i/>
          <w:noProof/>
          <w:lang w:val="en-IE"/>
        </w:rPr>
        <w:t xml:space="preserve"> this will allow to collect and aggregate health data at local level much more quickly (e.g. in context</w:t>
      </w:r>
      <w:r>
        <w:rPr>
          <w:rFonts w:ascii="Times New Roman" w:hAnsi="Times New Roman"/>
          <w:i/>
          <w:noProof/>
          <w:lang w:val="en-IE"/>
        </w:rPr>
        <w:t xml:space="preserve"> of pandemic).</w:t>
      </w:r>
    </w:p>
    <w:p w:rsidR="0007764C" w:rsidRDefault="00A17FAC">
      <w:pPr>
        <w:pStyle w:val="ListParagraph"/>
        <w:numPr>
          <w:ilvl w:val="0"/>
          <w:numId w:val="74"/>
        </w:numPr>
        <w:pBdr>
          <w:top w:val="single" w:sz="4" w:space="1" w:color="auto"/>
          <w:left w:val="single" w:sz="4" w:space="4" w:color="auto"/>
          <w:bottom w:val="single" w:sz="4" w:space="1" w:color="auto"/>
          <w:right w:val="single" w:sz="4" w:space="4" w:color="auto"/>
        </w:pBdr>
        <w:shd w:val="clear" w:color="auto" w:fill="D9D9D9" w:themeFill="background1" w:themeFillShade="D9"/>
        <w:spacing w:after="120"/>
        <w:ind w:left="426" w:hanging="426"/>
        <w:jc w:val="both"/>
        <w:rPr>
          <w:rFonts w:ascii="Times New Roman" w:hAnsi="Times New Roman"/>
          <w:i/>
          <w:noProof/>
          <w:lang w:val="en-IE"/>
        </w:rPr>
      </w:pPr>
      <w:r>
        <w:rPr>
          <w:rFonts w:ascii="Times New Roman" w:hAnsi="Times New Roman"/>
          <w:i/>
          <w:noProof/>
          <w:lang w:val="en-IE"/>
        </w:rPr>
        <w:t xml:space="preserve">In </w:t>
      </w:r>
      <w:r>
        <w:rPr>
          <w:rFonts w:ascii="Times New Roman" w:hAnsi="Times New Roman"/>
          <w:b/>
          <w:i/>
          <w:noProof/>
          <w:lang w:val="en-IE"/>
        </w:rPr>
        <w:t>public sector modernization</w:t>
      </w:r>
      <w:r>
        <w:rPr>
          <w:rFonts w:ascii="Times New Roman" w:hAnsi="Times New Roman"/>
          <w:i/>
          <w:noProof/>
          <w:lang w:val="en-IE"/>
        </w:rPr>
        <w:t xml:space="preserve"> where edge deployment will provide data processing capacity for local public administration.</w:t>
      </w:r>
    </w:p>
    <w:p w:rsidR="0007764C" w:rsidRDefault="0007764C">
      <w:pPr>
        <w:pStyle w:val="ListParagraph"/>
        <w:spacing w:after="120" w:line="259" w:lineRule="auto"/>
        <w:ind w:left="426"/>
        <w:jc w:val="both"/>
        <w:rPr>
          <w:rFonts w:ascii="Times New Roman" w:hAnsi="Times New Roman" w:cs="Times New Roman"/>
          <w:i/>
          <w:noProof/>
          <w:lang w:val="en-US"/>
        </w:rPr>
      </w:pPr>
    </w:p>
    <w:p w:rsidR="0007764C" w:rsidRDefault="00A17FAC">
      <w:pPr>
        <w:pBdr>
          <w:top w:val="single" w:sz="4" w:space="1" w:color="auto"/>
          <w:left w:val="single" w:sz="4" w:space="4" w:color="auto"/>
          <w:bottom w:val="single" w:sz="4" w:space="0" w:color="auto"/>
          <w:right w:val="single" w:sz="4" w:space="4" w:color="auto"/>
        </w:pBdr>
        <w:spacing w:after="120" w:line="276" w:lineRule="auto"/>
        <w:jc w:val="both"/>
        <w:rPr>
          <w:rFonts w:ascii="Times New Roman" w:hAnsi="Times New Roman" w:cs="Times New Roman"/>
          <w:b/>
          <w:i/>
          <w:noProof/>
          <w:lang w:val="en-US"/>
        </w:rPr>
      </w:pPr>
      <w:r>
        <w:rPr>
          <w:rFonts w:ascii="Times New Roman" w:hAnsi="Times New Roman" w:cs="Times New Roman"/>
          <w:i/>
          <w:noProof/>
          <w:lang w:val="en-US"/>
        </w:rPr>
        <w:t xml:space="preserve">It is our proposed level of ambition that </w:t>
      </w:r>
      <w:r>
        <w:rPr>
          <w:rFonts w:ascii="Times New Roman" w:hAnsi="Times New Roman" w:cs="Times New Roman"/>
          <w:b/>
          <w:i/>
          <w:noProof/>
          <w:lang w:val="en-US"/>
        </w:rPr>
        <w:t xml:space="preserve">by 2030 </w:t>
      </w:r>
    </w:p>
    <w:p w:rsidR="0007764C" w:rsidRDefault="00A17FAC">
      <w:pPr>
        <w:pStyle w:val="ListParagraph"/>
        <w:numPr>
          <w:ilvl w:val="0"/>
          <w:numId w:val="77"/>
        </w:numPr>
        <w:pBdr>
          <w:top w:val="single" w:sz="4" w:space="1" w:color="auto"/>
          <w:left w:val="single" w:sz="4" w:space="4" w:color="auto"/>
          <w:bottom w:val="single" w:sz="4" w:space="0" w:color="auto"/>
          <w:right w:val="single" w:sz="4" w:space="4" w:color="auto"/>
        </w:pBdr>
        <w:spacing w:after="120" w:line="276" w:lineRule="auto"/>
        <w:jc w:val="both"/>
        <w:rPr>
          <w:rFonts w:ascii="Times New Roman" w:hAnsi="Times New Roman" w:cs="Times New Roman"/>
          <w:i/>
          <w:noProof/>
        </w:rPr>
      </w:pPr>
      <w:r>
        <w:rPr>
          <w:rFonts w:ascii="Times New Roman" w:hAnsi="Times New Roman" w:cs="Times New Roman"/>
          <w:b/>
          <w:i/>
          <w:noProof/>
          <w:sz w:val="24"/>
          <w:szCs w:val="24"/>
        </w:rPr>
        <w:t>10,000 climate neutral highly secure edge nodes</w:t>
      </w:r>
      <w:r>
        <w:rPr>
          <w:rStyle w:val="FootnoteReference"/>
          <w:rFonts w:ascii="Times New Roman" w:hAnsi="Times New Roman" w:cs="Times New Roman"/>
          <w:b/>
          <w:i/>
          <w:noProof/>
          <w:sz w:val="24"/>
          <w:szCs w:val="24"/>
        </w:rPr>
        <w:footnoteReference w:id="23"/>
      </w:r>
      <w:r>
        <w:rPr>
          <w:rFonts w:ascii="Times New Roman" w:hAnsi="Times New Roman" w:cs="Times New Roman"/>
          <w:b/>
          <w:i/>
          <w:noProof/>
          <w:sz w:val="24"/>
          <w:szCs w:val="24"/>
        </w:rPr>
        <w:t xml:space="preserve"> are deployed in the EU, distributed in a way that will guarantee access to data services with low latency (few milliseconds) wherever businesses are located.</w:t>
      </w:r>
    </w:p>
    <w:p w:rsidR="0007764C" w:rsidRDefault="00A17FAC">
      <w:pPr>
        <w:spacing w:after="120" w:line="259" w:lineRule="auto"/>
        <w:jc w:val="both"/>
        <w:rPr>
          <w:rFonts w:ascii="Times New Roman" w:hAnsi="Times New Roman" w:cs="Times New Roman"/>
          <w:noProof/>
          <w:lang w:val="en-US"/>
        </w:rPr>
      </w:pPr>
      <w:r>
        <w:rPr>
          <w:rFonts w:ascii="Times New Roman" w:hAnsi="Times New Roman" w:cs="Times New Roman"/>
          <w:noProof/>
          <w:lang w:val="en-US"/>
        </w:rPr>
        <w:t>Yet, the cloud and edge ecosystem will not bring their full benefits to European businesses and p</w:t>
      </w:r>
      <w:r>
        <w:rPr>
          <w:rFonts w:ascii="Times New Roman" w:hAnsi="Times New Roman" w:cs="Times New Roman"/>
          <w:noProof/>
          <w:lang w:val="en-US"/>
        </w:rPr>
        <w:t xml:space="preserve">ublic administrations unless accompanied by state-of-art </w:t>
      </w:r>
      <w:r>
        <w:rPr>
          <w:rFonts w:ascii="Times New Roman" w:hAnsi="Times New Roman"/>
          <w:b/>
          <w:noProof/>
          <w:lang w:val="en-US"/>
        </w:rPr>
        <w:t>computing capacity</w:t>
      </w:r>
      <w:r>
        <w:rPr>
          <w:rFonts w:ascii="Times New Roman" w:hAnsi="Times New Roman" w:cs="Times New Roman"/>
          <w:noProof/>
          <w:lang w:val="en-US"/>
        </w:rPr>
        <w:t xml:space="preserve">. In </w:t>
      </w:r>
      <w:r>
        <w:rPr>
          <w:rFonts w:ascii="Times New Roman" w:hAnsi="Times New Roman"/>
          <w:noProof/>
          <w:lang w:val="en-US"/>
        </w:rPr>
        <w:t xml:space="preserve">this </w:t>
      </w:r>
      <w:r>
        <w:rPr>
          <w:rFonts w:ascii="Times New Roman" w:hAnsi="Times New Roman" w:cs="Times New Roman"/>
          <w:noProof/>
          <w:lang w:val="en-US"/>
        </w:rPr>
        <w:t xml:space="preserve">regard, the cooperation with the Member States through the already established European High Performance Computing Joint Undertaking will be accelerated to deploy a world leading, federated supercomputing and quantum computing data infrastructure. </w:t>
      </w:r>
    </w:p>
    <w:p w:rsidR="0007764C" w:rsidRDefault="00A17FAC">
      <w:pPr>
        <w:spacing w:after="120" w:line="259" w:lineRule="auto"/>
        <w:jc w:val="both"/>
        <w:rPr>
          <w:rFonts w:ascii="Times New Roman" w:hAnsi="Times New Roman" w:cs="Times New Roman"/>
          <w:noProof/>
          <w:lang w:val="en-US"/>
        </w:rPr>
      </w:pPr>
      <w:r>
        <w:rPr>
          <w:rFonts w:ascii="Times New Roman" w:hAnsi="Times New Roman" w:cs="Times New Roman"/>
          <w:noProof/>
          <w:lang w:val="en-US"/>
        </w:rPr>
        <w:t xml:space="preserve">At the </w:t>
      </w:r>
      <w:r>
        <w:rPr>
          <w:rFonts w:ascii="Times New Roman" w:hAnsi="Times New Roman" w:cs="Times New Roman"/>
          <w:noProof/>
          <w:lang w:val="en-US"/>
        </w:rPr>
        <w:t xml:space="preserve">same time, the EU must invest in new </w:t>
      </w:r>
      <w:r>
        <w:rPr>
          <w:rFonts w:ascii="Times New Roman" w:hAnsi="Times New Roman" w:cs="Times New Roman"/>
          <w:b/>
          <w:noProof/>
          <w:lang w:val="en-US"/>
        </w:rPr>
        <w:t>quantum</w:t>
      </w:r>
      <w:r>
        <w:rPr>
          <w:rFonts w:ascii="Times New Roman" w:hAnsi="Times New Roman" w:cs="Times New Roman"/>
          <w:noProof/>
          <w:lang w:val="en-US"/>
        </w:rPr>
        <w:t xml:space="preserve"> technologies. The EU should be at the global cutting edge of developing quantum computers which are fully programmable and accessible from everywhere in Europe while being highly energy efficient and which will </w:t>
      </w:r>
      <w:r>
        <w:rPr>
          <w:rFonts w:ascii="Times New Roman" w:hAnsi="Times New Roman" w:cs="Times New Roman"/>
          <w:noProof/>
          <w:lang w:val="en-US"/>
        </w:rPr>
        <w:t xml:space="preserve">be able to solve in hours what is currently solved in hundreds of days, if not years. </w:t>
      </w:r>
    </w:p>
    <w:p w:rsidR="0007764C" w:rsidRDefault="00A17FAC">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jc w:val="both"/>
        <w:rPr>
          <w:rFonts w:ascii="Times New Roman" w:hAnsi="Times New Roman"/>
          <w:i/>
          <w:noProof/>
          <w:sz w:val="22"/>
          <w:lang w:val="en-IE"/>
        </w:rPr>
      </w:pPr>
      <w:r>
        <w:rPr>
          <w:rFonts w:ascii="Times New Roman" w:hAnsi="Times New Roman"/>
          <w:b/>
          <w:i/>
          <w:noProof/>
          <w:sz w:val="22"/>
          <w:szCs w:val="22"/>
          <w:lang w:val="en-IE"/>
        </w:rPr>
        <w:t xml:space="preserve">The Quantum </w:t>
      </w:r>
      <w:r>
        <w:rPr>
          <w:rFonts w:ascii="Times New Roman" w:hAnsi="Times New Roman" w:cs="Times New Roman"/>
          <w:b/>
          <w:i/>
          <w:noProof/>
          <w:sz w:val="22"/>
          <w:szCs w:val="22"/>
          <w:lang w:val="en-IE"/>
        </w:rPr>
        <w:t>revolution</w:t>
      </w:r>
      <w:r>
        <w:rPr>
          <w:rFonts w:ascii="Times New Roman" w:hAnsi="Times New Roman"/>
          <w:b/>
          <w:i/>
          <w:noProof/>
          <w:sz w:val="22"/>
          <w:lang w:val="en-IE"/>
        </w:rPr>
        <w:t xml:space="preserve"> in the next decade </w:t>
      </w:r>
      <w:r>
        <w:rPr>
          <w:rFonts w:ascii="Times New Roman" w:hAnsi="Times New Roman"/>
          <w:i/>
          <w:noProof/>
          <w:sz w:val="22"/>
          <w:lang w:val="en-IE"/>
        </w:rPr>
        <w:t xml:space="preserve">will be a game changer in the </w:t>
      </w:r>
      <w:r>
        <w:rPr>
          <w:rFonts w:ascii="Times New Roman" w:hAnsi="Times New Roman" w:cs="Times New Roman"/>
          <w:i/>
          <w:noProof/>
          <w:sz w:val="22"/>
          <w:szCs w:val="22"/>
          <w:lang w:val="en-IE"/>
        </w:rPr>
        <w:t xml:space="preserve">emergence and </w:t>
      </w:r>
      <w:r>
        <w:rPr>
          <w:rFonts w:ascii="Times New Roman" w:hAnsi="Times New Roman"/>
          <w:i/>
          <w:noProof/>
          <w:sz w:val="22"/>
          <w:lang w:val="en-IE"/>
        </w:rPr>
        <w:t>use of digital</w:t>
      </w:r>
      <w:r>
        <w:rPr>
          <w:rFonts w:ascii="Times New Roman" w:hAnsi="Times New Roman" w:cs="Times New Roman"/>
          <w:i/>
          <w:noProof/>
          <w:sz w:val="22"/>
          <w:szCs w:val="22"/>
          <w:lang w:val="en-IE"/>
        </w:rPr>
        <w:t xml:space="preserve"> technologies.</w:t>
      </w:r>
      <w:r>
        <w:rPr>
          <w:rFonts w:ascii="Times New Roman" w:hAnsi="Times New Roman"/>
          <w:i/>
          <w:noProof/>
          <w:sz w:val="22"/>
          <w:lang w:val="en-IE"/>
        </w:rPr>
        <w:t xml:space="preserve"> Examples of possible applications include:</w:t>
      </w:r>
    </w:p>
    <w:p w:rsidR="0007764C" w:rsidRDefault="00A17FAC">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ind w:left="426" w:hanging="426"/>
        <w:jc w:val="both"/>
        <w:rPr>
          <w:rFonts w:ascii="Times New Roman" w:hAnsi="Times New Roman"/>
          <w:i/>
          <w:noProof/>
          <w:sz w:val="22"/>
          <w:lang w:val="en-IE"/>
        </w:rPr>
      </w:pPr>
      <w:r>
        <w:rPr>
          <w:rFonts w:ascii="Times New Roman" w:hAnsi="Times New Roman"/>
          <w:i/>
          <w:noProof/>
          <w:sz w:val="22"/>
          <w:lang w:val="en-IE"/>
        </w:rPr>
        <w:t xml:space="preserve">- </w:t>
      </w:r>
      <w:r>
        <w:rPr>
          <w:rFonts w:ascii="Times New Roman" w:hAnsi="Times New Roman" w:cs="Times New Roman"/>
          <w:i/>
          <w:noProof/>
          <w:sz w:val="22"/>
          <w:szCs w:val="22"/>
          <w:lang w:val="en-IE"/>
        </w:rPr>
        <w:tab/>
      </w:r>
      <w:r>
        <w:rPr>
          <w:rFonts w:ascii="Times New Roman" w:hAnsi="Times New Roman"/>
          <w:b/>
          <w:i/>
          <w:noProof/>
          <w:sz w:val="22"/>
          <w:lang w:val="en-IE"/>
        </w:rPr>
        <w:t>Health</w:t>
      </w:r>
      <w:r>
        <w:rPr>
          <w:rFonts w:ascii="Times New Roman" w:hAnsi="Times New Roman"/>
          <w:i/>
          <w:noProof/>
          <w:sz w:val="22"/>
          <w:lang w:val="en-IE"/>
        </w:rPr>
        <w:t xml:space="preserve">: </w:t>
      </w:r>
      <w:r>
        <w:rPr>
          <w:rFonts w:ascii="Times New Roman" w:hAnsi="Times New Roman"/>
          <w:i/>
          <w:noProof/>
          <w:sz w:val="22"/>
          <w:lang w:val="en-IE"/>
        </w:rPr>
        <w:t xml:space="preserve">Quantum </w:t>
      </w:r>
      <w:r>
        <w:rPr>
          <w:rFonts w:ascii="Times New Roman" w:hAnsi="Times New Roman" w:cs="Times New Roman"/>
          <w:i/>
          <w:noProof/>
          <w:sz w:val="22"/>
          <w:szCs w:val="22"/>
          <w:lang w:val="en-IE"/>
        </w:rPr>
        <w:t>computers</w:t>
      </w:r>
      <w:r>
        <w:rPr>
          <w:rFonts w:ascii="Times New Roman" w:hAnsi="Times New Roman"/>
          <w:i/>
          <w:noProof/>
          <w:sz w:val="22"/>
          <w:lang w:val="en-IE"/>
        </w:rPr>
        <w:t xml:space="preserve"> will enable faster and efficient development of medicines such as simulating a human body (“digital twin”) to conduct virtual drug trials, develop personalised cancer treatments; much faster genome sequencing etc. </w:t>
      </w:r>
    </w:p>
    <w:p w:rsidR="0007764C" w:rsidRDefault="00A17FAC">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ind w:left="426" w:hanging="426"/>
        <w:jc w:val="both"/>
        <w:rPr>
          <w:rFonts w:ascii="Times New Roman" w:hAnsi="Times New Roman"/>
          <w:i/>
          <w:noProof/>
          <w:sz w:val="22"/>
          <w:lang w:val="en-IE"/>
        </w:rPr>
      </w:pPr>
      <w:r>
        <w:rPr>
          <w:rFonts w:ascii="Times New Roman" w:hAnsi="Times New Roman"/>
          <w:i/>
          <w:noProof/>
          <w:sz w:val="22"/>
          <w:lang w:val="en-IE"/>
        </w:rPr>
        <w:t xml:space="preserve">- </w:t>
      </w:r>
      <w:r>
        <w:rPr>
          <w:rFonts w:ascii="Times New Roman" w:hAnsi="Times New Roman" w:cs="Times New Roman"/>
          <w:i/>
          <w:noProof/>
          <w:sz w:val="22"/>
          <w:szCs w:val="22"/>
          <w:lang w:val="en-IE"/>
        </w:rPr>
        <w:tab/>
      </w:r>
      <w:r>
        <w:rPr>
          <w:rFonts w:ascii="Times New Roman" w:hAnsi="Times New Roman"/>
          <w:b/>
          <w:i/>
          <w:noProof/>
          <w:sz w:val="22"/>
          <w:lang w:val="en-IE"/>
        </w:rPr>
        <w:t>Increase security of</w:t>
      </w:r>
      <w:r>
        <w:rPr>
          <w:rFonts w:ascii="Times New Roman" w:hAnsi="Times New Roman"/>
          <w:b/>
          <w:i/>
          <w:noProof/>
          <w:sz w:val="22"/>
          <w:lang w:val="en-IE"/>
        </w:rPr>
        <w:t xml:space="preserve"> communication and data transfers</w:t>
      </w:r>
      <w:r>
        <w:rPr>
          <w:rFonts w:ascii="Times New Roman" w:hAnsi="Times New Roman"/>
          <w:i/>
          <w:noProof/>
          <w:sz w:val="22"/>
          <w:lang w:val="en-IE"/>
        </w:rPr>
        <w:t>: Quantum secured communication systems can safeguard sensitive communications, online voting systems, and financial transactions, ensure the long-term storage of sensitive health and national security-related data, and kee</w:t>
      </w:r>
      <w:r>
        <w:rPr>
          <w:rFonts w:ascii="Times New Roman" w:hAnsi="Times New Roman"/>
          <w:i/>
          <w:noProof/>
          <w:sz w:val="22"/>
          <w:lang w:val="en-IE"/>
        </w:rPr>
        <w:t xml:space="preserve">p critical communication infrastructure safe. </w:t>
      </w:r>
    </w:p>
    <w:p w:rsidR="0007764C" w:rsidRDefault="00A17FAC">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ind w:left="426" w:hanging="426"/>
        <w:jc w:val="both"/>
        <w:rPr>
          <w:rFonts w:ascii="Times New Roman" w:hAnsi="Times New Roman"/>
          <w:i/>
          <w:noProof/>
          <w:sz w:val="22"/>
          <w:lang w:val="en-IE"/>
        </w:rPr>
      </w:pPr>
      <w:r>
        <w:rPr>
          <w:rFonts w:ascii="Times New Roman" w:hAnsi="Times New Roman"/>
          <w:i/>
          <w:noProof/>
          <w:sz w:val="22"/>
          <w:lang w:val="en-IE"/>
        </w:rPr>
        <w:t xml:space="preserve">- </w:t>
      </w:r>
      <w:r>
        <w:rPr>
          <w:rFonts w:ascii="Times New Roman" w:hAnsi="Times New Roman" w:cs="Times New Roman"/>
          <w:i/>
          <w:noProof/>
          <w:sz w:val="22"/>
          <w:szCs w:val="22"/>
          <w:lang w:val="en-IE"/>
        </w:rPr>
        <w:tab/>
      </w:r>
      <w:r>
        <w:rPr>
          <w:rFonts w:ascii="Times New Roman" w:hAnsi="Times New Roman"/>
          <w:b/>
          <w:i/>
          <w:noProof/>
          <w:sz w:val="22"/>
          <w:lang w:val="en-IE"/>
        </w:rPr>
        <w:t>Better monitoring of resources</w:t>
      </w:r>
      <w:r>
        <w:rPr>
          <w:rFonts w:ascii="Times New Roman" w:hAnsi="Times New Roman"/>
          <w:i/>
          <w:noProof/>
          <w:sz w:val="22"/>
          <w:lang w:val="en-IE"/>
        </w:rPr>
        <w:t>: Quantum gravity sensors based on Earth or fitted to space-borne satellites, will measure gravitational fields, making it possible to detect obstacles, subsidence and water re</w:t>
      </w:r>
      <w:r>
        <w:rPr>
          <w:rFonts w:ascii="Times New Roman" w:hAnsi="Times New Roman"/>
          <w:i/>
          <w:noProof/>
          <w:sz w:val="22"/>
          <w:lang w:val="en-IE"/>
        </w:rPr>
        <w:t>sources under the ground and monitor natural phenomena such as volcanic activity.</w:t>
      </w:r>
    </w:p>
    <w:p w:rsidR="0007764C" w:rsidRDefault="00A17FAC">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ind w:left="426" w:hanging="426"/>
        <w:jc w:val="both"/>
        <w:rPr>
          <w:rFonts w:ascii="Times New Roman" w:hAnsi="Times New Roman"/>
          <w:i/>
          <w:noProof/>
          <w:sz w:val="22"/>
          <w:lang w:val="en-IE"/>
        </w:rPr>
      </w:pPr>
      <w:r>
        <w:rPr>
          <w:rFonts w:ascii="Times New Roman" w:hAnsi="Times New Roman" w:cs="Times New Roman"/>
          <w:i/>
          <w:noProof/>
          <w:lang w:val="en-IE"/>
        </w:rPr>
        <w:t xml:space="preserve">- </w:t>
      </w:r>
      <w:r>
        <w:rPr>
          <w:rFonts w:ascii="Times New Roman" w:hAnsi="Times New Roman" w:cs="Times New Roman"/>
          <w:i/>
          <w:noProof/>
          <w:lang w:val="en-IE"/>
        </w:rPr>
        <w:tab/>
      </w:r>
      <w:r>
        <w:rPr>
          <w:rFonts w:ascii="Times New Roman" w:hAnsi="Times New Roman"/>
          <w:b/>
          <w:i/>
          <w:noProof/>
          <w:sz w:val="22"/>
          <w:lang w:val="en-IE"/>
        </w:rPr>
        <w:t>Business/environment</w:t>
      </w:r>
      <w:r>
        <w:rPr>
          <w:rFonts w:ascii="Times New Roman" w:hAnsi="Times New Roman"/>
          <w:i/>
          <w:noProof/>
          <w:sz w:val="22"/>
          <w:lang w:val="en-IE"/>
        </w:rPr>
        <w:t xml:space="preserve">: Quantum computers will optimise the use of algorithms to solve highly complex </w:t>
      </w:r>
      <w:r>
        <w:rPr>
          <w:rFonts w:ascii="Times New Roman" w:hAnsi="Times New Roman" w:cs="Times New Roman"/>
          <w:i/>
          <w:noProof/>
          <w:sz w:val="22"/>
          <w:szCs w:val="22"/>
          <w:lang w:val="en-IE"/>
        </w:rPr>
        <w:t>logistical</w:t>
      </w:r>
      <w:r>
        <w:rPr>
          <w:rFonts w:ascii="Times New Roman" w:hAnsi="Times New Roman"/>
          <w:i/>
          <w:noProof/>
          <w:sz w:val="22"/>
          <w:lang w:val="en-IE"/>
        </w:rPr>
        <w:t xml:space="preserve"> and scheduling problems</w:t>
      </w:r>
      <w:r>
        <w:rPr>
          <w:rFonts w:ascii="Times New Roman" w:hAnsi="Times New Roman" w:cs="Times New Roman"/>
          <w:i/>
          <w:noProof/>
          <w:sz w:val="22"/>
          <w:szCs w:val="22"/>
          <w:lang w:val="en-IE"/>
        </w:rPr>
        <w:t>,</w:t>
      </w:r>
      <w:r>
        <w:rPr>
          <w:rFonts w:ascii="Times New Roman" w:hAnsi="Times New Roman"/>
          <w:i/>
          <w:noProof/>
          <w:sz w:val="22"/>
          <w:lang w:val="en-IE"/>
        </w:rPr>
        <w:t xml:space="preserve"> resulting in saving time and fuel or finding the cheapest combination of renewable sources to supply an energy grid.</w:t>
      </w:r>
    </w:p>
    <w:p w:rsidR="0007764C" w:rsidRDefault="0007764C">
      <w:pPr>
        <w:spacing w:after="120"/>
        <w:rPr>
          <w:rFonts w:ascii="Times New Roman" w:hAnsi="Times New Roman"/>
          <w:i/>
          <w:noProof/>
          <w:lang w:val="en-US"/>
        </w:rPr>
      </w:pPr>
    </w:p>
    <w:p w:rsidR="0007764C" w:rsidRDefault="00A17FAC">
      <w:pPr>
        <w:pBdr>
          <w:top w:val="single" w:sz="4" w:space="1" w:color="auto"/>
          <w:left w:val="single" w:sz="4" w:space="4" w:color="auto"/>
          <w:bottom w:val="single" w:sz="4" w:space="1" w:color="auto"/>
          <w:right w:val="single" w:sz="4" w:space="4" w:color="auto"/>
        </w:pBdr>
        <w:spacing w:after="120" w:line="259" w:lineRule="auto"/>
        <w:jc w:val="both"/>
        <w:rPr>
          <w:rFonts w:ascii="Times New Roman" w:hAnsi="Times New Roman" w:cs="Times New Roman"/>
          <w:i/>
          <w:noProof/>
          <w:lang w:val="en-US"/>
        </w:rPr>
      </w:pPr>
      <w:r>
        <w:rPr>
          <w:rFonts w:ascii="Times New Roman" w:hAnsi="Times New Roman" w:cs="Times New Roman"/>
          <w:i/>
          <w:noProof/>
          <w:lang w:val="en-US"/>
        </w:rPr>
        <w:t>It is our proposed level of ambition that</w:t>
      </w:r>
    </w:p>
    <w:p w:rsidR="0007764C" w:rsidRDefault="00A17FAC">
      <w:pPr>
        <w:pBdr>
          <w:top w:val="single" w:sz="4" w:space="1" w:color="auto"/>
          <w:left w:val="single" w:sz="4" w:space="4" w:color="auto"/>
          <w:bottom w:val="single" w:sz="4" w:space="1" w:color="auto"/>
          <w:right w:val="single" w:sz="4" w:space="4" w:color="auto"/>
        </w:pBdr>
        <w:spacing w:after="120" w:line="259" w:lineRule="auto"/>
        <w:jc w:val="both"/>
        <w:rPr>
          <w:rFonts w:ascii="Times New Roman" w:hAnsi="Times New Roman"/>
          <w:b/>
          <w:i/>
          <w:noProof/>
          <w:lang w:val="en-US"/>
        </w:rPr>
      </w:pPr>
      <w:r>
        <w:rPr>
          <w:rFonts w:ascii="Times New Roman" w:hAnsi="Times New Roman" w:cs="Times New Roman"/>
          <w:b/>
          <w:i/>
          <w:noProof/>
          <w:lang w:val="en-US"/>
        </w:rPr>
        <w:t xml:space="preserve">By 2025, Europe will have its first computer with quantum acceleration paving the way for </w:t>
      </w:r>
      <w:r>
        <w:rPr>
          <w:rFonts w:ascii="Times New Roman" w:hAnsi="Times New Roman" w:cs="Times New Roman"/>
          <w:b/>
          <w:i/>
          <w:noProof/>
          <w:lang w:val="en-US"/>
        </w:rPr>
        <w:t>Europe to be at the cutting edge of quantum capabilities by 2030.</w:t>
      </w:r>
    </w:p>
    <w:p w:rsidR="0007764C" w:rsidRDefault="00A17FAC">
      <w:pPr>
        <w:spacing w:before="240" w:after="120"/>
        <w:ind w:left="284"/>
        <w:outlineLvl w:val="1"/>
        <w:rPr>
          <w:rFonts w:ascii="Times New Roman" w:eastAsiaTheme="majorEastAsia" w:hAnsi="Times New Roman" w:cs="Times New Roman"/>
          <w:b/>
          <w:i/>
          <w:noProof/>
          <w:lang w:val="en-GB" w:eastAsia="en-US"/>
        </w:rPr>
      </w:pPr>
      <w:bookmarkStart w:id="41" w:name="_Toc64388638"/>
      <w:bookmarkStart w:id="42" w:name="_Toc64456131"/>
      <w:bookmarkStart w:id="43" w:name="_Toc64456180"/>
      <w:bookmarkStart w:id="44" w:name="_Toc64493223"/>
      <w:bookmarkStart w:id="45" w:name="_Toc64495317"/>
      <w:bookmarkStart w:id="46" w:name="_Toc64581248"/>
      <w:bookmarkStart w:id="47" w:name="_Toc64584041"/>
      <w:bookmarkStart w:id="48" w:name="_Toc65313734"/>
      <w:r>
        <w:rPr>
          <w:rFonts w:ascii="Times New Roman" w:eastAsiaTheme="majorEastAsia" w:hAnsi="Times New Roman" w:cs="Times New Roman"/>
          <w:b/>
          <w:i/>
          <w:noProof/>
          <w:lang w:val="en-GB" w:eastAsia="en-US"/>
        </w:rPr>
        <w:t>3.3</w:t>
      </w:r>
      <w:r>
        <w:rPr>
          <w:rFonts w:ascii="Times New Roman" w:eastAsiaTheme="majorEastAsia" w:hAnsi="Times New Roman" w:cs="Times New Roman"/>
          <w:b/>
          <w:i/>
          <w:noProof/>
          <w:lang w:val="en-GB" w:eastAsia="en-US"/>
        </w:rPr>
        <w:tab/>
        <w:t>Digital transformation of businesses</w:t>
      </w:r>
      <w:bookmarkEnd w:id="41"/>
      <w:bookmarkEnd w:id="42"/>
      <w:bookmarkEnd w:id="43"/>
      <w:bookmarkEnd w:id="44"/>
      <w:bookmarkEnd w:id="45"/>
      <w:bookmarkEnd w:id="46"/>
      <w:bookmarkEnd w:id="47"/>
      <w:bookmarkEnd w:id="48"/>
    </w:p>
    <w:p w:rsidR="0007764C" w:rsidRDefault="00A17FAC">
      <w:pPr>
        <w:spacing w:after="120" w:line="259" w:lineRule="auto"/>
        <w:jc w:val="both"/>
        <w:rPr>
          <w:rFonts w:ascii="Times New Roman" w:hAnsi="Times New Roman" w:cs="Times New Roman"/>
          <w:noProof/>
          <w:lang w:val="en-GB"/>
        </w:rPr>
      </w:pPr>
      <w:r>
        <w:rPr>
          <w:rFonts w:ascii="Times New Roman" w:hAnsi="Times New Roman" w:cs="Times New Roman"/>
          <w:noProof/>
          <w:lang w:val="en-GB"/>
        </w:rPr>
        <w:t>During the COVID-19 pandemic embracing digital technologies has become essential for many businesses. By 2030, more than just enablers, digital techn</w:t>
      </w:r>
      <w:r>
        <w:rPr>
          <w:rFonts w:ascii="Times New Roman" w:hAnsi="Times New Roman" w:cs="Times New Roman"/>
          <w:noProof/>
          <w:lang w:val="en-GB"/>
        </w:rPr>
        <w:t>ologies including 5G, the Internet of Things, edge computing, Artificial Intelligence, robotics and augmented reality will be at the core of new products, new manufacturing processes and new business models</w:t>
      </w:r>
      <w:r>
        <w:rPr>
          <w:noProof/>
          <w:lang w:val="en-IE"/>
        </w:rPr>
        <w:t xml:space="preserve"> </w:t>
      </w:r>
      <w:r>
        <w:rPr>
          <w:rFonts w:ascii="Times New Roman" w:hAnsi="Times New Roman" w:cs="Times New Roman"/>
          <w:noProof/>
          <w:lang w:val="en-GB"/>
        </w:rPr>
        <w:t>based on fair sharing of data in the data economy</w:t>
      </w:r>
      <w:r>
        <w:rPr>
          <w:rFonts w:ascii="Times New Roman" w:hAnsi="Times New Roman" w:cs="Times New Roman"/>
          <w:noProof/>
          <w:lang w:val="en-GB"/>
        </w:rPr>
        <w:t>. In this context, the swift adoption and implementation of the Commission’s proposals for the Digital Single Market and Shaping Europe’s digital future strategies</w:t>
      </w:r>
      <w:r>
        <w:rPr>
          <w:rStyle w:val="FootnoteReference"/>
          <w:rFonts w:ascii="Times New Roman" w:hAnsi="Times New Roman" w:cs="Times New Roman"/>
          <w:noProof/>
        </w:rPr>
        <w:footnoteReference w:id="24"/>
      </w:r>
      <w:r>
        <w:rPr>
          <w:rFonts w:ascii="Times New Roman" w:hAnsi="Times New Roman" w:cs="Times New Roman"/>
          <w:noProof/>
          <w:lang w:val="en-GB"/>
        </w:rPr>
        <w:t xml:space="preserve"> will enhance the digital transformation of businesses and ensure a </w:t>
      </w:r>
      <w:r>
        <w:rPr>
          <w:rFonts w:ascii="Times New Roman" w:hAnsi="Times New Roman"/>
          <w:noProof/>
          <w:lang w:val="en-GB"/>
        </w:rPr>
        <w:t>fair and competitive dig</w:t>
      </w:r>
      <w:r>
        <w:rPr>
          <w:rFonts w:ascii="Times New Roman" w:hAnsi="Times New Roman"/>
          <w:noProof/>
          <w:lang w:val="en-GB"/>
        </w:rPr>
        <w:t>ital economy</w:t>
      </w:r>
      <w:r>
        <w:rPr>
          <w:rFonts w:ascii="Times New Roman" w:hAnsi="Times New Roman" w:cs="Times New Roman"/>
          <w:noProof/>
          <w:lang w:val="en-GB"/>
        </w:rPr>
        <w:t>. It will also need to be matched with a level playing field abroad.</w:t>
      </w:r>
    </w:p>
    <w:p w:rsidR="0007764C" w:rsidRDefault="00A17FAC">
      <w:pPr>
        <w:spacing w:after="120" w:line="259" w:lineRule="auto"/>
        <w:jc w:val="both"/>
        <w:rPr>
          <w:rFonts w:ascii="Times New Roman" w:hAnsi="Times New Roman" w:cs="Times New Roman"/>
          <w:noProof/>
          <w:lang w:val="en-GB"/>
        </w:rPr>
      </w:pPr>
      <w:r>
        <w:rPr>
          <w:rFonts w:ascii="Times New Roman" w:hAnsi="Times New Roman" w:cs="Times New Roman"/>
          <w:noProof/>
          <w:lang w:val="en-GB"/>
        </w:rPr>
        <w:t xml:space="preserve">The transformation of businesses will depend on their ability to </w:t>
      </w:r>
      <w:r>
        <w:rPr>
          <w:rFonts w:ascii="Times New Roman" w:hAnsi="Times New Roman"/>
          <w:noProof/>
          <w:lang w:val="en-GB"/>
        </w:rPr>
        <w:t>adopt new digital technologies rapidly</w:t>
      </w:r>
      <w:r>
        <w:rPr>
          <w:rFonts w:ascii="Times New Roman" w:hAnsi="Times New Roman" w:cs="Times New Roman"/>
          <w:noProof/>
          <w:lang w:val="en-GB"/>
        </w:rPr>
        <w:t xml:space="preserve"> and across the board, including in industrial and services ecosystems that are lagging behind. EU support, notably through the Single Market, Digital Europe and Cohesion programmes, will promote the deployment and use of digital capabilities including ind</w:t>
      </w:r>
      <w:r>
        <w:rPr>
          <w:rFonts w:ascii="Times New Roman" w:hAnsi="Times New Roman" w:cs="Times New Roman"/>
          <w:noProof/>
          <w:lang w:val="en-GB"/>
        </w:rPr>
        <w:t>ustrial data spaces, computing power, open standards, testing and experimentation facilities.</w:t>
      </w:r>
    </w:p>
    <w:p w:rsidR="0007764C" w:rsidRDefault="00A17FAC">
      <w:pPr>
        <w:spacing w:after="120" w:line="259" w:lineRule="auto"/>
        <w:jc w:val="both"/>
        <w:rPr>
          <w:rFonts w:ascii="Times New Roman" w:hAnsi="Times New Roman" w:cs="Times New Roman"/>
          <w:noProof/>
          <w:lang w:val="en-GB"/>
        </w:rPr>
      </w:pPr>
      <w:r>
        <w:rPr>
          <w:rFonts w:ascii="Times New Roman" w:hAnsi="Times New Roman" w:cs="Times New Roman"/>
          <w:noProof/>
          <w:lang w:val="en-GB"/>
        </w:rPr>
        <w:t>Businesses should be encouraged to adopt digital technologies and products with lower environmental footprint and higher energy and material efficiency. Digital t</w:t>
      </w:r>
      <w:r>
        <w:rPr>
          <w:rFonts w:ascii="Times New Roman" w:hAnsi="Times New Roman" w:cs="Times New Roman"/>
          <w:noProof/>
          <w:lang w:val="en-GB"/>
        </w:rPr>
        <w:t>echnologies must be rapidly deployed to enable a more intensive and efficient resource use. In this way, boosting Europe’s material productivity will both reduce manufacturing input costs and our vulnerability to supply shocks.</w:t>
      </w:r>
    </w:p>
    <w:p w:rsidR="0007764C" w:rsidRDefault="00A17FAC">
      <w:pPr>
        <w:pStyle w:val="ListParagraph"/>
        <w:pBdr>
          <w:top w:val="single" w:sz="4" w:space="1" w:color="auto"/>
          <w:left w:val="single" w:sz="4" w:space="4" w:color="auto"/>
          <w:bottom w:val="single" w:sz="4" w:space="1" w:color="auto"/>
          <w:right w:val="single" w:sz="4" w:space="4" w:color="auto"/>
        </w:pBdr>
        <w:shd w:val="clear" w:color="auto" w:fill="BFBFBF" w:themeFill="background1" w:themeFillShade="BF"/>
        <w:snapToGrid w:val="0"/>
        <w:spacing w:after="120" w:line="240" w:lineRule="auto"/>
        <w:ind w:left="360" w:hanging="360"/>
        <w:contextualSpacing w:val="0"/>
        <w:jc w:val="both"/>
        <w:rPr>
          <w:rFonts w:ascii="Times New Roman" w:hAnsi="Times New Roman" w:cs="Times New Roman"/>
          <w:i/>
          <w:noProof/>
          <w:szCs w:val="24"/>
          <w:lang w:val="en-US"/>
        </w:rPr>
      </w:pPr>
      <w:r>
        <w:rPr>
          <w:rFonts w:ascii="Times New Roman" w:hAnsi="Times New Roman"/>
          <w:i/>
          <w:noProof/>
          <w:u w:val="single"/>
        </w:rPr>
        <w:t xml:space="preserve">The potential of </w:t>
      </w:r>
      <w:r>
        <w:rPr>
          <w:rFonts w:ascii="Times New Roman" w:hAnsi="Times New Roman"/>
          <w:b/>
          <w:i/>
          <w:noProof/>
          <w:u w:val="single"/>
        </w:rPr>
        <w:t>digital tra</w:t>
      </w:r>
      <w:r>
        <w:rPr>
          <w:rFonts w:ascii="Times New Roman" w:hAnsi="Times New Roman"/>
          <w:b/>
          <w:i/>
          <w:noProof/>
          <w:u w:val="single"/>
        </w:rPr>
        <w:t>nsformation</w:t>
      </w:r>
      <w:r>
        <w:rPr>
          <w:rFonts w:ascii="Times New Roman" w:hAnsi="Times New Roman"/>
          <w:i/>
          <w:noProof/>
          <w:u w:val="single"/>
        </w:rPr>
        <w:t xml:space="preserve"> for </w:t>
      </w:r>
      <w:r>
        <w:rPr>
          <w:rFonts w:ascii="Times New Roman" w:hAnsi="Times New Roman" w:cs="Times New Roman"/>
          <w:i/>
          <w:noProof/>
          <w:szCs w:val="24"/>
          <w:u w:val="single"/>
        </w:rPr>
        <w:t>five</w:t>
      </w:r>
      <w:r>
        <w:rPr>
          <w:rFonts w:ascii="Times New Roman" w:hAnsi="Times New Roman"/>
          <w:i/>
          <w:noProof/>
          <w:u w:val="single"/>
        </w:rPr>
        <w:t xml:space="preserve"> key </w:t>
      </w:r>
      <w:r>
        <w:rPr>
          <w:rFonts w:ascii="Times New Roman" w:hAnsi="Times New Roman" w:cs="Times New Roman"/>
          <w:i/>
          <w:noProof/>
          <w:szCs w:val="24"/>
          <w:u w:val="single"/>
        </w:rPr>
        <w:t>ecosystems</w:t>
      </w:r>
      <w:r>
        <w:rPr>
          <w:rStyle w:val="FootnoteReference"/>
          <w:rFonts w:ascii="Times New Roman" w:hAnsi="Times New Roman" w:cs="Times New Roman"/>
          <w:i/>
          <w:noProof/>
          <w:szCs w:val="24"/>
        </w:rPr>
        <w:footnoteReference w:id="25"/>
      </w:r>
    </w:p>
    <w:p w:rsidR="0007764C" w:rsidRDefault="00A17FAC">
      <w:pPr>
        <w:pStyle w:val="ListParagraph"/>
        <w:numPr>
          <w:ilvl w:val="0"/>
          <w:numId w:val="68"/>
        </w:numPr>
        <w:pBdr>
          <w:top w:val="single" w:sz="4" w:space="1" w:color="auto"/>
          <w:left w:val="single" w:sz="4" w:space="4" w:color="auto"/>
          <w:bottom w:val="single" w:sz="4" w:space="1" w:color="auto"/>
          <w:right w:val="single" w:sz="4" w:space="4" w:color="auto"/>
        </w:pBdr>
        <w:shd w:val="clear" w:color="auto" w:fill="BFBFBF" w:themeFill="background1" w:themeFillShade="BF"/>
        <w:snapToGrid w:val="0"/>
        <w:spacing w:after="120" w:line="240" w:lineRule="auto"/>
        <w:contextualSpacing w:val="0"/>
        <w:jc w:val="both"/>
        <w:rPr>
          <w:rFonts w:ascii="Times New Roman" w:hAnsi="Times New Roman" w:cs="Times New Roman"/>
          <w:i/>
          <w:noProof/>
          <w:sz w:val="24"/>
          <w:szCs w:val="24"/>
          <w:lang w:val="en-US"/>
        </w:rPr>
      </w:pPr>
      <w:r>
        <w:rPr>
          <w:rFonts w:ascii="Times New Roman" w:hAnsi="Times New Roman" w:cs="Times New Roman"/>
          <w:i/>
          <w:iCs/>
          <w:noProof/>
          <w:sz w:val="24"/>
          <w:szCs w:val="24"/>
          <w:u w:val="single"/>
          <w:lang w:val="en-US"/>
        </w:rPr>
        <w:t>Manufacturing</w:t>
      </w:r>
      <w:r>
        <w:rPr>
          <w:rFonts w:ascii="Times New Roman" w:hAnsi="Times New Roman" w:cs="Times New Roman"/>
          <w:i/>
          <w:iCs/>
          <w:noProof/>
          <w:sz w:val="24"/>
          <w:szCs w:val="24"/>
          <w:lang w:val="en-US"/>
        </w:rPr>
        <w:t>: t</w:t>
      </w:r>
      <w:r>
        <w:rPr>
          <w:rFonts w:ascii="Times New Roman" w:hAnsi="Times New Roman" w:cs="Times New Roman"/>
          <w:i/>
          <w:iCs/>
          <w:noProof/>
        </w:rPr>
        <w:t>hanks to 5G connectivity, devices in factories will be even more connected and collect industrial data. Artificial Intelligence will instruct robots in real time, making them increasingly collaborative, improving workers’ jobs, safety, productivity and wel</w:t>
      </w:r>
      <w:r>
        <w:rPr>
          <w:rFonts w:ascii="Times New Roman" w:hAnsi="Times New Roman" w:cs="Times New Roman"/>
          <w:i/>
          <w:iCs/>
          <w:noProof/>
        </w:rPr>
        <w:t xml:space="preserve">lbeing. Manufacturers will be able to enhance predictive maintenance and produce on demand, based on consumers’ needs, with zero stocks, thanks to digital twins, new materials and 3D printing. </w:t>
      </w:r>
    </w:p>
    <w:p w:rsidR="0007764C" w:rsidRDefault="00A17FAC">
      <w:pPr>
        <w:pStyle w:val="ListParagraph"/>
        <w:numPr>
          <w:ilvl w:val="0"/>
          <w:numId w:val="68"/>
        </w:numPr>
        <w:pBdr>
          <w:top w:val="single" w:sz="4" w:space="1" w:color="auto"/>
          <w:left w:val="single" w:sz="4" w:space="4" w:color="auto"/>
          <w:bottom w:val="single" w:sz="4" w:space="1" w:color="auto"/>
          <w:right w:val="single" w:sz="4" w:space="4" w:color="auto"/>
        </w:pBdr>
        <w:shd w:val="clear" w:color="auto" w:fill="BFBFBF" w:themeFill="background1" w:themeFillShade="BF"/>
        <w:snapToGrid w:val="0"/>
        <w:spacing w:after="120" w:line="240" w:lineRule="auto"/>
        <w:contextualSpacing w:val="0"/>
        <w:jc w:val="both"/>
        <w:rPr>
          <w:rFonts w:ascii="Times New Roman" w:hAnsi="Times New Roman" w:cs="Times New Roman"/>
          <w:i/>
          <w:noProof/>
          <w:lang w:val="en-US"/>
        </w:rPr>
      </w:pPr>
      <w:r>
        <w:rPr>
          <w:rFonts w:ascii="Times New Roman" w:hAnsi="Times New Roman" w:cs="Times New Roman"/>
          <w:i/>
          <w:iCs/>
          <w:noProof/>
          <w:sz w:val="24"/>
          <w:szCs w:val="24"/>
          <w:u w:val="single"/>
          <w:lang w:val="en-US"/>
        </w:rPr>
        <w:t>Health</w:t>
      </w:r>
      <w:r>
        <w:rPr>
          <w:rFonts w:ascii="Times New Roman" w:hAnsi="Times New Roman" w:cs="Times New Roman"/>
          <w:i/>
          <w:iCs/>
          <w:noProof/>
          <w:sz w:val="24"/>
          <w:szCs w:val="24"/>
          <w:lang w:val="en-US"/>
        </w:rPr>
        <w:t xml:space="preserve">: </w:t>
      </w:r>
      <w:r>
        <w:rPr>
          <w:rFonts w:ascii="Times New Roman" w:hAnsi="Times New Roman" w:cs="Times New Roman"/>
          <w:i/>
          <w:iCs/>
          <w:noProof/>
          <w:lang w:val="en-US"/>
        </w:rPr>
        <w:t>introducing more online interaction, paperless service</w:t>
      </w:r>
      <w:r>
        <w:rPr>
          <w:rFonts w:ascii="Times New Roman" w:hAnsi="Times New Roman" w:cs="Times New Roman"/>
          <w:i/>
          <w:iCs/>
          <w:noProof/>
          <w:lang w:val="en-US"/>
        </w:rPr>
        <w:t>s, electronic transmission and access to data instead of paper records and automation could lead to benefits of up to € 120 billion per year in Europe.</w:t>
      </w:r>
    </w:p>
    <w:p w:rsidR="0007764C" w:rsidRDefault="00A17FAC">
      <w:pPr>
        <w:pStyle w:val="ListParagraph"/>
        <w:numPr>
          <w:ilvl w:val="0"/>
          <w:numId w:val="68"/>
        </w:numPr>
        <w:pBdr>
          <w:top w:val="single" w:sz="4" w:space="1" w:color="auto"/>
          <w:left w:val="single" w:sz="4" w:space="4" w:color="auto"/>
          <w:bottom w:val="single" w:sz="4" w:space="1" w:color="auto"/>
          <w:right w:val="single" w:sz="4" w:space="4" w:color="auto"/>
        </w:pBdr>
        <w:shd w:val="clear" w:color="auto" w:fill="BFBFBF" w:themeFill="background1" w:themeFillShade="BF"/>
        <w:snapToGrid w:val="0"/>
        <w:spacing w:after="120" w:line="240" w:lineRule="auto"/>
        <w:contextualSpacing w:val="0"/>
        <w:jc w:val="both"/>
        <w:rPr>
          <w:rFonts w:ascii="Times New Roman" w:hAnsi="Times New Roman" w:cs="Times New Roman"/>
          <w:i/>
          <w:noProof/>
          <w:lang w:val="en-US"/>
        </w:rPr>
      </w:pPr>
      <w:r>
        <w:rPr>
          <w:rFonts w:ascii="Times New Roman" w:hAnsi="Times New Roman" w:cs="Times New Roman"/>
          <w:i/>
          <w:noProof/>
          <w:sz w:val="24"/>
          <w:szCs w:val="24"/>
          <w:u w:val="single"/>
          <w:lang w:val="en-US"/>
        </w:rPr>
        <w:t>Construction</w:t>
      </w:r>
      <w:r>
        <w:rPr>
          <w:rFonts w:ascii="Times New Roman" w:hAnsi="Times New Roman" w:cs="Times New Roman"/>
          <w:i/>
          <w:iCs/>
          <w:noProof/>
          <w:lang w:val="en-US"/>
        </w:rPr>
        <w:t xml:space="preserve">: the lowest productivity development from all major sectors in the last 20 years. 70% of </w:t>
      </w:r>
      <w:r>
        <w:rPr>
          <w:rFonts w:ascii="Times New Roman" w:hAnsi="Times New Roman" w:cs="Times New Roman"/>
          <w:i/>
          <w:iCs/>
          <w:noProof/>
          <w:lang w:val="en-US"/>
        </w:rPr>
        <w:t>construction executives mentioned new production technologies and digitalisation as the drivers of change in the sector.</w:t>
      </w:r>
    </w:p>
    <w:p w:rsidR="0007764C" w:rsidRDefault="00A17FAC">
      <w:pPr>
        <w:pStyle w:val="ListParagraph"/>
        <w:numPr>
          <w:ilvl w:val="0"/>
          <w:numId w:val="68"/>
        </w:numPr>
        <w:pBdr>
          <w:top w:val="single" w:sz="4" w:space="1" w:color="auto"/>
          <w:left w:val="single" w:sz="4" w:space="4" w:color="auto"/>
          <w:bottom w:val="single" w:sz="4" w:space="1" w:color="auto"/>
          <w:right w:val="single" w:sz="4" w:space="4" w:color="auto"/>
        </w:pBdr>
        <w:shd w:val="clear" w:color="auto" w:fill="BFBFBF" w:themeFill="background1" w:themeFillShade="BF"/>
        <w:snapToGrid w:val="0"/>
        <w:spacing w:after="120" w:line="240" w:lineRule="auto"/>
        <w:contextualSpacing w:val="0"/>
        <w:jc w:val="both"/>
        <w:rPr>
          <w:rFonts w:ascii="Times New Roman" w:hAnsi="Times New Roman" w:cs="Times New Roman"/>
          <w:i/>
          <w:noProof/>
          <w:lang w:val="en-US"/>
        </w:rPr>
      </w:pPr>
      <w:r>
        <w:rPr>
          <w:rFonts w:ascii="Times New Roman" w:hAnsi="Times New Roman" w:cs="Times New Roman"/>
          <w:i/>
          <w:noProof/>
          <w:sz w:val="24"/>
          <w:szCs w:val="24"/>
          <w:u w:val="single"/>
          <w:lang w:val="en-US"/>
        </w:rPr>
        <w:t>Agriculture</w:t>
      </w:r>
      <w:r>
        <w:rPr>
          <w:rFonts w:ascii="Times New Roman" w:hAnsi="Times New Roman" w:cs="Times New Roman"/>
          <w:i/>
          <w:noProof/>
          <w:lang w:val="en-US"/>
        </w:rPr>
        <w:t xml:space="preserve">: Digital farming technologies can enable the agricultural sector to produce more tailored and efficiently, thus increasing </w:t>
      </w:r>
      <w:r>
        <w:rPr>
          <w:rFonts w:ascii="Times New Roman" w:hAnsi="Times New Roman" w:cs="Times New Roman"/>
          <w:i/>
          <w:noProof/>
          <w:lang w:val="en-US"/>
        </w:rPr>
        <w:t>the sector’s sustainability performance and competitiveness. Agriculture has been identified as one key sector, where digital solutions can help to cut global GHG emissions and pesticide use.</w:t>
      </w:r>
    </w:p>
    <w:p w:rsidR="0007764C" w:rsidRDefault="00A17FAC">
      <w:pPr>
        <w:pStyle w:val="ListParagraph"/>
        <w:numPr>
          <w:ilvl w:val="0"/>
          <w:numId w:val="68"/>
        </w:numPr>
        <w:pBdr>
          <w:top w:val="single" w:sz="4" w:space="1" w:color="auto"/>
          <w:left w:val="single" w:sz="4" w:space="4" w:color="auto"/>
          <w:bottom w:val="single" w:sz="4" w:space="1" w:color="auto"/>
          <w:right w:val="single" w:sz="4" w:space="4" w:color="auto"/>
        </w:pBdr>
        <w:shd w:val="clear" w:color="auto" w:fill="BFBFBF" w:themeFill="background1" w:themeFillShade="BF"/>
        <w:snapToGrid w:val="0"/>
        <w:spacing w:after="120" w:line="240" w:lineRule="auto"/>
        <w:contextualSpacing w:val="0"/>
        <w:jc w:val="both"/>
        <w:rPr>
          <w:rFonts w:ascii="Times New Roman" w:hAnsi="Times New Roman" w:cs="Times New Roman"/>
          <w:i/>
          <w:noProof/>
          <w:lang w:val="en-US"/>
        </w:rPr>
      </w:pPr>
      <w:r>
        <w:rPr>
          <w:rFonts w:ascii="Times New Roman" w:hAnsi="Times New Roman" w:cs="Times New Roman"/>
          <w:i/>
          <w:noProof/>
          <w:u w:val="single"/>
          <w:lang w:val="en-US"/>
        </w:rPr>
        <w:t>Mobility:</w:t>
      </w:r>
      <w:r>
        <w:rPr>
          <w:rFonts w:ascii="Times New Roman" w:hAnsi="Times New Roman" w:cs="Times New Roman"/>
          <w:i/>
          <w:noProof/>
          <w:lang w:val="en-US"/>
        </w:rPr>
        <w:t xml:space="preserve"> digital solutions for connected and automated mobility</w:t>
      </w:r>
      <w:r>
        <w:rPr>
          <w:rFonts w:ascii="Times New Roman" w:hAnsi="Times New Roman" w:cs="Times New Roman"/>
          <w:i/>
          <w:noProof/>
          <w:lang w:val="en-US"/>
        </w:rPr>
        <w:t xml:space="preserve"> have great potential for reducing traffic accidents, enhancing quality-of-life, and improving the efficiency of transportation systems, including concerning their environmental footprint.</w:t>
      </w:r>
    </w:p>
    <w:p w:rsidR="0007764C" w:rsidRDefault="00A17FAC">
      <w:pPr>
        <w:spacing w:after="120" w:line="259" w:lineRule="auto"/>
        <w:jc w:val="both"/>
        <w:rPr>
          <w:rFonts w:ascii="Times New Roman" w:hAnsi="Times New Roman" w:cs="Times New Roman"/>
          <w:noProof/>
          <w:lang w:val="en-GB"/>
        </w:rPr>
      </w:pPr>
      <w:r>
        <w:rPr>
          <w:rFonts w:ascii="Times New Roman" w:hAnsi="Times New Roman" w:cs="Times New Roman"/>
          <w:noProof/>
          <w:lang w:val="en-GB"/>
        </w:rPr>
        <w:t xml:space="preserve">Specific attention should be given to </w:t>
      </w:r>
      <w:r>
        <w:rPr>
          <w:rFonts w:ascii="Times New Roman" w:hAnsi="Times New Roman" w:cs="Times New Roman"/>
          <w:b/>
          <w:noProof/>
          <w:lang w:val="en-GB"/>
        </w:rPr>
        <w:t>cutting-edge and disruptive i</w:t>
      </w:r>
      <w:r>
        <w:rPr>
          <w:rFonts w:ascii="Times New Roman" w:hAnsi="Times New Roman" w:cs="Times New Roman"/>
          <w:b/>
          <w:noProof/>
          <w:lang w:val="en-GB"/>
        </w:rPr>
        <w:t>nnovation</w:t>
      </w:r>
      <w:r>
        <w:rPr>
          <w:rFonts w:ascii="Times New Roman" w:hAnsi="Times New Roman" w:cs="Times New Roman"/>
          <w:noProof/>
          <w:lang w:val="en-GB"/>
        </w:rPr>
        <w:t>. While Europe is creating already as many start-ups as the US, it needs to create more favourable conditions and a truly functioning Single Market for rapid growth and scale-up</w:t>
      </w:r>
      <w:r>
        <w:rPr>
          <w:rStyle w:val="FootnoteReference"/>
          <w:rFonts w:ascii="Times New Roman" w:hAnsi="Times New Roman" w:cs="Times New Roman"/>
          <w:noProof/>
          <w:lang w:val="en-GB"/>
        </w:rPr>
        <w:footnoteReference w:id="26"/>
      </w:r>
      <w:r>
        <w:rPr>
          <w:rFonts w:ascii="Times New Roman" w:hAnsi="Times New Roman" w:cs="Times New Roman"/>
          <w:noProof/>
          <w:lang w:val="en-GB"/>
        </w:rPr>
        <w:t>. Europe has equipped itself with various tools</w:t>
      </w:r>
      <w:r>
        <w:rPr>
          <w:rStyle w:val="FootnoteReference"/>
          <w:rFonts w:ascii="Times New Roman" w:hAnsi="Times New Roman" w:cs="Times New Roman"/>
          <w:noProof/>
          <w:lang w:val="en-GB"/>
        </w:rPr>
        <w:footnoteReference w:id="27"/>
      </w:r>
      <w:r>
        <w:rPr>
          <w:rFonts w:ascii="Times New Roman" w:hAnsi="Times New Roman" w:cs="Times New Roman"/>
          <w:noProof/>
          <w:lang w:val="en-GB"/>
        </w:rPr>
        <w:t xml:space="preserve">, yet the investment </w:t>
      </w:r>
      <w:r>
        <w:rPr>
          <w:rFonts w:ascii="Times New Roman" w:hAnsi="Times New Roman" w:cs="Times New Roman"/>
          <w:noProof/>
          <w:lang w:val="en-GB"/>
        </w:rPr>
        <w:t>gap for financing the growth of start-ups between the US and Europe and even between the EU and China is still considerable. The EU has already produced a number of unicorns, but there is scope for improvement. The development of a Startup Nations Standard</w:t>
      </w:r>
      <w:r>
        <w:rPr>
          <w:rFonts w:ascii="Times New Roman" w:hAnsi="Times New Roman" w:cs="Times New Roman"/>
          <w:noProof/>
          <w:lang w:val="en-GB"/>
        </w:rPr>
        <w:t xml:space="preserve"> of Excellence can contribute to facilitate growth across borders, including increasing access to finance for scaling-up</w:t>
      </w:r>
      <w:r>
        <w:rPr>
          <w:rStyle w:val="FootnoteReference"/>
          <w:noProof/>
        </w:rPr>
        <w:footnoteReference w:id="28"/>
      </w:r>
      <w:r>
        <w:rPr>
          <w:rFonts w:ascii="Times New Roman" w:hAnsi="Times New Roman" w:cs="Times New Roman"/>
          <w:noProof/>
          <w:lang w:val="en-GB"/>
        </w:rPr>
        <w:t xml:space="preserve">. </w:t>
      </w:r>
    </w:p>
    <w:p w:rsidR="0007764C" w:rsidRDefault="00A17FAC">
      <w:pPr>
        <w:spacing w:after="120" w:line="259" w:lineRule="auto"/>
        <w:jc w:val="both"/>
        <w:rPr>
          <w:rFonts w:ascii="Times New Roman" w:hAnsi="Times New Roman" w:cs="Times New Roman"/>
          <w:noProof/>
          <w:lang w:val="en-GB"/>
        </w:rPr>
      </w:pPr>
      <w:r>
        <w:rPr>
          <w:rFonts w:ascii="Times New Roman" w:hAnsi="Times New Roman" w:cs="Times New Roman"/>
          <w:b/>
          <w:noProof/>
          <w:lang w:val="en-GB"/>
        </w:rPr>
        <w:t xml:space="preserve">SMEs have a central role in this transition, </w:t>
      </w:r>
      <w:r>
        <w:rPr>
          <w:rFonts w:ascii="Times New Roman" w:hAnsi="Times New Roman" w:cs="Times New Roman"/>
          <w:noProof/>
          <w:lang w:val="en-GB"/>
        </w:rPr>
        <w:t>not only because they represent the bulk of the EU companies, but also because they are</w:t>
      </w:r>
      <w:r>
        <w:rPr>
          <w:rFonts w:ascii="Times New Roman" w:hAnsi="Times New Roman" w:cs="Times New Roman"/>
          <w:noProof/>
          <w:lang w:val="en-GB"/>
        </w:rPr>
        <w:t xml:space="preserve"> a critical source of innovation</w:t>
      </w:r>
      <w:r>
        <w:rPr>
          <w:rStyle w:val="FootnoteReference"/>
          <w:rFonts w:ascii="Times New Roman" w:hAnsi="Times New Roman" w:cs="Times New Roman"/>
          <w:noProof/>
          <w:lang w:val="en-GB"/>
        </w:rPr>
        <w:footnoteReference w:id="29"/>
      </w:r>
      <w:r>
        <w:rPr>
          <w:rFonts w:ascii="Times New Roman" w:hAnsi="Times New Roman" w:cs="Times New Roman"/>
          <w:noProof/>
          <w:lang w:val="en-GB"/>
        </w:rPr>
        <w:t xml:space="preserve">. With the support  of over 200 Digital Innovation Hubs and industrial clusters, by 2030, SMEs should have the opportunity to access digital technologies or data easily and on fair terms, ensured by appropriate regulation, </w:t>
      </w:r>
      <w:r>
        <w:rPr>
          <w:rFonts w:ascii="Times New Roman" w:hAnsi="Times New Roman" w:cs="Times New Roman"/>
          <w:noProof/>
          <w:lang w:val="en-GB"/>
        </w:rPr>
        <w:t>and benefit from adequate support to digitalise. In this respect, more than 200 European Digital Innovation Hubs and industrial clusters across the EU should support digital transformation of both innovative and non-digital SMEs, and connect digital suppli</w:t>
      </w:r>
      <w:r>
        <w:rPr>
          <w:rFonts w:ascii="Times New Roman" w:hAnsi="Times New Roman" w:cs="Times New Roman"/>
          <w:noProof/>
          <w:lang w:val="en-GB"/>
        </w:rPr>
        <w:t>ers to local ecosystems The objective is to achieve a high level of digital intensity, leaving no-one behind. The Commission will update its Industrial Strategy, also with a view to accelerating the digital transformation of the industrial ecosystems in su</w:t>
      </w:r>
      <w:r>
        <w:rPr>
          <w:rFonts w:ascii="Times New Roman" w:hAnsi="Times New Roman" w:cs="Times New Roman"/>
          <w:noProof/>
          <w:lang w:val="en-GB"/>
        </w:rPr>
        <w:t>pport of the 2030 targets.</w:t>
      </w:r>
    </w:p>
    <w:p w:rsidR="0007764C" w:rsidRDefault="00A17FAC">
      <w:pPr>
        <w:pBdr>
          <w:top w:val="single" w:sz="4" w:space="1" w:color="auto"/>
          <w:left w:val="single" w:sz="4" w:space="1" w:color="auto"/>
          <w:bottom w:val="single" w:sz="4" w:space="1" w:color="auto"/>
          <w:right w:val="single" w:sz="4" w:space="1" w:color="auto"/>
        </w:pBdr>
        <w:spacing w:after="120" w:line="259" w:lineRule="auto"/>
        <w:jc w:val="both"/>
        <w:rPr>
          <w:rFonts w:ascii="Times New Roman" w:hAnsi="Times New Roman"/>
          <w:b/>
          <w:i/>
          <w:noProof/>
          <w:highlight w:val="yellow"/>
          <w:lang w:val="en-IE"/>
        </w:rPr>
      </w:pPr>
      <w:r>
        <w:rPr>
          <w:rFonts w:ascii="Times New Roman" w:hAnsi="Times New Roman" w:cs="Times New Roman"/>
          <w:i/>
          <w:noProof/>
          <w:lang w:val="en-US"/>
        </w:rPr>
        <w:t xml:space="preserve">It is our proposed level of ambition that </w:t>
      </w:r>
      <w:r>
        <w:rPr>
          <w:rFonts w:ascii="Times New Roman" w:hAnsi="Times New Roman" w:cs="Times New Roman"/>
          <w:b/>
          <w:i/>
          <w:noProof/>
          <w:lang w:val="en-US"/>
        </w:rPr>
        <w:t>by</w:t>
      </w:r>
      <w:r>
        <w:rPr>
          <w:rFonts w:ascii="Times New Roman" w:hAnsi="Times New Roman"/>
          <w:b/>
          <w:i/>
          <w:noProof/>
          <w:lang w:val="en-US"/>
        </w:rPr>
        <w:t xml:space="preserve"> 2030</w:t>
      </w:r>
      <w:r>
        <w:rPr>
          <w:rFonts w:ascii="Times New Roman" w:hAnsi="Times New Roman"/>
          <w:b/>
          <w:i/>
          <w:noProof/>
          <w:lang w:val="en-IE"/>
        </w:rPr>
        <w:t>:</w:t>
      </w:r>
    </w:p>
    <w:p w:rsidR="0007764C" w:rsidRDefault="00A17FAC">
      <w:pPr>
        <w:pBdr>
          <w:top w:val="single" w:sz="4" w:space="1" w:color="auto"/>
          <w:left w:val="single" w:sz="4" w:space="1" w:color="auto"/>
          <w:bottom w:val="single" w:sz="4" w:space="1" w:color="auto"/>
          <w:right w:val="single" w:sz="4" w:space="1" w:color="auto"/>
        </w:pBdr>
        <w:spacing w:after="120" w:line="259" w:lineRule="auto"/>
        <w:ind w:left="426" w:hanging="426"/>
        <w:jc w:val="both"/>
        <w:rPr>
          <w:rFonts w:ascii="Times New Roman" w:hAnsi="Times New Roman"/>
          <w:b/>
          <w:i/>
          <w:noProof/>
          <w:lang w:val="en-IE"/>
        </w:rPr>
      </w:pPr>
      <w:r>
        <w:rPr>
          <w:rFonts w:ascii="Times New Roman" w:hAnsi="Times New Roman" w:cs="Times New Roman"/>
          <w:b/>
          <w:i/>
          <w:noProof/>
          <w:lang w:val="en-IE"/>
        </w:rPr>
        <w:t xml:space="preserve">- </w:t>
      </w:r>
      <w:r>
        <w:rPr>
          <w:rFonts w:ascii="Times New Roman" w:hAnsi="Times New Roman" w:cs="Times New Roman"/>
          <w:b/>
          <w:i/>
          <w:noProof/>
          <w:lang w:val="en-IE"/>
        </w:rPr>
        <w:tab/>
        <w:t>75%</w:t>
      </w:r>
      <w:r>
        <w:rPr>
          <w:rFonts w:ascii="Times New Roman" w:hAnsi="Times New Roman"/>
          <w:b/>
          <w:i/>
          <w:noProof/>
          <w:lang w:val="en-IE"/>
        </w:rPr>
        <w:t xml:space="preserve"> of European enterprises have taken up cloud computing services, big data and Artificial Intelligence </w:t>
      </w:r>
    </w:p>
    <w:p w:rsidR="0007764C" w:rsidRDefault="00A17FAC">
      <w:pPr>
        <w:pBdr>
          <w:top w:val="single" w:sz="4" w:space="1" w:color="auto"/>
          <w:left w:val="single" w:sz="4" w:space="1" w:color="auto"/>
          <w:bottom w:val="single" w:sz="4" w:space="1" w:color="auto"/>
          <w:right w:val="single" w:sz="4" w:space="1" w:color="auto"/>
        </w:pBdr>
        <w:spacing w:after="120" w:line="259" w:lineRule="auto"/>
        <w:ind w:left="426" w:hanging="426"/>
        <w:jc w:val="both"/>
        <w:rPr>
          <w:rFonts w:ascii="Times New Roman" w:hAnsi="Times New Roman" w:cs="Times New Roman"/>
          <w:b/>
          <w:i/>
          <w:noProof/>
          <w:lang w:val="en-IE"/>
        </w:rPr>
      </w:pPr>
      <w:r>
        <w:rPr>
          <w:rFonts w:ascii="Times New Roman" w:hAnsi="Times New Roman" w:cs="Times New Roman"/>
          <w:b/>
          <w:i/>
          <w:noProof/>
          <w:lang w:val="en-IE"/>
        </w:rPr>
        <w:t xml:space="preserve">- </w:t>
      </w:r>
      <w:r>
        <w:rPr>
          <w:rFonts w:ascii="Times New Roman" w:hAnsi="Times New Roman" w:cs="Times New Roman"/>
          <w:b/>
          <w:i/>
          <w:noProof/>
          <w:lang w:val="en-IE"/>
        </w:rPr>
        <w:tab/>
        <w:t xml:space="preserve">More than </w:t>
      </w:r>
      <w:r>
        <w:rPr>
          <w:rFonts w:ascii="Times New Roman" w:hAnsi="Times New Roman"/>
          <w:b/>
          <w:i/>
          <w:noProof/>
          <w:lang w:val="en-IE"/>
        </w:rPr>
        <w:t xml:space="preserve">90% of European SMEs reach at least a basic level of </w:t>
      </w:r>
      <w:r>
        <w:rPr>
          <w:rFonts w:ascii="Times New Roman" w:hAnsi="Times New Roman"/>
          <w:b/>
          <w:i/>
          <w:noProof/>
          <w:lang w:val="en-IE"/>
        </w:rPr>
        <w:t>digital intensity</w:t>
      </w:r>
      <w:r>
        <w:rPr>
          <w:rStyle w:val="FootnoteReference"/>
          <w:rFonts w:ascii="Times New Roman" w:hAnsi="Times New Roman" w:cs="Times New Roman"/>
          <w:b/>
          <w:i/>
          <w:noProof/>
          <w:lang w:val="en-IE"/>
        </w:rPr>
        <w:footnoteReference w:id="30"/>
      </w:r>
      <w:r>
        <w:rPr>
          <w:rFonts w:ascii="Times New Roman" w:hAnsi="Times New Roman" w:cs="Times New Roman"/>
          <w:b/>
          <w:i/>
          <w:noProof/>
          <w:lang w:val="en-IE"/>
        </w:rPr>
        <w:t xml:space="preserve"> </w:t>
      </w:r>
    </w:p>
    <w:p w:rsidR="0007764C" w:rsidRDefault="00A17FAC">
      <w:pPr>
        <w:pBdr>
          <w:top w:val="single" w:sz="4" w:space="1" w:color="auto"/>
          <w:left w:val="single" w:sz="4" w:space="1" w:color="auto"/>
          <w:bottom w:val="single" w:sz="4" w:space="1" w:color="auto"/>
          <w:right w:val="single" w:sz="4" w:space="1" w:color="auto"/>
        </w:pBdr>
        <w:spacing w:after="120" w:line="259" w:lineRule="auto"/>
        <w:ind w:left="426" w:hanging="426"/>
        <w:jc w:val="both"/>
        <w:rPr>
          <w:noProof/>
          <w:lang w:val="en-IE"/>
        </w:rPr>
      </w:pPr>
      <w:r>
        <w:rPr>
          <w:rFonts w:ascii="Times New Roman" w:hAnsi="Times New Roman" w:cs="Times New Roman"/>
          <w:b/>
          <w:i/>
          <w:noProof/>
          <w:lang w:val="en-IE"/>
        </w:rPr>
        <w:t xml:space="preserve">- </w:t>
      </w:r>
      <w:r>
        <w:rPr>
          <w:rFonts w:ascii="Times New Roman" w:hAnsi="Times New Roman" w:cs="Times New Roman"/>
          <w:b/>
          <w:i/>
          <w:noProof/>
          <w:lang w:val="en-IE"/>
        </w:rPr>
        <w:tab/>
        <w:t>Europe will grow the pipeline of its innovative scale ups and improve their access to finance, leading to doubling the number of unicorns</w:t>
      </w:r>
      <w:r>
        <w:rPr>
          <w:rStyle w:val="FootnoteReference"/>
          <w:rFonts w:ascii="Times New Roman" w:hAnsi="Times New Roman"/>
          <w:b/>
          <w:i/>
          <w:noProof/>
          <w:lang w:val="en-GB"/>
        </w:rPr>
        <w:footnoteReference w:id="31"/>
      </w:r>
      <w:r>
        <w:rPr>
          <w:rFonts w:ascii="Times New Roman" w:hAnsi="Times New Roman" w:cs="Times New Roman"/>
          <w:b/>
          <w:i/>
          <w:noProof/>
          <w:lang w:val="en-IE"/>
        </w:rPr>
        <w:t xml:space="preserve"> in Europe. </w:t>
      </w:r>
      <w:bookmarkStart w:id="49" w:name="_Toc64382294"/>
      <w:bookmarkStart w:id="50" w:name="_Toc64386602"/>
      <w:bookmarkStart w:id="51" w:name="_Toc64386817"/>
      <w:bookmarkStart w:id="52" w:name="_Toc64386967"/>
      <w:bookmarkStart w:id="53" w:name="_Toc64386997"/>
      <w:bookmarkStart w:id="54" w:name="_Toc64388639"/>
      <w:bookmarkEnd w:id="49"/>
      <w:bookmarkEnd w:id="50"/>
      <w:bookmarkEnd w:id="51"/>
      <w:bookmarkEnd w:id="52"/>
      <w:bookmarkEnd w:id="53"/>
      <w:bookmarkEnd w:id="54"/>
    </w:p>
    <w:p w:rsidR="0007764C" w:rsidRDefault="00A17FAC">
      <w:pPr>
        <w:spacing w:before="240" w:after="120"/>
        <w:outlineLvl w:val="1"/>
        <w:rPr>
          <w:rFonts w:ascii="Times New Roman" w:eastAsiaTheme="majorEastAsia" w:hAnsi="Times New Roman" w:cs="Times New Roman"/>
          <w:b/>
          <w:i/>
          <w:noProof/>
          <w:lang w:val="en-GB" w:eastAsia="en-US"/>
        </w:rPr>
      </w:pPr>
      <w:bookmarkStart w:id="55" w:name="_Toc65313735"/>
      <w:bookmarkStart w:id="56" w:name="_Toc64388640"/>
      <w:bookmarkStart w:id="57" w:name="_Toc64456132"/>
      <w:bookmarkStart w:id="58" w:name="_Toc64456181"/>
      <w:bookmarkStart w:id="59" w:name="_Toc64493224"/>
      <w:bookmarkStart w:id="60" w:name="_Toc64495318"/>
      <w:bookmarkStart w:id="61" w:name="_Toc64581249"/>
      <w:bookmarkStart w:id="62" w:name="_Toc64584042"/>
      <w:r>
        <w:rPr>
          <w:rFonts w:ascii="Times New Roman" w:eastAsiaTheme="majorEastAsia" w:hAnsi="Times New Roman" w:cs="Times New Roman"/>
          <w:b/>
          <w:i/>
          <w:noProof/>
          <w:lang w:val="en-GB" w:eastAsia="en-US"/>
        </w:rPr>
        <w:t xml:space="preserve">3.4 </w:t>
      </w:r>
      <w:r>
        <w:rPr>
          <w:rFonts w:ascii="Times New Roman" w:eastAsiaTheme="majorEastAsia" w:hAnsi="Times New Roman" w:cs="Times New Roman"/>
          <w:b/>
          <w:i/>
          <w:noProof/>
          <w:lang w:val="en-GB" w:eastAsia="en-US"/>
        </w:rPr>
        <w:tab/>
        <w:t>Digitalisation of public services</w:t>
      </w:r>
      <w:bookmarkEnd w:id="55"/>
    </w:p>
    <w:bookmarkEnd w:id="56"/>
    <w:bookmarkEnd w:id="57"/>
    <w:bookmarkEnd w:id="58"/>
    <w:bookmarkEnd w:id="59"/>
    <w:bookmarkEnd w:id="60"/>
    <w:bookmarkEnd w:id="61"/>
    <w:bookmarkEnd w:id="62"/>
    <w:p w:rsidR="0007764C" w:rsidRDefault="00A17FAC">
      <w:pPr>
        <w:spacing w:after="120" w:line="276" w:lineRule="auto"/>
        <w:jc w:val="both"/>
        <w:rPr>
          <w:rFonts w:ascii="Times New Roman" w:hAnsi="Times New Roman" w:cs="Times New Roman"/>
          <w:noProof/>
          <w:lang w:val="en-GB"/>
        </w:rPr>
      </w:pPr>
      <w:r>
        <w:rPr>
          <w:rFonts w:ascii="Times New Roman" w:hAnsi="Times New Roman" w:cs="Times New Roman"/>
          <w:noProof/>
          <w:lang w:val="en-GB"/>
        </w:rPr>
        <w:t xml:space="preserve">By 2030, the EU’s objective is to ensure </w:t>
      </w:r>
      <w:r>
        <w:rPr>
          <w:rFonts w:ascii="Times New Roman" w:hAnsi="Times New Roman" w:cs="Times New Roman"/>
          <w:noProof/>
          <w:lang w:val="en-GB"/>
        </w:rPr>
        <w:t>that democratic life and public services online will be fully accessible for everyone, including persons with disabilities, and benefit from a best–in-class digital environment providing for easy-to-use, efficient and personalised services and tools with h</w:t>
      </w:r>
      <w:r>
        <w:rPr>
          <w:rFonts w:ascii="Times New Roman" w:hAnsi="Times New Roman" w:cs="Times New Roman"/>
          <w:noProof/>
          <w:lang w:val="en-GB"/>
        </w:rPr>
        <w:t>igh security and privacy standards. Secured e-voting would encourage greater public participation on democratic life. User-friendly services will allow citizens of all ages and businesses of all sizes to influence the direction and outcomes of government a</w:t>
      </w:r>
      <w:r>
        <w:rPr>
          <w:rFonts w:ascii="Times New Roman" w:hAnsi="Times New Roman" w:cs="Times New Roman"/>
          <w:noProof/>
          <w:lang w:val="en-GB"/>
        </w:rPr>
        <w:t xml:space="preserve">ctivities more efficiently and improve public services. Government as a Platform, as a new way of building digital public services, will provide a holistic and easy access to public services with a seamless interplay of advanced capabilities, such as data </w:t>
      </w:r>
      <w:r>
        <w:rPr>
          <w:rFonts w:ascii="Times New Roman" w:hAnsi="Times New Roman" w:cs="Times New Roman"/>
          <w:noProof/>
          <w:lang w:val="en-GB"/>
        </w:rPr>
        <w:t>processing, AI and virtual reality. It will also contribute to stimulating productivity gains by European business, thanks to more efficient services that are digital by default</w:t>
      </w:r>
      <w:r>
        <w:rPr>
          <w:noProof/>
          <w:vertAlign w:val="superscript"/>
        </w:rPr>
        <w:footnoteReference w:id="32"/>
      </w:r>
      <w:r>
        <w:rPr>
          <w:rFonts w:ascii="Times New Roman" w:hAnsi="Times New Roman" w:cs="Times New Roman"/>
          <w:noProof/>
          <w:lang w:val="en-GB"/>
        </w:rPr>
        <w:t xml:space="preserve"> as well as a role model incentivising businesses, in particular SMEs, towards</w:t>
      </w:r>
      <w:r>
        <w:rPr>
          <w:rFonts w:ascii="Times New Roman" w:hAnsi="Times New Roman" w:cs="Times New Roman"/>
          <w:noProof/>
          <w:lang w:val="en-GB"/>
        </w:rPr>
        <w:t xml:space="preserve"> greater digitalisation. </w:t>
      </w:r>
    </w:p>
    <w:p w:rsidR="0007764C" w:rsidRDefault="00A17FAC">
      <w:pPr>
        <w:spacing w:after="120" w:line="276" w:lineRule="auto"/>
        <w:jc w:val="both"/>
        <w:rPr>
          <w:rFonts w:ascii="Times New Roman" w:hAnsi="Times New Roman" w:cs="Times New Roman"/>
          <w:noProof/>
          <w:lang w:val="en-GB"/>
        </w:rPr>
      </w:pPr>
      <w:r>
        <w:rPr>
          <w:rFonts w:ascii="Times New Roman" w:hAnsi="Times New Roman" w:cs="Times New Roman"/>
          <w:noProof/>
          <w:lang w:val="en-GB"/>
        </w:rPr>
        <w:t xml:space="preserve">However, the </w:t>
      </w:r>
      <w:r>
        <w:rPr>
          <w:rFonts w:ascii="Times New Roman" w:hAnsi="Times New Roman"/>
          <w:noProof/>
          <w:lang w:val="en-GB"/>
        </w:rPr>
        <w:t>gap to reach this vision is still significant</w:t>
      </w:r>
      <w:r>
        <w:rPr>
          <w:rFonts w:ascii="Times New Roman" w:hAnsi="Times New Roman" w:cs="Times New Roman"/>
          <w:noProof/>
          <w:lang w:val="en-GB"/>
        </w:rPr>
        <w:t>. Despite the increasing use of public services online, services provided digitally are often basic e.g. filling in forms. Europe must harness digitalisation to drive a par</w:t>
      </w:r>
      <w:r>
        <w:rPr>
          <w:rFonts w:ascii="Times New Roman" w:hAnsi="Times New Roman" w:cs="Times New Roman"/>
          <w:noProof/>
          <w:lang w:val="en-GB"/>
        </w:rPr>
        <w:t>adigm change in how citizens, public administrations and democratic institutions interact, ensuring interoperability across all levels of government and across public services</w:t>
      </w:r>
      <w:r>
        <w:rPr>
          <w:rStyle w:val="FootnoteReference"/>
          <w:rFonts w:ascii="Times New Roman" w:hAnsi="Times New Roman" w:cs="Times New Roman"/>
          <w:noProof/>
          <w:lang w:val="en-GB"/>
        </w:rPr>
        <w:footnoteReference w:id="33"/>
      </w:r>
      <w:r>
        <w:rPr>
          <w:rFonts w:ascii="Times New Roman" w:hAnsi="Times New Roman" w:cs="Times New Roman"/>
          <w:noProof/>
          <w:lang w:val="en-GB"/>
        </w:rPr>
        <w:t xml:space="preserve">. </w:t>
      </w:r>
    </w:p>
    <w:p w:rsidR="0007764C" w:rsidRDefault="00A17FAC">
      <w:pPr>
        <w:pStyle w:val="ListParagraph"/>
        <w:pBdr>
          <w:top w:val="single" w:sz="4" w:space="1" w:color="auto"/>
          <w:left w:val="single" w:sz="4" w:space="4" w:color="auto"/>
          <w:bottom w:val="single" w:sz="4" w:space="1" w:color="auto"/>
          <w:right w:val="single" w:sz="4" w:space="4" w:color="auto"/>
        </w:pBdr>
        <w:shd w:val="clear" w:color="auto" w:fill="D9D9D9" w:themeFill="background1" w:themeFillShade="D9"/>
        <w:snapToGrid w:val="0"/>
        <w:spacing w:after="120" w:line="240" w:lineRule="auto"/>
        <w:ind w:left="0"/>
        <w:contextualSpacing w:val="0"/>
        <w:jc w:val="both"/>
        <w:rPr>
          <w:rFonts w:ascii="Times New Roman" w:eastAsiaTheme="minorEastAsia" w:hAnsi="Times New Roman"/>
          <w:i/>
          <w:noProof/>
          <w:sz w:val="24"/>
          <w:szCs w:val="24"/>
          <w:u w:val="single"/>
          <w:lang w:eastAsia="fr-FR"/>
        </w:rPr>
      </w:pPr>
      <w:r>
        <w:rPr>
          <w:rFonts w:ascii="Times New Roman" w:eastAsiaTheme="minorEastAsia" w:hAnsi="Times New Roman"/>
          <w:i/>
          <w:noProof/>
          <w:sz w:val="24"/>
          <w:szCs w:val="24"/>
          <w:u w:val="single"/>
          <w:lang w:eastAsia="fr-FR"/>
        </w:rPr>
        <w:t>Telemedicine</w:t>
      </w:r>
    </w:p>
    <w:p w:rsidR="0007764C" w:rsidRDefault="00A17FAC">
      <w:pPr>
        <w:pStyle w:val="ListParagraph"/>
        <w:pBdr>
          <w:top w:val="single" w:sz="4" w:space="1" w:color="auto"/>
          <w:left w:val="single" w:sz="4" w:space="4" w:color="auto"/>
          <w:bottom w:val="single" w:sz="4" w:space="1" w:color="auto"/>
          <w:right w:val="single" w:sz="4" w:space="4" w:color="auto"/>
        </w:pBdr>
        <w:shd w:val="clear" w:color="auto" w:fill="D9D9D9" w:themeFill="background1" w:themeFillShade="D9"/>
        <w:snapToGrid w:val="0"/>
        <w:spacing w:after="120" w:line="240" w:lineRule="auto"/>
        <w:ind w:left="0"/>
        <w:contextualSpacing w:val="0"/>
        <w:jc w:val="both"/>
        <w:rPr>
          <w:rFonts w:ascii="Times New Roman" w:hAnsi="Times New Roman"/>
          <w:i/>
          <w:noProof/>
        </w:rPr>
      </w:pPr>
      <w:r>
        <w:rPr>
          <w:rFonts w:ascii="Times New Roman" w:eastAsiaTheme="minorEastAsia" w:hAnsi="Times New Roman"/>
          <w:i/>
          <w:noProof/>
          <w:sz w:val="24"/>
          <w:szCs w:val="24"/>
          <w:lang w:eastAsia="fr-FR"/>
        </w:rPr>
        <w:t xml:space="preserve">During the pandemic </w:t>
      </w:r>
      <w:r>
        <w:rPr>
          <w:rFonts w:ascii="Times New Roman" w:eastAsiaTheme="minorEastAsia" w:hAnsi="Times New Roman"/>
          <w:b/>
          <w:i/>
          <w:noProof/>
          <w:sz w:val="24"/>
          <w:szCs w:val="24"/>
          <w:lang w:eastAsia="fr-FR"/>
        </w:rPr>
        <w:t>telemedicine consultations</w:t>
      </w:r>
      <w:r>
        <w:rPr>
          <w:rFonts w:ascii="Times New Roman" w:eastAsiaTheme="minorEastAsia" w:hAnsi="Times New Roman"/>
          <w:i/>
          <w:noProof/>
          <w:sz w:val="24"/>
          <w:szCs w:val="24"/>
          <w:lang w:eastAsia="fr-FR"/>
        </w:rPr>
        <w:t xml:space="preserve"> grew more in one month than they did in 10 years, and this played a key role in keeping queues down at hospitals and maintaining patients in good health</w:t>
      </w:r>
      <w:r>
        <w:rPr>
          <w:rStyle w:val="FootnoteReference"/>
          <w:rFonts w:ascii="Times New Roman" w:eastAsiaTheme="minorEastAsia" w:hAnsi="Times New Roman"/>
          <w:i/>
          <w:noProof/>
          <w:sz w:val="24"/>
          <w:szCs w:val="24"/>
          <w:lang w:eastAsia="fr-FR"/>
        </w:rPr>
        <w:footnoteReference w:id="34"/>
      </w:r>
      <w:r>
        <w:rPr>
          <w:rFonts w:ascii="Times New Roman" w:eastAsiaTheme="minorEastAsia" w:hAnsi="Times New Roman"/>
          <w:i/>
          <w:noProof/>
          <w:sz w:val="24"/>
          <w:szCs w:val="24"/>
          <w:lang w:eastAsia="fr-FR"/>
        </w:rPr>
        <w:t xml:space="preserve">. The ability for European citizens to access, and control access to, their electronic health records </w:t>
      </w:r>
      <w:r>
        <w:rPr>
          <w:rFonts w:ascii="Times New Roman" w:eastAsiaTheme="minorEastAsia" w:hAnsi="Times New Roman"/>
          <w:i/>
          <w:noProof/>
          <w:sz w:val="24"/>
          <w:szCs w:val="24"/>
          <w:lang w:eastAsia="fr-FR"/>
        </w:rPr>
        <w:t>(EHR) across the EU should be greatly improved by 2030 based on common technical specifications for health data sharing, interoperability, developing the secure infrastructure, as well as taking actions to facilitate the public acceptability of sharing hea</w:t>
      </w:r>
      <w:r>
        <w:rPr>
          <w:rFonts w:ascii="Times New Roman" w:eastAsiaTheme="minorEastAsia" w:hAnsi="Times New Roman"/>
          <w:i/>
          <w:noProof/>
          <w:sz w:val="24"/>
          <w:szCs w:val="24"/>
          <w:lang w:eastAsia="fr-FR"/>
        </w:rPr>
        <w:t>lth information with the medical community.</w:t>
      </w:r>
    </w:p>
    <w:p w:rsidR="0007764C" w:rsidRDefault="00A17FAC">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120"/>
        <w:ind w:left="960" w:hanging="960"/>
        <w:jc w:val="both"/>
        <w:rPr>
          <w:rFonts w:ascii="Times New Roman" w:hAnsi="Times New Roman"/>
          <w:noProof/>
          <w:u w:val="single"/>
          <w:lang w:val="en-GB"/>
        </w:rPr>
      </w:pPr>
      <w:r>
        <w:rPr>
          <w:rFonts w:ascii="Times New Roman" w:hAnsi="Times New Roman"/>
          <w:i/>
          <w:noProof/>
          <w:u w:val="single"/>
          <w:lang w:val="en-GB"/>
        </w:rPr>
        <w:t xml:space="preserve">European digital identity: the Government in </w:t>
      </w:r>
      <w:r>
        <w:rPr>
          <w:rFonts w:ascii="Times New Roman" w:hAnsi="Times New Roman" w:cs="Times New Roman"/>
          <w:i/>
          <w:noProof/>
          <w:u w:val="single"/>
          <w:lang w:val="en-GB"/>
        </w:rPr>
        <w:t>the palm of your hand</w:t>
      </w:r>
    </w:p>
    <w:p w:rsidR="0007764C" w:rsidRDefault="00A17FAC">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120"/>
        <w:jc w:val="both"/>
        <w:rPr>
          <w:rFonts w:ascii="Times New Roman" w:hAnsi="Times New Roman"/>
          <w:noProof/>
          <w:lang w:val="en-GB"/>
        </w:rPr>
      </w:pPr>
      <w:r>
        <w:rPr>
          <w:rFonts w:ascii="Times New Roman" w:hAnsi="Times New Roman"/>
          <w:i/>
          <w:noProof/>
          <w:lang w:val="en-GB"/>
        </w:rPr>
        <w:t xml:space="preserve">By 2030, the EU </w:t>
      </w:r>
      <w:r>
        <w:rPr>
          <w:rFonts w:ascii="Times New Roman" w:hAnsi="Times New Roman" w:cs="Times New Roman"/>
          <w:i/>
          <w:noProof/>
          <w:lang w:val="en-GB"/>
        </w:rPr>
        <w:t xml:space="preserve">framework should have led to wide deployment of </w:t>
      </w:r>
      <w:r>
        <w:rPr>
          <w:rFonts w:ascii="Times New Roman" w:hAnsi="Times New Roman"/>
          <w:i/>
          <w:noProof/>
          <w:lang w:val="en-GB"/>
        </w:rPr>
        <w:t xml:space="preserve">a trusted, user-controlled identity, allowing each citizen to control their own online interactions and presence. Users can make a full use of online services easily and throughout the EU while preserving their privacy. </w:t>
      </w:r>
    </w:p>
    <w:p w:rsidR="0007764C" w:rsidRDefault="00A17FAC">
      <w:pPr>
        <w:spacing w:after="120" w:line="276" w:lineRule="auto"/>
        <w:jc w:val="both"/>
        <w:rPr>
          <w:rFonts w:ascii="Times New Roman" w:hAnsi="Times New Roman" w:cs="Times New Roman"/>
          <w:noProof/>
          <w:lang w:val="en-GB"/>
        </w:rPr>
      </w:pPr>
      <w:bookmarkStart w:id="63" w:name="_Toc64382296"/>
      <w:bookmarkStart w:id="64" w:name="_Toc64386604"/>
      <w:bookmarkStart w:id="65" w:name="_Toc64386819"/>
      <w:bookmarkStart w:id="66" w:name="_Toc64386969"/>
      <w:bookmarkStart w:id="67" w:name="_Toc64386999"/>
      <w:bookmarkStart w:id="68" w:name="_Toc64388641"/>
      <w:bookmarkEnd w:id="63"/>
      <w:bookmarkEnd w:id="64"/>
      <w:bookmarkEnd w:id="65"/>
      <w:bookmarkEnd w:id="66"/>
      <w:bookmarkEnd w:id="67"/>
      <w:bookmarkEnd w:id="68"/>
      <w:r>
        <w:rPr>
          <w:rFonts w:ascii="Times New Roman" w:hAnsi="Times New Roman" w:cs="Times New Roman"/>
          <w:noProof/>
          <w:lang w:val="en-GB"/>
        </w:rPr>
        <w:t>EU communities are also developing smart data platforms integrating data across different sectors and cities that improve the quality of everyday life for their citizens. Today, most of the digital services these platforms offer are limited to basic servic</w:t>
      </w:r>
      <w:r>
        <w:rPr>
          <w:rFonts w:ascii="Times New Roman" w:hAnsi="Times New Roman" w:cs="Times New Roman"/>
          <w:noProof/>
          <w:lang w:val="en-GB"/>
        </w:rPr>
        <w:t xml:space="preserve">es, such as smart parking, smart lighting or public transportation telematics. Digitalisation also plays a key role in the development of “Smart villages”, i.e. communities in rural areas that use innovative solutions to improve their resilience, building </w:t>
      </w:r>
      <w:r>
        <w:rPr>
          <w:rFonts w:ascii="Times New Roman" w:hAnsi="Times New Roman" w:cs="Times New Roman"/>
          <w:noProof/>
          <w:lang w:val="en-GB"/>
        </w:rPr>
        <w:t xml:space="preserve">on local strengths and opportunities. </w:t>
      </w:r>
    </w:p>
    <w:p w:rsidR="0007764C" w:rsidRDefault="00A17FAC">
      <w:pPr>
        <w:spacing w:after="120" w:line="276" w:lineRule="auto"/>
        <w:jc w:val="both"/>
        <w:rPr>
          <w:rFonts w:ascii="Times New Roman" w:hAnsi="Times New Roman" w:cs="Times New Roman"/>
          <w:noProof/>
          <w:lang w:val="en-GB"/>
        </w:rPr>
      </w:pPr>
      <w:r>
        <w:rPr>
          <w:rFonts w:ascii="Times New Roman" w:hAnsi="Times New Roman" w:cs="Times New Roman"/>
          <w:noProof/>
          <w:lang w:val="en-GB"/>
        </w:rPr>
        <w:t>Platforms in rural and urban communities will be powered by digital technologies and will offer services such as multi-modal intelligent transport systems, rapid emergency assistance in case of accidents, more targete</w:t>
      </w:r>
      <w:r>
        <w:rPr>
          <w:rFonts w:ascii="Times New Roman" w:hAnsi="Times New Roman" w:cs="Times New Roman"/>
          <w:noProof/>
          <w:lang w:val="en-GB"/>
        </w:rPr>
        <w:t>d waste management solutions, traffic management, urban planning, smart energy and lighting solutions, resource optimisation, and more. Using Green Public Procurement criteria</w:t>
      </w:r>
      <w:r>
        <w:rPr>
          <w:rStyle w:val="FootnoteReference"/>
          <w:rFonts w:ascii="Times New Roman" w:hAnsi="Times New Roman" w:cs="Times New Roman"/>
          <w:noProof/>
          <w:lang w:val="en-GB"/>
        </w:rPr>
        <w:footnoteReference w:id="35"/>
      </w:r>
      <w:r>
        <w:rPr>
          <w:rFonts w:ascii="Times New Roman" w:hAnsi="Times New Roman" w:cs="Times New Roman"/>
          <w:noProof/>
          <w:lang w:val="en-GB"/>
        </w:rPr>
        <w:t xml:space="preserve"> can boost demand for a green digital transformation</w:t>
      </w:r>
    </w:p>
    <w:p w:rsidR="0007764C" w:rsidRDefault="00A17FAC">
      <w:pPr>
        <w:spacing w:after="120" w:line="276" w:lineRule="auto"/>
        <w:jc w:val="both"/>
        <w:rPr>
          <w:rFonts w:ascii="Times New Roman" w:hAnsi="Times New Roman"/>
          <w:noProof/>
          <w:lang w:val="en-IE"/>
        </w:rPr>
      </w:pPr>
      <w:r>
        <w:rPr>
          <w:rFonts w:ascii="Times New Roman" w:hAnsi="Times New Roman" w:cs="Times New Roman"/>
          <w:noProof/>
          <w:lang w:val="en-IE"/>
        </w:rPr>
        <w:t xml:space="preserve">The digital transformation </w:t>
      </w:r>
      <w:r>
        <w:rPr>
          <w:rFonts w:ascii="Times New Roman" w:hAnsi="Times New Roman" w:cs="Times New Roman"/>
          <w:noProof/>
          <w:lang w:val="en-IE"/>
        </w:rPr>
        <w:t>should also enable modern and efficient justice systems</w:t>
      </w:r>
      <w:r>
        <w:rPr>
          <w:rStyle w:val="FootnoteReference"/>
          <w:rFonts w:ascii="Times New Roman" w:hAnsi="Times New Roman" w:cs="Times New Roman"/>
          <w:noProof/>
          <w:lang w:val="en-GB"/>
        </w:rPr>
        <w:footnoteReference w:id="36"/>
      </w:r>
      <w:r>
        <w:rPr>
          <w:rFonts w:ascii="Times New Roman" w:hAnsi="Times New Roman" w:cs="Times New Roman"/>
          <w:noProof/>
          <w:lang w:val="en-IE"/>
        </w:rPr>
        <w:t>, enforcement of consumer rights and an increased effectiveness of public action including law enforcement and investigation capacities</w:t>
      </w:r>
      <w:r>
        <w:rPr>
          <w:rStyle w:val="FootnoteReference"/>
          <w:rFonts w:ascii="Times New Roman" w:hAnsi="Times New Roman" w:cs="Times New Roman"/>
          <w:noProof/>
          <w:lang w:val="en-IE"/>
        </w:rPr>
        <w:footnoteReference w:id="37"/>
      </w:r>
      <w:r>
        <w:rPr>
          <w:rFonts w:ascii="Times New Roman" w:hAnsi="Times New Roman" w:cs="Times New Roman"/>
          <w:noProof/>
          <w:lang w:val="en-IE"/>
        </w:rPr>
        <w:t xml:space="preserve"> – what is illegal offline is also illegal online, and law enfor</w:t>
      </w:r>
      <w:r>
        <w:rPr>
          <w:rFonts w:ascii="Times New Roman" w:hAnsi="Times New Roman" w:cs="Times New Roman"/>
          <w:noProof/>
          <w:lang w:val="en-IE"/>
        </w:rPr>
        <w:t>cement must be best equipped to deal with more and more sophisticated digital crimes.</w:t>
      </w:r>
    </w:p>
    <w:p w:rsidR="0007764C" w:rsidRDefault="00A17FAC">
      <w:pPr>
        <w:pBdr>
          <w:top w:val="single" w:sz="4" w:space="1" w:color="auto"/>
          <w:left w:val="single" w:sz="4" w:space="1" w:color="auto"/>
          <w:bottom w:val="single" w:sz="4" w:space="1" w:color="auto"/>
          <w:right w:val="single" w:sz="4" w:space="1" w:color="auto"/>
        </w:pBdr>
        <w:spacing w:after="120" w:line="259" w:lineRule="auto"/>
        <w:ind w:left="426" w:hanging="426"/>
        <w:jc w:val="both"/>
        <w:rPr>
          <w:rFonts w:ascii="Times New Roman" w:hAnsi="Times New Roman"/>
          <w:b/>
          <w:i/>
          <w:noProof/>
          <w:highlight w:val="yellow"/>
          <w:lang w:val="en-IE"/>
        </w:rPr>
      </w:pPr>
      <w:r>
        <w:rPr>
          <w:rFonts w:ascii="Times New Roman" w:hAnsi="Times New Roman" w:cs="Times New Roman"/>
          <w:i/>
          <w:noProof/>
          <w:lang w:val="en-US"/>
        </w:rPr>
        <w:t xml:space="preserve">It is our proposed level of ambition that </w:t>
      </w:r>
      <w:r>
        <w:rPr>
          <w:rFonts w:ascii="Times New Roman" w:hAnsi="Times New Roman" w:cs="Times New Roman"/>
          <w:b/>
          <w:i/>
          <w:noProof/>
          <w:lang w:val="en-US"/>
        </w:rPr>
        <w:t>by</w:t>
      </w:r>
      <w:r>
        <w:rPr>
          <w:rFonts w:ascii="Times New Roman" w:hAnsi="Times New Roman"/>
          <w:b/>
          <w:i/>
          <w:noProof/>
          <w:lang w:val="en-US"/>
        </w:rPr>
        <w:t xml:space="preserve"> 2030</w:t>
      </w:r>
      <w:r>
        <w:rPr>
          <w:rFonts w:ascii="Times New Roman" w:hAnsi="Times New Roman"/>
          <w:b/>
          <w:i/>
          <w:noProof/>
          <w:lang w:val="en-IE"/>
        </w:rPr>
        <w:t>:</w:t>
      </w:r>
    </w:p>
    <w:p w:rsidR="0007764C" w:rsidRDefault="00A17FAC">
      <w:pPr>
        <w:numPr>
          <w:ilvl w:val="0"/>
          <w:numId w:val="54"/>
        </w:numPr>
        <w:pBdr>
          <w:top w:val="single" w:sz="4" w:space="1" w:color="auto"/>
          <w:left w:val="single" w:sz="4" w:space="1" w:color="auto"/>
          <w:bottom w:val="single" w:sz="4" w:space="1" w:color="auto"/>
          <w:right w:val="single" w:sz="4" w:space="1" w:color="auto"/>
        </w:pBdr>
        <w:spacing w:after="200" w:line="275" w:lineRule="auto"/>
        <w:ind w:left="426" w:hanging="426"/>
        <w:contextualSpacing/>
        <w:rPr>
          <w:rFonts w:ascii="Times New Roman" w:hAnsi="Times New Roman"/>
          <w:b/>
          <w:i/>
          <w:noProof/>
          <w:lang w:val="en-GB"/>
        </w:rPr>
      </w:pPr>
      <w:r>
        <w:rPr>
          <w:rFonts w:ascii="Times New Roman" w:hAnsi="Times New Roman"/>
          <w:b/>
          <w:i/>
          <w:noProof/>
          <w:lang w:val="en-US"/>
        </w:rPr>
        <w:t xml:space="preserve">100% </w:t>
      </w:r>
      <w:r>
        <w:rPr>
          <w:rFonts w:ascii="Times New Roman" w:hAnsi="Times New Roman" w:cs="Times New Roman"/>
          <w:b/>
          <w:i/>
          <w:noProof/>
          <w:lang w:val="en-US"/>
        </w:rPr>
        <w:t>online provision</w:t>
      </w:r>
      <w:r>
        <w:rPr>
          <w:rFonts w:ascii="Times New Roman" w:hAnsi="Times New Roman"/>
          <w:b/>
          <w:i/>
          <w:noProof/>
          <w:lang w:val="en-US"/>
        </w:rPr>
        <w:t xml:space="preserve"> of key public services available for European citizens and businesses </w:t>
      </w:r>
    </w:p>
    <w:p w:rsidR="0007764C" w:rsidRDefault="00A17FAC">
      <w:pPr>
        <w:numPr>
          <w:ilvl w:val="0"/>
          <w:numId w:val="54"/>
        </w:numPr>
        <w:pBdr>
          <w:top w:val="single" w:sz="4" w:space="1" w:color="auto"/>
          <w:left w:val="single" w:sz="4" w:space="1" w:color="auto"/>
          <w:bottom w:val="single" w:sz="4" w:space="1" w:color="auto"/>
          <w:right w:val="single" w:sz="4" w:space="1" w:color="auto"/>
        </w:pBdr>
        <w:spacing w:after="200" w:line="275" w:lineRule="auto"/>
        <w:ind w:left="426" w:hanging="426"/>
        <w:contextualSpacing/>
        <w:rPr>
          <w:rFonts w:ascii="Times New Roman" w:hAnsi="Times New Roman"/>
          <w:b/>
          <w:i/>
          <w:noProof/>
          <w:lang w:val="en-GB"/>
        </w:rPr>
      </w:pPr>
      <w:r>
        <w:rPr>
          <w:rFonts w:ascii="Times New Roman" w:hAnsi="Times New Roman"/>
          <w:b/>
          <w:i/>
          <w:noProof/>
          <w:lang w:val="en-US"/>
        </w:rPr>
        <w:t xml:space="preserve">100% of European citizens </w:t>
      </w:r>
      <w:r>
        <w:rPr>
          <w:rFonts w:ascii="Times New Roman" w:hAnsi="Times New Roman"/>
          <w:b/>
          <w:i/>
          <w:noProof/>
          <w:lang w:val="en-US"/>
        </w:rPr>
        <w:t>have access to medical records (e-records)</w:t>
      </w:r>
    </w:p>
    <w:p w:rsidR="0007764C" w:rsidRDefault="00A17FAC">
      <w:pPr>
        <w:numPr>
          <w:ilvl w:val="0"/>
          <w:numId w:val="54"/>
        </w:numPr>
        <w:pBdr>
          <w:top w:val="single" w:sz="4" w:space="1" w:color="auto"/>
          <w:left w:val="single" w:sz="4" w:space="1" w:color="auto"/>
          <w:bottom w:val="single" w:sz="4" w:space="1" w:color="auto"/>
          <w:right w:val="single" w:sz="4" w:space="1" w:color="auto"/>
        </w:pBdr>
        <w:spacing w:after="200" w:line="275" w:lineRule="auto"/>
        <w:ind w:left="426" w:hanging="426"/>
        <w:contextualSpacing/>
        <w:rPr>
          <w:rFonts w:ascii="Times New Roman" w:hAnsi="Times New Roman"/>
          <w:b/>
          <w:i/>
          <w:noProof/>
          <w:lang w:val="en-GB"/>
        </w:rPr>
      </w:pPr>
      <w:r>
        <w:rPr>
          <w:rFonts w:ascii="Times New Roman" w:hAnsi="Times New Roman"/>
          <w:b/>
          <w:i/>
          <w:noProof/>
          <w:lang w:val="en-US"/>
        </w:rPr>
        <w:t>80% of citizens</w:t>
      </w:r>
      <w:r>
        <w:rPr>
          <w:rFonts w:ascii="Times New Roman" w:hAnsi="Times New Roman" w:cs="Times New Roman"/>
          <w:b/>
          <w:i/>
          <w:noProof/>
          <w:lang w:val="en-US"/>
        </w:rPr>
        <w:t xml:space="preserve"> will use</w:t>
      </w:r>
      <w:r>
        <w:rPr>
          <w:rFonts w:ascii="Times New Roman" w:hAnsi="Times New Roman"/>
          <w:b/>
          <w:i/>
          <w:noProof/>
          <w:lang w:val="en-US"/>
        </w:rPr>
        <w:t xml:space="preserve"> a digital ID solution</w:t>
      </w:r>
      <w:r>
        <w:rPr>
          <w:rFonts w:ascii="Times New Roman" w:hAnsi="Times New Roman" w:cs="Times New Roman"/>
          <w:b/>
          <w:i/>
          <w:noProof/>
          <w:lang w:val="en-US"/>
        </w:rPr>
        <w:t>.</w:t>
      </w:r>
    </w:p>
    <w:p w:rsidR="0007764C" w:rsidRDefault="00A17FAC">
      <w:pPr>
        <w:pStyle w:val="Heading1"/>
        <w:spacing w:after="120"/>
        <w:rPr>
          <w:noProof/>
        </w:rPr>
      </w:pPr>
      <w:bookmarkStart w:id="69" w:name="_Toc64388635"/>
      <w:bookmarkStart w:id="70" w:name="_Toc64388642"/>
      <w:bookmarkStart w:id="71" w:name="_Toc64456133"/>
      <w:bookmarkStart w:id="72" w:name="_Toc64456182"/>
      <w:bookmarkStart w:id="73" w:name="_Toc64493225"/>
      <w:bookmarkStart w:id="74" w:name="_Toc64495319"/>
      <w:bookmarkStart w:id="75" w:name="_Toc64581250"/>
      <w:bookmarkStart w:id="76" w:name="_Toc64584043"/>
      <w:bookmarkStart w:id="77" w:name="_Toc65313736"/>
      <w:bookmarkEnd w:id="69"/>
      <w:r>
        <w:rPr>
          <w:noProof/>
        </w:rPr>
        <w:t>4.</w:t>
      </w:r>
      <w:r>
        <w:rPr>
          <w:noProof/>
        </w:rPr>
        <w:tab/>
        <w:t xml:space="preserve">Digital Citizenship </w:t>
      </w:r>
      <w:bookmarkEnd w:id="70"/>
      <w:bookmarkEnd w:id="71"/>
      <w:bookmarkEnd w:id="72"/>
      <w:bookmarkEnd w:id="73"/>
      <w:bookmarkEnd w:id="74"/>
      <w:bookmarkEnd w:id="75"/>
      <w:bookmarkEnd w:id="76"/>
      <w:bookmarkEnd w:id="77"/>
    </w:p>
    <w:p w:rsidR="0007764C" w:rsidRDefault="00A17FAC">
      <w:pPr>
        <w:snapToGrid w:val="0"/>
        <w:spacing w:before="120" w:after="120" w:line="275" w:lineRule="auto"/>
        <w:jc w:val="both"/>
        <w:rPr>
          <w:rFonts w:ascii="Times New Roman" w:hAnsi="Times New Roman" w:cs="Times New Roman"/>
          <w:noProof/>
          <w:lang w:val="en-GB"/>
        </w:rPr>
      </w:pPr>
      <w:r>
        <w:rPr>
          <w:rFonts w:ascii="Times New Roman" w:hAnsi="Times New Roman" w:cs="Times New Roman"/>
          <w:noProof/>
          <w:lang w:val="en-GB"/>
        </w:rPr>
        <w:t>Deploying digital infrastructures, skills and capacities and digitising businesses and public services alone is not sufficient to define the EU’s approach to its digital future; it is also necessary to enable all Europeans to make full use of digital oppor</w:t>
      </w:r>
      <w:r>
        <w:rPr>
          <w:rFonts w:ascii="Times New Roman" w:hAnsi="Times New Roman" w:cs="Times New Roman"/>
          <w:noProof/>
          <w:lang w:val="en-GB"/>
        </w:rPr>
        <w:t xml:space="preserve">tunities and technologies. In the digital space, we need to make sure that the same rights that apply offline can be fully exercised online. </w:t>
      </w:r>
    </w:p>
    <w:p w:rsidR="0007764C" w:rsidRDefault="00A17FAC">
      <w:pPr>
        <w:snapToGrid w:val="0"/>
        <w:spacing w:before="120" w:after="120" w:line="275" w:lineRule="auto"/>
        <w:jc w:val="both"/>
        <w:rPr>
          <w:rFonts w:ascii="Times New Roman" w:hAnsi="Times New Roman" w:cs="Times New Roman"/>
          <w:noProof/>
          <w:lang w:val="en-GB"/>
        </w:rPr>
      </w:pPr>
      <w:r>
        <w:rPr>
          <w:rFonts w:ascii="Times New Roman" w:hAnsi="Times New Roman" w:cs="Times New Roman"/>
          <w:noProof/>
          <w:lang w:val="en-GB"/>
        </w:rPr>
        <w:t>To be fully empowered, people should first have access to affordable, secure and high quality connectivity, be abl</w:t>
      </w:r>
      <w:r>
        <w:rPr>
          <w:rFonts w:ascii="Times New Roman" w:hAnsi="Times New Roman" w:cs="Times New Roman"/>
          <w:noProof/>
          <w:lang w:val="en-GB"/>
        </w:rPr>
        <w:t>e to learn basic digital skills –which should become a right for all- and be equipped with other means which together allow them to fully participate in economic and societal activities of today and the future. They also need to have easy access to digital</w:t>
      </w:r>
      <w:r>
        <w:rPr>
          <w:rFonts w:ascii="Times New Roman" w:hAnsi="Times New Roman" w:cs="Times New Roman"/>
          <w:noProof/>
          <w:lang w:val="en-GB"/>
        </w:rPr>
        <w:t xml:space="preserve"> public services, on the basis of a universal digital identity, as well as access to digital health services. People should benefit from non-discriminatory access to online services and as well from the realisation of principles, such as secure and trusted</w:t>
      </w:r>
      <w:r>
        <w:rPr>
          <w:rFonts w:ascii="Times New Roman" w:hAnsi="Times New Roman" w:cs="Times New Roman"/>
          <w:noProof/>
          <w:lang w:val="en-GB"/>
        </w:rPr>
        <w:t xml:space="preserve"> digital spaces, work-life balance in a remote working environment, protection of minors, and ethical algorithmic decision-making. </w:t>
      </w:r>
    </w:p>
    <w:p w:rsidR="0007764C" w:rsidRDefault="00A17FAC">
      <w:pPr>
        <w:snapToGrid w:val="0"/>
        <w:spacing w:before="120" w:after="120" w:line="259" w:lineRule="auto"/>
        <w:jc w:val="both"/>
        <w:rPr>
          <w:rFonts w:ascii="Times New Roman" w:hAnsi="Times New Roman" w:cs="Times New Roman"/>
          <w:noProof/>
          <w:lang w:val="en-GB"/>
        </w:rPr>
      </w:pPr>
      <w:r>
        <w:rPr>
          <w:rFonts w:ascii="Times New Roman" w:hAnsi="Times New Roman" w:cs="Times New Roman"/>
          <w:noProof/>
          <w:lang w:val="en-GB"/>
        </w:rPr>
        <w:t>In addition, the digital technologies and services people use must be compliant with the applicable legal framework and resp</w:t>
      </w:r>
      <w:r>
        <w:rPr>
          <w:rFonts w:ascii="Times New Roman" w:hAnsi="Times New Roman" w:cs="Times New Roman"/>
          <w:noProof/>
          <w:lang w:val="en-GB"/>
        </w:rPr>
        <w:t>ect the rights and values intrinsic to the “European way”. Furthermore, the human-centred, secure and open digital environment should comply with the law, but also further enable people to enforce their rights, such as the rights to privacy and data protec</w:t>
      </w:r>
      <w:r>
        <w:rPr>
          <w:rFonts w:ascii="Times New Roman" w:hAnsi="Times New Roman" w:cs="Times New Roman"/>
          <w:noProof/>
          <w:lang w:val="en-GB"/>
        </w:rPr>
        <w:t>tion</w:t>
      </w:r>
      <w:r>
        <w:rPr>
          <w:rStyle w:val="CommentReference"/>
          <w:rFonts w:ascii="Times New Roman" w:hAnsi="Times New Roman" w:cs="Times New Roman"/>
          <w:noProof/>
          <w:sz w:val="24"/>
          <w:szCs w:val="24"/>
          <w:lang w:val="en-GB" w:eastAsia="en-US"/>
        </w:rPr>
        <w:t>, freedom of expression, the rights of the child</w:t>
      </w:r>
      <w:r>
        <w:rPr>
          <w:rStyle w:val="CommentReference"/>
          <w:rFonts w:ascii="Times New Roman" w:hAnsi="Times New Roman" w:cs="Times New Roman"/>
          <w:noProof/>
          <w:lang w:val="en-GB" w:eastAsia="en-US"/>
        </w:rPr>
        <w:t xml:space="preserve"> </w:t>
      </w:r>
      <w:r>
        <w:rPr>
          <w:rFonts w:ascii="Times New Roman" w:hAnsi="Times New Roman" w:cs="Times New Roman"/>
          <w:noProof/>
          <w:lang w:val="en-GB"/>
        </w:rPr>
        <w:t xml:space="preserve">and consumer rights. </w:t>
      </w:r>
    </w:p>
    <w:p w:rsidR="0007764C" w:rsidRDefault="00A17FAC">
      <w:pPr>
        <w:snapToGrid w:val="0"/>
        <w:spacing w:before="120" w:after="120" w:line="259" w:lineRule="auto"/>
        <w:jc w:val="both"/>
        <w:rPr>
          <w:rFonts w:ascii="Times New Roman" w:hAnsi="Times New Roman" w:cs="Times New Roman"/>
          <w:noProof/>
          <w:lang w:val="en-IE"/>
        </w:rPr>
      </w:pPr>
      <w:r>
        <w:rPr>
          <w:rFonts w:ascii="Times New Roman" w:hAnsi="Times New Roman" w:cs="Times New Roman"/>
          <w:noProof/>
          <w:lang w:val="en-IE"/>
        </w:rPr>
        <w:t>The digital principles are rooted in primary EU law, notably the Treaty on European Union (TEU), the Treaty on the Functioning of the European Union (TFEU), the Charter of Fundament</w:t>
      </w:r>
      <w:r>
        <w:rPr>
          <w:rFonts w:ascii="Times New Roman" w:hAnsi="Times New Roman" w:cs="Times New Roman"/>
          <w:noProof/>
          <w:lang w:val="en-IE"/>
        </w:rPr>
        <w:t>al Rights and the case-law of the Court of Justice of the European Union, as well as in secondary legislation</w:t>
      </w:r>
      <w:r>
        <w:rPr>
          <w:rStyle w:val="FootnoteReference"/>
          <w:rFonts w:ascii="Times New Roman" w:hAnsi="Times New Roman" w:cs="Times New Roman"/>
          <w:noProof/>
          <w:lang w:val="en-GB"/>
        </w:rPr>
        <w:footnoteReference w:id="38"/>
      </w:r>
      <w:r>
        <w:rPr>
          <w:rFonts w:ascii="Times New Roman" w:hAnsi="Times New Roman" w:cs="Times New Roman"/>
          <w:noProof/>
          <w:lang w:val="en-IE"/>
        </w:rPr>
        <w:t xml:space="preserve">. </w:t>
      </w:r>
    </w:p>
    <w:p w:rsidR="0007764C" w:rsidRDefault="00A17FAC">
      <w:pPr>
        <w:snapToGrid w:val="0"/>
        <w:spacing w:before="120" w:after="120" w:line="259" w:lineRule="auto"/>
        <w:jc w:val="both"/>
        <w:rPr>
          <w:rFonts w:ascii="Times New Roman" w:hAnsi="Times New Roman" w:cs="Times New Roman"/>
          <w:noProof/>
          <w:lang w:val="en-GB"/>
        </w:rPr>
      </w:pPr>
      <w:r>
        <w:rPr>
          <w:rFonts w:ascii="Times New Roman" w:hAnsi="Times New Roman" w:cs="Times New Roman"/>
          <w:noProof/>
          <w:lang w:val="en-GB"/>
        </w:rPr>
        <w:t>This European way for the digital society should also underpin and support open democracy initiatives by contributing to inclusive policy-makin</w:t>
      </w:r>
      <w:r>
        <w:rPr>
          <w:rFonts w:ascii="Times New Roman" w:hAnsi="Times New Roman" w:cs="Times New Roman"/>
          <w:noProof/>
          <w:lang w:val="en-GB"/>
        </w:rPr>
        <w:t>g, enabling wide-ranging engagement with people and stimulating grass-roots action for developing local initiatives as enabler factors to improve social acceptability and public support for democratic decisions.</w:t>
      </w:r>
    </w:p>
    <w:p w:rsidR="0007764C" w:rsidRDefault="00A17FAC">
      <w:pPr>
        <w:snapToGrid w:val="0"/>
        <w:spacing w:before="120" w:after="120" w:line="259" w:lineRule="auto"/>
        <w:jc w:val="both"/>
        <w:rPr>
          <w:rFonts w:ascii="Times New Roman" w:hAnsi="Times New Roman" w:cs="Times New Roman"/>
          <w:noProof/>
          <w:lang w:val="en-GB"/>
        </w:rPr>
      </w:pPr>
      <w:r>
        <w:rPr>
          <w:rFonts w:ascii="Times New Roman" w:hAnsi="Times New Roman" w:cs="Times New Roman"/>
          <w:noProof/>
          <w:lang w:val="en-GB"/>
        </w:rPr>
        <w:t>This European way for the digital society is</w:t>
      </w:r>
      <w:r>
        <w:rPr>
          <w:rFonts w:ascii="Times New Roman" w:hAnsi="Times New Roman" w:cs="Times New Roman"/>
          <w:noProof/>
          <w:lang w:val="en-GB"/>
        </w:rPr>
        <w:t xml:space="preserve"> also based on ensuring full respect of EU fundamental rights:  </w:t>
      </w:r>
    </w:p>
    <w:p w:rsidR="0007764C" w:rsidRDefault="00A17FAC">
      <w:pPr>
        <w:pStyle w:val="ListParagraph"/>
        <w:numPr>
          <w:ilvl w:val="0"/>
          <w:numId w:val="80"/>
        </w:numPr>
        <w:snapToGrid w:val="0"/>
        <w:spacing w:before="120" w:after="120" w:line="259" w:lineRule="auto"/>
        <w:jc w:val="both"/>
        <w:rPr>
          <w:rFonts w:ascii="Times New Roman" w:hAnsi="Times New Roman" w:cs="Times New Roman"/>
          <w:noProof/>
        </w:rPr>
      </w:pPr>
      <w:r>
        <w:rPr>
          <w:rFonts w:ascii="Times New Roman" w:hAnsi="Times New Roman" w:cs="Times New Roman"/>
          <w:noProof/>
          <w:sz w:val="24"/>
          <w:szCs w:val="24"/>
        </w:rPr>
        <w:t xml:space="preserve">Freedom of expression, including access to diverse, trustworthy and transparent information, </w:t>
      </w:r>
    </w:p>
    <w:p w:rsidR="0007764C" w:rsidRDefault="00A17FAC">
      <w:pPr>
        <w:pStyle w:val="ListParagraph"/>
        <w:numPr>
          <w:ilvl w:val="0"/>
          <w:numId w:val="80"/>
        </w:numPr>
        <w:snapToGrid w:val="0"/>
        <w:spacing w:before="120" w:after="120" w:line="259" w:lineRule="auto"/>
        <w:jc w:val="both"/>
        <w:rPr>
          <w:rFonts w:ascii="Times New Roman" w:hAnsi="Times New Roman" w:cs="Times New Roman"/>
          <w:noProof/>
        </w:rPr>
      </w:pPr>
      <w:r>
        <w:rPr>
          <w:rFonts w:ascii="Times New Roman" w:hAnsi="Times New Roman" w:cs="Times New Roman"/>
          <w:noProof/>
          <w:sz w:val="24"/>
          <w:szCs w:val="24"/>
        </w:rPr>
        <w:t>Freedom to set up and conduct a business online,</w:t>
      </w:r>
    </w:p>
    <w:p w:rsidR="0007764C" w:rsidRDefault="00A17FAC">
      <w:pPr>
        <w:pStyle w:val="ListParagraph"/>
        <w:numPr>
          <w:ilvl w:val="0"/>
          <w:numId w:val="80"/>
        </w:numPr>
        <w:snapToGrid w:val="0"/>
        <w:spacing w:before="120" w:after="120" w:line="259" w:lineRule="auto"/>
        <w:jc w:val="both"/>
        <w:rPr>
          <w:rFonts w:ascii="Times New Roman" w:hAnsi="Times New Roman" w:cs="Times New Roman"/>
          <w:noProof/>
          <w:sz w:val="24"/>
          <w:szCs w:val="24"/>
        </w:rPr>
      </w:pPr>
      <w:r>
        <w:rPr>
          <w:rFonts w:ascii="Times New Roman" w:hAnsi="Times New Roman" w:cs="Times New Roman"/>
          <w:noProof/>
          <w:sz w:val="24"/>
          <w:szCs w:val="24"/>
        </w:rPr>
        <w:t>Protection of personal data and privacy, and rig</w:t>
      </w:r>
      <w:r>
        <w:rPr>
          <w:rFonts w:ascii="Times New Roman" w:hAnsi="Times New Roman" w:cs="Times New Roman"/>
          <w:noProof/>
          <w:sz w:val="24"/>
          <w:szCs w:val="24"/>
        </w:rPr>
        <w:t xml:space="preserve">ht to be forgotten, </w:t>
      </w:r>
    </w:p>
    <w:p w:rsidR="0007764C" w:rsidRDefault="00A17FAC">
      <w:pPr>
        <w:pStyle w:val="ListParagraph"/>
        <w:numPr>
          <w:ilvl w:val="0"/>
          <w:numId w:val="80"/>
        </w:numPr>
        <w:snapToGrid w:val="0"/>
        <w:spacing w:before="120" w:after="120" w:line="259" w:lineRule="auto"/>
        <w:jc w:val="both"/>
        <w:rPr>
          <w:rFonts w:ascii="Times New Roman" w:hAnsi="Times New Roman" w:cs="Times New Roman"/>
          <w:noProof/>
        </w:rPr>
      </w:pPr>
      <w:r>
        <w:rPr>
          <w:rFonts w:ascii="Times New Roman" w:hAnsi="Times New Roman" w:cs="Times New Roman"/>
          <w:noProof/>
          <w:sz w:val="24"/>
          <w:szCs w:val="24"/>
        </w:rPr>
        <w:t>Protection of the intellectual creation of individuals in the online space.</w:t>
      </w:r>
    </w:p>
    <w:p w:rsidR="0007764C" w:rsidRDefault="00A17FAC">
      <w:pPr>
        <w:snapToGrid w:val="0"/>
        <w:spacing w:after="120" w:line="259" w:lineRule="auto"/>
        <w:jc w:val="both"/>
        <w:rPr>
          <w:rFonts w:ascii="Times New Roman" w:hAnsi="Times New Roman" w:cs="Times New Roman"/>
          <w:noProof/>
          <w:lang w:val="en-GB"/>
        </w:rPr>
      </w:pPr>
      <w:r>
        <w:rPr>
          <w:rFonts w:ascii="Times New Roman" w:hAnsi="Times New Roman" w:cs="Times New Roman"/>
          <w:noProof/>
          <w:lang w:val="en-GB"/>
        </w:rPr>
        <w:t xml:space="preserve">It is equally important to set up a comprehensive set of digital principles that will allow to inform users and guide policy makers and digital operators such </w:t>
      </w:r>
      <w:r>
        <w:rPr>
          <w:rFonts w:ascii="Times New Roman" w:hAnsi="Times New Roman" w:cs="Times New Roman"/>
          <w:noProof/>
          <w:lang w:val="en-GB"/>
        </w:rPr>
        <w:t xml:space="preserve">as:  </w:t>
      </w:r>
    </w:p>
    <w:p w:rsidR="0007764C" w:rsidRDefault="00A17FAC">
      <w:pPr>
        <w:pStyle w:val="ListParagraph"/>
        <w:numPr>
          <w:ilvl w:val="0"/>
          <w:numId w:val="79"/>
        </w:numPr>
        <w:snapToGrid w:val="0"/>
        <w:spacing w:before="120" w:after="120"/>
        <w:jc w:val="both"/>
        <w:rPr>
          <w:rFonts w:ascii="Times New Roman" w:hAnsi="Times New Roman" w:cs="Times New Roman"/>
          <w:noProof/>
          <w:sz w:val="24"/>
          <w:szCs w:val="24"/>
        </w:rPr>
      </w:pPr>
      <w:r>
        <w:rPr>
          <w:rFonts w:ascii="Times New Roman" w:hAnsi="Times New Roman" w:cs="Times New Roman"/>
          <w:noProof/>
          <w:sz w:val="24"/>
          <w:szCs w:val="24"/>
        </w:rPr>
        <w:t>Universal Access to internet services</w:t>
      </w:r>
    </w:p>
    <w:p w:rsidR="0007764C" w:rsidRDefault="00A17FAC">
      <w:pPr>
        <w:pStyle w:val="ListParagraph"/>
        <w:numPr>
          <w:ilvl w:val="0"/>
          <w:numId w:val="79"/>
        </w:numPr>
        <w:snapToGrid w:val="0"/>
        <w:spacing w:before="120" w:after="120"/>
        <w:jc w:val="both"/>
        <w:rPr>
          <w:rFonts w:ascii="Times New Roman" w:hAnsi="Times New Roman" w:cs="Times New Roman"/>
          <w:noProof/>
          <w:sz w:val="24"/>
          <w:szCs w:val="24"/>
        </w:rPr>
      </w:pPr>
      <w:r>
        <w:rPr>
          <w:rFonts w:ascii="Times New Roman" w:hAnsi="Times New Roman" w:cs="Times New Roman"/>
          <w:noProof/>
          <w:sz w:val="24"/>
          <w:szCs w:val="24"/>
        </w:rPr>
        <w:t>A secure and trusted online environment</w:t>
      </w:r>
    </w:p>
    <w:p w:rsidR="0007764C" w:rsidRDefault="00A17FAC">
      <w:pPr>
        <w:pStyle w:val="ListParagraph"/>
        <w:numPr>
          <w:ilvl w:val="0"/>
          <w:numId w:val="79"/>
        </w:numPr>
        <w:snapToGrid w:val="0"/>
        <w:spacing w:before="120" w:after="120"/>
        <w:jc w:val="both"/>
        <w:rPr>
          <w:rFonts w:ascii="Times New Roman" w:hAnsi="Times New Roman" w:cs="Times New Roman"/>
          <w:noProof/>
          <w:sz w:val="24"/>
          <w:szCs w:val="24"/>
        </w:rPr>
      </w:pPr>
      <w:r>
        <w:rPr>
          <w:rFonts w:ascii="Times New Roman" w:hAnsi="Times New Roman" w:cs="Times New Roman"/>
          <w:noProof/>
          <w:sz w:val="24"/>
          <w:szCs w:val="24"/>
        </w:rPr>
        <w:t>Universal digital education and skills for people to take an active part in society and in democratic processes</w:t>
      </w:r>
    </w:p>
    <w:p w:rsidR="0007764C" w:rsidRDefault="00A17FAC">
      <w:pPr>
        <w:pStyle w:val="ListParagraph"/>
        <w:numPr>
          <w:ilvl w:val="0"/>
          <w:numId w:val="79"/>
        </w:numPr>
        <w:snapToGrid w:val="0"/>
        <w:spacing w:before="120" w:after="120"/>
        <w:jc w:val="both"/>
        <w:rPr>
          <w:rFonts w:ascii="Times New Roman" w:hAnsi="Times New Roman" w:cs="Times New Roman"/>
          <w:noProof/>
          <w:sz w:val="24"/>
          <w:szCs w:val="24"/>
        </w:rPr>
      </w:pPr>
      <w:r>
        <w:rPr>
          <w:rFonts w:ascii="Times New Roman" w:hAnsi="Times New Roman" w:cs="Times New Roman"/>
          <w:noProof/>
          <w:sz w:val="24"/>
          <w:szCs w:val="24"/>
        </w:rPr>
        <w:t>Access to digital systems and devices that respect the envir</w:t>
      </w:r>
      <w:r>
        <w:rPr>
          <w:rFonts w:ascii="Times New Roman" w:hAnsi="Times New Roman" w:cs="Times New Roman"/>
          <w:noProof/>
          <w:sz w:val="24"/>
          <w:szCs w:val="24"/>
        </w:rPr>
        <w:t>onment</w:t>
      </w:r>
    </w:p>
    <w:p w:rsidR="0007764C" w:rsidRDefault="00A17FAC">
      <w:pPr>
        <w:pStyle w:val="ListParagraph"/>
        <w:numPr>
          <w:ilvl w:val="0"/>
          <w:numId w:val="79"/>
        </w:numPr>
        <w:snapToGrid w:val="0"/>
        <w:spacing w:before="120" w:after="120"/>
        <w:jc w:val="both"/>
        <w:rPr>
          <w:rFonts w:ascii="Times New Roman" w:hAnsi="Times New Roman" w:cs="Times New Roman"/>
          <w:noProof/>
          <w:sz w:val="24"/>
          <w:szCs w:val="24"/>
        </w:rPr>
      </w:pPr>
      <w:r>
        <w:rPr>
          <w:rFonts w:ascii="Times New Roman" w:hAnsi="Times New Roman" w:cs="Times New Roman"/>
          <w:noProof/>
          <w:sz w:val="24"/>
          <w:szCs w:val="24"/>
        </w:rPr>
        <w:t>Accessible and  human-centric digital public services and administration</w:t>
      </w:r>
    </w:p>
    <w:p w:rsidR="0007764C" w:rsidRDefault="00A17FAC">
      <w:pPr>
        <w:pStyle w:val="ListParagraph"/>
        <w:numPr>
          <w:ilvl w:val="0"/>
          <w:numId w:val="79"/>
        </w:numPr>
        <w:snapToGrid w:val="0"/>
        <w:spacing w:before="120" w:after="120"/>
        <w:jc w:val="both"/>
        <w:rPr>
          <w:rFonts w:ascii="Times New Roman" w:hAnsi="Times New Roman" w:cs="Times New Roman"/>
          <w:noProof/>
          <w:sz w:val="24"/>
          <w:szCs w:val="24"/>
        </w:rPr>
      </w:pPr>
      <w:r>
        <w:rPr>
          <w:rFonts w:ascii="Times New Roman" w:hAnsi="Times New Roman" w:cs="Times New Roman"/>
          <w:noProof/>
          <w:sz w:val="24"/>
          <w:szCs w:val="24"/>
        </w:rPr>
        <w:t>Ethical principles for human centric algorithms</w:t>
      </w:r>
    </w:p>
    <w:p w:rsidR="0007764C" w:rsidRDefault="00A17FAC">
      <w:pPr>
        <w:pStyle w:val="ListParagraph"/>
        <w:numPr>
          <w:ilvl w:val="0"/>
          <w:numId w:val="79"/>
        </w:numPr>
        <w:snapToGrid w:val="0"/>
        <w:spacing w:before="120" w:after="120"/>
        <w:jc w:val="both"/>
        <w:rPr>
          <w:rFonts w:ascii="Times New Roman" w:hAnsi="Times New Roman" w:cs="Times New Roman"/>
          <w:noProof/>
          <w:sz w:val="24"/>
          <w:szCs w:val="24"/>
        </w:rPr>
      </w:pPr>
      <w:r>
        <w:rPr>
          <w:rFonts w:ascii="Times New Roman" w:hAnsi="Times New Roman" w:cs="Times New Roman"/>
          <w:noProof/>
          <w:sz w:val="24"/>
          <w:szCs w:val="24"/>
        </w:rPr>
        <w:t>Protecting and empowering children in the online space</w:t>
      </w:r>
    </w:p>
    <w:p w:rsidR="0007764C" w:rsidRDefault="00A17FAC">
      <w:pPr>
        <w:pStyle w:val="ListParagraph"/>
        <w:numPr>
          <w:ilvl w:val="0"/>
          <w:numId w:val="79"/>
        </w:numPr>
        <w:snapToGrid w:val="0"/>
        <w:spacing w:before="120" w:after="120"/>
        <w:jc w:val="both"/>
        <w:rPr>
          <w:rFonts w:ascii="Times New Roman" w:hAnsi="Times New Roman" w:cs="Times New Roman"/>
          <w:noProof/>
          <w:sz w:val="24"/>
          <w:szCs w:val="24"/>
        </w:rPr>
      </w:pPr>
      <w:r>
        <w:rPr>
          <w:rFonts w:ascii="Times New Roman" w:hAnsi="Times New Roman" w:cs="Times New Roman"/>
          <w:noProof/>
          <w:sz w:val="24"/>
          <w:szCs w:val="24"/>
        </w:rPr>
        <w:t xml:space="preserve">Access to digital health services. </w:t>
      </w:r>
    </w:p>
    <w:p w:rsidR="0007764C" w:rsidRDefault="00A17FAC">
      <w:pPr>
        <w:snapToGrid w:val="0"/>
        <w:spacing w:after="120" w:line="259" w:lineRule="auto"/>
        <w:jc w:val="both"/>
        <w:rPr>
          <w:rFonts w:ascii="Times New Roman" w:hAnsi="Times New Roman" w:cs="Times New Roman"/>
          <w:noProof/>
          <w:lang w:val="en-GB"/>
        </w:rPr>
      </w:pPr>
      <w:r>
        <w:rPr>
          <w:rFonts w:ascii="Times New Roman" w:hAnsi="Times New Roman" w:cs="Times New Roman"/>
          <w:noProof/>
          <w:lang w:val="en-GB"/>
        </w:rPr>
        <w:t xml:space="preserve">The Commission will propose to </w:t>
      </w:r>
      <w:r>
        <w:rPr>
          <w:rFonts w:ascii="Times New Roman" w:hAnsi="Times New Roman" w:cs="Times New Roman"/>
          <w:noProof/>
          <w:lang w:val="en-GB"/>
        </w:rPr>
        <w:t>include such a set of digital principles and rights in an inter-institutional solemn declaration between the European Commission, the European Parliament and the Council, based on a proposal from the European Commission and building on and complementing th</w:t>
      </w:r>
      <w:r>
        <w:rPr>
          <w:rFonts w:ascii="Times New Roman" w:hAnsi="Times New Roman" w:cs="Times New Roman"/>
          <w:noProof/>
          <w:lang w:val="en-GB"/>
        </w:rPr>
        <w:t>e experience of the European Pillar of Social Rights.</w:t>
      </w:r>
    </w:p>
    <w:p w:rsidR="0007764C" w:rsidRDefault="00A17FAC">
      <w:pPr>
        <w:snapToGrid w:val="0"/>
        <w:spacing w:after="120" w:line="259" w:lineRule="auto"/>
        <w:jc w:val="both"/>
        <w:rPr>
          <w:rFonts w:ascii="Times New Roman" w:hAnsi="Times New Roman" w:cs="Times New Roman"/>
          <w:noProof/>
          <w:lang w:val="en-GB"/>
        </w:rPr>
      </w:pPr>
      <w:r>
        <w:rPr>
          <w:rFonts w:ascii="Times New Roman" w:hAnsi="Times New Roman" w:cs="Times New Roman"/>
          <w:noProof/>
          <w:lang w:val="en-GB"/>
        </w:rPr>
        <w:t>The Commission intends to carry out an annual Eurobarometer exercise specifically dedicated to monitoring the perception of Europeans regarding the respect of their rights and values, and to what extent</w:t>
      </w:r>
      <w:r>
        <w:rPr>
          <w:rFonts w:ascii="Times New Roman" w:hAnsi="Times New Roman" w:cs="Times New Roman"/>
          <w:noProof/>
          <w:lang w:val="en-GB"/>
        </w:rPr>
        <w:t xml:space="preserve"> they feel that the digitisation of our society is serving them.</w:t>
      </w:r>
    </w:p>
    <w:p w:rsidR="0007764C" w:rsidRDefault="00A17FAC">
      <w:pPr>
        <w:pStyle w:val="Heading1"/>
        <w:spacing w:after="120"/>
        <w:rPr>
          <w:noProof/>
        </w:rPr>
      </w:pPr>
      <w:bookmarkStart w:id="78" w:name="_Toc64388645"/>
      <w:bookmarkStart w:id="79" w:name="_Toc64388650"/>
      <w:bookmarkStart w:id="80" w:name="_Toc64388652"/>
      <w:bookmarkStart w:id="81" w:name="_Toc64388653"/>
      <w:bookmarkStart w:id="82" w:name="_Toc64379902"/>
      <w:bookmarkStart w:id="83" w:name="_Toc64382300"/>
      <w:bookmarkStart w:id="84" w:name="_Toc64386612"/>
      <w:bookmarkStart w:id="85" w:name="_Toc64386827"/>
      <w:bookmarkStart w:id="86" w:name="_Toc64386977"/>
      <w:bookmarkStart w:id="87" w:name="_Toc64387007"/>
      <w:bookmarkStart w:id="88" w:name="_Toc64388663"/>
      <w:bookmarkStart w:id="89" w:name="_Toc64388664"/>
      <w:bookmarkStart w:id="90" w:name="_Toc64456140"/>
      <w:bookmarkStart w:id="91" w:name="_Toc64456189"/>
      <w:bookmarkStart w:id="92" w:name="_Toc64493233"/>
      <w:bookmarkStart w:id="93" w:name="_Toc64495326"/>
      <w:bookmarkStart w:id="94" w:name="_Toc64581252"/>
      <w:bookmarkStart w:id="95" w:name="_Toc64584045"/>
      <w:bookmarkStart w:id="96" w:name="_Toc65313737"/>
      <w:bookmarkEnd w:id="78"/>
      <w:bookmarkEnd w:id="79"/>
      <w:bookmarkEnd w:id="80"/>
      <w:bookmarkEnd w:id="81"/>
      <w:bookmarkEnd w:id="82"/>
      <w:bookmarkEnd w:id="83"/>
      <w:bookmarkEnd w:id="84"/>
      <w:bookmarkEnd w:id="85"/>
      <w:bookmarkEnd w:id="86"/>
      <w:bookmarkEnd w:id="87"/>
      <w:bookmarkEnd w:id="88"/>
      <w:r>
        <w:rPr>
          <w:noProof/>
        </w:rPr>
        <w:t>5.</w:t>
      </w:r>
      <w:r>
        <w:rPr>
          <w:noProof/>
        </w:rPr>
        <w:tab/>
        <w:t xml:space="preserve">A Compass to reach the 2030 targets and objectives </w:t>
      </w:r>
      <w:bookmarkEnd w:id="89"/>
      <w:bookmarkEnd w:id="90"/>
      <w:bookmarkEnd w:id="91"/>
      <w:bookmarkEnd w:id="92"/>
      <w:bookmarkEnd w:id="93"/>
      <w:bookmarkEnd w:id="94"/>
      <w:bookmarkEnd w:id="95"/>
      <w:bookmarkEnd w:id="96"/>
    </w:p>
    <w:p w:rsidR="0007764C" w:rsidRDefault="00A17FAC">
      <w:pPr>
        <w:spacing w:after="120" w:line="259" w:lineRule="auto"/>
        <w:jc w:val="both"/>
        <w:rPr>
          <w:rFonts w:ascii="Times New Roman" w:hAnsi="Times New Roman" w:cs="Times New Roman"/>
          <w:noProof/>
          <w:lang w:val="en-GB"/>
        </w:rPr>
      </w:pPr>
      <w:r>
        <w:rPr>
          <w:rFonts w:ascii="Times New Roman" w:hAnsi="Times New Roman" w:cs="Times New Roman"/>
          <w:noProof/>
          <w:lang w:val="en-GB"/>
        </w:rPr>
        <w:t xml:space="preserve">To deliver the renewed EU ambition for digitalisation a robust framework is necessary. It should encompass our vision based on the four cardinal points, digital principles and addressing critical capacity gaps. </w:t>
      </w:r>
    </w:p>
    <w:p w:rsidR="0007764C" w:rsidRDefault="0007764C">
      <w:pPr>
        <w:spacing w:after="120" w:line="259" w:lineRule="auto"/>
        <w:jc w:val="both"/>
        <w:rPr>
          <w:rFonts w:ascii="Times New Roman" w:hAnsi="Times New Roman" w:cs="Times New Roman"/>
          <w:noProof/>
          <w:lang w:val="en-GB"/>
        </w:rPr>
      </w:pPr>
    </w:p>
    <w:tbl>
      <w:tblPr>
        <w:tblStyle w:val="LightGrid-Accent5"/>
        <w:tblW w:w="0" w:type="auto"/>
        <w:tblInd w:w="108" w:type="dxa"/>
        <w:tblLook w:val="04A0" w:firstRow="1" w:lastRow="0" w:firstColumn="1" w:lastColumn="0" w:noHBand="0" w:noVBand="1"/>
      </w:tblPr>
      <w:tblGrid>
        <w:gridCol w:w="2962"/>
        <w:gridCol w:w="3417"/>
        <w:gridCol w:w="2724"/>
      </w:tblGrid>
      <w:tr w:rsidR="0007764C" w:rsidRPr="00A17FAC" w:rsidTr="0007764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03" w:type="dxa"/>
            <w:gridSpan w:val="3"/>
            <w:tcBorders>
              <w:top w:val="single" w:sz="18" w:space="0" w:color="4BACC6" w:themeColor="accent5"/>
              <w:left w:val="single" w:sz="18" w:space="0" w:color="4BACC6" w:themeColor="accent5"/>
              <w:right w:val="single" w:sz="18" w:space="0" w:color="4BACC6" w:themeColor="accent5"/>
            </w:tcBorders>
          </w:tcPr>
          <w:p w:rsidR="0007764C" w:rsidRDefault="00A17FAC">
            <w:pPr>
              <w:spacing w:after="120" w:line="259" w:lineRule="auto"/>
              <w:jc w:val="center"/>
              <w:rPr>
                <w:rFonts w:ascii="Times New Roman" w:hAnsi="Times New Roman"/>
                <w:noProof/>
                <w:lang w:val="en-IE"/>
              </w:rPr>
            </w:pPr>
            <w:r>
              <w:rPr>
                <w:rFonts w:ascii="Times New Roman" w:hAnsi="Times New Roman"/>
                <w:noProof/>
                <w:lang w:val="en-IE"/>
              </w:rPr>
              <w:t>Digital COMPASS</w:t>
            </w:r>
          </w:p>
          <w:p w:rsidR="0007764C" w:rsidRDefault="00A17FAC">
            <w:pPr>
              <w:spacing w:after="120" w:line="259" w:lineRule="auto"/>
              <w:jc w:val="center"/>
              <w:rPr>
                <w:rFonts w:ascii="Times New Roman" w:hAnsi="Times New Roman"/>
                <w:noProof/>
                <w:lang w:val="en-IE"/>
              </w:rPr>
            </w:pPr>
            <w:r>
              <w:rPr>
                <w:rFonts w:ascii="Times New Roman" w:hAnsi="Times New Roman"/>
                <w:noProof/>
                <w:lang w:val="en-IE"/>
              </w:rPr>
              <w:t>Governance structure with a</w:t>
            </w:r>
            <w:r>
              <w:rPr>
                <w:rFonts w:ascii="Times New Roman" w:hAnsi="Times New Roman"/>
                <w:noProof/>
                <w:lang w:val="en-IE"/>
              </w:rPr>
              <w:t>nnual reporting</w:t>
            </w:r>
            <w:r>
              <w:rPr>
                <w:rFonts w:ascii="Times New Roman" w:hAnsi="Times New Roman"/>
                <w:b w:val="0"/>
                <w:noProof/>
                <w:lang w:val="en-IE"/>
              </w:rPr>
              <w:t xml:space="preserve"> </w:t>
            </w:r>
            <w:r>
              <w:rPr>
                <w:rFonts w:ascii="Times New Roman" w:hAnsi="Times New Roman"/>
                <w:noProof/>
                <w:lang w:val="en-IE"/>
              </w:rPr>
              <w:t>and follow up</w:t>
            </w:r>
          </w:p>
        </w:tc>
      </w:tr>
      <w:tr w:rsidR="0007764C" w:rsidTr="000776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2" w:type="dxa"/>
            <w:tcBorders>
              <w:left w:val="single" w:sz="18" w:space="0" w:color="4BACC6" w:themeColor="accent5"/>
            </w:tcBorders>
            <w:vAlign w:val="center"/>
          </w:tcPr>
          <w:p w:rsidR="0007764C" w:rsidRDefault="00A17FAC">
            <w:pPr>
              <w:spacing w:after="120" w:line="259" w:lineRule="auto"/>
              <w:rPr>
                <w:rFonts w:ascii="Times New Roman" w:hAnsi="Times New Roman"/>
                <w:noProof/>
                <w:lang w:val="en-IE"/>
              </w:rPr>
            </w:pPr>
            <w:r>
              <w:rPr>
                <w:rFonts w:ascii="Times New Roman" w:hAnsi="Times New Roman"/>
                <w:noProof/>
                <w:lang w:val="en-IE"/>
              </w:rPr>
              <w:t>Achieving the concrete objectives under the four cardinal points</w:t>
            </w:r>
            <w:r>
              <w:rPr>
                <w:rStyle w:val="FootnoteReference"/>
                <w:rFonts w:ascii="Times New Roman" w:hAnsi="Times New Roman"/>
                <w:noProof/>
                <w:lang w:val="en-IE"/>
              </w:rPr>
              <w:footnoteReference w:id="39"/>
            </w:r>
            <w:r>
              <w:rPr>
                <w:rFonts w:ascii="Times New Roman" w:hAnsi="Times New Roman"/>
                <w:noProof/>
                <w:lang w:val="en-IE"/>
              </w:rPr>
              <w:t xml:space="preserve"> </w:t>
            </w:r>
          </w:p>
        </w:tc>
        <w:tc>
          <w:tcPr>
            <w:tcW w:w="3417" w:type="dxa"/>
            <w:vAlign w:val="center"/>
          </w:tcPr>
          <w:p w:rsidR="0007764C" w:rsidRDefault="00A17FAC">
            <w:pPr>
              <w:spacing w:after="12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noProof/>
                <w:lang w:val="en-IE"/>
              </w:rPr>
            </w:pPr>
            <w:r>
              <w:rPr>
                <w:rFonts w:ascii="Times New Roman" w:hAnsi="Times New Roman"/>
                <w:b/>
                <w:noProof/>
                <w:lang w:val="en-IE"/>
              </w:rPr>
              <w:t xml:space="preserve">Shaping and launching </w:t>
            </w:r>
          </w:p>
          <w:p w:rsidR="0007764C" w:rsidRDefault="00A17FAC">
            <w:pPr>
              <w:spacing w:after="12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noProof/>
                <w:lang w:val="en-GB"/>
              </w:rPr>
            </w:pPr>
            <w:r>
              <w:rPr>
                <w:rFonts w:ascii="Times New Roman" w:hAnsi="Times New Roman"/>
                <w:b/>
                <w:noProof/>
                <w:lang w:val="en-IE"/>
              </w:rPr>
              <w:t>Multi-country projects</w:t>
            </w:r>
            <w:r>
              <w:rPr>
                <w:rStyle w:val="FootnoteReference"/>
                <w:rFonts w:ascii="Times New Roman" w:hAnsi="Times New Roman"/>
                <w:b/>
                <w:noProof/>
                <w:lang w:val="en-IE"/>
              </w:rPr>
              <w:footnoteReference w:id="40"/>
            </w:r>
            <w:r>
              <w:rPr>
                <w:rFonts w:ascii="Times New Roman" w:hAnsi="Times New Roman"/>
                <w:b/>
                <w:noProof/>
                <w:lang w:val="en-GB"/>
              </w:rPr>
              <w:t xml:space="preserve"> </w:t>
            </w:r>
          </w:p>
        </w:tc>
        <w:tc>
          <w:tcPr>
            <w:tcW w:w="2724" w:type="dxa"/>
            <w:tcBorders>
              <w:right w:val="single" w:sz="18" w:space="0" w:color="4BACC6" w:themeColor="accent5"/>
            </w:tcBorders>
            <w:vAlign w:val="center"/>
          </w:tcPr>
          <w:p w:rsidR="0007764C" w:rsidRDefault="00A17FAC">
            <w:pPr>
              <w:spacing w:after="12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noProof/>
                <w:lang w:val="en-IE"/>
              </w:rPr>
            </w:pPr>
            <w:r>
              <w:rPr>
                <w:rFonts w:ascii="Times New Roman" w:hAnsi="Times New Roman"/>
                <w:b/>
                <w:noProof/>
                <w:lang w:val="en-IE"/>
              </w:rPr>
              <w:t>Monitoring Digital Principles</w:t>
            </w:r>
          </w:p>
        </w:tc>
      </w:tr>
      <w:tr w:rsidR="0007764C" w:rsidRPr="00A17FAC" w:rsidTr="0007764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2" w:type="dxa"/>
            <w:tcBorders>
              <w:left w:val="single" w:sz="18" w:space="0" w:color="4BACC6" w:themeColor="accent5"/>
              <w:bottom w:val="none" w:sz="0" w:space="0" w:color="auto"/>
            </w:tcBorders>
            <w:vAlign w:val="center"/>
          </w:tcPr>
          <w:p w:rsidR="0007764C" w:rsidRDefault="00A17FAC">
            <w:pPr>
              <w:spacing w:after="120" w:line="259" w:lineRule="auto"/>
              <w:rPr>
                <w:rFonts w:ascii="Times New Roman" w:hAnsi="Times New Roman"/>
                <w:b w:val="0"/>
                <w:noProof/>
                <w:lang w:val="en-IE"/>
              </w:rPr>
            </w:pPr>
            <w:r>
              <w:rPr>
                <w:rFonts w:ascii="Times New Roman" w:hAnsi="Times New Roman"/>
                <w:b w:val="0"/>
                <w:noProof/>
                <w:lang w:val="en-IE"/>
              </w:rPr>
              <w:t>Monitored by quantitative KPIs, reporting on actions undertaken and followed up</w:t>
            </w:r>
            <w:r>
              <w:rPr>
                <w:rFonts w:ascii="Times New Roman" w:hAnsi="Times New Roman"/>
                <w:b w:val="0"/>
                <w:noProof/>
                <w:lang w:val="en-IE"/>
              </w:rPr>
              <w:t xml:space="preserve"> with recommendations</w:t>
            </w:r>
          </w:p>
        </w:tc>
        <w:tc>
          <w:tcPr>
            <w:tcW w:w="3417" w:type="dxa"/>
            <w:tcBorders>
              <w:bottom w:val="none" w:sz="0" w:space="0" w:color="auto"/>
            </w:tcBorders>
            <w:vAlign w:val="center"/>
          </w:tcPr>
          <w:p w:rsidR="0007764C" w:rsidRDefault="00A17FAC">
            <w:pPr>
              <w:spacing w:after="120" w:line="259" w:lineRule="auto"/>
              <w:cnfStyle w:val="000000010000" w:firstRow="0" w:lastRow="0" w:firstColumn="0" w:lastColumn="0" w:oddVBand="0" w:evenVBand="0" w:oddHBand="0" w:evenHBand="1" w:firstRowFirstColumn="0" w:firstRowLastColumn="0" w:lastRowFirstColumn="0" w:lastRowLastColumn="0"/>
              <w:rPr>
                <w:rFonts w:ascii="Times New Roman" w:hAnsi="Times New Roman"/>
                <w:noProof/>
                <w:lang w:val="en-GB"/>
              </w:rPr>
            </w:pPr>
            <w:r>
              <w:rPr>
                <w:rFonts w:ascii="Times New Roman" w:hAnsi="Times New Roman"/>
                <w:noProof/>
                <w:lang w:val="en-IE"/>
              </w:rPr>
              <w:t>Monitoring of infrastructure and critical capacity gap. Building consensus / fostering agreement on common projects and facilitating their implementation</w:t>
            </w:r>
            <w:r>
              <w:rPr>
                <w:rFonts w:ascii="Times New Roman" w:hAnsi="Times New Roman"/>
                <w:noProof/>
                <w:lang w:val="en-GB"/>
              </w:rPr>
              <w:t xml:space="preserve"> </w:t>
            </w:r>
          </w:p>
        </w:tc>
        <w:tc>
          <w:tcPr>
            <w:tcW w:w="2724" w:type="dxa"/>
            <w:tcBorders>
              <w:bottom w:val="none" w:sz="0" w:space="0" w:color="auto"/>
              <w:right w:val="single" w:sz="18" w:space="0" w:color="4BACC6" w:themeColor="accent5"/>
            </w:tcBorders>
            <w:vAlign w:val="center"/>
          </w:tcPr>
          <w:p w:rsidR="0007764C" w:rsidRDefault="00A17FAC">
            <w:pPr>
              <w:spacing w:after="120" w:line="259" w:lineRule="auto"/>
              <w:cnfStyle w:val="000000010000" w:firstRow="0" w:lastRow="0" w:firstColumn="0" w:lastColumn="0" w:oddVBand="0" w:evenVBand="0" w:oddHBand="0" w:evenHBand="1" w:firstRowFirstColumn="0" w:firstRowLastColumn="0" w:lastRowFirstColumn="0" w:lastRowLastColumn="0"/>
              <w:rPr>
                <w:rFonts w:ascii="Times New Roman" w:hAnsi="Times New Roman"/>
                <w:noProof/>
                <w:lang w:val="en-IE"/>
              </w:rPr>
            </w:pPr>
            <w:r>
              <w:rPr>
                <w:rFonts w:ascii="Times New Roman" w:hAnsi="Times New Roman"/>
                <w:noProof/>
                <w:lang w:val="en-IE"/>
              </w:rPr>
              <w:t>Reporting and scoreboards</w:t>
            </w:r>
          </w:p>
          <w:p w:rsidR="0007764C" w:rsidRDefault="00A17FAC">
            <w:pPr>
              <w:spacing w:after="120" w:line="259" w:lineRule="auto"/>
              <w:cnfStyle w:val="000000010000" w:firstRow="0" w:lastRow="0" w:firstColumn="0" w:lastColumn="0" w:oddVBand="0" w:evenVBand="0" w:oddHBand="0" w:evenHBand="1" w:firstRowFirstColumn="0" w:firstRowLastColumn="0" w:lastRowFirstColumn="0" w:lastRowLastColumn="0"/>
              <w:rPr>
                <w:rFonts w:ascii="Times New Roman" w:hAnsi="Times New Roman"/>
                <w:noProof/>
                <w:lang w:val="en-IE"/>
              </w:rPr>
            </w:pPr>
            <w:r>
              <w:rPr>
                <w:rFonts w:ascii="Times New Roman" w:hAnsi="Times New Roman"/>
                <w:noProof/>
                <w:lang w:val="en-IE"/>
              </w:rPr>
              <w:t>Annual Eurobarometer</w:t>
            </w:r>
          </w:p>
        </w:tc>
      </w:tr>
    </w:tbl>
    <w:p w:rsidR="0007764C" w:rsidRDefault="00A17FAC">
      <w:pPr>
        <w:pStyle w:val="Heading2"/>
        <w:spacing w:after="120"/>
        <w:rPr>
          <w:noProof/>
        </w:rPr>
      </w:pPr>
      <w:bookmarkStart w:id="97" w:name="_Toc64379904"/>
      <w:bookmarkStart w:id="98" w:name="_Toc64382302"/>
      <w:bookmarkStart w:id="99" w:name="_Toc64386614"/>
      <w:bookmarkStart w:id="100" w:name="_Toc64386829"/>
      <w:bookmarkStart w:id="101" w:name="_Toc64386979"/>
      <w:bookmarkStart w:id="102" w:name="_Toc64387009"/>
      <w:bookmarkStart w:id="103" w:name="_Toc64388665"/>
      <w:bookmarkStart w:id="104" w:name="_Toc64439441"/>
      <w:bookmarkStart w:id="105" w:name="_Toc64379905"/>
      <w:bookmarkStart w:id="106" w:name="_Toc64382303"/>
      <w:bookmarkStart w:id="107" w:name="_Toc64386615"/>
      <w:bookmarkStart w:id="108" w:name="_Toc64386830"/>
      <w:bookmarkStart w:id="109" w:name="_Toc64386980"/>
      <w:bookmarkStart w:id="110" w:name="_Toc64387010"/>
      <w:bookmarkStart w:id="111" w:name="_Toc64388666"/>
      <w:bookmarkStart w:id="112" w:name="_Toc64439442"/>
      <w:bookmarkStart w:id="113" w:name="_Toc65313738"/>
      <w:bookmarkStart w:id="114" w:name="_Toc64388667"/>
      <w:bookmarkStart w:id="115" w:name="_Toc64456141"/>
      <w:bookmarkStart w:id="116" w:name="_Toc64456190"/>
      <w:bookmarkStart w:id="117" w:name="_Toc64493234"/>
      <w:bookmarkStart w:id="118" w:name="_Toc64495327"/>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r>
        <w:rPr>
          <w:noProof/>
        </w:rPr>
        <w:t>5.1 Governance</w:t>
      </w:r>
      <w:bookmarkEnd w:id="113"/>
    </w:p>
    <w:p w:rsidR="0007764C" w:rsidRDefault="00A17FAC">
      <w:pPr>
        <w:spacing w:after="120" w:line="259" w:lineRule="auto"/>
        <w:jc w:val="both"/>
        <w:rPr>
          <w:rFonts w:ascii="Times New Roman" w:hAnsi="Times New Roman" w:cs="Times New Roman"/>
          <w:noProof/>
          <w:lang w:val="en-GB"/>
        </w:rPr>
      </w:pPr>
      <w:r>
        <w:rPr>
          <w:rFonts w:ascii="Times New Roman" w:hAnsi="Times New Roman" w:cs="Times New Roman"/>
          <w:noProof/>
          <w:lang w:val="en-GB"/>
        </w:rPr>
        <w:t xml:space="preserve">Operationally, the Commission intends to propose a </w:t>
      </w:r>
      <w:r>
        <w:rPr>
          <w:rFonts w:ascii="Times New Roman" w:hAnsi="Times New Roman"/>
          <w:noProof/>
          <w:lang w:val="en-GB"/>
        </w:rPr>
        <w:t>Digital Compass</w:t>
      </w:r>
      <w:r>
        <w:rPr>
          <w:rFonts w:ascii="Times New Roman" w:hAnsi="Times New Roman" w:cs="Times New Roman"/>
          <w:noProof/>
          <w:lang w:val="en-GB"/>
        </w:rPr>
        <w:t xml:space="preserve"> in the form of a digital policy programme</w:t>
      </w:r>
      <w:r>
        <w:rPr>
          <w:rStyle w:val="FootnoteReference"/>
          <w:rFonts w:ascii="Times New Roman" w:hAnsi="Times New Roman" w:cs="Times New Roman"/>
          <w:noProof/>
          <w:lang w:val="en-GB"/>
        </w:rPr>
        <w:footnoteReference w:id="41"/>
      </w:r>
      <w:r>
        <w:rPr>
          <w:rFonts w:ascii="Times New Roman" w:hAnsi="Times New Roman" w:cs="Times New Roman"/>
          <w:noProof/>
          <w:lang w:val="en-GB"/>
        </w:rPr>
        <w:t xml:space="preserve"> to be adopted by co-decision of European Parliament and Council, setting the focus on delivery and constant commitment towards the common digital </w:t>
      </w:r>
      <w:r>
        <w:rPr>
          <w:rFonts w:ascii="Times New Roman" w:hAnsi="Times New Roman" w:cs="Times New Roman"/>
          <w:noProof/>
          <w:lang w:val="en-GB"/>
        </w:rPr>
        <w:t xml:space="preserve">goals. The programme would feature the following aspects: </w:t>
      </w:r>
    </w:p>
    <w:p w:rsidR="0007764C" w:rsidRDefault="00A17FAC">
      <w:pPr>
        <w:pStyle w:val="ListParagraph"/>
        <w:numPr>
          <w:ilvl w:val="0"/>
          <w:numId w:val="15"/>
        </w:numPr>
        <w:spacing w:after="120" w:line="259" w:lineRule="auto"/>
        <w:ind w:left="426"/>
        <w:contextualSpacing w:val="0"/>
        <w:jc w:val="both"/>
        <w:rPr>
          <w:rFonts w:ascii="Times New Roman" w:eastAsiaTheme="minorEastAsia" w:hAnsi="Times New Roman" w:cs="Times New Roman"/>
          <w:noProof/>
          <w:sz w:val="24"/>
          <w:szCs w:val="24"/>
          <w:lang w:eastAsia="fr-FR"/>
        </w:rPr>
      </w:pPr>
      <w:r>
        <w:rPr>
          <w:rFonts w:ascii="Times New Roman" w:hAnsi="Times New Roman" w:cs="Times New Roman"/>
          <w:noProof/>
          <w:sz w:val="24"/>
          <w:szCs w:val="24"/>
        </w:rPr>
        <w:t xml:space="preserve">A set of </w:t>
      </w:r>
      <w:r>
        <w:rPr>
          <w:rFonts w:ascii="Times New Roman" w:hAnsi="Times New Roman" w:cs="Times New Roman"/>
          <w:noProof/>
          <w:sz w:val="24"/>
          <w:szCs w:val="24"/>
          <w:u w:val="single"/>
        </w:rPr>
        <w:t>concrete objectives for each of the four cardinal points</w:t>
      </w:r>
      <w:r>
        <w:rPr>
          <w:rFonts w:ascii="Times New Roman" w:hAnsi="Times New Roman" w:cs="Times New Roman"/>
          <w:noProof/>
          <w:sz w:val="24"/>
          <w:szCs w:val="24"/>
        </w:rPr>
        <w:t xml:space="preserve"> as proposed in </w:t>
      </w:r>
      <w:r>
        <w:rPr>
          <w:rFonts w:ascii="Times New Roman" w:hAnsi="Times New Roman"/>
          <w:noProof/>
          <w:sz w:val="24"/>
        </w:rPr>
        <w:t>Section 3</w:t>
      </w:r>
      <w:r>
        <w:rPr>
          <w:rFonts w:ascii="Times New Roman" w:hAnsi="Times New Roman" w:cs="Times New Roman"/>
          <w:noProof/>
          <w:sz w:val="24"/>
          <w:szCs w:val="24"/>
        </w:rPr>
        <w:t xml:space="preserve">. </w:t>
      </w:r>
    </w:p>
    <w:p w:rsidR="0007764C" w:rsidRDefault="00A17FAC">
      <w:pPr>
        <w:pStyle w:val="ListParagraph"/>
        <w:numPr>
          <w:ilvl w:val="0"/>
          <w:numId w:val="15"/>
        </w:numPr>
        <w:spacing w:after="120" w:line="259" w:lineRule="auto"/>
        <w:ind w:left="426"/>
        <w:contextualSpacing w:val="0"/>
        <w:jc w:val="both"/>
        <w:rPr>
          <w:noProof/>
        </w:rPr>
      </w:pPr>
      <w:r>
        <w:rPr>
          <w:rFonts w:ascii="Times New Roman" w:hAnsi="Times New Roman" w:cs="Times New Roman"/>
          <w:noProof/>
          <w:sz w:val="24"/>
          <w:szCs w:val="24"/>
        </w:rPr>
        <w:t xml:space="preserve">A </w:t>
      </w:r>
      <w:r>
        <w:rPr>
          <w:rFonts w:ascii="Times New Roman" w:hAnsi="Times New Roman"/>
          <w:noProof/>
          <w:sz w:val="24"/>
          <w:szCs w:val="24"/>
          <w:u w:val="single"/>
        </w:rPr>
        <w:t>monitoring system</w:t>
      </w:r>
      <w:r>
        <w:rPr>
          <w:rFonts w:ascii="Times New Roman" w:hAnsi="Times New Roman" w:cs="Times New Roman"/>
          <w:noProof/>
          <w:sz w:val="24"/>
          <w:szCs w:val="24"/>
          <w:u w:val="single"/>
        </w:rPr>
        <w:t xml:space="preserve"> </w:t>
      </w:r>
      <w:r>
        <w:rPr>
          <w:rFonts w:ascii="Times New Roman" w:eastAsiaTheme="minorEastAsia" w:hAnsi="Times New Roman" w:cs="Times New Roman"/>
          <w:noProof/>
          <w:sz w:val="24"/>
          <w:szCs w:val="24"/>
          <w:lang w:eastAsia="fr-FR"/>
        </w:rPr>
        <w:t>measuring</w:t>
      </w:r>
      <w:r>
        <w:rPr>
          <w:rFonts w:ascii="Times New Roman" w:hAnsi="Times New Roman" w:cs="Times New Roman"/>
          <w:noProof/>
          <w:sz w:val="24"/>
          <w:szCs w:val="24"/>
        </w:rPr>
        <w:t xml:space="preserve"> </w:t>
      </w:r>
      <w:r>
        <w:rPr>
          <w:rFonts w:ascii="Times New Roman" w:eastAsiaTheme="minorEastAsia" w:hAnsi="Times New Roman" w:cs="Times New Roman"/>
          <w:noProof/>
          <w:sz w:val="24"/>
          <w:szCs w:val="24"/>
          <w:lang w:eastAsia="fr-FR"/>
        </w:rPr>
        <w:t xml:space="preserve">the </w:t>
      </w:r>
      <w:r>
        <w:rPr>
          <w:rFonts w:ascii="Times New Roman" w:hAnsi="Times New Roman" w:cs="Times New Roman"/>
          <w:noProof/>
          <w:sz w:val="24"/>
          <w:szCs w:val="24"/>
        </w:rPr>
        <w:t xml:space="preserve">progress </w:t>
      </w:r>
      <w:r>
        <w:rPr>
          <w:rFonts w:ascii="Times New Roman" w:eastAsiaTheme="minorEastAsia" w:hAnsi="Times New Roman" w:cs="Times New Roman"/>
          <w:noProof/>
          <w:sz w:val="24"/>
          <w:szCs w:val="24"/>
          <w:lang w:eastAsia="fr-FR"/>
        </w:rPr>
        <w:t xml:space="preserve">of the EU </w:t>
      </w:r>
      <w:r>
        <w:rPr>
          <w:rFonts w:ascii="Times New Roman" w:hAnsi="Times New Roman" w:cs="Times New Roman"/>
          <w:noProof/>
          <w:sz w:val="24"/>
          <w:szCs w:val="24"/>
        </w:rPr>
        <w:t xml:space="preserve">against the </w:t>
      </w:r>
      <w:r>
        <w:rPr>
          <w:rFonts w:ascii="Times New Roman" w:eastAsiaTheme="minorEastAsia" w:hAnsi="Times New Roman" w:cs="Times New Roman"/>
          <w:noProof/>
          <w:sz w:val="24"/>
          <w:szCs w:val="24"/>
          <w:lang w:eastAsia="fr-FR"/>
        </w:rPr>
        <w:t xml:space="preserve">key </w:t>
      </w:r>
      <w:r>
        <w:rPr>
          <w:rFonts w:ascii="Times New Roman" w:hAnsi="Times New Roman" w:cs="Times New Roman"/>
          <w:noProof/>
          <w:sz w:val="24"/>
          <w:szCs w:val="24"/>
        </w:rPr>
        <w:t xml:space="preserve">targets </w:t>
      </w:r>
      <w:r>
        <w:rPr>
          <w:rFonts w:ascii="Times New Roman" w:eastAsiaTheme="minorEastAsia" w:hAnsi="Times New Roman" w:cs="Times New Roman"/>
          <w:noProof/>
          <w:sz w:val="24"/>
          <w:szCs w:val="24"/>
          <w:lang w:eastAsia="fr-FR"/>
        </w:rPr>
        <w:t xml:space="preserve">for 2030 (Section 3 and Annex) and digital principles (Section 4), also assessing </w:t>
      </w:r>
      <w:r>
        <w:rPr>
          <w:rFonts w:ascii="Times New Roman" w:hAnsi="Times New Roman" w:cs="Times New Roman"/>
          <w:noProof/>
          <w:sz w:val="24"/>
          <w:szCs w:val="24"/>
        </w:rPr>
        <w:t>the areas with insufficient development at the level of Member States, including for instance lack of action or incomplete implementation of key regulatory proposals</w:t>
      </w:r>
      <w:r>
        <w:rPr>
          <w:rFonts w:ascii="Times New Roman" w:eastAsiaTheme="minorEastAsia" w:hAnsi="Times New Roman" w:cs="Times New Roman"/>
          <w:noProof/>
          <w:sz w:val="24"/>
          <w:szCs w:val="24"/>
          <w:lang w:eastAsia="fr-FR"/>
        </w:rPr>
        <w:t>.</w:t>
      </w:r>
      <w:r>
        <w:rPr>
          <w:rStyle w:val="FootnoteReference"/>
          <w:rFonts w:ascii="Times New Roman" w:eastAsiaTheme="minorEastAsia" w:hAnsi="Times New Roman" w:cs="Times New Roman"/>
          <w:noProof/>
          <w:sz w:val="24"/>
          <w:szCs w:val="24"/>
          <w:lang w:eastAsia="fr-FR"/>
        </w:rPr>
        <w:footnoteReference w:id="42"/>
      </w:r>
      <w:r>
        <w:rPr>
          <w:rFonts w:ascii="Times New Roman" w:eastAsiaTheme="minorEastAsia" w:hAnsi="Times New Roman" w:cs="Times New Roman"/>
          <w:noProof/>
          <w:sz w:val="24"/>
          <w:szCs w:val="24"/>
          <w:lang w:eastAsia="fr-FR"/>
        </w:rPr>
        <w:t xml:space="preserve"> The un</w:t>
      </w:r>
      <w:r>
        <w:rPr>
          <w:rFonts w:ascii="Times New Roman" w:eastAsiaTheme="minorEastAsia" w:hAnsi="Times New Roman" w:cs="Times New Roman"/>
          <w:noProof/>
          <w:sz w:val="24"/>
          <w:szCs w:val="24"/>
          <w:lang w:eastAsia="fr-FR"/>
        </w:rPr>
        <w:t>derlying indicators for monitoring the targets at EU level and the digitalisation trends at national level will be part of an enhanced DESI reporting in order align with and harness existing processes and methodologies</w:t>
      </w:r>
      <w:r>
        <w:rPr>
          <w:rStyle w:val="FootnoteReference"/>
          <w:rFonts w:ascii="Times New Roman" w:eastAsiaTheme="minorEastAsia" w:hAnsi="Times New Roman" w:cs="Times New Roman"/>
          <w:noProof/>
          <w:sz w:val="24"/>
          <w:szCs w:val="24"/>
          <w:lang w:eastAsia="fr-FR"/>
        </w:rPr>
        <w:footnoteReference w:id="43"/>
      </w:r>
      <w:r>
        <w:rPr>
          <w:rFonts w:ascii="Times New Roman" w:eastAsiaTheme="minorEastAsia" w:hAnsi="Times New Roman" w:cs="Times New Roman"/>
          <w:noProof/>
          <w:sz w:val="24"/>
          <w:szCs w:val="24"/>
          <w:lang w:eastAsia="fr-FR"/>
        </w:rPr>
        <w:t xml:space="preserve">. </w:t>
      </w:r>
      <w:r>
        <w:rPr>
          <w:rFonts w:ascii="Times New Roman" w:hAnsi="Times New Roman" w:cs="Times New Roman"/>
          <w:noProof/>
          <w:sz w:val="24"/>
          <w:szCs w:val="24"/>
          <w:lang w:val="en-US"/>
        </w:rPr>
        <w:t>The European Commission will be res</w:t>
      </w:r>
      <w:r>
        <w:rPr>
          <w:rFonts w:ascii="Times New Roman" w:hAnsi="Times New Roman" w:cs="Times New Roman"/>
          <w:noProof/>
          <w:sz w:val="24"/>
          <w:szCs w:val="24"/>
          <w:lang w:val="en-US"/>
        </w:rPr>
        <w:t>ponsible for the analysis and overall reporting on progress at the European level. Such reporting will provide an overview and analysis of the situation and show the remaining distance towards the digital decade targets</w:t>
      </w:r>
      <w:r>
        <w:rPr>
          <w:rFonts w:ascii="Times New Roman" w:hAnsi="Times New Roman" w:cs="Times New Roman"/>
          <w:noProof/>
          <w:sz w:val="24"/>
          <w:szCs w:val="24"/>
        </w:rPr>
        <w:t xml:space="preserve"> (</w:t>
      </w:r>
      <w:r>
        <w:rPr>
          <w:rFonts w:ascii="Times New Roman" w:eastAsiaTheme="minorEastAsia" w:hAnsi="Times New Roman" w:cs="Times New Roman"/>
          <w:noProof/>
          <w:sz w:val="24"/>
          <w:szCs w:val="24"/>
          <w:lang w:val="en-US" w:eastAsia="fr-FR"/>
        </w:rPr>
        <w:t xml:space="preserve">see </w:t>
      </w:r>
      <w:r>
        <w:rPr>
          <w:rFonts w:ascii="Times New Roman" w:hAnsi="Times New Roman" w:cs="Times New Roman"/>
          <w:noProof/>
          <w:sz w:val="24"/>
          <w:szCs w:val="24"/>
          <w:lang w:val="en-US"/>
        </w:rPr>
        <w:t xml:space="preserve">as an example a </w:t>
      </w:r>
      <w:r>
        <w:rPr>
          <w:rFonts w:ascii="Times New Roman" w:eastAsiaTheme="minorEastAsia" w:hAnsi="Times New Roman" w:cs="Times New Roman"/>
          <w:noProof/>
          <w:sz w:val="24"/>
          <w:szCs w:val="24"/>
          <w:lang w:val="en-US" w:eastAsia="fr-FR"/>
        </w:rPr>
        <w:t>graph below</w:t>
      </w:r>
      <w:r>
        <w:rPr>
          <w:rFonts w:ascii="Times New Roman" w:hAnsi="Times New Roman" w:cs="Times New Roman"/>
          <w:noProof/>
          <w:sz w:val="24"/>
          <w:szCs w:val="24"/>
        </w:rPr>
        <w:t>)</w:t>
      </w:r>
      <w:r>
        <w:rPr>
          <w:rFonts w:ascii="Times New Roman" w:eastAsiaTheme="minorEastAsia" w:hAnsi="Times New Roman" w:cs="Times New Roman"/>
          <w:noProof/>
          <w:sz w:val="24"/>
          <w:szCs w:val="24"/>
          <w:lang w:eastAsia="fr-FR"/>
        </w:rPr>
        <w:t>.</w:t>
      </w:r>
      <w:r>
        <w:rPr>
          <w:rFonts w:ascii="Times New Roman" w:hAnsi="Times New Roman" w:cs="Times New Roman"/>
          <w:noProof/>
          <w:sz w:val="24"/>
          <w:szCs w:val="24"/>
          <w:lang w:val="en-US"/>
        </w:rPr>
        <w:t xml:space="preserve"> T</w:t>
      </w:r>
      <w:r>
        <w:rPr>
          <w:rFonts w:ascii="Times New Roman" w:hAnsi="Times New Roman" w:cs="Times New Roman"/>
          <w:noProof/>
          <w:sz w:val="24"/>
          <w:szCs w:val="24"/>
          <w:lang w:val="en-US"/>
        </w:rPr>
        <w:t xml:space="preserve">he final purpose is to identify in which areas progress lags behind and how the identified gaps can be addressed through measures and recommendations at European and/or at national level. </w:t>
      </w:r>
    </w:p>
    <w:p w:rsidR="0007764C" w:rsidRDefault="00A17FAC">
      <w:pPr>
        <w:spacing w:after="120" w:line="259" w:lineRule="auto"/>
        <w:ind w:left="426"/>
        <w:jc w:val="both"/>
        <w:rPr>
          <w:noProof/>
          <w:lang w:val="en-US"/>
        </w:rPr>
      </w:pPr>
      <w:r>
        <w:rPr>
          <w:rFonts w:ascii="Times New Roman" w:hAnsi="Times New Roman" w:cs="Times New Roman"/>
          <w:i/>
          <w:noProof/>
          <w:lang w:val="en-US"/>
        </w:rPr>
        <w:t xml:space="preserve">How far are we from the 2030 Targets which enable an inclusive and </w:t>
      </w:r>
      <w:r>
        <w:rPr>
          <w:rFonts w:ascii="Times New Roman" w:hAnsi="Times New Roman" w:cs="Times New Roman"/>
          <w:i/>
          <w:noProof/>
          <w:lang w:val="en-US"/>
        </w:rPr>
        <w:t xml:space="preserve">sustainable digital society? </w:t>
      </w:r>
    </w:p>
    <w:p w:rsidR="0007764C" w:rsidRDefault="00A17FAC">
      <w:pPr>
        <w:pStyle w:val="ListParagraph"/>
        <w:spacing w:after="120" w:line="259" w:lineRule="auto"/>
        <w:ind w:left="426"/>
        <w:contextualSpacing w:val="0"/>
        <w:jc w:val="both"/>
        <w:rPr>
          <w:noProof/>
        </w:rPr>
      </w:pPr>
      <w:r>
        <w:rPr>
          <w:noProof/>
          <w:lang w:eastAsia="en-GB"/>
        </w:rPr>
        <w:drawing>
          <wp:inline distT="0" distB="0" distL="0" distR="0">
            <wp:extent cx="5468815" cy="2377431"/>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500901" cy="2391380"/>
                    </a:xfrm>
                    <a:prstGeom prst="rect">
                      <a:avLst/>
                    </a:prstGeom>
                    <a:noFill/>
                  </pic:spPr>
                </pic:pic>
              </a:graphicData>
            </a:graphic>
          </wp:inline>
        </w:drawing>
      </w:r>
    </w:p>
    <w:p w:rsidR="0007764C" w:rsidRDefault="00A17FAC">
      <w:pPr>
        <w:pStyle w:val="ListParagraph"/>
        <w:numPr>
          <w:ilvl w:val="0"/>
          <w:numId w:val="15"/>
        </w:numPr>
        <w:spacing w:after="120" w:line="259" w:lineRule="auto"/>
        <w:contextualSpacing w:val="0"/>
        <w:jc w:val="both"/>
        <w:rPr>
          <w:rFonts w:ascii="Times New Roman" w:hAnsi="Times New Roman"/>
          <w:noProof/>
          <w:sz w:val="24"/>
          <w:szCs w:val="24"/>
        </w:rPr>
      </w:pPr>
      <w:r>
        <w:rPr>
          <w:rFonts w:ascii="Times New Roman" w:hAnsi="Times New Roman" w:cs="Times New Roman"/>
          <w:noProof/>
          <w:sz w:val="24"/>
          <w:szCs w:val="24"/>
        </w:rPr>
        <w:t xml:space="preserve">On the basis of the analysis, the Commission will publish annually the </w:t>
      </w:r>
      <w:r>
        <w:rPr>
          <w:rFonts w:ascii="Times New Roman" w:hAnsi="Times New Roman" w:cs="Times New Roman"/>
          <w:b/>
          <w:noProof/>
          <w:sz w:val="24"/>
          <w:szCs w:val="24"/>
        </w:rPr>
        <w:t xml:space="preserve">European State of the Digital Decade Report </w:t>
      </w:r>
      <w:r>
        <w:rPr>
          <w:rFonts w:ascii="Times New Roman" w:hAnsi="Times New Roman" w:cs="Times New Roman"/>
          <w:noProof/>
          <w:sz w:val="24"/>
          <w:szCs w:val="24"/>
        </w:rPr>
        <w:t>for</w:t>
      </w:r>
      <w:r>
        <w:rPr>
          <w:rFonts w:ascii="Times New Roman" w:hAnsi="Times New Roman"/>
          <w:noProof/>
          <w:sz w:val="24"/>
          <w:szCs w:val="24"/>
        </w:rPr>
        <w:t xml:space="preserve"> the Council and the European Parliament,</w:t>
      </w:r>
      <w:r>
        <w:rPr>
          <w:rFonts w:ascii="Times New Roman" w:hAnsi="Times New Roman" w:cs="Times New Roman"/>
          <w:noProof/>
          <w:sz w:val="24"/>
          <w:szCs w:val="24"/>
        </w:rPr>
        <w:t xml:space="preserve"> </w:t>
      </w:r>
      <w:r>
        <w:rPr>
          <w:rFonts w:ascii="Times New Roman" w:hAnsi="Times New Roman"/>
          <w:noProof/>
          <w:sz w:val="24"/>
          <w:szCs w:val="24"/>
        </w:rPr>
        <w:t>to</w:t>
      </w:r>
      <w:r>
        <w:rPr>
          <w:rFonts w:ascii="Times New Roman" w:hAnsi="Times New Roman" w:cs="Times New Roman"/>
          <w:noProof/>
          <w:sz w:val="24"/>
          <w:szCs w:val="24"/>
        </w:rPr>
        <w:t xml:space="preserve"> report on the progress towards the 2030 vision and corresponding cardinal points, targets and principles, as well as on the more general state of compliance with these objectives, through a score of ‘traffic lights’. The report will raise awareness on dev</w:t>
      </w:r>
      <w:r>
        <w:rPr>
          <w:rFonts w:ascii="Times New Roman" w:hAnsi="Times New Roman" w:cs="Times New Roman"/>
          <w:noProof/>
          <w:sz w:val="24"/>
          <w:szCs w:val="24"/>
        </w:rPr>
        <w:t>iations towards the common 2030 EU goals and digital principles and identified investment gaps. The annual State of the Digital Decade Report, as a sole report on the progress in digital, will feed also into the European Semester exercise, and will be alig</w:t>
      </w:r>
      <w:r>
        <w:rPr>
          <w:rFonts w:ascii="Times New Roman" w:hAnsi="Times New Roman" w:cs="Times New Roman"/>
          <w:noProof/>
          <w:sz w:val="24"/>
          <w:szCs w:val="24"/>
        </w:rPr>
        <w:t>ned with the recovery and resilience facility process</w:t>
      </w:r>
      <w:r>
        <w:rPr>
          <w:rFonts w:ascii="Times New Roman" w:hAnsi="Times New Roman"/>
          <w:noProof/>
          <w:sz w:val="24"/>
          <w:szCs w:val="24"/>
        </w:rPr>
        <w:t>.</w:t>
      </w:r>
      <w:r>
        <w:rPr>
          <w:rFonts w:ascii="Times New Roman" w:hAnsi="Times New Roman" w:cs="Times New Roman"/>
          <w:noProof/>
          <w:sz w:val="24"/>
          <w:szCs w:val="24"/>
        </w:rPr>
        <w:t xml:space="preserve"> </w:t>
      </w:r>
    </w:p>
    <w:p w:rsidR="0007764C" w:rsidRDefault="00A17FAC">
      <w:pPr>
        <w:pStyle w:val="ListParagraph"/>
        <w:numPr>
          <w:ilvl w:val="0"/>
          <w:numId w:val="15"/>
        </w:numPr>
        <w:spacing w:after="120" w:line="259" w:lineRule="auto"/>
        <w:contextualSpacing w:val="0"/>
        <w:jc w:val="both"/>
        <w:rPr>
          <w:rFonts w:ascii="Times New Roman" w:hAnsi="Times New Roman"/>
          <w:noProof/>
          <w:sz w:val="24"/>
          <w:szCs w:val="24"/>
          <w:lang w:val="en-US"/>
        </w:rPr>
      </w:pPr>
      <w:r>
        <w:rPr>
          <w:rFonts w:ascii="Times New Roman" w:hAnsi="Times New Roman" w:cs="Times New Roman"/>
          <w:noProof/>
          <w:sz w:val="24"/>
          <w:szCs w:val="24"/>
        </w:rPr>
        <w:t xml:space="preserve">The Report will trigger </w:t>
      </w:r>
      <w:r>
        <w:rPr>
          <w:rFonts w:ascii="Times New Roman" w:hAnsi="Times New Roman" w:cs="Times New Roman"/>
          <w:noProof/>
          <w:sz w:val="24"/>
          <w:szCs w:val="24"/>
          <w:u w:val="single"/>
        </w:rPr>
        <w:t>a collaborative analysis between the Commission and Member States</w:t>
      </w:r>
      <w:r>
        <w:rPr>
          <w:rFonts w:ascii="Times New Roman" w:hAnsi="Times New Roman" w:cs="Times New Roman"/>
          <w:noProof/>
          <w:sz w:val="24"/>
          <w:szCs w:val="24"/>
        </w:rPr>
        <w:t xml:space="preserve"> to identify solutions addressing weaknesses and to propose targeted actions for effective remedies. The Commission will be empowered, in collaboration with Member States, to undertake an operational follow-up and to provide recommendations. This could inc</w:t>
      </w:r>
      <w:r>
        <w:rPr>
          <w:rFonts w:ascii="Times New Roman" w:hAnsi="Times New Roman" w:cs="Times New Roman"/>
          <w:noProof/>
          <w:sz w:val="24"/>
          <w:szCs w:val="24"/>
        </w:rPr>
        <w:t>lude recommendations as regards regulatory implementation</w:t>
      </w:r>
      <w:r>
        <w:rPr>
          <w:rStyle w:val="FootnoteReference"/>
          <w:rFonts w:ascii="Times New Roman" w:hAnsi="Times New Roman" w:cs="Times New Roman"/>
          <w:noProof/>
          <w:sz w:val="24"/>
          <w:szCs w:val="24"/>
        </w:rPr>
        <w:footnoteReference w:id="44"/>
      </w:r>
      <w:r>
        <w:rPr>
          <w:rFonts w:ascii="Times New Roman" w:hAnsi="Times New Roman" w:cs="Times New Roman"/>
          <w:noProof/>
          <w:sz w:val="24"/>
          <w:szCs w:val="24"/>
        </w:rPr>
        <w:t xml:space="preserve"> or the need for public intervention to foster additional investments in digital technologies and capacities, e.g. through the development of Multi-Country Projects</w:t>
      </w:r>
      <w:r>
        <w:rPr>
          <w:rFonts w:ascii="Times New Roman" w:eastAsiaTheme="minorEastAsia" w:hAnsi="Times New Roman" w:cs="Times New Roman"/>
          <w:noProof/>
          <w:sz w:val="24"/>
          <w:szCs w:val="24"/>
          <w:lang w:eastAsia="fr-FR"/>
        </w:rPr>
        <w:t>.</w:t>
      </w:r>
      <w:r>
        <w:rPr>
          <w:rFonts w:ascii="Times New Roman" w:hAnsi="Times New Roman" w:cs="Times New Roman"/>
          <w:noProof/>
          <w:sz w:val="24"/>
          <w:szCs w:val="24"/>
        </w:rPr>
        <w:t xml:space="preserve"> </w:t>
      </w:r>
    </w:p>
    <w:p w:rsidR="0007764C" w:rsidRDefault="00A17FAC">
      <w:pPr>
        <w:spacing w:after="120" w:line="259" w:lineRule="auto"/>
        <w:jc w:val="both"/>
        <w:rPr>
          <w:rFonts w:ascii="Times New Roman" w:hAnsi="Times New Roman"/>
          <w:noProof/>
          <w:lang w:val="en-US"/>
        </w:rPr>
      </w:pPr>
      <w:r>
        <w:rPr>
          <w:rFonts w:ascii="Times New Roman" w:hAnsi="Times New Roman" w:cs="Times New Roman"/>
          <w:noProof/>
          <w:lang w:val="en-GB"/>
        </w:rPr>
        <w:t>The policy programme will set u</w:t>
      </w:r>
      <w:r>
        <w:rPr>
          <w:rFonts w:ascii="Times New Roman" w:hAnsi="Times New Roman" w:cs="Times New Roman"/>
          <w:noProof/>
          <w:lang w:val="en-GB"/>
        </w:rPr>
        <w:t xml:space="preserve">p a mechanism to enable the Commission to engage with Member States through close cooperation and coordination with the objective of taking joint commitments as well as possible measures at EU and national level, </w:t>
      </w:r>
      <w:r>
        <w:rPr>
          <w:rFonts w:ascii="Times New Roman" w:hAnsi="Times New Roman" w:cs="Times New Roman"/>
          <w:noProof/>
          <w:lang w:val="en-IE"/>
        </w:rPr>
        <w:t>also taking into account the implementation</w:t>
      </w:r>
      <w:r>
        <w:rPr>
          <w:rFonts w:ascii="Times New Roman" w:hAnsi="Times New Roman" w:cs="Times New Roman"/>
          <w:noProof/>
          <w:lang w:val="en-IE"/>
        </w:rPr>
        <w:t xml:space="preserve"> of other digital policies and initiatives</w:t>
      </w:r>
      <w:r>
        <w:rPr>
          <w:rFonts w:ascii="Times New Roman" w:hAnsi="Times New Roman"/>
          <w:noProof/>
          <w:lang w:val="en-IE"/>
        </w:rPr>
        <w:t xml:space="preserve">. </w:t>
      </w:r>
      <w:r>
        <w:rPr>
          <w:rFonts w:ascii="Times New Roman" w:hAnsi="Times New Roman" w:cs="Times New Roman"/>
          <w:noProof/>
          <w:lang w:val="en-IE"/>
        </w:rPr>
        <w:t>In</w:t>
      </w:r>
      <w:r>
        <w:rPr>
          <w:rFonts w:ascii="Times New Roman" w:hAnsi="Times New Roman" w:cs="Times New Roman"/>
          <w:noProof/>
          <w:lang w:val="en-US"/>
        </w:rPr>
        <w:t xml:space="preserve"> addition, the policy programme will allow the Commission to engage with Member States to launch and shape  Multi-Country Projects, as described below.  </w:t>
      </w:r>
    </w:p>
    <w:p w:rsidR="0007764C" w:rsidRDefault="00A17FAC">
      <w:pPr>
        <w:jc w:val="both"/>
        <w:rPr>
          <w:rFonts w:ascii="Times New Roman" w:hAnsi="Times New Roman"/>
          <w:noProof/>
          <w:lang w:val="en-IE"/>
        </w:rPr>
      </w:pPr>
      <w:r>
        <w:rPr>
          <w:rFonts w:ascii="Times New Roman" w:hAnsi="Times New Roman" w:cs="Times New Roman"/>
          <w:noProof/>
          <w:lang w:val="en-GB"/>
        </w:rPr>
        <w:t>While the focus would be on the cooperation and coordina</w:t>
      </w:r>
      <w:r>
        <w:rPr>
          <w:rFonts w:ascii="Times New Roman" w:hAnsi="Times New Roman" w:cs="Times New Roman"/>
          <w:noProof/>
          <w:lang w:val="en-GB"/>
        </w:rPr>
        <w:t>tion with Member States, for the governance to be effective, all economic and societal actors need to have well-founded trust in delivery. Since this is a key condition of success for the acceleration of EU’s digitalisation, the Compass will subject to tar</w:t>
      </w:r>
      <w:r>
        <w:rPr>
          <w:rFonts w:ascii="Times New Roman" w:hAnsi="Times New Roman" w:cs="Times New Roman"/>
          <w:noProof/>
          <w:lang w:val="en-GB"/>
        </w:rPr>
        <w:t>geted consultations</w:t>
      </w:r>
      <w:r>
        <w:rPr>
          <w:rFonts w:ascii="Times New Roman" w:hAnsi="Times New Roman" w:cs="Times New Roman"/>
          <w:noProof/>
          <w:lang w:val="en-IE"/>
        </w:rPr>
        <w:t xml:space="preserve"> with relevant stakeholders. </w:t>
      </w:r>
    </w:p>
    <w:p w:rsidR="0007764C" w:rsidRDefault="00A17FAC">
      <w:pPr>
        <w:pStyle w:val="Heading2"/>
        <w:spacing w:after="120"/>
        <w:rPr>
          <w:noProof/>
        </w:rPr>
      </w:pPr>
      <w:bookmarkStart w:id="119" w:name="_Toc65313739"/>
      <w:r>
        <w:rPr>
          <w:noProof/>
        </w:rPr>
        <w:t xml:space="preserve">5.2 </w:t>
      </w:r>
      <w:r>
        <w:rPr>
          <w:noProof/>
        </w:rPr>
        <w:tab/>
        <w:t>Multi-Country Projects</w:t>
      </w:r>
      <w:bookmarkEnd w:id="119"/>
    </w:p>
    <w:p w:rsidR="0007764C" w:rsidRDefault="00A17FAC">
      <w:pPr>
        <w:spacing w:after="120" w:line="259" w:lineRule="auto"/>
        <w:jc w:val="both"/>
        <w:rPr>
          <w:rFonts w:ascii="Times New Roman" w:hAnsi="Times New Roman" w:cs="Times New Roman"/>
          <w:noProof/>
          <w:lang w:val="en-GB"/>
        </w:rPr>
      </w:pPr>
      <w:r>
        <w:rPr>
          <w:rFonts w:ascii="Times New Roman" w:hAnsi="Times New Roman" w:cs="Times New Roman"/>
          <w:noProof/>
          <w:lang w:val="en-GB"/>
        </w:rPr>
        <w:t>To deliver the European vision for the Digital Decade, digital capacities are needed in the four areas of the Digital Compass, which can only be delivered if Member States and the</w:t>
      </w:r>
      <w:r>
        <w:rPr>
          <w:rFonts w:ascii="Times New Roman" w:hAnsi="Times New Roman" w:cs="Times New Roman"/>
          <w:noProof/>
          <w:lang w:val="en-GB"/>
        </w:rPr>
        <w:t xml:space="preserve"> EU pool resources. For the large technological projects that are necessary for Europe’s digital transition, a European approach to building digital capacities is indispensable. Cutting-edge European capacities require critical mass of funding and alignmen</w:t>
      </w:r>
      <w:r>
        <w:rPr>
          <w:rFonts w:ascii="Times New Roman" w:hAnsi="Times New Roman" w:cs="Times New Roman"/>
          <w:noProof/>
          <w:lang w:val="en-GB"/>
        </w:rPr>
        <w:t xml:space="preserve">t of all the actors. </w:t>
      </w:r>
    </w:p>
    <w:p w:rsidR="0007764C" w:rsidRDefault="00A17FAC">
      <w:pPr>
        <w:spacing w:after="120" w:line="259" w:lineRule="auto"/>
        <w:jc w:val="both"/>
        <w:rPr>
          <w:rFonts w:ascii="Times New Roman" w:hAnsi="Times New Roman" w:cs="Times New Roman"/>
          <w:noProof/>
          <w:lang w:val="en-GB"/>
        </w:rPr>
      </w:pPr>
      <w:r>
        <w:rPr>
          <w:rFonts w:ascii="Times New Roman" w:hAnsi="Times New Roman" w:cs="Times New Roman"/>
          <w:noProof/>
          <w:lang w:val="en-GB"/>
        </w:rPr>
        <w:t>The European Council has called for further strengthening synergies between the use of EU and national funds as regards such key technological projects. The Recovery and Resilience Facility (RRF) Regulation and the Technical Support I</w:t>
      </w:r>
      <w:r>
        <w:rPr>
          <w:rFonts w:ascii="Times New Roman" w:hAnsi="Times New Roman" w:cs="Times New Roman"/>
          <w:noProof/>
          <w:lang w:val="en-GB"/>
        </w:rPr>
        <w:t>nstrument recognise the opportunity of developing Multi-Country Projects combining investments from several national recovery and resilience plans. Moreover, action should be prepared for the longer term, seeking to ensure the mobilisation of investments f</w:t>
      </w:r>
      <w:r>
        <w:rPr>
          <w:rFonts w:ascii="Times New Roman" w:hAnsi="Times New Roman" w:cs="Times New Roman"/>
          <w:noProof/>
          <w:lang w:val="en-GB"/>
        </w:rPr>
        <w:t xml:space="preserve">rom the EU budget, Member States and the industry. </w:t>
      </w:r>
    </w:p>
    <w:p w:rsidR="0007764C" w:rsidRDefault="00A17FAC">
      <w:pPr>
        <w:spacing w:after="120" w:line="259" w:lineRule="auto"/>
        <w:jc w:val="both"/>
        <w:rPr>
          <w:rFonts w:ascii="Times New Roman" w:hAnsi="Times New Roman" w:cs="Times New Roman"/>
          <w:noProof/>
          <w:lang w:val="en-US"/>
        </w:rPr>
      </w:pPr>
      <w:r>
        <w:rPr>
          <w:rFonts w:ascii="Times New Roman" w:hAnsi="Times New Roman" w:cs="Times New Roman"/>
          <w:noProof/>
          <w:lang w:val="en-GB"/>
        </w:rPr>
        <w:t xml:space="preserve">Possible directions for Multi-Country Projects have already been discussed with Member States as part of the preparation of the national recovery and resilience plans, under the flagships Connect, Scale Up, Modernise and Reskill and Upskill. </w:t>
      </w:r>
      <w:r>
        <w:rPr>
          <w:rFonts w:ascii="Times New Roman" w:hAnsi="Times New Roman" w:cs="Times New Roman"/>
          <w:noProof/>
          <w:lang w:val="en-US"/>
        </w:rPr>
        <w:t>The Commission</w:t>
      </w:r>
      <w:r>
        <w:rPr>
          <w:rFonts w:ascii="Times New Roman" w:hAnsi="Times New Roman" w:cs="Times New Roman"/>
          <w:noProof/>
          <w:lang w:val="en-US"/>
        </w:rPr>
        <w:t xml:space="preserve"> has offered operational support and encouraged Member States to use funding from their national recovery and resilience plans to join forces and support such Multi-Country Projects. </w:t>
      </w:r>
    </w:p>
    <w:p w:rsidR="0007764C" w:rsidRDefault="0007764C">
      <w:pPr>
        <w:spacing w:after="120" w:line="259" w:lineRule="auto"/>
        <w:jc w:val="both"/>
        <w:rPr>
          <w:rFonts w:ascii="Times New Roman" w:hAnsi="Times New Roman" w:cs="Times New Roman"/>
          <w:noProof/>
          <w:lang w:val="en-US"/>
        </w:rPr>
      </w:pPr>
    </w:p>
    <w:p w:rsidR="0007764C" w:rsidRDefault="00A17FAC">
      <w:pPr>
        <w:pBdr>
          <w:top w:val="single" w:sz="4" w:space="1" w:color="auto"/>
          <w:left w:val="single" w:sz="4" w:space="4" w:color="auto"/>
          <w:bottom w:val="single" w:sz="4" w:space="1" w:color="auto"/>
          <w:right w:val="single" w:sz="4" w:space="4" w:color="auto"/>
        </w:pBdr>
        <w:shd w:val="clear" w:color="auto" w:fill="BFBFBF" w:themeFill="background1" w:themeFillShade="BF"/>
        <w:spacing w:after="120"/>
        <w:jc w:val="both"/>
        <w:rPr>
          <w:rFonts w:ascii="Times New Roman" w:eastAsia="Times New Roman" w:hAnsi="Times New Roman" w:cs="Times New Roman"/>
          <w:i/>
          <w:noProof/>
          <w:color w:val="000000"/>
          <w:u w:val="single"/>
          <w:lang w:val="en-IE"/>
        </w:rPr>
      </w:pPr>
      <w:r>
        <w:rPr>
          <w:rFonts w:ascii="Times New Roman" w:eastAsia="Times New Roman" w:hAnsi="Times New Roman" w:cs="Times New Roman"/>
          <w:i/>
          <w:noProof/>
          <w:color w:val="000000"/>
          <w:u w:val="single"/>
          <w:lang w:val="en-IE"/>
        </w:rPr>
        <w:t xml:space="preserve">Multi-country digital projects discussed so far with the Member States </w:t>
      </w:r>
      <w:r>
        <w:rPr>
          <w:rFonts w:ascii="Times New Roman" w:eastAsia="Times New Roman" w:hAnsi="Times New Roman" w:cs="Times New Roman"/>
          <w:i/>
          <w:noProof/>
          <w:color w:val="000000"/>
          <w:u w:val="single"/>
          <w:lang w:val="en-IE"/>
        </w:rPr>
        <w:t>under the RRF</w:t>
      </w:r>
      <w:r>
        <w:rPr>
          <w:rStyle w:val="FootnoteReference"/>
          <w:rFonts w:ascii="Times New Roman" w:hAnsi="Times New Roman" w:cs="Times New Roman"/>
          <w:noProof/>
          <w:lang w:val="en-GB"/>
        </w:rPr>
        <w:footnoteReference w:id="45"/>
      </w:r>
      <w:r>
        <w:rPr>
          <w:rFonts w:ascii="Times New Roman" w:eastAsia="Times New Roman" w:hAnsi="Times New Roman" w:cs="Times New Roman"/>
          <w:i/>
          <w:noProof/>
          <w:color w:val="000000"/>
          <w:u w:val="single"/>
          <w:lang w:val="en-IE"/>
        </w:rPr>
        <w:t>:</w:t>
      </w:r>
    </w:p>
    <w:p w:rsidR="0007764C" w:rsidRDefault="00A17FAC">
      <w:pPr>
        <w:pStyle w:val="ListParagraph"/>
        <w:numPr>
          <w:ilvl w:val="0"/>
          <w:numId w:val="15"/>
        </w:numPr>
        <w:pBdr>
          <w:top w:val="single" w:sz="4" w:space="1" w:color="auto"/>
          <w:left w:val="single" w:sz="4" w:space="4" w:color="auto"/>
          <w:bottom w:val="single" w:sz="4" w:space="1" w:color="auto"/>
          <w:right w:val="single" w:sz="4" w:space="4" w:color="auto"/>
        </w:pBdr>
        <w:shd w:val="clear" w:color="auto" w:fill="BFBFBF" w:themeFill="background1" w:themeFillShade="BF"/>
        <w:spacing w:after="120" w:line="252" w:lineRule="auto"/>
        <w:jc w:val="both"/>
        <w:rPr>
          <w:rFonts w:ascii="Times New Roman" w:hAnsi="Times New Roman"/>
          <w:i/>
          <w:noProof/>
          <w:color w:val="000000" w:themeColor="text1"/>
          <w:lang w:val="en-IE"/>
        </w:rPr>
      </w:pPr>
      <w:r>
        <w:rPr>
          <w:rFonts w:ascii="Times New Roman" w:eastAsia="Times New Roman" w:hAnsi="Times New Roman" w:cs="Times New Roman"/>
          <w:i/>
          <w:noProof/>
          <w:color w:val="000000"/>
          <w:lang w:val="en-IE"/>
        </w:rPr>
        <w:t>Building</w:t>
      </w:r>
      <w:r>
        <w:rPr>
          <w:rFonts w:ascii="Times New Roman" w:hAnsi="Times New Roman"/>
          <w:i/>
          <w:noProof/>
          <w:color w:val="000000"/>
          <w:lang w:val="en-IE"/>
        </w:rPr>
        <w:t xml:space="preserve"> a common and multi-</w:t>
      </w:r>
      <w:r>
        <w:rPr>
          <w:rFonts w:ascii="Times New Roman" w:hAnsi="Times New Roman"/>
          <w:b/>
          <w:i/>
          <w:noProof/>
          <w:color w:val="000000"/>
          <w:lang w:val="en-IE"/>
        </w:rPr>
        <w:t>purpose pan-European interconnected data processing infrastructure</w:t>
      </w:r>
      <w:r>
        <w:rPr>
          <w:rFonts w:ascii="Times New Roman" w:hAnsi="Times New Roman"/>
          <w:i/>
          <w:noProof/>
          <w:color w:val="000000"/>
          <w:lang w:val="en-IE"/>
        </w:rPr>
        <w:t xml:space="preserve">, </w:t>
      </w:r>
      <w:r>
        <w:rPr>
          <w:rFonts w:ascii="Times New Roman" w:hAnsi="Times New Roman"/>
          <w:bCs/>
          <w:i/>
          <w:iCs/>
          <w:noProof/>
          <w:color w:val="000000"/>
        </w:rPr>
        <w:t>to be used in full compliance with fundamental rights</w:t>
      </w:r>
      <w:r>
        <w:rPr>
          <w:rFonts w:ascii="Times New Roman" w:eastAsia="Times New Roman" w:hAnsi="Times New Roman" w:cs="Times New Roman"/>
          <w:i/>
          <w:noProof/>
          <w:color w:val="000000"/>
          <w:lang w:val="en-IE"/>
        </w:rPr>
        <w:t xml:space="preserve"> developing</w:t>
      </w:r>
      <w:r>
        <w:rPr>
          <w:rFonts w:ascii="Times New Roman" w:hAnsi="Times New Roman"/>
          <w:i/>
          <w:noProof/>
          <w:color w:val="000000"/>
          <w:lang w:val="en-IE"/>
        </w:rPr>
        <w:t xml:space="preserve"> real-time (very low latency) </w:t>
      </w:r>
      <w:r>
        <w:rPr>
          <w:rFonts w:ascii="Times New Roman" w:hAnsi="Times New Roman"/>
          <w:b/>
          <w:i/>
          <w:noProof/>
          <w:color w:val="000000"/>
          <w:lang w:val="en-IE"/>
        </w:rPr>
        <w:t>edge capacities</w:t>
      </w:r>
      <w:r>
        <w:rPr>
          <w:rFonts w:ascii="Times New Roman" w:hAnsi="Times New Roman"/>
          <w:i/>
          <w:noProof/>
          <w:color w:val="000000"/>
          <w:lang w:val="en-IE"/>
        </w:rPr>
        <w:t xml:space="preserve"> to serve end-users’ needs close to where data are generated (i.e. at the edge of telecom networks</w:t>
      </w:r>
      <w:r>
        <w:rPr>
          <w:rFonts w:ascii="Times New Roman" w:eastAsia="Times New Roman" w:hAnsi="Times New Roman" w:cs="Times New Roman"/>
          <w:i/>
          <w:noProof/>
          <w:color w:val="000000"/>
          <w:lang w:val="en-IE"/>
        </w:rPr>
        <w:t>), designing</w:t>
      </w:r>
      <w:r>
        <w:rPr>
          <w:rFonts w:ascii="Times New Roman" w:hAnsi="Times New Roman"/>
          <w:i/>
          <w:noProof/>
          <w:color w:val="000000"/>
          <w:lang w:val="en-IE"/>
        </w:rPr>
        <w:t xml:space="preserve"> secure, low power and interoperable middleware platforms for sectoral uses</w:t>
      </w:r>
      <w:r>
        <w:rPr>
          <w:rFonts w:ascii="Times New Roman" w:eastAsia="Times New Roman" w:hAnsi="Times New Roman" w:cs="Times New Roman"/>
          <w:i/>
          <w:noProof/>
          <w:color w:val="000000"/>
          <w:lang w:val="en-IE"/>
        </w:rPr>
        <w:t>, and enabling easy exchange and sharing of data, notably for Common Eu</w:t>
      </w:r>
      <w:r>
        <w:rPr>
          <w:rFonts w:ascii="Times New Roman" w:eastAsia="Times New Roman" w:hAnsi="Times New Roman" w:cs="Times New Roman"/>
          <w:i/>
          <w:noProof/>
          <w:color w:val="000000"/>
          <w:lang w:val="en-IE"/>
        </w:rPr>
        <w:t>ropean Data Spaces;</w:t>
      </w:r>
    </w:p>
    <w:p w:rsidR="0007764C" w:rsidRDefault="00A17FAC">
      <w:pPr>
        <w:pStyle w:val="ListParagraph"/>
        <w:numPr>
          <w:ilvl w:val="0"/>
          <w:numId w:val="15"/>
        </w:numPr>
        <w:pBdr>
          <w:top w:val="single" w:sz="4" w:space="1" w:color="auto"/>
          <w:left w:val="single" w:sz="4" w:space="4" w:color="auto"/>
          <w:bottom w:val="single" w:sz="4" w:space="1" w:color="auto"/>
          <w:right w:val="single" w:sz="4" w:space="4" w:color="auto"/>
        </w:pBdr>
        <w:shd w:val="clear" w:color="auto" w:fill="BFBFBF" w:themeFill="background1" w:themeFillShade="BF"/>
        <w:spacing w:after="120" w:line="252" w:lineRule="auto"/>
        <w:jc w:val="both"/>
        <w:rPr>
          <w:rFonts w:ascii="Times New Roman" w:hAnsi="Times New Roman"/>
          <w:i/>
          <w:noProof/>
          <w:color w:val="000000" w:themeColor="text1"/>
          <w:lang w:val="en-IE"/>
        </w:rPr>
      </w:pPr>
      <w:r>
        <w:rPr>
          <w:rFonts w:ascii="Times New Roman" w:eastAsia="Times New Roman" w:hAnsi="Times New Roman" w:cs="Times New Roman"/>
          <w:i/>
          <w:noProof/>
          <w:color w:val="000000"/>
          <w:lang w:val="en-IE"/>
        </w:rPr>
        <w:t>Endow</w:t>
      </w:r>
      <w:r>
        <w:rPr>
          <w:rFonts w:ascii="Times New Roman" w:hAnsi="Times New Roman"/>
          <w:i/>
          <w:noProof/>
          <w:color w:val="000000"/>
          <w:lang w:val="en-IE"/>
        </w:rPr>
        <w:t xml:space="preserve"> the EU with capabilities in electronics </w:t>
      </w:r>
      <w:r>
        <w:rPr>
          <w:rFonts w:ascii="Times New Roman" w:hAnsi="Times New Roman"/>
          <w:b/>
          <w:i/>
          <w:noProof/>
          <w:color w:val="000000"/>
          <w:lang w:val="en-IE"/>
        </w:rPr>
        <w:t xml:space="preserve">design and deployment of the next generation of low power trusted processors and other electronic components </w:t>
      </w:r>
      <w:r>
        <w:rPr>
          <w:rFonts w:ascii="Times New Roman" w:hAnsi="Times New Roman"/>
          <w:i/>
          <w:noProof/>
          <w:color w:val="000000"/>
          <w:lang w:val="en-IE"/>
        </w:rPr>
        <w:t>needed to power its critical digital infrastructure, AI systems and communication</w:t>
      </w:r>
      <w:r>
        <w:rPr>
          <w:rFonts w:ascii="Times New Roman" w:hAnsi="Times New Roman"/>
          <w:i/>
          <w:noProof/>
          <w:color w:val="000000"/>
          <w:lang w:val="en-IE"/>
        </w:rPr>
        <w:t xml:space="preserve"> networks</w:t>
      </w:r>
      <w:r>
        <w:rPr>
          <w:rFonts w:ascii="Times New Roman" w:eastAsia="Times New Roman" w:hAnsi="Times New Roman" w:cs="Times New Roman"/>
          <w:i/>
          <w:noProof/>
          <w:color w:val="000000"/>
          <w:lang w:val="en-IE"/>
        </w:rPr>
        <w:t>;</w:t>
      </w:r>
    </w:p>
    <w:p w:rsidR="0007764C" w:rsidRDefault="00A17FAC">
      <w:pPr>
        <w:pStyle w:val="ListParagraph"/>
        <w:numPr>
          <w:ilvl w:val="0"/>
          <w:numId w:val="15"/>
        </w:numPr>
        <w:pBdr>
          <w:top w:val="single" w:sz="4" w:space="1" w:color="auto"/>
          <w:left w:val="single" w:sz="4" w:space="4" w:color="auto"/>
          <w:bottom w:val="single" w:sz="4" w:space="1" w:color="auto"/>
          <w:right w:val="single" w:sz="4" w:space="4" w:color="auto"/>
        </w:pBdr>
        <w:shd w:val="clear" w:color="auto" w:fill="BFBFBF" w:themeFill="background1" w:themeFillShade="BF"/>
        <w:spacing w:after="120" w:line="252" w:lineRule="auto"/>
        <w:jc w:val="both"/>
        <w:rPr>
          <w:rFonts w:ascii="Times New Roman" w:eastAsia="Times New Roman" w:hAnsi="Times New Roman" w:cs="Times New Roman"/>
          <w:i/>
          <w:noProof/>
          <w:color w:val="000000" w:themeColor="text1"/>
          <w:lang w:val="en-IE"/>
        </w:rPr>
      </w:pPr>
      <w:r>
        <w:rPr>
          <w:rFonts w:ascii="Times New Roman" w:eastAsia="Times New Roman" w:hAnsi="Times New Roman" w:cs="Times New Roman"/>
          <w:i/>
          <w:noProof/>
          <w:color w:val="000000"/>
          <w:lang w:val="en-IE"/>
        </w:rPr>
        <w:t xml:space="preserve">Pan-European deployment of </w:t>
      </w:r>
      <w:r>
        <w:rPr>
          <w:rFonts w:ascii="Times New Roman" w:eastAsia="Times New Roman" w:hAnsi="Times New Roman" w:cs="Times New Roman"/>
          <w:b/>
          <w:bCs/>
          <w:i/>
          <w:noProof/>
          <w:color w:val="000000"/>
          <w:lang w:val="en-IE"/>
        </w:rPr>
        <w:t>5G corridors</w:t>
      </w:r>
      <w:r>
        <w:rPr>
          <w:rFonts w:ascii="Times New Roman" w:eastAsia="Times New Roman" w:hAnsi="Times New Roman" w:cs="Times New Roman"/>
          <w:i/>
          <w:noProof/>
          <w:color w:val="000000"/>
          <w:lang w:val="en-IE"/>
        </w:rPr>
        <w:t xml:space="preserve"> for advanced digital rail operations and Connected and Automated Mobility contributing to road safety and green deal objectives;</w:t>
      </w:r>
    </w:p>
    <w:p w:rsidR="0007764C" w:rsidRDefault="00A17FAC">
      <w:pPr>
        <w:pStyle w:val="ListParagraph"/>
        <w:numPr>
          <w:ilvl w:val="0"/>
          <w:numId w:val="15"/>
        </w:numPr>
        <w:pBdr>
          <w:top w:val="single" w:sz="4" w:space="1" w:color="auto"/>
          <w:left w:val="single" w:sz="4" w:space="4" w:color="auto"/>
          <w:bottom w:val="single" w:sz="4" w:space="1" w:color="auto"/>
          <w:right w:val="single" w:sz="4" w:space="4" w:color="auto"/>
        </w:pBdr>
        <w:shd w:val="clear" w:color="auto" w:fill="BFBFBF" w:themeFill="background1" w:themeFillShade="BF"/>
        <w:spacing w:after="120" w:line="252" w:lineRule="auto"/>
        <w:jc w:val="both"/>
        <w:rPr>
          <w:rFonts w:ascii="Times New Roman" w:eastAsia="Times New Roman" w:hAnsi="Times New Roman" w:cs="Times New Roman"/>
          <w:i/>
          <w:noProof/>
          <w:color w:val="000000" w:themeColor="text1"/>
          <w:lang w:val="en-IE"/>
        </w:rPr>
      </w:pPr>
      <w:r>
        <w:rPr>
          <w:rFonts w:ascii="Times New Roman" w:eastAsia="Times New Roman" w:hAnsi="Times New Roman" w:cs="Times New Roman"/>
          <w:i/>
          <w:noProof/>
          <w:color w:val="000000"/>
          <w:lang w:val="en-IE"/>
        </w:rPr>
        <w:t xml:space="preserve">Acquiring </w:t>
      </w:r>
      <w:r>
        <w:rPr>
          <w:rFonts w:ascii="Times New Roman" w:eastAsia="Times New Roman" w:hAnsi="Times New Roman" w:cs="Times New Roman"/>
          <w:b/>
          <w:bCs/>
          <w:i/>
          <w:noProof/>
          <w:color w:val="000000"/>
          <w:lang w:val="en-IE"/>
        </w:rPr>
        <w:t>supercomputers and quantum computers</w:t>
      </w:r>
      <w:r>
        <w:rPr>
          <w:rFonts w:ascii="Times New Roman" w:eastAsia="Times New Roman" w:hAnsi="Times New Roman" w:cs="Times New Roman"/>
          <w:i/>
          <w:noProof/>
          <w:color w:val="000000"/>
          <w:lang w:val="en-IE"/>
        </w:rPr>
        <w:t xml:space="preserve">, connected with the EuroHPC </w:t>
      </w:r>
      <w:r>
        <w:rPr>
          <w:rFonts w:ascii="Times New Roman" w:eastAsia="Times New Roman" w:hAnsi="Times New Roman" w:cs="Times New Roman"/>
          <w:i/>
          <w:noProof/>
          <w:color w:val="000000"/>
          <w:lang w:val="en-IE"/>
        </w:rPr>
        <w:t>extreme-bandwidth communication network, investing and cooperating in large-scale application platforms requiring supercomputing (e.g. in health, disaster prediction), as well as in HPC national competence centres and HPC &amp; Quantum skills;</w:t>
      </w:r>
    </w:p>
    <w:p w:rsidR="0007764C" w:rsidRDefault="00A17FAC">
      <w:pPr>
        <w:pStyle w:val="ListParagraph"/>
        <w:numPr>
          <w:ilvl w:val="0"/>
          <w:numId w:val="15"/>
        </w:numPr>
        <w:pBdr>
          <w:top w:val="single" w:sz="4" w:space="1" w:color="auto"/>
          <w:left w:val="single" w:sz="4" w:space="4" w:color="auto"/>
          <w:bottom w:val="single" w:sz="4" w:space="1" w:color="auto"/>
          <w:right w:val="single" w:sz="4" w:space="4" w:color="auto"/>
        </w:pBdr>
        <w:shd w:val="clear" w:color="auto" w:fill="BFBFBF" w:themeFill="background1" w:themeFillShade="BF"/>
        <w:spacing w:after="120" w:line="252" w:lineRule="auto"/>
        <w:jc w:val="both"/>
        <w:rPr>
          <w:rFonts w:ascii="Times New Roman" w:eastAsia="Times New Roman" w:hAnsi="Times New Roman" w:cs="Times New Roman"/>
          <w:i/>
          <w:noProof/>
          <w:color w:val="000000" w:themeColor="text1"/>
          <w:lang w:val="en-IE"/>
        </w:rPr>
      </w:pPr>
      <w:r>
        <w:rPr>
          <w:rFonts w:ascii="Times New Roman" w:eastAsia="Times New Roman" w:hAnsi="Times New Roman" w:cs="Times New Roman"/>
          <w:i/>
          <w:noProof/>
          <w:color w:val="000000"/>
          <w:lang w:val="en-IE"/>
        </w:rPr>
        <w:t>Developing and d</w:t>
      </w:r>
      <w:r>
        <w:rPr>
          <w:rFonts w:ascii="Times New Roman" w:eastAsia="Times New Roman" w:hAnsi="Times New Roman" w:cs="Times New Roman"/>
          <w:i/>
          <w:noProof/>
          <w:color w:val="000000"/>
          <w:lang w:val="en-IE"/>
        </w:rPr>
        <w:t xml:space="preserve">eploying an </w:t>
      </w:r>
      <w:r>
        <w:rPr>
          <w:rFonts w:ascii="Times New Roman" w:eastAsia="Times New Roman" w:hAnsi="Times New Roman" w:cs="Times New Roman"/>
          <w:b/>
          <w:bCs/>
          <w:i/>
          <w:noProof/>
          <w:color w:val="000000"/>
          <w:lang w:val="en-IE"/>
        </w:rPr>
        <w:t>ultra-secure quantum communication infrastructure</w:t>
      </w:r>
      <w:r>
        <w:rPr>
          <w:rFonts w:ascii="Times New Roman" w:eastAsia="Times New Roman" w:hAnsi="Times New Roman" w:cs="Times New Roman"/>
          <w:i/>
          <w:noProof/>
          <w:color w:val="000000"/>
          <w:lang w:val="en-IE"/>
        </w:rPr>
        <w:t xml:space="preserve"> spanning the whole EU, to significantly increase the security of communication and storage of sensitive data assets all over the EU, including of critical infrastructures;</w:t>
      </w:r>
    </w:p>
    <w:p w:rsidR="0007764C" w:rsidRDefault="00A17FAC">
      <w:pPr>
        <w:pStyle w:val="ListParagraph"/>
        <w:numPr>
          <w:ilvl w:val="0"/>
          <w:numId w:val="15"/>
        </w:numPr>
        <w:pBdr>
          <w:top w:val="single" w:sz="4" w:space="1" w:color="auto"/>
          <w:left w:val="single" w:sz="4" w:space="4" w:color="auto"/>
          <w:bottom w:val="single" w:sz="4" w:space="1" w:color="auto"/>
          <w:right w:val="single" w:sz="4" w:space="4" w:color="auto"/>
        </w:pBdr>
        <w:shd w:val="clear" w:color="auto" w:fill="BFBFBF" w:themeFill="background1" w:themeFillShade="BF"/>
        <w:spacing w:after="120" w:line="252" w:lineRule="auto"/>
        <w:jc w:val="both"/>
        <w:rPr>
          <w:rFonts w:ascii="Times New Roman" w:eastAsia="Times New Roman" w:hAnsi="Times New Roman" w:cs="Times New Roman"/>
          <w:i/>
          <w:noProof/>
          <w:color w:val="000000" w:themeColor="text1"/>
          <w:lang w:val="en-IE"/>
        </w:rPr>
      </w:pPr>
      <w:r>
        <w:rPr>
          <w:rFonts w:ascii="Times New Roman" w:eastAsia="Times New Roman" w:hAnsi="Times New Roman" w:cs="Times New Roman"/>
          <w:i/>
          <w:noProof/>
          <w:color w:val="000000"/>
          <w:lang w:val="en-IE"/>
        </w:rPr>
        <w:t>Deploying a network of</w:t>
      </w:r>
      <w:r>
        <w:rPr>
          <w:rFonts w:ascii="Times New Roman" w:eastAsia="Times New Roman" w:hAnsi="Times New Roman" w:cs="Times New Roman"/>
          <w:i/>
          <w:noProof/>
          <w:color w:val="000000"/>
          <w:lang w:val="en-IE"/>
        </w:rPr>
        <w:t xml:space="preserve"> </w:t>
      </w:r>
      <w:r>
        <w:rPr>
          <w:rFonts w:ascii="Times New Roman" w:eastAsia="Times New Roman" w:hAnsi="Times New Roman" w:cs="Times New Roman"/>
          <w:b/>
          <w:bCs/>
          <w:i/>
          <w:noProof/>
          <w:color w:val="000000"/>
          <w:lang w:val="en-IE"/>
        </w:rPr>
        <w:t>Security Operations Centres</w:t>
      </w:r>
      <w:r>
        <w:rPr>
          <w:rFonts w:ascii="Times New Roman" w:eastAsia="Times New Roman" w:hAnsi="Times New Roman" w:cs="Times New Roman"/>
          <w:i/>
          <w:noProof/>
          <w:color w:val="000000"/>
          <w:lang w:val="en-IE"/>
        </w:rPr>
        <w:t>, powered by artificial intelligence, able to detect signs of a cyberattack early enough, and to enable proactive action, for enhanced joint risk preparedness and response at national and EU level;</w:t>
      </w:r>
    </w:p>
    <w:p w:rsidR="0007764C" w:rsidRDefault="00A17FAC">
      <w:pPr>
        <w:pStyle w:val="ListParagraph"/>
        <w:numPr>
          <w:ilvl w:val="0"/>
          <w:numId w:val="15"/>
        </w:numPr>
        <w:pBdr>
          <w:top w:val="single" w:sz="4" w:space="1" w:color="auto"/>
          <w:left w:val="single" w:sz="4" w:space="4" w:color="auto"/>
          <w:bottom w:val="single" w:sz="4" w:space="1" w:color="auto"/>
          <w:right w:val="single" w:sz="4" w:space="4" w:color="auto"/>
        </w:pBdr>
        <w:shd w:val="clear" w:color="auto" w:fill="BFBFBF" w:themeFill="background1" w:themeFillShade="BF"/>
        <w:spacing w:after="120" w:line="252" w:lineRule="auto"/>
        <w:jc w:val="both"/>
        <w:rPr>
          <w:rFonts w:ascii="Times New Roman" w:eastAsia="Times New Roman" w:hAnsi="Times New Roman" w:cs="Times New Roman"/>
          <w:i/>
          <w:noProof/>
          <w:color w:val="000000" w:themeColor="text1"/>
          <w:lang w:val="en-IE"/>
        </w:rPr>
      </w:pPr>
      <w:r>
        <w:rPr>
          <w:rFonts w:ascii="Times New Roman" w:eastAsia="Times New Roman" w:hAnsi="Times New Roman" w:cs="Times New Roman"/>
          <w:b/>
          <w:bCs/>
          <w:i/>
          <w:noProof/>
          <w:color w:val="000000"/>
          <w:lang w:val="en-IE"/>
        </w:rPr>
        <w:t>Connected Public Administratio</w:t>
      </w:r>
      <w:r>
        <w:rPr>
          <w:rFonts w:ascii="Times New Roman" w:eastAsia="Times New Roman" w:hAnsi="Times New Roman" w:cs="Times New Roman"/>
          <w:b/>
          <w:bCs/>
          <w:i/>
          <w:noProof/>
          <w:color w:val="000000"/>
          <w:lang w:val="en-IE"/>
        </w:rPr>
        <w:t>n</w:t>
      </w:r>
      <w:r>
        <w:rPr>
          <w:rFonts w:ascii="Times New Roman" w:eastAsia="Times New Roman" w:hAnsi="Times New Roman" w:cs="Times New Roman"/>
          <w:i/>
          <w:noProof/>
          <w:color w:val="000000"/>
          <w:lang w:val="en-IE"/>
        </w:rPr>
        <w:t xml:space="preserve">: build in complementarity and synergy with the eIDAS framework and offer on a voluntary basis European Digital Identity, to access and use digital services online from the public and private sectors </w:t>
      </w:r>
      <w:r>
        <w:rPr>
          <w:rFonts w:ascii="Times New Roman" w:eastAsia="Times New Roman" w:hAnsi="Times New Roman" w:cs="Times New Roman"/>
          <w:i/>
          <w:iCs/>
          <w:noProof/>
          <w:color w:val="000000"/>
        </w:rPr>
        <w:t xml:space="preserve">in a </w:t>
      </w:r>
      <w:r>
        <w:rPr>
          <w:rFonts w:ascii="Times New Roman" w:hAnsi="Times New Roman"/>
          <w:i/>
          <w:noProof/>
          <w:color w:val="000000"/>
        </w:rPr>
        <w:t>privacy</w:t>
      </w:r>
      <w:r>
        <w:rPr>
          <w:rFonts w:ascii="Times New Roman" w:eastAsia="Times New Roman" w:hAnsi="Times New Roman" w:cs="Times New Roman"/>
          <w:i/>
          <w:iCs/>
          <w:noProof/>
          <w:color w:val="000000"/>
        </w:rPr>
        <w:t>-enhancing</w:t>
      </w:r>
      <w:r>
        <w:rPr>
          <w:rFonts w:ascii="Times New Roman" w:eastAsia="Times New Roman" w:hAnsi="Times New Roman" w:cs="Times New Roman"/>
          <w:i/>
          <w:iCs/>
          <w:noProof/>
          <w:color w:val="000000"/>
          <w:lang w:val="en-IE"/>
        </w:rPr>
        <w:t>way and in full compliance with e</w:t>
      </w:r>
      <w:r>
        <w:rPr>
          <w:rFonts w:ascii="Times New Roman" w:eastAsia="Times New Roman" w:hAnsi="Times New Roman" w:cs="Times New Roman"/>
          <w:i/>
          <w:iCs/>
          <w:noProof/>
          <w:color w:val="000000"/>
          <w:lang w:val="en-IE"/>
        </w:rPr>
        <w:t>xisting data protection laws</w:t>
      </w:r>
      <w:r>
        <w:rPr>
          <w:rFonts w:ascii="Times New Roman" w:eastAsia="Times New Roman" w:hAnsi="Times New Roman" w:cs="Times New Roman"/>
          <w:i/>
          <w:iCs/>
          <w:noProof/>
          <w:color w:val="000000"/>
        </w:rPr>
        <w:t>;</w:t>
      </w:r>
      <w:r>
        <w:rPr>
          <w:rFonts w:ascii="Times New Roman" w:eastAsia="Times New Roman" w:hAnsi="Times New Roman" w:cs="Times New Roman"/>
          <w:i/>
          <w:noProof/>
          <w:color w:val="000000"/>
          <w:lang w:val="en-IE"/>
        </w:rPr>
        <w:t xml:space="preserve">; Build a Once-Only system allowing public administrations at the local, regional and national levels to exchange data and evidence across borders, in full compliance with legal requirements and fundamental rights; </w:t>
      </w:r>
    </w:p>
    <w:p w:rsidR="0007764C" w:rsidRDefault="00A17FAC">
      <w:pPr>
        <w:pStyle w:val="ListParagraph"/>
        <w:numPr>
          <w:ilvl w:val="0"/>
          <w:numId w:val="15"/>
        </w:numPr>
        <w:pBdr>
          <w:top w:val="single" w:sz="4" w:space="1" w:color="auto"/>
          <w:left w:val="single" w:sz="4" w:space="4" w:color="auto"/>
          <w:bottom w:val="single" w:sz="4" w:space="1" w:color="auto"/>
          <w:right w:val="single" w:sz="4" w:space="4" w:color="auto"/>
        </w:pBdr>
        <w:shd w:val="clear" w:color="auto" w:fill="BFBFBF" w:themeFill="background1" w:themeFillShade="BF"/>
        <w:spacing w:after="120" w:line="252" w:lineRule="auto"/>
        <w:jc w:val="both"/>
        <w:rPr>
          <w:rFonts w:ascii="Times New Roman" w:eastAsia="Times New Roman" w:hAnsi="Times New Roman" w:cs="Times New Roman"/>
          <w:i/>
          <w:noProof/>
          <w:color w:val="000000" w:themeColor="text1"/>
          <w:lang w:val="en-IE"/>
        </w:rPr>
      </w:pPr>
      <w:r>
        <w:rPr>
          <w:rFonts w:ascii="Times New Roman" w:eastAsia="Times New Roman" w:hAnsi="Times New Roman" w:cs="Times New Roman"/>
          <w:b/>
          <w:bCs/>
          <w:i/>
          <w:noProof/>
          <w:color w:val="000000"/>
          <w:lang w:val="en-IE"/>
        </w:rPr>
        <w:t>European Bl</w:t>
      </w:r>
      <w:r>
        <w:rPr>
          <w:rFonts w:ascii="Times New Roman" w:eastAsia="Times New Roman" w:hAnsi="Times New Roman" w:cs="Times New Roman"/>
          <w:b/>
          <w:bCs/>
          <w:i/>
          <w:noProof/>
          <w:color w:val="000000"/>
          <w:lang w:val="en-IE"/>
        </w:rPr>
        <w:t>ockchain Services Infrastructure:</w:t>
      </w:r>
      <w:r>
        <w:rPr>
          <w:rFonts w:ascii="Times New Roman" w:eastAsia="Times New Roman" w:hAnsi="Times New Roman" w:cs="Times New Roman"/>
          <w:i/>
          <w:noProof/>
          <w:color w:val="000000"/>
          <w:lang w:val="en-IE"/>
        </w:rPr>
        <w:t xml:space="preserve"> develop, deploy and operate a pan-European blockchain-based infrastructure that is green, secure, in full compliance with EU values and the EU legal framework, making cross-border and national/local public service provisio</w:t>
      </w:r>
      <w:r>
        <w:rPr>
          <w:rFonts w:ascii="Times New Roman" w:eastAsia="Times New Roman" w:hAnsi="Times New Roman" w:cs="Times New Roman"/>
          <w:i/>
          <w:noProof/>
          <w:color w:val="000000"/>
          <w:lang w:val="en-IE"/>
        </w:rPr>
        <w:t xml:space="preserve">n more efficient and reliable and promoting new business models; </w:t>
      </w:r>
    </w:p>
    <w:p w:rsidR="0007764C" w:rsidRDefault="00A17FAC">
      <w:pPr>
        <w:pStyle w:val="ListParagraph"/>
        <w:numPr>
          <w:ilvl w:val="0"/>
          <w:numId w:val="15"/>
        </w:numPr>
        <w:pBdr>
          <w:top w:val="single" w:sz="4" w:space="1" w:color="auto"/>
          <w:left w:val="single" w:sz="4" w:space="4" w:color="auto"/>
          <w:bottom w:val="single" w:sz="4" w:space="1" w:color="auto"/>
          <w:right w:val="single" w:sz="4" w:space="4" w:color="auto"/>
        </w:pBdr>
        <w:shd w:val="clear" w:color="auto" w:fill="BFBFBF" w:themeFill="background1" w:themeFillShade="BF"/>
        <w:spacing w:after="120" w:line="252" w:lineRule="auto"/>
        <w:jc w:val="both"/>
        <w:rPr>
          <w:rFonts w:ascii="Times New Roman" w:eastAsia="Times New Roman" w:hAnsi="Times New Roman" w:cs="Times New Roman"/>
          <w:i/>
          <w:noProof/>
          <w:color w:val="000000" w:themeColor="text1"/>
          <w:lang w:val="en-IE"/>
        </w:rPr>
      </w:pPr>
      <w:r>
        <w:rPr>
          <w:rFonts w:ascii="Times New Roman" w:eastAsia="Times New Roman" w:hAnsi="Times New Roman" w:cs="Times New Roman"/>
          <w:b/>
          <w:bCs/>
          <w:i/>
          <w:noProof/>
          <w:color w:val="000000"/>
          <w:lang w:val="en-IE"/>
        </w:rPr>
        <w:t>European Digital Innovation Hubs</w:t>
      </w:r>
      <w:r>
        <w:rPr>
          <w:rFonts w:ascii="Times New Roman" w:eastAsia="Times New Roman" w:hAnsi="Times New Roman" w:cs="Times New Roman"/>
          <w:i/>
          <w:noProof/>
          <w:color w:val="000000"/>
          <w:lang w:val="en-IE"/>
        </w:rPr>
        <w:t>: support the digitisation of European Industry through completing an EU-wide network of “European Digital Innovation Hubs” (EDIHs), which are “one-stop-shops</w:t>
      </w:r>
      <w:r>
        <w:rPr>
          <w:rFonts w:ascii="Times New Roman" w:eastAsia="Times New Roman" w:hAnsi="Times New Roman" w:cs="Times New Roman"/>
          <w:i/>
          <w:noProof/>
          <w:color w:val="000000"/>
          <w:lang w:val="en-IE"/>
        </w:rPr>
        <w:t xml:space="preserve">” to provide to SMEs technical expertise, opportunities to “test before invest”, financing advice, training and more; </w:t>
      </w:r>
    </w:p>
    <w:p w:rsidR="0007764C" w:rsidRDefault="00A17FAC">
      <w:pPr>
        <w:pStyle w:val="ListParagraph"/>
        <w:numPr>
          <w:ilvl w:val="0"/>
          <w:numId w:val="15"/>
        </w:numPr>
        <w:pBdr>
          <w:top w:val="single" w:sz="4" w:space="1" w:color="auto"/>
          <w:left w:val="single" w:sz="4" w:space="4" w:color="auto"/>
          <w:bottom w:val="single" w:sz="4" w:space="1" w:color="auto"/>
          <w:right w:val="single" w:sz="4" w:space="4" w:color="auto"/>
        </w:pBdr>
        <w:shd w:val="clear" w:color="auto" w:fill="BFBFBF" w:themeFill="background1" w:themeFillShade="BF"/>
        <w:spacing w:after="120" w:line="252" w:lineRule="auto"/>
        <w:jc w:val="both"/>
        <w:rPr>
          <w:rFonts w:ascii="Times New Roman" w:eastAsia="Times New Roman" w:hAnsi="Times New Roman" w:cs="Times New Roman"/>
          <w:i/>
          <w:noProof/>
          <w:color w:val="000000"/>
          <w:lang w:val="en-IE"/>
        </w:rPr>
      </w:pPr>
      <w:r>
        <w:rPr>
          <w:rFonts w:ascii="Times New Roman" w:eastAsia="Times New Roman" w:hAnsi="Times New Roman" w:cs="Times New Roman"/>
          <w:b/>
          <w:i/>
          <w:noProof/>
          <w:color w:val="000000"/>
          <w:lang w:val="en-IE"/>
        </w:rPr>
        <w:t>High tech partnerships for digital skills through Pact for Skills</w:t>
      </w:r>
      <w:r>
        <w:rPr>
          <w:rFonts w:ascii="Times New Roman" w:eastAsia="Times New Roman" w:hAnsi="Times New Roman" w:cs="Times New Roman"/>
          <w:i/>
          <w:noProof/>
          <w:color w:val="000000"/>
          <w:lang w:val="en-IE"/>
        </w:rPr>
        <w:t>: there are growing gaps of ICT specialists in all industrial ecosystems</w:t>
      </w:r>
      <w:r>
        <w:rPr>
          <w:rFonts w:ascii="Times New Roman" w:eastAsia="Times New Roman" w:hAnsi="Times New Roman" w:cs="Times New Roman"/>
          <w:i/>
          <w:noProof/>
          <w:color w:val="000000"/>
          <w:lang w:val="en-IE"/>
        </w:rPr>
        <w:t>, regions and Member States. To fill this gap, a large-scale multi-stakeholder skills partnership could be set up to build a bridge between demand and supply, foster greater private and public investment increase the quantity and the quality of the offer o</w:t>
      </w:r>
      <w:r>
        <w:rPr>
          <w:rFonts w:ascii="Times New Roman" w:eastAsia="Times New Roman" w:hAnsi="Times New Roman" w:cs="Times New Roman"/>
          <w:i/>
          <w:noProof/>
          <w:color w:val="000000"/>
          <w:lang w:val="en-IE"/>
        </w:rPr>
        <w:t xml:space="preserve">f specialised education and training and to boost excellence in higher education and VET institutions, making them more attractive and responsive to the needs of the labour market in terms of digital. </w:t>
      </w:r>
    </w:p>
    <w:p w:rsidR="0007764C" w:rsidRDefault="00A17FAC">
      <w:pPr>
        <w:pStyle w:val="Text1"/>
        <w:spacing w:after="120" w:line="276" w:lineRule="auto"/>
        <w:ind w:left="0"/>
        <w:rPr>
          <w:noProof/>
          <w:color w:val="000000"/>
          <w:highlight w:val="yellow"/>
          <w:lang w:eastAsia="en-IE"/>
        </w:rPr>
      </w:pPr>
      <w:r>
        <w:rPr>
          <w:noProof/>
        </w:rPr>
        <w:t>The Commission is committed to support the development</w:t>
      </w:r>
      <w:r>
        <w:rPr>
          <w:noProof/>
        </w:rPr>
        <w:t xml:space="preserve"> and implementation of Multi-Country Projects, including under the RRF, and in enhanced dialogue with Member States, including through a flexible governance framework</w:t>
      </w:r>
      <w:r>
        <w:rPr>
          <w:noProof/>
          <w:color w:val="000000"/>
          <w:lang w:eastAsia="en-IE"/>
        </w:rPr>
        <w:t>.</w:t>
      </w:r>
      <w:r>
        <w:rPr>
          <w:noProof/>
          <w:color w:val="000000"/>
          <w:highlight w:val="yellow"/>
          <w:lang w:eastAsia="en-IE"/>
        </w:rPr>
        <w:t xml:space="preserve"> </w:t>
      </w:r>
    </w:p>
    <w:p w:rsidR="0007764C" w:rsidRDefault="00A17FAC">
      <w:pPr>
        <w:spacing w:after="160" w:line="259" w:lineRule="auto"/>
        <w:jc w:val="both"/>
        <w:rPr>
          <w:rFonts w:ascii="Times New Roman" w:hAnsi="Times New Roman" w:cs="Times New Roman"/>
          <w:noProof/>
          <w:lang w:val="en-GB"/>
        </w:rPr>
      </w:pPr>
      <w:r>
        <w:rPr>
          <w:rFonts w:ascii="Times New Roman" w:hAnsi="Times New Roman" w:cs="Times New Roman"/>
          <w:noProof/>
          <w:lang w:val="en-GB"/>
        </w:rPr>
        <w:t>Until now a variety of mechanisms</w:t>
      </w:r>
      <w:r>
        <w:rPr>
          <w:rStyle w:val="FootnoteReference"/>
          <w:rFonts w:ascii="Times New Roman" w:eastAsia="Times New Roman" w:hAnsi="Times New Roman" w:cs="Times New Roman"/>
          <w:noProof/>
          <w:color w:val="000000"/>
          <w:lang w:val="en-GB" w:eastAsia="en-IE"/>
        </w:rPr>
        <w:footnoteReference w:id="46"/>
      </w:r>
      <w:r>
        <w:rPr>
          <w:rFonts w:ascii="Times New Roman" w:hAnsi="Times New Roman" w:cs="Times New Roman"/>
          <w:noProof/>
          <w:lang w:val="en-GB"/>
        </w:rPr>
        <w:t xml:space="preserve"> has been used for different projects and investments</w:t>
      </w:r>
      <w:r>
        <w:rPr>
          <w:rFonts w:ascii="Times New Roman" w:hAnsi="Times New Roman" w:cs="Times New Roman"/>
          <w:noProof/>
          <w:lang w:val="en-GB"/>
        </w:rPr>
        <w:t xml:space="preserve">., which have revealed a gap in the Commission’s toolbox to combine funding from Member States, the EU budget and private investment for the purposes of deploying and operating infrastructures and services of common interest, outside the research area. </w:t>
      </w:r>
    </w:p>
    <w:p w:rsidR="0007764C" w:rsidRDefault="00A17FAC">
      <w:pPr>
        <w:spacing w:after="120" w:line="259" w:lineRule="auto"/>
        <w:jc w:val="both"/>
        <w:rPr>
          <w:rFonts w:ascii="Times New Roman" w:hAnsi="Times New Roman" w:cs="Times New Roman"/>
          <w:noProof/>
          <w:lang w:val="en-GB"/>
        </w:rPr>
      </w:pPr>
      <w:r>
        <w:rPr>
          <w:rFonts w:ascii="Times New Roman" w:hAnsi="Times New Roman" w:cs="Times New Roman"/>
          <w:noProof/>
          <w:lang w:val="en-GB"/>
        </w:rPr>
        <w:t>In</w:t>
      </w:r>
      <w:r>
        <w:rPr>
          <w:rFonts w:ascii="Times New Roman" w:hAnsi="Times New Roman" w:cs="Times New Roman"/>
          <w:noProof/>
          <w:lang w:val="en-GB"/>
        </w:rPr>
        <w:t xml:space="preserve"> particular, a number of combined features are necessary for an efficient mechanism for deploying and operating digital multi-country projects (and possibly also projects in other fields): </w:t>
      </w:r>
    </w:p>
    <w:p w:rsidR="0007764C" w:rsidRDefault="00A17FAC">
      <w:pPr>
        <w:pStyle w:val="ListParagraph"/>
        <w:numPr>
          <w:ilvl w:val="0"/>
          <w:numId w:val="78"/>
        </w:numPr>
        <w:spacing w:after="120" w:line="259" w:lineRule="auto"/>
        <w:contextualSpacing w:val="0"/>
        <w:jc w:val="both"/>
        <w:rPr>
          <w:rFonts w:ascii="Times New Roman" w:eastAsia="Times New Roman" w:hAnsi="Times New Roman" w:cs="Times New Roman"/>
          <w:noProof/>
          <w:color w:val="000000"/>
          <w:sz w:val="24"/>
          <w:szCs w:val="24"/>
          <w:lang w:eastAsia="en-IE"/>
        </w:rPr>
      </w:pPr>
      <w:r>
        <w:rPr>
          <w:rFonts w:ascii="Times New Roman" w:hAnsi="Times New Roman" w:cs="Times New Roman"/>
          <w:noProof/>
          <w:sz w:val="24"/>
          <w:szCs w:val="24"/>
        </w:rPr>
        <w:t>the possibility to be set up swiftly and flexibly, while making su</w:t>
      </w:r>
      <w:r>
        <w:rPr>
          <w:rFonts w:ascii="Times New Roman" w:hAnsi="Times New Roman" w:cs="Times New Roman"/>
          <w:noProof/>
          <w:sz w:val="24"/>
          <w:szCs w:val="24"/>
        </w:rPr>
        <w:t xml:space="preserve">re it remains open to all interested Member States; </w:t>
      </w:r>
    </w:p>
    <w:p w:rsidR="0007764C" w:rsidRDefault="00A17FAC">
      <w:pPr>
        <w:pStyle w:val="ListParagraph"/>
        <w:numPr>
          <w:ilvl w:val="0"/>
          <w:numId w:val="78"/>
        </w:numPr>
        <w:spacing w:after="120" w:line="259" w:lineRule="auto"/>
        <w:contextualSpacing w:val="0"/>
        <w:jc w:val="both"/>
        <w:rPr>
          <w:rFonts w:ascii="Times New Roman" w:eastAsia="Times New Roman" w:hAnsi="Times New Roman" w:cs="Times New Roman"/>
          <w:noProof/>
          <w:color w:val="000000"/>
          <w:sz w:val="24"/>
          <w:szCs w:val="24"/>
          <w:lang w:eastAsia="en-IE"/>
        </w:rPr>
      </w:pPr>
      <w:r>
        <w:rPr>
          <w:rFonts w:ascii="Times New Roman" w:hAnsi="Times New Roman" w:cs="Times New Roman"/>
          <w:noProof/>
          <w:sz w:val="24"/>
          <w:szCs w:val="24"/>
        </w:rPr>
        <w:t>standard arrangements governing common issues such as ownership and management of data</w:t>
      </w:r>
      <w:r>
        <w:rPr>
          <w:rFonts w:ascii="Times New Roman" w:eastAsia="Times New Roman" w:hAnsi="Times New Roman" w:cs="Times New Roman"/>
          <w:noProof/>
          <w:color w:val="000000"/>
          <w:sz w:val="24"/>
          <w:szCs w:val="24"/>
          <w:lang w:eastAsia="en-IE"/>
        </w:rPr>
        <w:t xml:space="preserve">, including the role of the Commission to ensure </w:t>
      </w:r>
      <w:r>
        <w:rPr>
          <w:rFonts w:ascii="Times New Roman" w:hAnsi="Times New Roman" w:cs="Times New Roman"/>
          <w:noProof/>
          <w:sz w:val="24"/>
          <w:szCs w:val="24"/>
        </w:rPr>
        <w:t>openness, alignment with agreed EU priorities and regulations, inclu</w:t>
      </w:r>
      <w:r>
        <w:rPr>
          <w:rFonts w:ascii="Times New Roman" w:hAnsi="Times New Roman" w:cs="Times New Roman"/>
          <w:noProof/>
          <w:sz w:val="24"/>
          <w:szCs w:val="24"/>
        </w:rPr>
        <w:t>ding competition and State aid rules, and coordination with EU programmes and policies</w:t>
      </w:r>
    </w:p>
    <w:p w:rsidR="0007764C" w:rsidRDefault="00A17FAC">
      <w:pPr>
        <w:pStyle w:val="ListParagraph"/>
        <w:numPr>
          <w:ilvl w:val="0"/>
          <w:numId w:val="78"/>
        </w:numPr>
        <w:spacing w:after="120" w:line="259" w:lineRule="auto"/>
        <w:contextualSpacing w:val="0"/>
        <w:jc w:val="both"/>
        <w:rPr>
          <w:rFonts w:ascii="Times New Roman" w:eastAsia="Times New Roman" w:hAnsi="Times New Roman" w:cs="Times New Roman"/>
          <w:noProof/>
          <w:color w:val="000000"/>
          <w:sz w:val="24"/>
          <w:szCs w:val="24"/>
          <w:lang w:eastAsia="en-IE"/>
        </w:rPr>
      </w:pPr>
      <w:r>
        <w:rPr>
          <w:rFonts w:ascii="Times New Roman" w:hAnsi="Times New Roman" w:cs="Times New Roman"/>
          <w:noProof/>
          <w:sz w:val="24"/>
          <w:szCs w:val="24"/>
        </w:rPr>
        <w:t>facilitate the pooling of EU and national funding and the complementarity and combination of the various sources of funding, while creating incentives to crowd in privat</w:t>
      </w:r>
      <w:r>
        <w:rPr>
          <w:rFonts w:ascii="Times New Roman" w:hAnsi="Times New Roman" w:cs="Times New Roman"/>
          <w:noProof/>
          <w:sz w:val="24"/>
          <w:szCs w:val="24"/>
        </w:rPr>
        <w:t xml:space="preserve">e investments; </w:t>
      </w:r>
    </w:p>
    <w:p w:rsidR="0007764C" w:rsidRDefault="00A17FAC">
      <w:pPr>
        <w:pStyle w:val="ListParagraph"/>
        <w:numPr>
          <w:ilvl w:val="0"/>
          <w:numId w:val="78"/>
        </w:numPr>
        <w:spacing w:after="120" w:line="259" w:lineRule="auto"/>
        <w:contextualSpacing w:val="0"/>
        <w:jc w:val="both"/>
        <w:rPr>
          <w:rFonts w:ascii="Times New Roman" w:eastAsia="Times New Roman" w:hAnsi="Times New Roman" w:cs="Times New Roman"/>
          <w:noProof/>
          <w:color w:val="000000"/>
          <w:sz w:val="24"/>
          <w:szCs w:val="24"/>
          <w:lang w:eastAsia="en-IE"/>
        </w:rPr>
      </w:pPr>
      <w:r>
        <w:rPr>
          <w:rFonts w:ascii="Times New Roman" w:hAnsi="Times New Roman" w:cs="Times New Roman"/>
          <w:noProof/>
          <w:sz w:val="24"/>
          <w:szCs w:val="24"/>
        </w:rPr>
        <w:t xml:space="preserve">legal capacity to procure and operate multi-country infrastructures and pan-European services of public interest, going beyond research, while facilitating vendor neutrality. </w:t>
      </w:r>
    </w:p>
    <w:p w:rsidR="0007764C" w:rsidRDefault="00A17FAC">
      <w:pPr>
        <w:pStyle w:val="Text1"/>
        <w:spacing w:after="120" w:line="276" w:lineRule="auto"/>
        <w:ind w:left="0"/>
        <w:rPr>
          <w:noProof/>
        </w:rPr>
      </w:pPr>
      <w:r>
        <w:rPr>
          <w:noProof/>
        </w:rPr>
        <w:t xml:space="preserve">To offer an efficient solution and incentivise Member States to work together in Multi-Country Projects, </w:t>
      </w:r>
      <w:r>
        <w:rPr>
          <w:noProof/>
          <w:color w:val="000000"/>
          <w:lang w:eastAsia="en-IE"/>
        </w:rPr>
        <w:t xml:space="preserve">building on lessons learnt, including from the implementation of such projects under the RRF, </w:t>
      </w:r>
      <w:r>
        <w:rPr>
          <w:noProof/>
        </w:rPr>
        <w:t>the Commission is assessing options, such as the feasibil</w:t>
      </w:r>
      <w:r>
        <w:rPr>
          <w:noProof/>
        </w:rPr>
        <w:t xml:space="preserve">ity and features of </w:t>
      </w:r>
      <w:r>
        <w:rPr>
          <w:noProof/>
          <w:color w:val="000000"/>
          <w:lang w:eastAsia="en-IE"/>
        </w:rPr>
        <w:t xml:space="preserve">a specific instrument for Multi-Country Projects, as part of the future proposal for the Digital Policy Programme. </w:t>
      </w:r>
    </w:p>
    <w:p w:rsidR="0007764C" w:rsidRDefault="00A17FAC">
      <w:pPr>
        <w:pBdr>
          <w:top w:val="single" w:sz="4" w:space="1" w:color="auto"/>
          <w:left w:val="single" w:sz="4" w:space="4" w:color="auto"/>
          <w:bottom w:val="single" w:sz="4" w:space="0" w:color="auto"/>
          <w:right w:val="single" w:sz="4" w:space="4" w:color="auto"/>
        </w:pBdr>
        <w:shd w:val="clear" w:color="auto" w:fill="D9D9D9" w:themeFill="background1" w:themeFillShade="D9"/>
        <w:spacing w:after="120"/>
        <w:jc w:val="both"/>
        <w:rPr>
          <w:rFonts w:ascii="Times New Roman" w:eastAsia="Times New Roman" w:hAnsi="Times New Roman" w:cs="Times New Roman"/>
          <w:b/>
          <w:i/>
          <w:noProof/>
          <w:color w:val="000000"/>
          <w:lang w:val="en-US" w:eastAsia="en-IE"/>
        </w:rPr>
      </w:pPr>
      <w:r>
        <w:rPr>
          <w:rFonts w:ascii="Times New Roman" w:eastAsia="Times New Roman" w:hAnsi="Times New Roman" w:cs="Times New Roman"/>
          <w:b/>
          <w:i/>
          <w:noProof/>
          <w:color w:val="000000"/>
          <w:lang w:val="en-US" w:eastAsia="en-IE"/>
        </w:rPr>
        <w:t>The Digital Compass: a new tool to pilot the Digital Decade</w:t>
      </w:r>
    </w:p>
    <w:p w:rsidR="0007764C" w:rsidRDefault="00A17FAC">
      <w:pPr>
        <w:pBdr>
          <w:top w:val="single" w:sz="4" w:space="1" w:color="auto"/>
          <w:left w:val="single" w:sz="4" w:space="4" w:color="auto"/>
          <w:bottom w:val="single" w:sz="4" w:space="0" w:color="auto"/>
          <w:right w:val="single" w:sz="4" w:space="4" w:color="auto"/>
        </w:pBdr>
        <w:shd w:val="clear" w:color="auto" w:fill="D9D9D9" w:themeFill="background1" w:themeFillShade="D9"/>
        <w:spacing w:after="120"/>
        <w:jc w:val="both"/>
        <w:rPr>
          <w:rFonts w:ascii="Times New Roman" w:eastAsia="Times New Roman" w:hAnsi="Times New Roman" w:cs="Times New Roman"/>
          <w:i/>
          <w:noProof/>
          <w:color w:val="000000"/>
          <w:lang w:val="en-US" w:eastAsia="en-IE"/>
        </w:rPr>
      </w:pPr>
      <w:r>
        <w:rPr>
          <w:rFonts w:ascii="Times New Roman" w:eastAsia="Times New Roman" w:hAnsi="Times New Roman" w:cs="Times New Roman"/>
          <w:i/>
          <w:noProof/>
          <w:color w:val="000000"/>
          <w:lang w:val="en-US" w:eastAsia="en-IE"/>
        </w:rPr>
        <w:t xml:space="preserve">The Commission will propose a </w:t>
      </w:r>
      <w:r>
        <w:rPr>
          <w:rFonts w:ascii="Times New Roman" w:eastAsia="Times New Roman" w:hAnsi="Times New Roman" w:cs="Times New Roman"/>
          <w:b/>
          <w:i/>
          <w:noProof/>
          <w:color w:val="000000"/>
          <w:lang w:val="en-US" w:eastAsia="en-IE"/>
        </w:rPr>
        <w:t>Digital Compass in the form of</w:t>
      </w:r>
      <w:r>
        <w:rPr>
          <w:rFonts w:ascii="Times New Roman" w:eastAsia="Times New Roman" w:hAnsi="Times New Roman" w:cs="Times New Roman"/>
          <w:b/>
          <w:i/>
          <w:noProof/>
          <w:color w:val="000000"/>
          <w:lang w:val="en-US" w:eastAsia="en-IE"/>
        </w:rPr>
        <w:t xml:space="preserve"> a policy programme</w:t>
      </w:r>
      <w:r>
        <w:rPr>
          <w:rFonts w:ascii="Times New Roman" w:eastAsia="Times New Roman" w:hAnsi="Times New Roman" w:cs="Times New Roman"/>
          <w:i/>
          <w:noProof/>
          <w:color w:val="000000"/>
          <w:lang w:val="en-US" w:eastAsia="en-IE"/>
        </w:rPr>
        <w:t xml:space="preserve"> to be adopted by co-decision of European Parliament and Council. This Digital Compass will include:</w:t>
      </w:r>
    </w:p>
    <w:p w:rsidR="0007764C" w:rsidRDefault="00A17FAC">
      <w:pPr>
        <w:pStyle w:val="ListParagraph"/>
        <w:numPr>
          <w:ilvl w:val="0"/>
          <w:numId w:val="75"/>
        </w:numPr>
        <w:pBdr>
          <w:top w:val="single" w:sz="4" w:space="1" w:color="auto"/>
          <w:left w:val="single" w:sz="4" w:space="4" w:color="auto"/>
          <w:bottom w:val="single" w:sz="4" w:space="0" w:color="auto"/>
          <w:right w:val="single" w:sz="4" w:space="4" w:color="auto"/>
        </w:pBdr>
        <w:shd w:val="clear" w:color="auto" w:fill="D9D9D9" w:themeFill="background1" w:themeFillShade="D9"/>
        <w:spacing w:after="120"/>
        <w:ind w:left="426" w:hanging="426"/>
        <w:jc w:val="both"/>
        <w:rPr>
          <w:rFonts w:ascii="Times New Roman" w:eastAsia="Times New Roman" w:hAnsi="Times New Roman" w:cs="Times New Roman"/>
          <w:i/>
          <w:noProof/>
          <w:color w:val="000000"/>
          <w:sz w:val="24"/>
          <w:szCs w:val="24"/>
          <w:lang w:val="en-US" w:eastAsia="en-IE"/>
        </w:rPr>
      </w:pPr>
      <w:r>
        <w:rPr>
          <w:rFonts w:ascii="Times New Roman" w:hAnsi="Times New Roman"/>
          <w:i/>
          <w:noProof/>
          <w:color w:val="000000"/>
          <w:sz w:val="24"/>
          <w:szCs w:val="24"/>
          <w:u w:val="single"/>
          <w:lang w:val="en-US"/>
        </w:rPr>
        <w:t>concrete targets</w:t>
      </w:r>
      <w:r>
        <w:rPr>
          <w:rFonts w:ascii="Times New Roman" w:hAnsi="Times New Roman"/>
          <w:i/>
          <w:noProof/>
          <w:color w:val="000000"/>
          <w:sz w:val="24"/>
          <w:szCs w:val="24"/>
          <w:lang w:val="en-US"/>
        </w:rPr>
        <w:t xml:space="preserve"> to reach our vision along four cardinal points measured at EU and national level with key performance indicators based </w:t>
      </w:r>
      <w:r>
        <w:rPr>
          <w:rFonts w:ascii="Times New Roman" w:hAnsi="Times New Roman"/>
          <w:i/>
          <w:noProof/>
          <w:color w:val="000000"/>
          <w:sz w:val="24"/>
          <w:szCs w:val="24"/>
          <w:lang w:val="en-US"/>
        </w:rPr>
        <w:t xml:space="preserve">on </w:t>
      </w:r>
      <w:r>
        <w:rPr>
          <w:rFonts w:ascii="Times New Roman" w:eastAsia="Times New Roman" w:hAnsi="Times New Roman" w:cs="Times New Roman"/>
          <w:i/>
          <w:noProof/>
          <w:color w:val="000000"/>
          <w:sz w:val="24"/>
          <w:szCs w:val="24"/>
          <w:lang w:val="en-US" w:eastAsia="en-IE"/>
        </w:rPr>
        <w:t xml:space="preserve">an </w:t>
      </w:r>
      <w:r>
        <w:rPr>
          <w:rFonts w:ascii="Times New Roman" w:hAnsi="Times New Roman"/>
          <w:i/>
          <w:noProof/>
          <w:color w:val="000000"/>
          <w:sz w:val="24"/>
          <w:szCs w:val="24"/>
          <w:lang w:val="en-US"/>
        </w:rPr>
        <w:t xml:space="preserve">enhanced DESI, </w:t>
      </w:r>
    </w:p>
    <w:p w:rsidR="0007764C" w:rsidRDefault="00A17FAC">
      <w:pPr>
        <w:pStyle w:val="ListParagraph"/>
        <w:numPr>
          <w:ilvl w:val="0"/>
          <w:numId w:val="75"/>
        </w:numPr>
        <w:pBdr>
          <w:top w:val="single" w:sz="4" w:space="1" w:color="auto"/>
          <w:left w:val="single" w:sz="4" w:space="4" w:color="auto"/>
          <w:bottom w:val="single" w:sz="4" w:space="0" w:color="auto"/>
          <w:right w:val="single" w:sz="4" w:space="4" w:color="auto"/>
        </w:pBdr>
        <w:shd w:val="clear" w:color="auto" w:fill="D9D9D9" w:themeFill="background1" w:themeFillShade="D9"/>
        <w:spacing w:after="120"/>
        <w:ind w:left="426" w:hanging="426"/>
        <w:jc w:val="both"/>
        <w:rPr>
          <w:rFonts w:ascii="Times New Roman" w:eastAsia="Times New Roman" w:hAnsi="Times New Roman" w:cs="Times New Roman"/>
          <w:b/>
          <w:bCs/>
          <w:i/>
          <w:noProof/>
          <w:color w:val="000000"/>
          <w:sz w:val="24"/>
          <w:szCs w:val="24"/>
          <w:lang w:eastAsia="en-IE"/>
        </w:rPr>
      </w:pPr>
      <w:r>
        <w:rPr>
          <w:rFonts w:ascii="Times New Roman" w:hAnsi="Times New Roman"/>
          <w:i/>
          <w:noProof/>
          <w:color w:val="000000"/>
          <w:sz w:val="24"/>
          <w:szCs w:val="24"/>
          <w:lang w:val="en-US"/>
        </w:rPr>
        <w:t xml:space="preserve">a </w:t>
      </w:r>
      <w:r>
        <w:rPr>
          <w:rFonts w:ascii="Times New Roman" w:hAnsi="Times New Roman"/>
          <w:i/>
          <w:noProof/>
          <w:color w:val="000000"/>
          <w:sz w:val="24"/>
          <w:szCs w:val="24"/>
          <w:u w:val="single"/>
          <w:lang w:val="en-US"/>
        </w:rPr>
        <w:t>governance structure</w:t>
      </w:r>
      <w:r>
        <w:rPr>
          <w:rFonts w:ascii="Times New Roman" w:hAnsi="Times New Roman"/>
          <w:i/>
          <w:noProof/>
          <w:color w:val="000000"/>
          <w:sz w:val="24"/>
          <w:szCs w:val="24"/>
          <w:lang w:val="en-US"/>
        </w:rPr>
        <w:t xml:space="preserve"> - including annual reporting </w:t>
      </w:r>
      <w:r>
        <w:rPr>
          <w:rFonts w:ascii="Times New Roman" w:eastAsia="Times New Roman" w:hAnsi="Times New Roman" w:cs="Times New Roman"/>
          <w:i/>
          <w:noProof/>
          <w:color w:val="000000"/>
          <w:sz w:val="24"/>
          <w:szCs w:val="24"/>
          <w:lang w:val="en-US" w:eastAsia="en-IE"/>
        </w:rPr>
        <w:t>by the Commission</w:t>
      </w:r>
      <w:r>
        <w:rPr>
          <w:rFonts w:ascii="Times New Roman" w:hAnsi="Times New Roman"/>
          <w:i/>
          <w:noProof/>
          <w:color w:val="000000"/>
          <w:sz w:val="24"/>
          <w:szCs w:val="24"/>
          <w:lang w:val="en-US"/>
        </w:rPr>
        <w:t xml:space="preserve"> to</w:t>
      </w:r>
      <w:r>
        <w:rPr>
          <w:rFonts w:ascii="Times New Roman" w:eastAsia="Times New Roman" w:hAnsi="Times New Roman" w:cs="Times New Roman"/>
          <w:i/>
          <w:noProof/>
          <w:color w:val="000000"/>
          <w:sz w:val="24"/>
          <w:szCs w:val="24"/>
          <w:lang w:val="en-US" w:eastAsia="en-IE"/>
        </w:rPr>
        <w:t xml:space="preserve"> the</w:t>
      </w:r>
      <w:r>
        <w:rPr>
          <w:rFonts w:ascii="Times New Roman" w:hAnsi="Times New Roman"/>
          <w:i/>
          <w:noProof/>
          <w:color w:val="000000"/>
          <w:sz w:val="24"/>
          <w:szCs w:val="24"/>
          <w:lang w:val="en-US"/>
        </w:rPr>
        <w:t xml:space="preserve"> European Parliament and Council on the progress towards the Digital Decade </w:t>
      </w:r>
      <w:r>
        <w:rPr>
          <w:rFonts w:ascii="Times New Roman" w:eastAsia="Times New Roman" w:hAnsi="Times New Roman" w:cs="Times New Roman"/>
          <w:i/>
          <w:noProof/>
          <w:color w:val="000000"/>
          <w:sz w:val="24"/>
          <w:szCs w:val="24"/>
          <w:lang w:val="en-US" w:eastAsia="en-IE"/>
        </w:rPr>
        <w:t>which could include specific recommendations to limit deviations with the achievem</w:t>
      </w:r>
      <w:r>
        <w:rPr>
          <w:rFonts w:ascii="Times New Roman" w:eastAsia="Times New Roman" w:hAnsi="Times New Roman" w:cs="Times New Roman"/>
          <w:i/>
          <w:noProof/>
          <w:color w:val="000000"/>
          <w:sz w:val="24"/>
          <w:szCs w:val="24"/>
          <w:lang w:val="en-US" w:eastAsia="en-IE"/>
        </w:rPr>
        <w:t>ent of goals</w:t>
      </w:r>
    </w:p>
    <w:p w:rsidR="0007764C" w:rsidRDefault="00A17FAC">
      <w:pPr>
        <w:pStyle w:val="ListParagraph"/>
        <w:numPr>
          <w:ilvl w:val="0"/>
          <w:numId w:val="75"/>
        </w:numPr>
        <w:pBdr>
          <w:top w:val="single" w:sz="4" w:space="1" w:color="auto"/>
          <w:left w:val="single" w:sz="4" w:space="4" w:color="auto"/>
          <w:bottom w:val="single" w:sz="4" w:space="0" w:color="auto"/>
          <w:right w:val="single" w:sz="4" w:space="4" w:color="auto"/>
        </w:pBdr>
        <w:shd w:val="clear" w:color="auto" w:fill="D9D9D9" w:themeFill="background1" w:themeFillShade="D9"/>
        <w:spacing w:after="120"/>
        <w:ind w:left="426" w:hanging="426"/>
        <w:jc w:val="both"/>
        <w:rPr>
          <w:rFonts w:ascii="Times New Roman" w:eastAsia="Times New Roman" w:hAnsi="Times New Roman" w:cs="Times New Roman"/>
          <w:b/>
          <w:bCs/>
          <w:i/>
          <w:noProof/>
          <w:color w:val="000000"/>
          <w:sz w:val="24"/>
          <w:szCs w:val="24"/>
          <w:lang w:eastAsia="en-IE"/>
        </w:rPr>
      </w:pPr>
      <w:r>
        <w:rPr>
          <w:rFonts w:ascii="Times New Roman" w:hAnsi="Times New Roman"/>
          <w:i/>
          <w:noProof/>
          <w:color w:val="000000"/>
          <w:sz w:val="24"/>
          <w:szCs w:val="24"/>
          <w:u w:val="single"/>
        </w:rPr>
        <w:t xml:space="preserve">monitoring of digital principles </w:t>
      </w:r>
      <w:r>
        <w:rPr>
          <w:rFonts w:ascii="Times New Roman" w:hAnsi="Times New Roman"/>
          <w:i/>
          <w:noProof/>
          <w:color w:val="000000"/>
          <w:sz w:val="24"/>
          <w:szCs w:val="24"/>
        </w:rPr>
        <w:t>endorsed in the inter-institutional declaration, and</w:t>
      </w:r>
    </w:p>
    <w:p w:rsidR="0007764C" w:rsidRDefault="00A17FAC">
      <w:pPr>
        <w:pStyle w:val="ListParagraph"/>
        <w:numPr>
          <w:ilvl w:val="0"/>
          <w:numId w:val="75"/>
        </w:numPr>
        <w:pBdr>
          <w:top w:val="single" w:sz="4" w:space="1" w:color="auto"/>
          <w:left w:val="single" w:sz="4" w:space="4" w:color="auto"/>
          <w:bottom w:val="single" w:sz="4" w:space="0" w:color="auto"/>
          <w:right w:val="single" w:sz="4" w:space="4" w:color="auto"/>
        </w:pBdr>
        <w:shd w:val="clear" w:color="auto" w:fill="D9D9D9" w:themeFill="background1" w:themeFillShade="D9"/>
        <w:spacing w:after="120"/>
        <w:ind w:left="426" w:hanging="426"/>
        <w:jc w:val="both"/>
        <w:rPr>
          <w:rFonts w:ascii="Times New Roman" w:hAnsi="Times New Roman"/>
          <w:b/>
          <w:i/>
          <w:noProof/>
          <w:color w:val="000000"/>
        </w:rPr>
      </w:pPr>
      <w:r>
        <w:rPr>
          <w:rFonts w:ascii="Times New Roman" w:hAnsi="Times New Roman"/>
          <w:i/>
          <w:noProof/>
          <w:color w:val="000000"/>
          <w:sz w:val="24"/>
          <w:szCs w:val="24"/>
          <w:lang w:val="en-US"/>
        </w:rPr>
        <w:t xml:space="preserve">a </w:t>
      </w:r>
      <w:r>
        <w:rPr>
          <w:rFonts w:ascii="Times New Roman" w:hAnsi="Times New Roman"/>
          <w:i/>
          <w:noProof/>
          <w:color w:val="000000"/>
          <w:sz w:val="24"/>
          <w:szCs w:val="24"/>
          <w:u w:val="single"/>
          <w:lang w:val="en-US"/>
        </w:rPr>
        <w:t>mechanism</w:t>
      </w:r>
      <w:r>
        <w:rPr>
          <w:rFonts w:ascii="Times New Roman" w:hAnsi="Times New Roman"/>
          <w:i/>
          <w:noProof/>
          <w:color w:val="000000"/>
          <w:sz w:val="24"/>
          <w:szCs w:val="24"/>
          <w:lang w:val="en-US"/>
        </w:rPr>
        <w:t xml:space="preserve"> to organise with Member States those </w:t>
      </w:r>
      <w:r>
        <w:rPr>
          <w:rFonts w:ascii="Times New Roman" w:hAnsi="Times New Roman"/>
          <w:i/>
          <w:noProof/>
          <w:color w:val="000000"/>
          <w:sz w:val="24"/>
          <w:szCs w:val="24"/>
          <w:u w:val="single"/>
        </w:rPr>
        <w:t>Multi-Country Projects</w:t>
      </w:r>
      <w:r>
        <w:rPr>
          <w:rFonts w:ascii="Times New Roman" w:hAnsi="Times New Roman"/>
          <w:i/>
          <w:noProof/>
          <w:color w:val="000000"/>
          <w:sz w:val="24"/>
          <w:szCs w:val="24"/>
        </w:rPr>
        <w:t xml:space="preserve"> t</w:t>
      </w:r>
      <w:r>
        <w:rPr>
          <w:rFonts w:ascii="Times New Roman" w:hAnsi="Times New Roman"/>
          <w:i/>
          <w:noProof/>
          <w:color w:val="000000"/>
          <w:sz w:val="24"/>
        </w:rPr>
        <w:t>hat are necessary for building Europe’s digital transition in critical areas.</w:t>
      </w:r>
      <w:r>
        <w:rPr>
          <w:rFonts w:ascii="Times New Roman" w:hAnsi="Times New Roman"/>
          <w:i/>
          <w:noProof/>
          <w:color w:val="000000"/>
        </w:rPr>
        <w:t xml:space="preserve"> </w:t>
      </w:r>
    </w:p>
    <w:p w:rsidR="0007764C" w:rsidRDefault="00A17FAC">
      <w:pPr>
        <w:pStyle w:val="Heading1"/>
        <w:spacing w:after="120"/>
        <w:rPr>
          <w:noProof/>
        </w:rPr>
      </w:pPr>
      <w:bookmarkStart w:id="120" w:name="_Toc64581253"/>
      <w:bookmarkStart w:id="121" w:name="_Toc64584047"/>
      <w:bookmarkStart w:id="122" w:name="_Toc65313740"/>
      <w:r>
        <w:rPr>
          <w:noProof/>
        </w:rPr>
        <w:t>6.</w:t>
      </w:r>
      <w:r>
        <w:rPr>
          <w:noProof/>
        </w:rPr>
        <w:tab/>
      </w:r>
      <w:r>
        <w:rPr>
          <w:noProof/>
        </w:rPr>
        <w:t>International Partnerships for the Digital Decade</w:t>
      </w:r>
      <w:bookmarkEnd w:id="120"/>
      <w:bookmarkEnd w:id="121"/>
      <w:bookmarkEnd w:id="122"/>
    </w:p>
    <w:p w:rsidR="0007764C" w:rsidRDefault="00A17FAC">
      <w:pPr>
        <w:spacing w:before="100" w:beforeAutospacing="1" w:after="120" w:line="259" w:lineRule="auto"/>
        <w:jc w:val="both"/>
        <w:rPr>
          <w:rFonts w:ascii="Times New Roman" w:hAnsi="Times New Roman" w:cs="Times New Roman"/>
          <w:noProof/>
          <w:lang w:val="en-GB"/>
        </w:rPr>
      </w:pPr>
      <w:r>
        <w:rPr>
          <w:rFonts w:ascii="Times New Roman" w:hAnsi="Times New Roman" w:cs="Times New Roman"/>
          <w:noProof/>
          <w:lang w:val="en-GB"/>
        </w:rPr>
        <w:t xml:space="preserve">The degree of digitalisation of an economy or society has been shown not only to be a critical underpinning of economic and societal resilience, but also a factor in </w:t>
      </w:r>
      <w:r>
        <w:rPr>
          <w:rFonts w:ascii="Times New Roman" w:hAnsi="Times New Roman" w:cs="Times New Roman"/>
          <w:b/>
          <w:noProof/>
          <w:lang w:val="en-GB"/>
        </w:rPr>
        <w:t>global influence</w:t>
      </w:r>
      <w:r>
        <w:rPr>
          <w:rFonts w:ascii="Times New Roman" w:eastAsia="Times New Roman" w:hAnsi="Times New Roman" w:cs="Times New Roman"/>
          <w:noProof/>
          <w:lang w:val="en-IE" w:eastAsia="en-IE"/>
        </w:rPr>
        <w:t xml:space="preserve">. </w:t>
      </w:r>
      <w:r>
        <w:rPr>
          <w:rFonts w:ascii="Times New Roman" w:hAnsi="Times New Roman" w:cs="Times New Roman"/>
          <w:noProof/>
          <w:lang w:val="en-GB"/>
        </w:rPr>
        <w:t>As the pandemic has hi</w:t>
      </w:r>
      <w:r>
        <w:rPr>
          <w:rFonts w:ascii="Times New Roman" w:hAnsi="Times New Roman" w:cs="Times New Roman"/>
          <w:noProof/>
          <w:lang w:val="en-GB"/>
        </w:rPr>
        <w:t xml:space="preserve">ghlighted the extent to which digital policy is never value-neutral, with competing models on offer the EU now has an opportunity to promote its positive and human-centric vision of the digital economy and society. </w:t>
      </w:r>
    </w:p>
    <w:p w:rsidR="0007764C" w:rsidRDefault="00A17FAC">
      <w:pPr>
        <w:spacing w:before="100" w:beforeAutospacing="1" w:after="120" w:line="259" w:lineRule="auto"/>
        <w:jc w:val="both"/>
        <w:rPr>
          <w:rFonts w:ascii="Times New Roman" w:eastAsia="Times New Roman" w:hAnsi="Times New Roman" w:cs="Times New Roman"/>
          <w:noProof/>
          <w:lang w:val="en-IE" w:eastAsia="en-IE"/>
        </w:rPr>
      </w:pPr>
      <w:r>
        <w:rPr>
          <w:rFonts w:ascii="Times New Roman" w:hAnsi="Times New Roman" w:cs="Times New Roman"/>
          <w:noProof/>
          <w:lang w:val="en-GB"/>
        </w:rPr>
        <w:t>For Europe’s Digital Decade to be succes</w:t>
      </w:r>
      <w:r>
        <w:rPr>
          <w:rFonts w:ascii="Times New Roman" w:hAnsi="Times New Roman" w:cs="Times New Roman"/>
          <w:noProof/>
          <w:lang w:val="en-GB"/>
        </w:rPr>
        <w:t xml:space="preserve">sful, we will build strong </w:t>
      </w:r>
      <w:r>
        <w:rPr>
          <w:rFonts w:ascii="Times New Roman" w:hAnsi="Times New Roman" w:cs="Times New Roman"/>
          <w:b/>
          <w:noProof/>
          <w:lang w:val="en-GB"/>
        </w:rPr>
        <w:t>international digital partnerships</w:t>
      </w:r>
      <w:r>
        <w:rPr>
          <w:rFonts w:ascii="Times New Roman" w:hAnsi="Times New Roman" w:cs="Times New Roman"/>
          <w:noProof/>
          <w:lang w:val="en-GB"/>
        </w:rPr>
        <w:t xml:space="preserve"> matching the four pillars of our Compass: skills, infrastructures, transformation of business and of public services. These will strengthen the EU’s capacity to assert its own interests and deli</w:t>
      </w:r>
      <w:r>
        <w:rPr>
          <w:rFonts w:ascii="Times New Roman" w:hAnsi="Times New Roman" w:cs="Times New Roman"/>
          <w:noProof/>
          <w:lang w:val="en-GB"/>
        </w:rPr>
        <w:t xml:space="preserve">ver global solutions while fighting against unfair and abusive practices and ensuring the security and resilience of EU digital supply chains. </w:t>
      </w:r>
    </w:p>
    <w:p w:rsidR="0007764C" w:rsidRDefault="00A17FAC">
      <w:pPr>
        <w:spacing w:before="100" w:beforeAutospacing="1" w:after="120" w:line="259" w:lineRule="auto"/>
        <w:jc w:val="both"/>
        <w:rPr>
          <w:rFonts w:ascii="Times New Roman" w:hAnsi="Times New Roman" w:cs="Times New Roman"/>
          <w:noProof/>
          <w:lang w:val="en-GB"/>
        </w:rPr>
      </w:pPr>
      <w:r>
        <w:rPr>
          <w:rFonts w:ascii="Times New Roman" w:hAnsi="Times New Roman" w:cs="Times New Roman"/>
          <w:noProof/>
          <w:lang w:val="en-US"/>
        </w:rPr>
        <w:t xml:space="preserve">The EU’s starting point is an open digital economy based on the flow of investment and innovation as an engine for prosperity. At the same time, the EU will strongly promote our core interests and values, through three overarching principles: </w:t>
      </w:r>
      <w:r>
        <w:rPr>
          <w:rFonts w:ascii="Times New Roman" w:hAnsi="Times New Roman" w:cs="Times New Roman"/>
          <w:b/>
          <w:noProof/>
          <w:lang w:val="en-US"/>
        </w:rPr>
        <w:t>a level playi</w:t>
      </w:r>
      <w:r>
        <w:rPr>
          <w:rFonts w:ascii="Times New Roman" w:hAnsi="Times New Roman" w:cs="Times New Roman"/>
          <w:b/>
          <w:noProof/>
          <w:lang w:val="en-US"/>
        </w:rPr>
        <w:t>ng field in digital markets, a secure cyberspace and upholding fundamental rights online</w:t>
      </w:r>
      <w:r>
        <w:rPr>
          <w:rFonts w:ascii="Times New Roman" w:hAnsi="Times New Roman" w:cs="Times New Roman"/>
          <w:noProof/>
          <w:lang w:val="en-US"/>
        </w:rPr>
        <w:t xml:space="preserve">. </w:t>
      </w:r>
    </w:p>
    <w:p w:rsidR="0007764C" w:rsidRDefault="00A17FAC">
      <w:pPr>
        <w:spacing w:before="100" w:beforeAutospacing="1" w:after="120" w:line="259" w:lineRule="auto"/>
        <w:jc w:val="both"/>
        <w:rPr>
          <w:noProof/>
          <w:lang w:val="en-GB"/>
        </w:rPr>
      </w:pPr>
      <w:r>
        <w:rPr>
          <w:rFonts w:ascii="Times New Roman" w:hAnsi="Times New Roman" w:cs="Times New Roman"/>
          <w:noProof/>
          <w:lang w:val="en-US"/>
        </w:rPr>
        <w:t xml:space="preserve">Trade policy and agreements will play a vital role in this regard by setting the global and bilateral rules for digital trade in an open but assertive manner, based </w:t>
      </w:r>
      <w:r>
        <w:rPr>
          <w:rFonts w:ascii="Times New Roman" w:hAnsi="Times New Roman" w:cs="Times New Roman"/>
          <w:noProof/>
          <w:lang w:val="en-US"/>
        </w:rPr>
        <w:t xml:space="preserve">on European values. </w:t>
      </w:r>
      <w:r>
        <w:rPr>
          <w:noProof/>
          <w:lang w:val="en-GB"/>
        </w:rPr>
        <w:t xml:space="preserve"> </w:t>
      </w:r>
    </w:p>
    <w:p w:rsidR="0007764C" w:rsidRDefault="00A17FAC">
      <w:pPr>
        <w:spacing w:before="100" w:beforeAutospacing="1" w:after="120" w:line="259" w:lineRule="auto"/>
        <w:jc w:val="both"/>
        <w:rPr>
          <w:rFonts w:ascii="Times New Roman" w:hAnsi="Times New Roman"/>
          <w:i/>
          <w:noProof/>
          <w:lang w:val="en-GB"/>
        </w:rPr>
      </w:pPr>
      <w:r>
        <w:rPr>
          <w:rFonts w:ascii="Times New Roman" w:hAnsi="Times New Roman" w:cs="Times New Roman"/>
          <w:noProof/>
          <w:lang w:val="en-US"/>
        </w:rPr>
        <w:t xml:space="preserve">As a central part of the renewed transatlantic relationship, the EU has proposed to </w:t>
      </w:r>
      <w:r>
        <w:rPr>
          <w:rFonts w:ascii="Times New Roman" w:hAnsi="Times New Roman" w:cs="Times New Roman"/>
          <w:noProof/>
          <w:lang w:val="en-IE"/>
        </w:rPr>
        <w:t xml:space="preserve">establish a new </w:t>
      </w:r>
      <w:r>
        <w:rPr>
          <w:rFonts w:ascii="Times New Roman" w:hAnsi="Times New Roman" w:cs="Times New Roman"/>
          <w:noProof/>
          <w:color w:val="000000"/>
          <w:lang w:val="en-US"/>
        </w:rPr>
        <w:t xml:space="preserve">EU-US Trade and Technology Council, to deepen our trade and investment partnership, </w:t>
      </w:r>
      <w:r>
        <w:rPr>
          <w:rFonts w:ascii="Times New Roman" w:hAnsi="Times New Roman" w:cs="Times New Roman"/>
          <w:noProof/>
          <w:lang w:val="en-US"/>
        </w:rPr>
        <w:t xml:space="preserve">strengthen our joint technological and industrial </w:t>
      </w:r>
      <w:r>
        <w:rPr>
          <w:rFonts w:ascii="Times New Roman" w:hAnsi="Times New Roman" w:cs="Times New Roman"/>
          <w:noProof/>
          <w:lang w:val="en-US"/>
        </w:rPr>
        <w:t>leadership, develop compatible standards, deepen research collaboration, promote fair competition and ensure the security of critical supply chains.</w:t>
      </w:r>
    </w:p>
    <w:p w:rsidR="0007764C" w:rsidRDefault="00A17FAC">
      <w:pPr>
        <w:spacing w:before="100" w:beforeAutospacing="1" w:after="120" w:line="259" w:lineRule="auto"/>
        <w:jc w:val="both"/>
        <w:rPr>
          <w:rFonts w:ascii="Times New Roman" w:hAnsi="Times New Roman" w:cs="Times New Roman"/>
          <w:noProof/>
          <w:lang w:val="en-GB" w:eastAsia="en-US"/>
        </w:rPr>
      </w:pPr>
      <w:r>
        <w:rPr>
          <w:rFonts w:ascii="Times New Roman" w:hAnsi="Times New Roman" w:cs="Times New Roman"/>
          <w:noProof/>
          <w:lang w:val="en-GB"/>
        </w:rPr>
        <w:t xml:space="preserve">The EU is a key player in multilateral fora and a promoter of </w:t>
      </w:r>
      <w:r>
        <w:rPr>
          <w:rFonts w:ascii="Times New Roman" w:hAnsi="Times New Roman" w:cs="Times New Roman"/>
          <w:b/>
          <w:noProof/>
          <w:lang w:val="en-GB"/>
        </w:rPr>
        <w:t>inclusive multilateralism</w:t>
      </w:r>
      <w:r>
        <w:rPr>
          <w:rFonts w:ascii="Times New Roman" w:hAnsi="Times New Roman" w:cs="Times New Roman"/>
          <w:noProof/>
          <w:lang w:val="en-GB"/>
        </w:rPr>
        <w:t xml:space="preserve"> where governments, civil society, the private sector, academia and other stakeholders work together. Such fora can improve the functioning of the digital economy globally, as in the case of negotiations on new e-commerce rules in the World Trade Organisat</w:t>
      </w:r>
      <w:r>
        <w:rPr>
          <w:rFonts w:ascii="Times New Roman" w:hAnsi="Times New Roman" w:cs="Times New Roman"/>
          <w:noProof/>
          <w:lang w:val="en-GB"/>
        </w:rPr>
        <w:t xml:space="preserve">ion. The EU will work actively and assertively to promote its human-centric vision of digitisation within international organisations, in cooperation with its Member States and like-minded partners. This coordinated approach should especially defend a use </w:t>
      </w:r>
      <w:r>
        <w:rPr>
          <w:rFonts w:ascii="Times New Roman" w:hAnsi="Times New Roman" w:cs="Times New Roman"/>
          <w:noProof/>
          <w:lang w:val="en-GB"/>
        </w:rPr>
        <w:t xml:space="preserve">of technology that is fully adherent to the United Nations Charter and the Universal Declaration on Human Rights. </w:t>
      </w:r>
    </w:p>
    <w:p w:rsidR="0007764C" w:rsidRDefault="00A17FAC">
      <w:pPr>
        <w:spacing w:after="120" w:line="259" w:lineRule="auto"/>
        <w:jc w:val="both"/>
        <w:rPr>
          <w:rFonts w:ascii="Times New Roman" w:hAnsi="Times New Roman" w:cs="Times New Roman"/>
          <w:noProof/>
          <w:lang w:val="en-GB"/>
        </w:rPr>
      </w:pPr>
      <w:r>
        <w:rPr>
          <w:rFonts w:ascii="Times New Roman" w:hAnsi="Times New Roman" w:cs="Times New Roman"/>
          <w:noProof/>
          <w:lang w:val="en-GB"/>
        </w:rPr>
        <w:t xml:space="preserve">The EU’s international digital partnerships will be underpinned by a </w:t>
      </w:r>
      <w:r>
        <w:rPr>
          <w:rFonts w:ascii="Times New Roman" w:hAnsi="Times New Roman" w:cs="Times New Roman"/>
          <w:b/>
          <w:noProof/>
          <w:lang w:val="en-GB"/>
        </w:rPr>
        <w:t>toolbox,</w:t>
      </w:r>
      <w:r>
        <w:rPr>
          <w:rFonts w:ascii="Times New Roman" w:hAnsi="Times New Roman" w:cs="Times New Roman"/>
          <w:noProof/>
          <w:lang w:val="en-GB"/>
        </w:rPr>
        <w:t xml:space="preserve"> drawing on a combination of regulatory cooperation, addressing </w:t>
      </w:r>
      <w:r>
        <w:rPr>
          <w:rFonts w:ascii="Times New Roman" w:hAnsi="Times New Roman" w:cs="Times New Roman"/>
          <w:noProof/>
          <w:lang w:val="en-GB"/>
        </w:rPr>
        <w:t>capacity building and skills, investment in international cooperation and research partnerships. A growing programme of bilateral dialogues will be used for that purpose:</w:t>
      </w:r>
    </w:p>
    <w:p w:rsidR="0007764C" w:rsidRDefault="00A17FAC">
      <w:pPr>
        <w:pStyle w:val="ListParagraph"/>
        <w:numPr>
          <w:ilvl w:val="0"/>
          <w:numId w:val="45"/>
        </w:numPr>
        <w:spacing w:after="120" w:line="259" w:lineRule="auto"/>
        <w:contextualSpacing w:val="0"/>
        <w:jc w:val="both"/>
        <w:rPr>
          <w:rFonts w:ascii="Times New Roman" w:hAnsi="Times New Roman" w:cs="Times New Roman"/>
          <w:noProof/>
          <w:sz w:val="24"/>
          <w:szCs w:val="24"/>
        </w:rPr>
      </w:pPr>
      <w:r>
        <w:rPr>
          <w:rFonts w:ascii="Times New Roman" w:hAnsi="Times New Roman" w:cs="Times New Roman"/>
          <w:noProof/>
          <w:sz w:val="24"/>
          <w:szCs w:val="24"/>
          <w:lang w:val="en-IE"/>
        </w:rPr>
        <w:t>The EU’s international digital partnerships will promote</w:t>
      </w:r>
      <w:r>
        <w:rPr>
          <w:rFonts w:ascii="Times New Roman" w:hAnsi="Times New Roman"/>
          <w:noProof/>
          <w:sz w:val="24"/>
          <w:lang w:val="en-IE"/>
        </w:rPr>
        <w:t xml:space="preserve"> alignment or convergence wit</w:t>
      </w:r>
      <w:r>
        <w:rPr>
          <w:rFonts w:ascii="Times New Roman" w:hAnsi="Times New Roman"/>
          <w:noProof/>
          <w:sz w:val="24"/>
          <w:lang w:val="en-IE"/>
        </w:rPr>
        <w:t xml:space="preserve">h EU </w:t>
      </w:r>
      <w:r>
        <w:rPr>
          <w:rFonts w:ascii="Times New Roman" w:hAnsi="Times New Roman"/>
          <w:b/>
          <w:noProof/>
          <w:sz w:val="24"/>
          <w:lang w:val="en-IE"/>
        </w:rPr>
        <w:t>regulatory norms and standards</w:t>
      </w:r>
      <w:r>
        <w:rPr>
          <w:rFonts w:ascii="Times New Roman" w:hAnsi="Times New Roman"/>
          <w:noProof/>
          <w:sz w:val="24"/>
          <w:lang w:val="en-IE"/>
        </w:rPr>
        <w:t xml:space="preserve"> on issues such as data protection, privacy and data flows, the ethical use of AI, cybersecurity </w:t>
      </w:r>
      <w:r>
        <w:rPr>
          <w:rFonts w:ascii="Times New Roman" w:hAnsi="Times New Roman"/>
          <w:noProof/>
          <w:sz w:val="24"/>
          <w:lang w:val="en-US"/>
        </w:rPr>
        <w:t xml:space="preserve">and trust, tackling disinformation and illegal content online, ensuring internet governance, and supporting development of digital finance and e-government. </w:t>
      </w:r>
      <w:r>
        <w:rPr>
          <w:rFonts w:ascii="Times New Roman" w:hAnsi="Times New Roman" w:cs="Times New Roman"/>
          <w:noProof/>
          <w:sz w:val="24"/>
          <w:szCs w:val="24"/>
        </w:rPr>
        <w:t>The EU will also contribute to common solutions such as the ongoing work at the G20 and the OECD wi</w:t>
      </w:r>
      <w:r>
        <w:rPr>
          <w:rFonts w:ascii="Times New Roman" w:hAnsi="Times New Roman" w:cs="Times New Roman"/>
          <w:noProof/>
          <w:sz w:val="24"/>
          <w:szCs w:val="24"/>
        </w:rPr>
        <w:t xml:space="preserve">th respect to a global consensus-based solution to address the </w:t>
      </w:r>
      <w:r>
        <w:rPr>
          <w:rFonts w:ascii="Times New Roman" w:hAnsi="Times New Roman" w:cs="Times New Roman"/>
          <w:b/>
          <w:noProof/>
          <w:sz w:val="24"/>
          <w:szCs w:val="24"/>
        </w:rPr>
        <w:t>taxation of the digital economy</w:t>
      </w:r>
      <w:r>
        <w:rPr>
          <w:rFonts w:ascii="Times New Roman" w:hAnsi="Times New Roman" w:cs="Times New Roman"/>
          <w:noProof/>
          <w:sz w:val="24"/>
          <w:szCs w:val="24"/>
        </w:rPr>
        <w:t xml:space="preserve">. </w:t>
      </w:r>
    </w:p>
    <w:p w:rsidR="0007764C" w:rsidRDefault="00A17FAC">
      <w:pPr>
        <w:pStyle w:val="ListParagraph"/>
        <w:numPr>
          <w:ilvl w:val="0"/>
          <w:numId w:val="45"/>
        </w:numPr>
        <w:spacing w:after="120" w:line="259" w:lineRule="auto"/>
        <w:contextualSpacing w:val="0"/>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 xml:space="preserve">To underpin its digital partnerships with developing and emerging countries, the Commission will design and propose </w:t>
      </w:r>
      <w:r>
        <w:rPr>
          <w:rFonts w:ascii="Times New Roman" w:hAnsi="Times New Roman" w:cs="Times New Roman"/>
          <w:b/>
          <w:noProof/>
          <w:sz w:val="24"/>
          <w:szCs w:val="24"/>
          <w:lang w:val="en-US"/>
        </w:rPr>
        <w:t>digital economy packages</w:t>
      </w:r>
      <w:r>
        <w:rPr>
          <w:rFonts w:ascii="Times New Roman" w:hAnsi="Times New Roman" w:cs="Times New Roman"/>
          <w:noProof/>
          <w:sz w:val="24"/>
          <w:szCs w:val="24"/>
          <w:lang w:val="en-US"/>
        </w:rPr>
        <w:t xml:space="preserve"> that draw on the t</w:t>
      </w:r>
      <w:r>
        <w:rPr>
          <w:rFonts w:ascii="Times New Roman" w:hAnsi="Times New Roman" w:cs="Times New Roman"/>
          <w:noProof/>
          <w:sz w:val="24"/>
          <w:szCs w:val="24"/>
          <w:lang w:val="en-US"/>
        </w:rPr>
        <w:t xml:space="preserve">oolbox. </w:t>
      </w:r>
      <w:r>
        <w:rPr>
          <w:rFonts w:ascii="Times New Roman" w:hAnsi="Times New Roman" w:cs="Times New Roman"/>
          <w:noProof/>
          <w:color w:val="000000" w:themeColor="text1"/>
          <w:sz w:val="24"/>
          <w:szCs w:val="24"/>
          <w:shd w:val="clear" w:color="auto" w:fill="FFFFFF"/>
          <w:lang w:val="en-US"/>
        </w:rPr>
        <w:t xml:space="preserve">They will be financed through </w:t>
      </w:r>
      <w:r>
        <w:rPr>
          <w:rFonts w:ascii="Times New Roman" w:hAnsi="Times New Roman" w:cs="Times New Roman"/>
          <w:b/>
          <w:noProof/>
          <w:sz w:val="24"/>
          <w:szCs w:val="24"/>
          <w:lang w:val="en-US"/>
        </w:rPr>
        <w:t>Team Europe Initiatives</w:t>
      </w:r>
      <w:r>
        <w:rPr>
          <w:rFonts w:ascii="Times New Roman" w:hAnsi="Times New Roman" w:cs="Times New Roman"/>
          <w:noProof/>
          <w:sz w:val="24"/>
          <w:szCs w:val="24"/>
          <w:lang w:val="en-US"/>
        </w:rPr>
        <w:t xml:space="preserve"> (TEIs) that combine resources of the EU</w:t>
      </w:r>
      <w:r>
        <w:rPr>
          <w:rStyle w:val="FootnoteReference"/>
          <w:rFonts w:ascii="Times New Roman" w:hAnsi="Times New Roman" w:cs="Times New Roman"/>
          <w:noProof/>
          <w:sz w:val="24"/>
          <w:szCs w:val="24"/>
          <w:lang w:val="en-US"/>
        </w:rPr>
        <w:footnoteReference w:id="47"/>
      </w:r>
      <w:r>
        <w:rPr>
          <w:rFonts w:ascii="Times New Roman" w:hAnsi="Times New Roman" w:cs="Times New Roman"/>
          <w:noProof/>
          <w:sz w:val="24"/>
          <w:szCs w:val="24"/>
          <w:lang w:val="en-US"/>
        </w:rPr>
        <w:t xml:space="preserve"> and its Member States, working with world leading European companies, including via </w:t>
      </w:r>
      <w:r>
        <w:rPr>
          <w:rFonts w:ascii="Times New Roman" w:hAnsi="Times New Roman" w:cs="Times New Roman"/>
          <w:noProof/>
          <w:sz w:val="24"/>
          <w:szCs w:val="24"/>
        </w:rPr>
        <w:t>the development and networking of digital innovation hubs</w:t>
      </w:r>
      <w:r>
        <w:rPr>
          <w:rFonts w:ascii="Times New Roman" w:hAnsi="Times New Roman" w:cs="Times New Roman"/>
          <w:noProof/>
          <w:sz w:val="24"/>
          <w:szCs w:val="24"/>
          <w:lang w:val="en-US"/>
        </w:rPr>
        <w:t>. These pack</w:t>
      </w:r>
      <w:r>
        <w:rPr>
          <w:rFonts w:ascii="Times New Roman" w:hAnsi="Times New Roman" w:cs="Times New Roman"/>
          <w:noProof/>
          <w:sz w:val="24"/>
          <w:szCs w:val="24"/>
          <w:lang w:val="en-US"/>
        </w:rPr>
        <w:t xml:space="preserve">ages will be designed so that the cardinal points remain linked and addressed comprehensively, guaranteeing the promotion of a human-centric model of digital development. </w:t>
      </w:r>
      <w:r>
        <w:rPr>
          <w:rFonts w:ascii="Times New Roman" w:hAnsi="Times New Roman" w:cs="Times New Roman"/>
          <w:noProof/>
          <w:sz w:val="24"/>
          <w:szCs w:val="24"/>
          <w:lang w:val="en-IE"/>
        </w:rPr>
        <w:t>Fostering digital connectivity</w:t>
      </w:r>
      <w:r>
        <w:rPr>
          <w:rFonts w:ascii="Times New Roman" w:hAnsi="Times New Roman"/>
          <w:noProof/>
          <w:sz w:val="24"/>
          <w:lang w:val="en-IE"/>
        </w:rPr>
        <w:t xml:space="preserve"> in </w:t>
      </w:r>
      <w:r>
        <w:rPr>
          <w:rFonts w:ascii="Times New Roman" w:hAnsi="Times New Roman" w:cs="Times New Roman"/>
          <w:noProof/>
          <w:sz w:val="24"/>
          <w:szCs w:val="24"/>
          <w:lang w:val="en-IE"/>
        </w:rPr>
        <w:t>order to bridge the digital divide requires importa</w:t>
      </w:r>
      <w:r>
        <w:rPr>
          <w:rFonts w:ascii="Times New Roman" w:hAnsi="Times New Roman" w:cs="Times New Roman"/>
          <w:noProof/>
          <w:sz w:val="24"/>
          <w:szCs w:val="24"/>
          <w:lang w:val="en-IE"/>
        </w:rPr>
        <w:t xml:space="preserve">nt investments and hence comprehensive financial </w:t>
      </w:r>
      <w:r>
        <w:rPr>
          <w:rFonts w:ascii="Times New Roman" w:hAnsi="Times New Roman"/>
          <w:noProof/>
          <w:sz w:val="24"/>
          <w:lang w:val="en-IE"/>
        </w:rPr>
        <w:t>cooperation</w:t>
      </w:r>
      <w:r>
        <w:rPr>
          <w:rFonts w:ascii="Times New Roman" w:hAnsi="Times New Roman" w:cs="Times New Roman"/>
          <w:noProof/>
          <w:sz w:val="24"/>
          <w:szCs w:val="24"/>
          <w:lang w:val="en-US"/>
        </w:rPr>
        <w:t>, including with like-minded partners and International Financial Institutions</w:t>
      </w:r>
      <w:r>
        <w:rPr>
          <w:rFonts w:ascii="Times New Roman" w:hAnsi="Times New Roman" w:cs="Times New Roman"/>
          <w:noProof/>
          <w:sz w:val="24"/>
          <w:szCs w:val="24"/>
          <w:lang w:val="en-IE"/>
        </w:rPr>
        <w:t>. Team Europe</w:t>
      </w:r>
      <w:r>
        <w:rPr>
          <w:rFonts w:ascii="Times New Roman" w:hAnsi="Times New Roman" w:cs="Times New Roman"/>
          <w:noProof/>
          <w:sz w:val="24"/>
          <w:szCs w:val="24"/>
          <w:lang w:val="en-US"/>
        </w:rPr>
        <w:t xml:space="preserve"> will address this digital gap in partner countries, with particular attention to Africa, promoting at th</w:t>
      </w:r>
      <w:r>
        <w:rPr>
          <w:rFonts w:ascii="Times New Roman" w:hAnsi="Times New Roman" w:cs="Times New Roman"/>
          <w:noProof/>
          <w:sz w:val="24"/>
          <w:szCs w:val="24"/>
          <w:lang w:val="en-US"/>
        </w:rPr>
        <w:t>e same time EU technology and values.</w:t>
      </w:r>
      <w:r>
        <w:rPr>
          <w:rFonts w:ascii="Times New Roman" w:hAnsi="Times New Roman" w:cs="Times New Roman"/>
          <w:noProof/>
          <w:color w:val="1F497D"/>
        </w:rPr>
        <w:t xml:space="preserve"> </w:t>
      </w:r>
      <w:r>
        <w:rPr>
          <w:rFonts w:ascii="Times New Roman" w:hAnsi="Times New Roman" w:cs="Times New Roman"/>
          <w:noProof/>
          <w:sz w:val="24"/>
          <w:szCs w:val="24"/>
        </w:rPr>
        <w:t xml:space="preserve">This could be supported by the creation of a </w:t>
      </w:r>
      <w:r>
        <w:rPr>
          <w:rFonts w:ascii="Times New Roman" w:hAnsi="Times New Roman" w:cs="Times New Roman"/>
          <w:b/>
          <w:noProof/>
          <w:sz w:val="24"/>
          <w:szCs w:val="24"/>
        </w:rPr>
        <w:t>Digital Connectivity Fund</w:t>
      </w:r>
      <w:r>
        <w:rPr>
          <w:rFonts w:ascii="Times New Roman" w:hAnsi="Times New Roman" w:cs="Times New Roman"/>
          <w:noProof/>
          <w:sz w:val="24"/>
          <w:szCs w:val="24"/>
        </w:rPr>
        <w:t xml:space="preserve"> in a Team Europe approach. The Commission will explore its feasibility, together with our partners, in the coming months.</w:t>
      </w:r>
    </w:p>
    <w:p w:rsidR="0007764C" w:rsidRDefault="00A17FAC">
      <w:pPr>
        <w:pStyle w:val="ListParagraph"/>
        <w:numPr>
          <w:ilvl w:val="0"/>
          <w:numId w:val="45"/>
        </w:numPr>
        <w:spacing w:after="120" w:line="259" w:lineRule="auto"/>
        <w:contextualSpacing w:val="0"/>
        <w:jc w:val="both"/>
        <w:rPr>
          <w:rFonts w:ascii="Times New Roman" w:hAnsi="Times New Roman"/>
          <w:noProof/>
        </w:rPr>
      </w:pPr>
      <w:r>
        <w:rPr>
          <w:rFonts w:ascii="Times New Roman" w:hAnsi="Times New Roman" w:cs="Times New Roman"/>
          <w:noProof/>
          <w:sz w:val="24"/>
          <w:szCs w:val="24"/>
        </w:rPr>
        <w:t xml:space="preserve">Digital Partnerships will offer the opportunity to carry out joint </w:t>
      </w:r>
      <w:r>
        <w:rPr>
          <w:rFonts w:ascii="Times New Roman" w:hAnsi="Times New Roman" w:cs="Times New Roman"/>
          <w:b/>
          <w:noProof/>
          <w:sz w:val="24"/>
          <w:szCs w:val="24"/>
        </w:rPr>
        <w:t xml:space="preserve">research activities, including under Joint Undertakings on industrial issues, </w:t>
      </w:r>
      <w:r>
        <w:rPr>
          <w:rFonts w:ascii="Times New Roman" w:hAnsi="Times New Roman" w:cs="Times New Roman"/>
          <w:noProof/>
          <w:sz w:val="24"/>
          <w:szCs w:val="24"/>
        </w:rPr>
        <w:t>which will support EU leadership in</w:t>
      </w:r>
      <w:r>
        <w:rPr>
          <w:rFonts w:ascii="Times New Roman" w:hAnsi="Times New Roman" w:cs="Times New Roman"/>
          <w:b/>
          <w:noProof/>
          <w:sz w:val="24"/>
          <w:szCs w:val="24"/>
        </w:rPr>
        <w:t xml:space="preserve"> </w:t>
      </w:r>
      <w:r>
        <w:rPr>
          <w:rFonts w:ascii="Times New Roman" w:hAnsi="Times New Roman" w:cs="Times New Roman"/>
          <w:noProof/>
          <w:sz w:val="24"/>
          <w:szCs w:val="24"/>
        </w:rPr>
        <w:t xml:space="preserve">evolving technologies such as 6G, Quantum or the use of digital technology </w:t>
      </w:r>
      <w:r>
        <w:rPr>
          <w:rFonts w:ascii="Times New Roman" w:hAnsi="Times New Roman" w:cs="Times New Roman"/>
          <w:noProof/>
          <w:sz w:val="24"/>
          <w:szCs w:val="24"/>
        </w:rPr>
        <w:t xml:space="preserve">in the fight against climate change and environmental challenges. </w:t>
      </w:r>
    </w:p>
    <w:p w:rsidR="0007764C" w:rsidRDefault="00A17FAC">
      <w:pPr>
        <w:spacing w:before="100" w:beforeAutospacing="1" w:after="120" w:line="252" w:lineRule="auto"/>
        <w:jc w:val="both"/>
        <w:rPr>
          <w:rFonts w:ascii="Times New Roman" w:hAnsi="Times New Roman" w:cs="Times New Roman"/>
          <w:noProof/>
          <w:lang w:val="en-GB" w:eastAsia="en-IE"/>
        </w:rPr>
      </w:pPr>
      <w:r>
        <w:rPr>
          <w:rFonts w:ascii="Times New Roman" w:hAnsi="Times New Roman" w:cs="Times New Roman"/>
          <w:noProof/>
          <w:lang w:val="en-GB" w:eastAsia="en-IE"/>
        </w:rPr>
        <w:t>Building on a renewed transatlantic relationship as a strong pillar of our digital international engagement, the</w:t>
      </w:r>
      <w:r>
        <w:rPr>
          <w:rFonts w:ascii="Times New Roman" w:hAnsi="Times New Roman" w:cs="Times New Roman"/>
          <w:noProof/>
          <w:lang w:val="en-GB"/>
        </w:rPr>
        <w:t xml:space="preserve"> EU should lead the way towards</w:t>
      </w:r>
      <w:r>
        <w:rPr>
          <w:rFonts w:ascii="Times New Roman" w:hAnsi="Times New Roman" w:cs="Times New Roman"/>
          <w:noProof/>
          <w:lang w:val="en-GB" w:eastAsia="en-IE"/>
        </w:rPr>
        <w:t xml:space="preserve"> a </w:t>
      </w:r>
      <w:r>
        <w:rPr>
          <w:rFonts w:ascii="Times New Roman" w:hAnsi="Times New Roman" w:cs="Times New Roman"/>
          <w:b/>
          <w:bCs/>
          <w:noProof/>
          <w:lang w:val="en-GB" w:eastAsia="en-IE"/>
        </w:rPr>
        <w:t xml:space="preserve">wider coalition of like-minded partners, </w:t>
      </w:r>
      <w:r>
        <w:rPr>
          <w:rFonts w:ascii="Times New Roman" w:hAnsi="Times New Roman" w:cs="Times New Roman"/>
          <w:bCs/>
          <w:noProof/>
          <w:lang w:val="en-GB" w:eastAsia="en-IE"/>
        </w:rPr>
        <w:t>op</w:t>
      </w:r>
      <w:r>
        <w:rPr>
          <w:rFonts w:ascii="Times New Roman" w:hAnsi="Times New Roman" w:cs="Times New Roman"/>
          <w:bCs/>
          <w:noProof/>
          <w:lang w:val="en-GB" w:eastAsia="en-IE"/>
        </w:rPr>
        <w:t xml:space="preserve">en to and developed together with all those </w:t>
      </w:r>
      <w:r>
        <w:rPr>
          <w:rFonts w:ascii="Times New Roman" w:hAnsi="Times New Roman" w:cs="Times New Roman"/>
          <w:noProof/>
          <w:lang w:val="en-GB" w:eastAsia="en-IE"/>
        </w:rPr>
        <w:t>who share its vision of a human-centric digital transformation.  Together we will defend the open, decentralised internet, based on a single world wide web, and a use of technology that respects individual freedo</w:t>
      </w:r>
      <w:r>
        <w:rPr>
          <w:rFonts w:ascii="Times New Roman" w:hAnsi="Times New Roman" w:cs="Times New Roman"/>
          <w:noProof/>
          <w:lang w:val="en-GB" w:eastAsia="en-IE"/>
        </w:rPr>
        <w:t>ms and  promote a digital level playing field Such a coalition should work together to boost competitiveness and innovation, set standards in multilateral fora – such as on the ethical use of artificial intelligence – promote digital trade flows through mu</w:t>
      </w:r>
      <w:r>
        <w:rPr>
          <w:rFonts w:ascii="Times New Roman" w:hAnsi="Times New Roman" w:cs="Times New Roman"/>
          <w:noProof/>
          <w:lang w:val="en-GB" w:eastAsia="en-IE"/>
        </w:rPr>
        <w:t xml:space="preserve">tually interdependent and resilient supply chains, and secure cyberspace. The Commission and the High Representative will work with EU Member States to develop a </w:t>
      </w:r>
      <w:r>
        <w:rPr>
          <w:rFonts w:ascii="Times New Roman" w:hAnsi="Times New Roman" w:cs="Times New Roman"/>
          <w:b/>
          <w:noProof/>
          <w:lang w:val="en-GB" w:eastAsia="en-IE"/>
        </w:rPr>
        <w:t xml:space="preserve">comprehensive and coordinated approach to digital coalition-building and diplomatic outreach </w:t>
      </w:r>
      <w:r>
        <w:rPr>
          <w:rFonts w:ascii="Times New Roman" w:hAnsi="Times New Roman" w:cs="Times New Roman"/>
          <w:noProof/>
          <w:lang w:val="en-GB" w:eastAsia="en-IE"/>
        </w:rPr>
        <w:t>i</w:t>
      </w:r>
      <w:r>
        <w:rPr>
          <w:rFonts w:ascii="Times New Roman" w:hAnsi="Times New Roman" w:cs="Times New Roman"/>
          <w:noProof/>
          <w:lang w:val="en-GB" w:eastAsia="en-IE"/>
        </w:rPr>
        <w:t>ncluding through the network of EU delegations.</w:t>
      </w:r>
    </w:p>
    <w:p w:rsidR="0007764C" w:rsidRDefault="00A17FAC">
      <w:pPr>
        <w:spacing w:before="100" w:beforeAutospacing="1" w:after="120" w:line="252" w:lineRule="auto"/>
        <w:jc w:val="both"/>
        <w:rPr>
          <w:rFonts w:ascii="Times New Roman" w:hAnsi="Times New Roman" w:cs="Times New Roman"/>
          <w:noProof/>
          <w:lang w:val="en-GB" w:eastAsia="en-IE"/>
        </w:rPr>
      </w:pPr>
      <w:r>
        <w:rPr>
          <w:rFonts w:ascii="Times New Roman" w:hAnsi="Times New Roman" w:cs="Times New Roman"/>
          <w:noProof/>
          <w:lang w:val="en-GB"/>
        </w:rPr>
        <w:t xml:space="preserve">By 2030 </w:t>
      </w:r>
      <w:r>
        <w:rPr>
          <w:rFonts w:ascii="Times New Roman" w:hAnsi="Times New Roman" w:cs="Times New Roman"/>
          <w:b/>
          <w:bCs/>
          <w:noProof/>
          <w:lang w:val="en-GB"/>
        </w:rPr>
        <w:t>international digital partnerships</w:t>
      </w:r>
      <w:r>
        <w:rPr>
          <w:rFonts w:ascii="Times New Roman" w:hAnsi="Times New Roman" w:cs="Times New Roman"/>
          <w:noProof/>
          <w:lang w:val="en-GB"/>
        </w:rPr>
        <w:t xml:space="preserve"> should result in greater opportunities for European companies, increased digital trade via secure networks, respect of European standards and values, and a more supp</w:t>
      </w:r>
      <w:r>
        <w:rPr>
          <w:rFonts w:ascii="Times New Roman" w:hAnsi="Times New Roman" w:cs="Times New Roman"/>
          <w:noProof/>
          <w:lang w:val="en-GB"/>
        </w:rPr>
        <w:t>ortive environment internationally for the kind of human-centric digital transformation we and other partners want to see.</w:t>
      </w:r>
    </w:p>
    <w:p w:rsidR="0007764C" w:rsidRDefault="0007764C">
      <w:pPr>
        <w:spacing w:before="100" w:beforeAutospacing="1" w:after="120" w:line="252" w:lineRule="auto"/>
        <w:jc w:val="both"/>
        <w:rPr>
          <w:rFonts w:ascii="Times New Roman" w:hAnsi="Times New Roman" w:cs="Times New Roman"/>
          <w:noProof/>
          <w:lang w:val="en-GB" w:eastAsia="en-IE"/>
        </w:rPr>
      </w:pPr>
    </w:p>
    <w:p w:rsidR="0007764C" w:rsidRDefault="00A17FAC">
      <w:pPr>
        <w:pStyle w:val="Heading1"/>
        <w:spacing w:after="120"/>
        <w:rPr>
          <w:noProof/>
        </w:rPr>
      </w:pPr>
      <w:bookmarkStart w:id="123" w:name="_Toc64581254"/>
      <w:bookmarkStart w:id="124" w:name="_Toc64584048"/>
      <w:bookmarkStart w:id="125" w:name="_Toc65313741"/>
      <w:r>
        <w:rPr>
          <w:noProof/>
        </w:rPr>
        <w:t xml:space="preserve">7. </w:t>
      </w:r>
      <w:r>
        <w:rPr>
          <w:noProof/>
        </w:rPr>
        <w:tab/>
        <w:t>Conclusion</w:t>
      </w:r>
      <w:bookmarkEnd w:id="114"/>
      <w:r>
        <w:rPr>
          <w:noProof/>
        </w:rPr>
        <w:t>: the way forward</w:t>
      </w:r>
      <w:bookmarkEnd w:id="115"/>
      <w:bookmarkEnd w:id="116"/>
      <w:bookmarkEnd w:id="117"/>
      <w:bookmarkEnd w:id="118"/>
      <w:bookmarkEnd w:id="123"/>
      <w:bookmarkEnd w:id="124"/>
      <w:bookmarkEnd w:id="125"/>
    </w:p>
    <w:p w:rsidR="0007764C" w:rsidRDefault="00A17FAC">
      <w:pPr>
        <w:snapToGrid w:val="0"/>
        <w:spacing w:after="120" w:line="259" w:lineRule="auto"/>
        <w:jc w:val="both"/>
        <w:rPr>
          <w:rFonts w:ascii="Times New Roman" w:hAnsi="Times New Roman" w:cs="Times New Roman"/>
          <w:noProof/>
          <w:lang w:val="en-GB"/>
        </w:rPr>
      </w:pPr>
      <w:r>
        <w:rPr>
          <w:rFonts w:ascii="Times New Roman" w:hAnsi="Times New Roman" w:cs="Times New Roman"/>
          <w:noProof/>
          <w:lang w:val="en-GB"/>
        </w:rPr>
        <w:t>The Digital Compass Communication maps out a clear path towards a common vision and actions for Euro</w:t>
      </w:r>
      <w:r>
        <w:rPr>
          <w:rFonts w:ascii="Times New Roman" w:hAnsi="Times New Roman" w:cs="Times New Roman"/>
          <w:noProof/>
          <w:lang w:val="en-GB"/>
        </w:rPr>
        <w:t xml:space="preserve">pe to succeed in the Digital Decade, at home and in the world. </w:t>
      </w:r>
    </w:p>
    <w:p w:rsidR="0007764C" w:rsidRDefault="00A17FAC">
      <w:pPr>
        <w:spacing w:before="120" w:after="120" w:line="259" w:lineRule="auto"/>
        <w:jc w:val="both"/>
        <w:rPr>
          <w:rFonts w:ascii="Times New Roman" w:hAnsi="Times New Roman" w:cs="Times New Roman"/>
          <w:noProof/>
          <w:lang w:val="en-GB"/>
        </w:rPr>
      </w:pPr>
      <w:r>
        <w:rPr>
          <w:rFonts w:ascii="Times New Roman" w:hAnsi="Times New Roman" w:cs="Times New Roman"/>
          <w:noProof/>
          <w:lang w:val="en-GB"/>
        </w:rPr>
        <w:t>The involvement and commitment of the public and of all stakeholders is crucial to achieve a successful digital transformation. In this context, the Commission, shortly after this Communicatio</w:t>
      </w:r>
      <w:r>
        <w:rPr>
          <w:rFonts w:ascii="Times New Roman" w:hAnsi="Times New Roman" w:cs="Times New Roman"/>
          <w:noProof/>
          <w:lang w:val="en-GB"/>
        </w:rPr>
        <w:t xml:space="preserve">n, will start a wide consultation process on the digital principles. It will engage with the Member States, the European Parliament, regional and economic and social partners, businesses and citizens, on specific elements of the Communication during 2021, </w:t>
      </w:r>
      <w:r>
        <w:rPr>
          <w:rFonts w:ascii="Times New Roman" w:hAnsi="Times New Roman" w:cs="Times New Roman"/>
          <w:noProof/>
          <w:lang w:val="en-GB"/>
        </w:rPr>
        <w:t>including the compass framework with specific targets and governance. The Commission will set up a stakeholder forum, which would be associated to some aspects of the Digital Compass 2030 work.</w:t>
      </w:r>
    </w:p>
    <w:p w:rsidR="0007764C" w:rsidRDefault="00A17FAC">
      <w:pPr>
        <w:spacing w:before="120" w:after="120" w:line="259" w:lineRule="auto"/>
        <w:jc w:val="both"/>
        <w:rPr>
          <w:rFonts w:ascii="Times New Roman" w:hAnsi="Times New Roman" w:cs="Times New Roman"/>
          <w:noProof/>
          <w:lang w:val="en-GB"/>
        </w:rPr>
      </w:pPr>
      <w:r>
        <w:rPr>
          <w:rFonts w:ascii="Times New Roman" w:hAnsi="Times New Roman" w:cs="Times New Roman"/>
          <w:noProof/>
          <w:lang w:val="en-GB"/>
        </w:rPr>
        <w:t>The Commission will build on these concertation steps with a v</w:t>
      </w:r>
      <w:r>
        <w:rPr>
          <w:rFonts w:ascii="Times New Roman" w:hAnsi="Times New Roman" w:cs="Times New Roman"/>
          <w:noProof/>
          <w:lang w:val="en-GB"/>
        </w:rPr>
        <w:t xml:space="preserve">iew to proposing the Digital Policy Programme to the co-legislators by the third quarter of 2021, and hopes to achieve decisive progress with the other institutions on a Declaration of Digital Principles by the end of 2021. </w:t>
      </w:r>
    </w:p>
    <w:sectPr w:rsidR="0007764C">
      <w:headerReference w:type="even" r:id="rId19"/>
      <w:headerReference w:type="default" r:id="rId20"/>
      <w:footerReference w:type="even" r:id="rId21"/>
      <w:footerReference w:type="default" r:id="rId22"/>
      <w:headerReference w:type="first" r:id="rId23"/>
      <w:footerReference w:type="first" r:id="rId24"/>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764C" w:rsidRDefault="00A17FAC">
      <w:r>
        <w:separator/>
      </w:r>
    </w:p>
  </w:endnote>
  <w:endnote w:type="continuationSeparator" w:id="0">
    <w:p w:rsidR="0007764C" w:rsidRDefault="00A17FAC">
      <w:r>
        <w:continuationSeparator/>
      </w:r>
    </w:p>
  </w:endnote>
  <w:endnote w:type="continuationNotice" w:id="1">
    <w:p w:rsidR="0007764C" w:rsidRDefault="000776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Lucida Grande">
    <w:altName w:val="Times New Roman"/>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764C" w:rsidRDefault="000776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764C" w:rsidRDefault="00A17FAC">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764C" w:rsidRDefault="0007764C">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764C" w:rsidRDefault="0007764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6545034"/>
      <w:docPartObj>
        <w:docPartGallery w:val="Page Numbers (Bottom of Page)"/>
        <w:docPartUnique/>
      </w:docPartObj>
    </w:sdtPr>
    <w:sdtEndPr>
      <w:rPr>
        <w:noProof/>
      </w:rPr>
    </w:sdtEndPr>
    <w:sdtContent>
      <w:p w:rsidR="0007764C" w:rsidRDefault="00A17FAC">
        <w:pPr>
          <w:pStyle w:val="Footer"/>
          <w:jc w:val="right"/>
        </w:pPr>
        <w:r>
          <w:fldChar w:fldCharType="begin"/>
        </w:r>
        <w:r>
          <w:instrText xml:space="preserve"> PAGE   \* MERGEFORMAT </w:instrText>
        </w:r>
        <w:r>
          <w:fldChar w:fldCharType="separate"/>
        </w:r>
        <w:r>
          <w:rPr>
            <w:noProof/>
          </w:rPr>
          <w:t>1</w:t>
        </w:r>
        <w:r>
          <w:rPr>
            <w:noProof/>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764C" w:rsidRDefault="000776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764C" w:rsidRDefault="00A17FAC">
      <w:r>
        <w:separator/>
      </w:r>
    </w:p>
  </w:footnote>
  <w:footnote w:type="continuationSeparator" w:id="0">
    <w:p w:rsidR="0007764C" w:rsidRDefault="00A17FAC">
      <w:r>
        <w:continuationSeparator/>
      </w:r>
    </w:p>
  </w:footnote>
  <w:footnote w:type="continuationNotice" w:id="1">
    <w:p w:rsidR="0007764C" w:rsidRDefault="0007764C"/>
  </w:footnote>
  <w:footnote w:id="2">
    <w:p w:rsidR="0007764C" w:rsidRDefault="00A17FAC">
      <w:pPr>
        <w:pStyle w:val="FootnoteText"/>
        <w:ind w:left="567" w:hanging="567"/>
        <w:jc w:val="both"/>
      </w:pPr>
      <w:r>
        <w:rPr>
          <w:rStyle w:val="FootnoteReference"/>
        </w:rPr>
        <w:footnoteRef/>
      </w:r>
      <w:r>
        <w:t xml:space="preserve"> </w:t>
      </w:r>
      <w:r>
        <w:tab/>
      </w:r>
      <w:r>
        <w:rPr>
          <w:rFonts w:ascii="Times New Roman" w:hAnsi="Times New Roman" w:cs="Times New Roman"/>
        </w:rPr>
        <w:t>The</w:t>
      </w:r>
      <w:r>
        <w:rPr>
          <w:rFonts w:ascii="Times New Roman" w:hAnsi="Times New Roman" w:cs="Times New Roman"/>
          <w:lang w:val="en-IE"/>
        </w:rPr>
        <w:t xml:space="preserve"> development of entirely new types of vaccines (e.g. Moderna, BioNTech) has highlighted to the wide public the benefits of disruptive innovation enabling to develop vaccines in less than a year, with efficiency and by following a method which was never imp</w:t>
      </w:r>
      <w:r>
        <w:rPr>
          <w:rFonts w:ascii="Times New Roman" w:hAnsi="Times New Roman" w:cs="Times New Roman"/>
          <w:lang w:val="en-IE"/>
        </w:rPr>
        <w:t>lemented so far, as well as the importance of mastering these technologies.</w:t>
      </w:r>
    </w:p>
  </w:footnote>
  <w:footnote w:id="3">
    <w:p w:rsidR="0007764C" w:rsidRDefault="00A17FAC">
      <w:pPr>
        <w:pStyle w:val="FootnoteText"/>
        <w:ind w:left="567" w:hanging="567"/>
        <w:jc w:val="both"/>
      </w:pPr>
      <w:r>
        <w:rPr>
          <w:rStyle w:val="FootnoteReference"/>
        </w:rPr>
        <w:footnoteRef/>
      </w:r>
      <w:r>
        <w:t xml:space="preserve"> </w:t>
      </w:r>
      <w:r>
        <w:tab/>
      </w:r>
      <w:r>
        <w:rPr>
          <w:rFonts w:ascii="Times New Roman" w:hAnsi="Times New Roman" w:cs="Times New Roman"/>
          <w:lang w:val="en-IE"/>
        </w:rPr>
        <w:t>Analysis made by Commission services for the recovery estimated at €125 billion per year the needs for ICT investment and skills to close the gap with leading competitors in the</w:t>
      </w:r>
      <w:r>
        <w:rPr>
          <w:rFonts w:ascii="Times New Roman" w:hAnsi="Times New Roman" w:cs="Times New Roman"/>
          <w:lang w:val="en-IE"/>
        </w:rPr>
        <w:t xml:space="preserve"> US and China. The European Investment Bank has flagged the risk that instead of increasing their investments, 45% of firms would reduce them after the COVID-19 crisis.</w:t>
      </w:r>
    </w:p>
  </w:footnote>
  <w:footnote w:id="4">
    <w:p w:rsidR="0007764C" w:rsidRDefault="00A17FAC">
      <w:pPr>
        <w:pStyle w:val="FootnoteText"/>
        <w:ind w:left="567" w:hanging="567"/>
        <w:jc w:val="both"/>
        <w:rPr>
          <w:rFonts w:ascii="Times New Roman" w:hAnsi="Times New Roman" w:cs="Times New Roman"/>
          <w:lang w:val="en-IE"/>
        </w:rPr>
      </w:pPr>
      <w:r>
        <w:rPr>
          <w:lang w:val="en-IE"/>
        </w:rPr>
        <w:footnoteRef/>
      </w:r>
      <w:r>
        <w:rPr>
          <w:rFonts w:ascii="Times New Roman" w:hAnsi="Times New Roman" w:cs="Times New Roman"/>
          <w:lang w:val="en-IE"/>
        </w:rPr>
        <w:t xml:space="preserve"> </w:t>
      </w:r>
      <w:r>
        <w:rPr>
          <w:rFonts w:ascii="Times New Roman" w:hAnsi="Times New Roman" w:cs="Times New Roman"/>
          <w:lang w:val="en-IE"/>
        </w:rPr>
        <w:tab/>
        <w:t>This Communication is part of a set of actions to strengthen the EU’s open strategic</w:t>
      </w:r>
      <w:r>
        <w:rPr>
          <w:rFonts w:ascii="Times New Roman" w:hAnsi="Times New Roman" w:cs="Times New Roman"/>
          <w:lang w:val="en-IE"/>
        </w:rPr>
        <w:t xml:space="preserve"> autonomy and resilience. These include inter alia the Communication on fostering openness, strength and resilience of the European economic and financial system, the Trade Policy Review, and the upcoming updated industrial strategy for Europe and the 2021</w:t>
      </w:r>
      <w:r>
        <w:rPr>
          <w:rFonts w:ascii="Times New Roman" w:hAnsi="Times New Roman" w:cs="Times New Roman"/>
          <w:lang w:val="en-IE"/>
        </w:rPr>
        <w:t xml:space="preserve"> Strategic Foresight Report.</w:t>
      </w:r>
    </w:p>
  </w:footnote>
  <w:footnote w:id="5">
    <w:p w:rsidR="0007764C" w:rsidRDefault="00A17FAC">
      <w:pPr>
        <w:pStyle w:val="FootnoteText"/>
        <w:ind w:left="567" w:hanging="567"/>
        <w:jc w:val="both"/>
      </w:pPr>
      <w:r>
        <w:rPr>
          <w:rStyle w:val="FootnoteReference"/>
        </w:rPr>
        <w:footnoteRef/>
      </w:r>
      <w:r>
        <w:t xml:space="preserve">   </w:t>
      </w:r>
      <w:r>
        <w:tab/>
      </w:r>
      <w:r>
        <w:rPr>
          <w:i/>
        </w:rPr>
        <w:t>A</w:t>
      </w:r>
      <w:r>
        <w:rPr>
          <w:rFonts w:ascii="Times New Roman" w:hAnsi="Times New Roman"/>
          <w:i/>
        </w:rPr>
        <w:t xml:space="preserve"> Digital Single Market Strategy for Europe</w:t>
      </w:r>
      <w:r>
        <w:rPr>
          <w:rFonts w:ascii="Times New Roman" w:hAnsi="Times New Roman" w:cs="Times New Roman"/>
        </w:rPr>
        <w:t xml:space="preserve">, 6 May 2015. Out of 30 legislative proposals, 28 were agreed by the co-legislature. </w:t>
      </w:r>
    </w:p>
  </w:footnote>
  <w:footnote w:id="6">
    <w:p w:rsidR="0007764C" w:rsidRDefault="00A17FAC">
      <w:pPr>
        <w:pStyle w:val="FootnoteText"/>
        <w:ind w:left="567" w:hanging="567"/>
        <w:jc w:val="both"/>
      </w:pPr>
      <w:r>
        <w:rPr>
          <w:rStyle w:val="FootnoteReference"/>
        </w:rPr>
        <w:footnoteRef/>
      </w:r>
      <w:r>
        <w:t xml:space="preserve">  </w:t>
      </w:r>
      <w:r>
        <w:tab/>
      </w:r>
      <w:r>
        <w:rPr>
          <w:rFonts w:ascii="Times New Roman" w:hAnsi="Times New Roman"/>
          <w:i/>
        </w:rPr>
        <w:t>Shaping Europe’s digital future</w:t>
      </w:r>
      <w:r>
        <w:rPr>
          <w:rFonts w:ascii="Times New Roman" w:hAnsi="Times New Roman" w:cs="Times New Roman"/>
        </w:rPr>
        <w:t>, 19 February 2020.</w:t>
      </w:r>
    </w:p>
  </w:footnote>
  <w:footnote w:id="7">
    <w:p w:rsidR="0007764C" w:rsidRDefault="00A17FAC">
      <w:pPr>
        <w:pStyle w:val="FootnoteText"/>
        <w:ind w:left="567" w:hanging="567"/>
        <w:jc w:val="both"/>
        <w:rPr>
          <w:rFonts w:ascii="Times New Roman" w:hAnsi="Times New Roman" w:cs="Times New Roman"/>
          <w:lang w:val="en-IE"/>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E</w:t>
      </w:r>
      <w:r>
        <w:rPr>
          <w:rFonts w:ascii="Times New Roman" w:hAnsi="Times New Roman" w:cs="Times New Roman"/>
          <w:lang w:val="en-IE"/>
        </w:rPr>
        <w:t>ight legislative and three non- le</w:t>
      </w:r>
      <w:r>
        <w:rPr>
          <w:rFonts w:ascii="Times New Roman" w:hAnsi="Times New Roman" w:cs="Times New Roman"/>
          <w:lang w:val="en-IE"/>
        </w:rPr>
        <w:t>gislative proposals including this Communication are scheduled to be adopted in 2021. See: European Commission Work Programme 2020.</w:t>
      </w:r>
    </w:p>
  </w:footnote>
  <w:footnote w:id="8">
    <w:p w:rsidR="0007764C" w:rsidRDefault="00A17FAC">
      <w:pPr>
        <w:pStyle w:val="FootnoteText"/>
        <w:ind w:left="567" w:hanging="567"/>
        <w:jc w:val="both"/>
      </w:pPr>
      <w:r>
        <w:rPr>
          <w:rStyle w:val="FootnoteReference"/>
        </w:rPr>
        <w:footnoteRef/>
      </w:r>
      <w:r>
        <w:t xml:space="preserve"> </w:t>
      </w:r>
      <w:r>
        <w:tab/>
      </w:r>
      <w:r>
        <w:rPr>
          <w:rFonts w:ascii="Times New Roman" w:hAnsi="Times New Roman" w:cs="Times New Roman"/>
        </w:rPr>
        <w:t>Driving the Digital Economy and Society Index (DESI) score to 90 by 2027, would result in a GDP increase per capita of 7,</w:t>
      </w:r>
      <w:r>
        <w:rPr>
          <w:rFonts w:ascii="Times New Roman" w:hAnsi="Times New Roman" w:cs="Times New Roman"/>
        </w:rPr>
        <w:t>2% across the EU. Deloitte, February 2021, “Digitalisation: an opportunity for Europe”.</w:t>
      </w:r>
    </w:p>
  </w:footnote>
  <w:footnote w:id="9">
    <w:p w:rsidR="0007764C" w:rsidRDefault="00A17FAC">
      <w:pPr>
        <w:pStyle w:val="FootnoteText"/>
        <w:ind w:left="567" w:hanging="56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The position of European players is far below the EU’s global economic weight in key technology areas like processors, web platforms and cloud infrastructure, for ex</w:t>
      </w:r>
      <w:r>
        <w:rPr>
          <w:rFonts w:ascii="Times New Roman" w:hAnsi="Times New Roman" w:cs="Times New Roman"/>
        </w:rPr>
        <w:t>ample 90% of the EU’s data are managed by US companies, less than 4% of the top online platforms are European, European made microchips represent less than 10 % of the European market.</w:t>
      </w:r>
    </w:p>
  </w:footnote>
  <w:footnote w:id="10">
    <w:p w:rsidR="0007764C" w:rsidRDefault="00A17FAC">
      <w:pPr>
        <w:pStyle w:val="FootnoteText"/>
        <w:ind w:left="567" w:hanging="567"/>
        <w:jc w:val="both"/>
        <w:rPr>
          <w:rFonts w:ascii="Times New Roman" w:hAnsi="Times New Roman" w:cs="Times New Roman"/>
        </w:rPr>
      </w:pPr>
      <w:r>
        <w:rPr>
          <w:rStyle w:val="FootnoteReference"/>
        </w:rPr>
        <w:footnoteRef/>
      </w:r>
      <w:r>
        <w:t xml:space="preserve"> </w:t>
      </w:r>
      <w:r>
        <w:tab/>
      </w:r>
      <w:r>
        <w:rPr>
          <w:rFonts w:ascii="Times New Roman" w:hAnsi="Times New Roman" w:cs="Times New Roman"/>
        </w:rPr>
        <w:t>DESI shows that the majority of EU countries, which are below the EU</w:t>
      </w:r>
      <w:r>
        <w:rPr>
          <w:rFonts w:ascii="Times New Roman" w:hAnsi="Times New Roman" w:cs="Times New Roman"/>
        </w:rPr>
        <w:t xml:space="preserve"> average in the level of digitisation, have not progressed much in the last five years. </w:t>
      </w:r>
      <w:hyperlink r:id="rId1" w:history="1">
        <w:r>
          <w:rPr>
            <w:rStyle w:val="Hyperlink"/>
            <w:rFonts w:ascii="Times New Roman" w:hAnsi="Times New Roman" w:cs="Times New Roman"/>
          </w:rPr>
          <w:t>https://ec.europa.eu/digital-single-market/en/digital-economy-and-s</w:t>
        </w:r>
        <w:r>
          <w:rPr>
            <w:rStyle w:val="Hyperlink"/>
            <w:rFonts w:ascii="Times New Roman" w:hAnsi="Times New Roman" w:cs="Times New Roman"/>
          </w:rPr>
          <w:t>ociety-index-desi</w:t>
        </w:r>
      </w:hyperlink>
      <w:r>
        <w:rPr>
          <w:rFonts w:ascii="Times New Roman" w:hAnsi="Times New Roman" w:cs="Times New Roman"/>
        </w:rPr>
        <w:t xml:space="preserve"> </w:t>
      </w:r>
    </w:p>
  </w:footnote>
  <w:footnote w:id="11">
    <w:p w:rsidR="0007764C" w:rsidRDefault="00A17FAC">
      <w:pPr>
        <w:pStyle w:val="FootnoteText"/>
        <w:ind w:left="567" w:hanging="567"/>
        <w:jc w:val="both"/>
      </w:pPr>
      <w:r>
        <w:rPr>
          <w:rStyle w:val="FootnoteReference"/>
        </w:rPr>
        <w:footnoteRef/>
      </w:r>
      <w:r>
        <w:rPr>
          <w:rFonts w:ascii="Times New Roman" w:hAnsi="Times New Roman" w:cs="Times New Roman"/>
        </w:rPr>
        <w:tab/>
        <w:t>Based on DESI monitoring system set up by the Commission since 2014.</w:t>
      </w:r>
      <w:r>
        <w:t xml:space="preserve"> </w:t>
      </w:r>
      <w:r>
        <w:rPr>
          <w:rFonts w:ascii="Times New Roman" w:hAnsi="Times New Roman" w:cs="Times New Roman"/>
        </w:rPr>
        <w:t>The 2020 Strategic Foresight Report announces finalisation of resilience dashboards, including one for the digital dimension, which will provide complementary insight</w:t>
      </w:r>
      <w:r>
        <w:rPr>
          <w:rFonts w:ascii="Times New Roman" w:hAnsi="Times New Roman" w:cs="Times New Roman"/>
        </w:rPr>
        <w:t xml:space="preserve">s on EU’s digital vulnerabilities and capacities. </w:t>
      </w:r>
    </w:p>
  </w:footnote>
  <w:footnote w:id="12">
    <w:p w:rsidR="0007764C" w:rsidRDefault="00A17FAC">
      <w:pPr>
        <w:pStyle w:val="FootnoteText"/>
        <w:ind w:left="567" w:hanging="567"/>
      </w:pPr>
      <w:r>
        <w:rPr>
          <w:rStyle w:val="FootnoteReference"/>
        </w:rPr>
        <w:footnoteRef/>
      </w:r>
      <w:r>
        <w:t xml:space="preserve"> </w:t>
      </w:r>
      <w:r>
        <w:tab/>
      </w:r>
      <w:r>
        <w:rPr>
          <w:rFonts w:ascii="Times New Roman" w:hAnsi="Times New Roman" w:cs="Times New Roman"/>
        </w:rPr>
        <w:t>European Skills Agenda and Digital Education Action Plan.</w:t>
      </w:r>
    </w:p>
  </w:footnote>
  <w:footnote w:id="13">
    <w:p w:rsidR="0007764C" w:rsidRDefault="00A17FAC">
      <w:pPr>
        <w:pStyle w:val="FootnoteText"/>
        <w:ind w:left="567" w:hanging="567"/>
      </w:pPr>
      <w:r>
        <w:rPr>
          <w:rStyle w:val="FootnoteReference"/>
        </w:rPr>
        <w:footnoteRef/>
      </w:r>
      <w:r>
        <w:t xml:space="preserve"> </w:t>
      </w:r>
      <w:r>
        <w:tab/>
        <w:t>T</w:t>
      </w:r>
      <w:r>
        <w:rPr>
          <w:rFonts w:ascii="Times New Roman" w:hAnsi="Times New Roman" w:cs="Times New Roman"/>
        </w:rPr>
        <w:t>he European Pillar of Social Rights Action Plan COM (2021) 102. Adopted on 3 March 2021.</w:t>
      </w:r>
    </w:p>
  </w:footnote>
  <w:footnote w:id="14">
    <w:p w:rsidR="0007764C" w:rsidRDefault="00A17FAC">
      <w:pPr>
        <w:pStyle w:val="FootnoteText"/>
        <w:ind w:left="567" w:hanging="56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See the Women in Digital Scoreboard 2020: </w:t>
      </w:r>
      <w:hyperlink r:id="rId2" w:history="1">
        <w:r>
          <w:rPr>
            <w:rStyle w:val="Hyperlink"/>
            <w:rFonts w:ascii="Times New Roman" w:hAnsi="Times New Roman" w:cs="Times New Roman"/>
          </w:rPr>
          <w:t>https://ec.europa.eu/digital-single-market/en/news/women-digital-scoreboard-2020</w:t>
        </w:r>
      </w:hyperlink>
      <w:r>
        <w:rPr>
          <w:rFonts w:ascii="Times New Roman" w:hAnsi="Times New Roman" w:cs="Times New Roman"/>
        </w:rPr>
        <w:t>.</w:t>
      </w:r>
    </w:p>
  </w:footnote>
  <w:footnote w:id="15">
    <w:p w:rsidR="0007764C" w:rsidRDefault="00A17FAC">
      <w:pPr>
        <w:pStyle w:val="FootnoteText"/>
        <w:ind w:left="567" w:hanging="567"/>
        <w:jc w:val="both"/>
      </w:pPr>
      <w:r>
        <w:rPr>
          <w:rStyle w:val="FootnoteReference"/>
        </w:rPr>
        <w:footnoteRef/>
      </w:r>
      <w:r>
        <w:t xml:space="preserve"> </w:t>
      </w:r>
      <w:r>
        <w:tab/>
      </w:r>
      <w:r>
        <w:rPr>
          <w:rFonts w:ascii="Times New Roman" w:hAnsi="Times New Roman" w:cs="Times New Roman"/>
        </w:rPr>
        <w:t>The Commission will ensure that participation in EU funding programmes in re</w:t>
      </w:r>
      <w:r>
        <w:rPr>
          <w:rFonts w:ascii="Times New Roman" w:hAnsi="Times New Roman" w:cs="Times New Roman"/>
        </w:rPr>
        <w:t>levant technology domains will be conditional on compliance with security requirements specified in the respective EU programmes, including EU’s external funding programmes and financial instruments, and is aligned with the approach in the EU toolbox on Cy</w:t>
      </w:r>
      <w:r>
        <w:rPr>
          <w:rFonts w:ascii="Times New Roman" w:hAnsi="Times New Roman" w:cs="Times New Roman"/>
        </w:rPr>
        <w:t>bersecurity for 5G networks. .</w:t>
      </w:r>
    </w:p>
  </w:footnote>
  <w:footnote w:id="16">
    <w:p w:rsidR="0007764C" w:rsidRDefault="00A17FAC">
      <w:pPr>
        <w:pStyle w:val="FootnoteText"/>
        <w:ind w:left="567" w:hanging="567"/>
        <w:jc w:val="both"/>
        <w:rPr>
          <w:rFonts w:ascii="Times New Roman" w:hAnsi="Times New Roman" w:cs="Times New Roman"/>
        </w:rPr>
      </w:pPr>
      <w:r>
        <w:rPr>
          <w:rStyle w:val="FootnoteReference"/>
        </w:rPr>
        <w:footnoteRef/>
      </w:r>
      <w:r>
        <w:rPr>
          <w:rFonts w:ascii="Times New Roman" w:hAnsi="Times New Roman" w:cs="Times New Roman"/>
        </w:rPr>
        <w:t xml:space="preserve"> </w:t>
      </w:r>
      <w:r>
        <w:rPr>
          <w:rFonts w:ascii="Times New Roman" w:hAnsi="Times New Roman" w:cs="Times New Roman"/>
        </w:rPr>
        <w:tab/>
        <w:t xml:space="preserve">To contribute to this objective, the Commission adopted a proposal to launch a </w:t>
      </w:r>
      <w:r>
        <w:rPr>
          <w:rFonts w:ascii="Times New Roman" w:hAnsi="Times New Roman" w:cs="Times New Roman" w:hint="eastAsia"/>
        </w:rPr>
        <w:t>Joint Undertaking on Smart Networks and Services</w:t>
      </w:r>
      <w:r>
        <w:rPr>
          <w:rFonts w:ascii="Times New Roman" w:hAnsi="Times New Roman" w:cs="Times New Roman"/>
        </w:rPr>
        <w:t xml:space="preserve"> to coordinate research and innovation activities on 6G technology under Horizon Europe as well</w:t>
      </w:r>
      <w:r>
        <w:rPr>
          <w:rFonts w:ascii="Times New Roman" w:hAnsi="Times New Roman" w:cs="Times New Roman"/>
        </w:rPr>
        <w:t xml:space="preserve"> as 5G deployment initiatives under the Connecting Europe Facility Digital and other programs. https://ec.europa.eu/digital-single-market/en/news/europe-puts-forward-proposal-joint-undertaking-smart-networks-and-services-towards-6g</w:t>
      </w:r>
    </w:p>
  </w:footnote>
  <w:footnote w:id="17">
    <w:p w:rsidR="0007764C" w:rsidRDefault="00A17FAC">
      <w:pPr>
        <w:pStyle w:val="FootnoteText"/>
        <w:ind w:left="567" w:hanging="567"/>
        <w:jc w:val="both"/>
        <w:rPr>
          <w:rFonts w:ascii="Times New Roman" w:hAnsi="Times New Roman" w:cs="Times New Roman"/>
        </w:rPr>
      </w:pPr>
      <w:r>
        <w:rPr>
          <w:rStyle w:val="FootnoteReference"/>
        </w:rPr>
        <w:footnoteRef/>
      </w:r>
      <w:r>
        <w:rPr>
          <w:rFonts w:ascii="Times New Roman" w:hAnsi="Times New Roman" w:cs="Times New Roman"/>
        </w:rPr>
        <w:t xml:space="preserve"> </w:t>
      </w:r>
      <w:r>
        <w:rPr>
          <w:rFonts w:ascii="Times New Roman" w:hAnsi="Times New Roman" w:cs="Times New Roman"/>
        </w:rPr>
        <w:tab/>
        <w:t>This ambition continu</w:t>
      </w:r>
      <w:r>
        <w:rPr>
          <w:rFonts w:ascii="Times New Roman" w:hAnsi="Times New Roman" w:cs="Times New Roman"/>
        </w:rPr>
        <w:t xml:space="preserve">es on the track proposed by the 2016 Commission Communication ‘Connectivity for a Competitive Digital Single Market – Towards a European Gigabit society’ and the 2025 targets set therein. </w:t>
      </w:r>
    </w:p>
  </w:footnote>
  <w:footnote w:id="18">
    <w:p w:rsidR="0007764C" w:rsidRDefault="00A17FAC">
      <w:pPr>
        <w:pStyle w:val="FootnoteText"/>
        <w:ind w:left="567" w:hanging="567"/>
        <w:jc w:val="both"/>
        <w:rPr>
          <w:rFonts w:ascii="Times New Roman" w:hAnsi="Times New Roman" w:cs="Times New Roman"/>
          <w:lang w:val="en-US"/>
        </w:rPr>
      </w:pPr>
      <w:r>
        <w:rPr>
          <w:rStyle w:val="FootnoteReference"/>
        </w:rPr>
        <w:footnoteRef/>
      </w:r>
      <w:r>
        <w:t xml:space="preserve">  </w:t>
      </w:r>
      <w:r>
        <w:tab/>
      </w:r>
      <w:r>
        <w:rPr>
          <w:rFonts w:ascii="Times New Roman" w:hAnsi="Times New Roman" w:cs="Times New Roman"/>
          <w:lang w:val="en-US"/>
        </w:rPr>
        <w:t>To contribute to this objective, the Commission adopted a propo</w:t>
      </w:r>
      <w:r>
        <w:rPr>
          <w:rFonts w:ascii="Times New Roman" w:hAnsi="Times New Roman" w:cs="Times New Roman"/>
          <w:lang w:val="en-US"/>
        </w:rPr>
        <w:t xml:space="preserve">sal to launch a </w:t>
      </w:r>
      <w:r>
        <w:rPr>
          <w:rFonts w:ascii="Times New Roman" w:hAnsi="Times New Roman" w:cs="Times New Roman" w:hint="eastAsia"/>
          <w:lang w:val="en-US"/>
        </w:rPr>
        <w:t xml:space="preserve">Joint Undertaking on </w:t>
      </w:r>
      <w:r>
        <w:rPr>
          <w:rFonts w:ascii="Times New Roman" w:hAnsi="Times New Roman" w:cs="Times New Roman"/>
          <w:lang w:val="en-US"/>
        </w:rPr>
        <w:t>Key Digital Technologies to coordinate research and innovation activities on semiconductor and processor technologies under Horizon Europe and has launched a European alliance on microprocessors.</w:t>
      </w:r>
    </w:p>
  </w:footnote>
  <w:footnote w:id="19">
    <w:p w:rsidR="0007764C" w:rsidRDefault="00A17FAC">
      <w:pPr>
        <w:pStyle w:val="FootnoteText"/>
        <w:ind w:left="567" w:hanging="567"/>
      </w:pPr>
      <w:r>
        <w:rPr>
          <w:rStyle w:val="FootnoteReference"/>
        </w:rPr>
        <w:footnoteRef/>
      </w:r>
      <w:r>
        <w:t xml:space="preserve"> </w:t>
      </w:r>
      <w:r>
        <w:tab/>
      </w:r>
      <w:r>
        <w:rPr>
          <w:rFonts w:ascii="Times New Roman" w:hAnsi="Times New Roman" w:cs="Times New Roman"/>
        </w:rPr>
        <w:t>The smaller the tech</w:t>
      </w:r>
      <w:r>
        <w:rPr>
          <w:rFonts w:ascii="Times New Roman" w:hAnsi="Times New Roman" w:cs="Times New Roman"/>
        </w:rPr>
        <w:t>nology node means the smaller the feature size, producing smaller transistors which are faster and more efficient.</w:t>
      </w:r>
    </w:p>
  </w:footnote>
  <w:footnote w:id="20">
    <w:p w:rsidR="0007764C" w:rsidRDefault="00A17FAC">
      <w:pPr>
        <w:pStyle w:val="FootnoteText"/>
        <w:ind w:left="567" w:hanging="567"/>
        <w:jc w:val="both"/>
        <w:rPr>
          <w:lang w:val="en-IE"/>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According to Eurostat’s data, while improved compared to 2018, only 36% of EU enterprises used cloud services in 2020, mostly for simple s</w:t>
      </w:r>
      <w:r>
        <w:rPr>
          <w:rFonts w:ascii="Times New Roman" w:hAnsi="Times New Roman" w:cs="Times New Roman"/>
        </w:rPr>
        <w:t>ervices such as e-mail and storage of files (only 19% of enterprises use advanced cloud services).</w:t>
      </w:r>
    </w:p>
  </w:footnote>
  <w:footnote w:id="21">
    <w:p w:rsidR="0007764C" w:rsidRDefault="00A17FAC">
      <w:pPr>
        <w:pStyle w:val="FootnoteText"/>
        <w:ind w:left="567" w:hanging="567"/>
        <w:jc w:val="both"/>
        <w:rPr>
          <w:rFonts w:ascii="Times New Roman" w:hAnsi="Times New Roman" w:cs="Times New Roman"/>
        </w:rPr>
      </w:pPr>
      <w:r>
        <w:rPr>
          <w:rStyle w:val="FootnoteReference"/>
        </w:rPr>
        <w:footnoteRef/>
      </w:r>
      <w:r>
        <w:rPr>
          <w:rStyle w:val="FootnoteReference"/>
        </w:rPr>
        <w:t xml:space="preserve"> </w:t>
      </w:r>
      <w:r>
        <w:rPr>
          <w:rFonts w:ascii="Times New Roman" w:hAnsi="Times New Roman" w:cs="Times New Roman"/>
        </w:rPr>
        <w:tab/>
        <w:t>The EU is acting to mitigate such concerns through mutually beneficial international cooperation, such as the proposed EU-U.S. Agreement to facilitate cro</w:t>
      </w:r>
      <w:r>
        <w:rPr>
          <w:rFonts w:ascii="Times New Roman" w:hAnsi="Times New Roman" w:cs="Times New Roman"/>
        </w:rPr>
        <w:t>ss border access to electronic evidence, alleviating the risk of conflict of laws and establishing clear safeguards for the data of EU citizens and companies.</w:t>
      </w:r>
    </w:p>
  </w:footnote>
  <w:footnote w:id="22">
    <w:p w:rsidR="0007764C" w:rsidRDefault="00A17FAC">
      <w:pPr>
        <w:pStyle w:val="FootnoteText"/>
        <w:ind w:left="567" w:hanging="567"/>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The declaration on cloud federation and alliance will contribute to this objective. </w:t>
      </w:r>
    </w:p>
  </w:footnote>
  <w:footnote w:id="23">
    <w:p w:rsidR="0007764C" w:rsidRDefault="00A17FAC">
      <w:pPr>
        <w:pStyle w:val="FootnoteText"/>
      </w:pPr>
      <w:r>
        <w:rPr>
          <w:rStyle w:val="FootnoteReference"/>
        </w:rPr>
        <w:footnoteRef/>
      </w:r>
      <w:r>
        <w:t xml:space="preserve"> An edge</w:t>
      </w:r>
      <w:r>
        <w:t xml:space="preserve"> node is a computer that acts as an end user portal (or “gateway”) for communication with other nodes in cluster computing, where components of a software system are shared among multiple computers.</w:t>
      </w:r>
    </w:p>
  </w:footnote>
  <w:footnote w:id="24">
    <w:p w:rsidR="0007764C" w:rsidRDefault="00A17FAC">
      <w:pPr>
        <w:pStyle w:val="FootnoteText"/>
        <w:ind w:left="567" w:hanging="567"/>
        <w:jc w:val="both"/>
      </w:pPr>
      <w:r>
        <w:rPr>
          <w:rStyle w:val="FootnoteReference"/>
        </w:rPr>
        <w:footnoteRef/>
      </w:r>
      <w:r>
        <w:t xml:space="preserve"> </w:t>
      </w:r>
      <w:r>
        <w:tab/>
      </w:r>
      <w:r>
        <w:rPr>
          <w:rFonts w:ascii="Times New Roman" w:eastAsiaTheme="minorEastAsia" w:hAnsi="Times New Roman" w:cs="Times New Roman"/>
          <w:lang w:val="en-US" w:eastAsia="fr-FR"/>
        </w:rPr>
        <w:t>For instance the EU’s Cybersecurity Strategy for the D</w:t>
      </w:r>
      <w:r>
        <w:rPr>
          <w:rFonts w:ascii="Times New Roman" w:eastAsiaTheme="minorEastAsia" w:hAnsi="Times New Roman" w:cs="Times New Roman"/>
          <w:lang w:val="en-US" w:eastAsia="fr-FR"/>
        </w:rPr>
        <w:t>igital Decade, Digital Services Act and Digital Markets Act, the European Digital Identity, the Media and Audiovisual Action Plan, the European Democracy Action Plan, the Digital Finance Strategy, the Data and AI strategies,</w:t>
      </w:r>
      <w:r>
        <w:t xml:space="preserve"> Platform to Business </w:t>
      </w:r>
      <w:r>
        <w:rPr>
          <w:rFonts w:ascii="Times New Roman" w:eastAsiaTheme="minorEastAsia" w:hAnsi="Times New Roman" w:cs="Times New Roman"/>
          <w:lang w:val="en-US" w:eastAsia="fr-FR"/>
        </w:rPr>
        <w:t xml:space="preserve">Regulation and Geo-blocking Regulation </w:t>
      </w:r>
      <w:r>
        <w:t>.</w:t>
      </w:r>
    </w:p>
  </w:footnote>
  <w:footnote w:id="25">
    <w:p w:rsidR="0007764C" w:rsidRDefault="00A17FAC">
      <w:pPr>
        <w:pStyle w:val="FootnoteText"/>
        <w:tabs>
          <w:tab w:val="left" w:pos="567"/>
        </w:tabs>
        <w:ind w:left="567" w:hanging="567"/>
        <w:jc w:val="both"/>
        <w:rPr>
          <w:lang w:val="en-US"/>
        </w:rPr>
      </w:pPr>
      <w:r>
        <w:rPr>
          <w:rStyle w:val="FootnoteReference"/>
        </w:rPr>
        <w:footnoteRef/>
      </w:r>
      <w:r>
        <w:t xml:space="preserve"> </w:t>
      </w:r>
      <w:r>
        <w:tab/>
        <w:t>S</w:t>
      </w:r>
      <w:r>
        <w:rPr>
          <w:rFonts w:ascii="Times New Roman" w:hAnsi="Times New Roman"/>
        </w:rPr>
        <w:t>ource</w:t>
      </w:r>
      <w:r>
        <w:t xml:space="preserve"> </w:t>
      </w:r>
      <w:r>
        <w:rPr>
          <w:rFonts w:ascii="Times New Roman" w:hAnsi="Times New Roman" w:cs="Times New Roman"/>
        </w:rPr>
        <w:t xml:space="preserve">McKinsey report, </w:t>
      </w:r>
      <w:r>
        <w:rPr>
          <w:rFonts w:ascii="Times New Roman" w:hAnsi="Times New Roman"/>
          <w:i/>
        </w:rPr>
        <w:t>Shaping the digital transformation in Europe</w:t>
      </w:r>
      <w:r>
        <w:rPr>
          <w:rFonts w:ascii="Times New Roman" w:hAnsi="Times New Roman" w:cs="Times New Roman"/>
        </w:rPr>
        <w:t>, September 2020.</w:t>
      </w:r>
    </w:p>
  </w:footnote>
  <w:footnote w:id="26">
    <w:p w:rsidR="0007764C" w:rsidRDefault="00A17FAC">
      <w:pPr>
        <w:pStyle w:val="FootnoteText"/>
        <w:ind w:left="567" w:hanging="567"/>
        <w:rPr>
          <w:rFonts w:ascii="Times New Roman" w:hAnsi="Times New Roman" w:cs="Times New Roman"/>
          <w:lang w:val="en-IE"/>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Europe's next leaders: the Start-up and Scale-up Initiative, COM/2016/0733 final.</w:t>
      </w:r>
    </w:p>
  </w:footnote>
  <w:footnote w:id="27">
    <w:p w:rsidR="0007764C" w:rsidRDefault="00A17FAC">
      <w:pPr>
        <w:pStyle w:val="FootnoteText"/>
        <w:ind w:left="567" w:hanging="567"/>
        <w:rPr>
          <w:rFonts w:ascii="Times New Roman" w:hAnsi="Times New Roman" w:cs="Times New Roman"/>
          <w:lang w:val="en-IE"/>
        </w:rPr>
      </w:pPr>
      <w:r>
        <w:rPr>
          <w:rStyle w:val="FootnoteReference"/>
        </w:rPr>
        <w:footnoteRef/>
      </w:r>
      <w:r>
        <w:t xml:space="preserve"> </w:t>
      </w:r>
      <w:r>
        <w:tab/>
      </w:r>
      <w:r>
        <w:rPr>
          <w:rFonts w:ascii="Times New Roman" w:hAnsi="Times New Roman" w:cs="Times New Roman"/>
        </w:rPr>
        <w:t xml:space="preserve">A deepening of the EU’s Capital </w:t>
      </w:r>
      <w:r>
        <w:rPr>
          <w:rFonts w:ascii="Times New Roman" w:hAnsi="Times New Roman" w:cs="Times New Roman"/>
        </w:rPr>
        <w:t>Markets Union, a strengthening of the mobilisation of private finance as well as funding from Horizon Europe, the European Innovation Council and InvestEU will be important.</w:t>
      </w:r>
    </w:p>
  </w:footnote>
  <w:footnote w:id="28">
    <w:p w:rsidR="0007764C" w:rsidRDefault="00A17FAC">
      <w:pPr>
        <w:pStyle w:val="FootnoteText"/>
        <w:ind w:left="567" w:hanging="567"/>
        <w:rPr>
          <w:lang w:val="en-IE"/>
        </w:rPr>
      </w:pPr>
      <w:r>
        <w:rPr>
          <w:rStyle w:val="FootnoteReference"/>
        </w:rPr>
        <w:footnoteRef/>
      </w:r>
      <w:r>
        <w:rPr>
          <w:lang w:val="en-IE"/>
        </w:rPr>
        <w:tab/>
      </w:r>
      <w:r>
        <w:rPr>
          <w:rFonts w:ascii="Times New Roman" w:hAnsi="Times New Roman" w:cs="Times New Roman"/>
        </w:rPr>
        <w:t>https://ec.europa.eu/digital-single-market/en/startup-europe</w:t>
      </w:r>
    </w:p>
  </w:footnote>
  <w:footnote w:id="29">
    <w:p w:rsidR="0007764C" w:rsidRDefault="00A17FAC">
      <w:pPr>
        <w:pStyle w:val="FootnoteText"/>
        <w:ind w:left="567" w:hanging="567"/>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lang w:val="en-IE"/>
        </w:rPr>
        <w:tab/>
      </w:r>
      <w:r>
        <w:rPr>
          <w:rFonts w:ascii="Times New Roman" w:hAnsi="Times New Roman" w:cs="Times New Roman"/>
        </w:rPr>
        <w:t xml:space="preserve">An SME Strategy </w:t>
      </w:r>
      <w:r>
        <w:rPr>
          <w:rFonts w:ascii="Times New Roman" w:hAnsi="Times New Roman" w:cs="Times New Roman"/>
        </w:rPr>
        <w:t>for a sustainable and digital Europe, COM/2020/103 final.</w:t>
      </w:r>
    </w:p>
  </w:footnote>
  <w:footnote w:id="30">
    <w:p w:rsidR="0007764C" w:rsidRDefault="00A17FAC">
      <w:pPr>
        <w:pStyle w:val="FootnoteText"/>
        <w:ind w:left="567" w:hanging="567"/>
        <w:rPr>
          <w:rFonts w:ascii="Times New Roman" w:hAnsi="Times New Roman" w:cs="Times New Roman"/>
        </w:rPr>
      </w:pPr>
      <w:r>
        <w:rPr>
          <w:rStyle w:val="FootnoteReference"/>
        </w:rPr>
        <w:footnoteRef/>
      </w:r>
      <w:r>
        <w:t xml:space="preserve"> </w:t>
      </w:r>
      <w:r>
        <w:tab/>
      </w:r>
      <w:r>
        <w:rPr>
          <w:rFonts w:ascii="Times New Roman" w:hAnsi="Times New Roman" w:cs="Times New Roman"/>
        </w:rPr>
        <w:t>The Digital Intensity Index (DII) measures the use of different digital technologies at enterprise level. The DII score (0-12) of an enterprise is determined by how many of the selected digital t</w:t>
      </w:r>
      <w:r>
        <w:rPr>
          <w:rFonts w:ascii="Times New Roman" w:hAnsi="Times New Roman" w:cs="Times New Roman"/>
        </w:rPr>
        <w:t>echnologies it uses. A basic level of digital intensity corresponds to a situation where an enterprise scores 4 or more.</w:t>
      </w:r>
    </w:p>
  </w:footnote>
  <w:footnote w:id="31">
    <w:p w:rsidR="0007764C" w:rsidRDefault="00A17FAC">
      <w:pPr>
        <w:pStyle w:val="FootnoteText"/>
        <w:ind w:left="567" w:hanging="56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By unicorns we understand here both: 1) realised unicorn, i.e. companies founded after 1990 that have had an IPO or trade sale above</w:t>
      </w:r>
      <w:r>
        <w:rPr>
          <w:rFonts w:ascii="Times New Roman" w:hAnsi="Times New Roman" w:cs="Times New Roman"/>
        </w:rPr>
        <w:t xml:space="preserve"> $1 billion and 2) unrealised unicorn, i.e. companies that have been valued at or over $1 billion in their last private venture funding round (meaning the valuation has not been confirmed in a secondary transaction). </w:t>
      </w:r>
    </w:p>
  </w:footnote>
  <w:footnote w:id="32">
    <w:p w:rsidR="0007764C" w:rsidRDefault="00A17FAC">
      <w:pPr>
        <w:pStyle w:val="FootnoteText"/>
        <w:ind w:left="567" w:hanging="567"/>
        <w:rPr>
          <w:rFonts w:ascii="Times New Roman" w:hAnsi="Times New Roman" w:cs="Times New Roman"/>
          <w:lang w:val="en-IE"/>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lang w:val="en-IE"/>
        </w:rPr>
        <w:tab/>
        <w:t>While public services will always b</w:t>
      </w:r>
      <w:r>
        <w:rPr>
          <w:rFonts w:ascii="Times New Roman" w:hAnsi="Times New Roman" w:cs="Times New Roman"/>
          <w:lang w:val="en-IE"/>
        </w:rPr>
        <w:t>e accessible in person, successful digital transformation will make digital the preferred way for people to access them.</w:t>
      </w:r>
    </w:p>
  </w:footnote>
  <w:footnote w:id="33">
    <w:p w:rsidR="0007764C" w:rsidRDefault="00A17FAC">
      <w:pPr>
        <w:pStyle w:val="FootnoteText"/>
        <w:ind w:left="567" w:hanging="56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t>Cf. in particular the Berlin Declaration on Digital Society and Value-based Digital Government, December 2020. The digitisation effor</w:t>
      </w:r>
      <w:r>
        <w:rPr>
          <w:rFonts w:ascii="Times New Roman" w:hAnsi="Times New Roman" w:cs="Times New Roman"/>
        </w:rPr>
        <w:t>t mandated by the EU Single Digital Gateway should be extended to other sectors so that citizens and businesses can interact digitally will all parts of national administrations.</w:t>
      </w:r>
    </w:p>
  </w:footnote>
  <w:footnote w:id="34">
    <w:p w:rsidR="0007764C" w:rsidRDefault="00A17FAC">
      <w:pPr>
        <w:pStyle w:val="FootnoteText"/>
        <w:ind w:left="567" w:hanging="567"/>
      </w:pPr>
      <w:r>
        <w:rPr>
          <w:rStyle w:val="FootnoteReference"/>
          <w:rFonts w:ascii="Times New Roman" w:hAnsi="Times New Roman" w:cs="Times New Roman"/>
        </w:rPr>
        <w:footnoteRef/>
      </w:r>
      <w:r>
        <w:rPr>
          <w:rStyle w:val="FootnoteReference"/>
          <w:rFonts w:ascii="Times New Roman" w:hAnsi="Times New Roman" w:cs="Times New Roman"/>
        </w:rPr>
        <w:t xml:space="preserve"> </w:t>
      </w:r>
      <w:r>
        <w:tab/>
      </w:r>
      <w:r>
        <w:rPr>
          <w:rFonts w:ascii="Times New Roman" w:hAnsi="Times New Roman" w:cs="Times New Roman"/>
        </w:rPr>
        <w:t>In France, there were 10,000 teleconsultations per day in early March 2021</w:t>
      </w:r>
      <w:r>
        <w:rPr>
          <w:rFonts w:ascii="Times New Roman" w:hAnsi="Times New Roman" w:cs="Times New Roman"/>
        </w:rPr>
        <w:t xml:space="preserve"> and this grew to 1 million per day by the end of March – according to Digital Health Partnership.</w:t>
      </w:r>
    </w:p>
  </w:footnote>
  <w:footnote w:id="35">
    <w:p w:rsidR="0007764C" w:rsidRDefault="00A17FAC">
      <w:pPr>
        <w:pStyle w:val="FootnoteText"/>
        <w:ind w:left="567" w:hanging="567"/>
      </w:pPr>
      <w:r>
        <w:rPr>
          <w:rStyle w:val="FootnoteReference"/>
          <w:rFonts w:ascii="Times New Roman" w:hAnsi="Times New Roman" w:cs="Times New Roman"/>
        </w:rPr>
        <w:footnoteRef/>
      </w:r>
      <w:r>
        <w:rPr>
          <w:rFonts w:ascii="Times New Roman" w:hAnsi="Times New Roman" w:cs="Times New Roman"/>
        </w:rPr>
        <w:t xml:space="preserve"> </w:t>
      </w:r>
      <w:r>
        <w:tab/>
      </w:r>
      <w:r>
        <w:rPr>
          <w:rStyle w:val="Hyperlink"/>
          <w:rFonts w:ascii="Times New Roman" w:hAnsi="Times New Roman" w:cs="Times New Roman"/>
        </w:rPr>
        <w:t>https://ec.europa.eu/environment/gpp/eu_gpp_criteria_en.htm</w:t>
      </w:r>
    </w:p>
  </w:footnote>
  <w:footnote w:id="36">
    <w:p w:rsidR="0007764C" w:rsidRDefault="00A17FAC">
      <w:pPr>
        <w:pStyle w:val="FootnoteText"/>
        <w:ind w:left="567" w:hanging="567"/>
      </w:pPr>
      <w:r>
        <w:rPr>
          <w:rStyle w:val="FootnoteReference"/>
        </w:rPr>
        <w:footnoteRef/>
      </w:r>
      <w:r>
        <w:t xml:space="preserve"> </w:t>
      </w:r>
      <w:r>
        <w:tab/>
      </w:r>
      <w:r>
        <w:rPr>
          <w:rFonts w:ascii="Times New Roman" w:hAnsi="Times New Roman" w:cs="Times New Roman"/>
        </w:rPr>
        <w:t xml:space="preserve">Communication from the Commission on the Digitalisation of justice in the European Union A </w:t>
      </w:r>
      <w:r>
        <w:rPr>
          <w:rFonts w:ascii="Times New Roman" w:hAnsi="Times New Roman" w:cs="Times New Roman"/>
        </w:rPr>
        <w:t>toolbox of opportunities, COM(2020) 710 final.</w:t>
      </w:r>
    </w:p>
  </w:footnote>
  <w:footnote w:id="37">
    <w:p w:rsidR="0007764C" w:rsidRDefault="00A17FAC">
      <w:pPr>
        <w:pStyle w:val="FootnoteText"/>
        <w:ind w:left="567" w:hanging="567"/>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tab/>
      </w:r>
      <w:r>
        <w:rPr>
          <w:rFonts w:ascii="Times New Roman" w:hAnsi="Times New Roman" w:cs="Times New Roman"/>
        </w:rPr>
        <w:t>85% of criminal investigations rely on electronic evidence.</w:t>
      </w:r>
    </w:p>
  </w:footnote>
  <w:footnote w:id="38">
    <w:p w:rsidR="0007764C" w:rsidRDefault="00A17FAC">
      <w:pPr>
        <w:pStyle w:val="FootnoteText"/>
        <w:ind w:left="567" w:hanging="56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This is the case of existing legislation, e.g. the Consumer Sales and Guarantees Directive, the European Accessibility Act, the European </w:t>
      </w:r>
      <w:r>
        <w:rPr>
          <w:rFonts w:ascii="Times New Roman" w:hAnsi="Times New Roman" w:cs="Times New Roman"/>
        </w:rPr>
        <w:t>Electronic Communication Code, the Audiovisual Media Service Directive, the Single Digital Gateway Regulation or the Cybersecurity Act, as well as legislation that has been proposed and should be rapidly adopted by the EU co-legislators and ratified by nat</w:t>
      </w:r>
      <w:r>
        <w:rPr>
          <w:rFonts w:ascii="Times New Roman" w:hAnsi="Times New Roman" w:cs="Times New Roman"/>
        </w:rPr>
        <w:t>ional Parliaments such as the Digital Services Act and the Digital Markets Act.</w:t>
      </w:r>
    </w:p>
  </w:footnote>
  <w:footnote w:id="39">
    <w:p w:rsidR="0007764C" w:rsidRDefault="00A17FAC">
      <w:pPr>
        <w:pStyle w:val="FootnoteText"/>
        <w:ind w:left="567" w:hanging="567"/>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See below paragraph 5.1</w:t>
      </w:r>
    </w:p>
  </w:footnote>
  <w:footnote w:id="40">
    <w:p w:rsidR="0007764C" w:rsidRDefault="00A17FAC">
      <w:pPr>
        <w:pStyle w:val="FootnoteText"/>
        <w:ind w:left="567" w:hanging="567"/>
        <w:jc w:val="both"/>
      </w:pPr>
      <w:r>
        <w:rPr>
          <w:rStyle w:val="FootnoteReference"/>
          <w:rFonts w:ascii="Times New Roman" w:hAnsi="Times New Roman" w:cs="Times New Roman"/>
        </w:rPr>
        <w:footnoteRef/>
      </w:r>
      <w:r>
        <w:rPr>
          <w:rStyle w:val="FootnoteReference"/>
          <w:rFonts w:ascii="Times New Roman" w:hAnsi="Times New Roman" w:cs="Times New Roman"/>
        </w:rPr>
        <w:t xml:space="preserve"> </w:t>
      </w:r>
      <w:r>
        <w:tab/>
      </w:r>
      <w:r>
        <w:rPr>
          <w:rFonts w:ascii="Times New Roman" w:hAnsi="Times New Roman"/>
        </w:rPr>
        <w:t>See below paragraph 5.2</w:t>
      </w:r>
      <w:r>
        <w:t>.</w:t>
      </w:r>
    </w:p>
  </w:footnote>
  <w:footnote w:id="41">
    <w:p w:rsidR="0007764C" w:rsidRDefault="00A17FAC">
      <w:pPr>
        <w:pStyle w:val="FootnoteText"/>
        <w:ind w:left="567" w:hanging="567"/>
        <w:jc w:val="both"/>
      </w:pPr>
      <w:r>
        <w:rPr>
          <w:rStyle w:val="FootnoteReference"/>
        </w:rPr>
        <w:footnoteRef/>
      </w:r>
      <w:r>
        <w:t xml:space="preserve"> </w:t>
      </w:r>
      <w:r>
        <w:tab/>
        <w:t>P</w:t>
      </w:r>
      <w:r>
        <w:rPr>
          <w:rFonts w:ascii="Times New Roman" w:hAnsi="Times New Roman" w:cs="Times New Roman"/>
        </w:rPr>
        <w:t xml:space="preserve">ossibly similar to the </w:t>
      </w:r>
      <w:hyperlink r:id="rId3" w:tgtFrame="_blank" w:history="1">
        <w:r>
          <w:rPr>
            <w:rFonts w:ascii="Times New Roman" w:hAnsi="Times New Roman" w:cs="Times New Roman"/>
          </w:rPr>
          <w:t>Radio Spectrum Policy Programme</w:t>
        </w:r>
      </w:hyperlink>
      <w:r>
        <w:rPr>
          <w:rFonts w:ascii="Times New Roman" w:hAnsi="Times New Roman" w:cs="Times New Roman"/>
        </w:rPr>
        <w:t xml:space="preserve"> (RSPP) approved on 14 March 2012 by the European Parliament and Council. This Decision created a comprehensive roadmap, set general principles and called for concrete actions to meet the objectives of EU policies</w:t>
      </w:r>
      <w:r>
        <w:rPr>
          <w:rFonts w:ascii="Times New Roman" w:hAnsi="Times New Roman" w:cs="Times New Roman"/>
        </w:rPr>
        <w:t xml:space="preserve"> for radio spectrum use</w:t>
      </w:r>
      <w:r>
        <w:t xml:space="preserve">. </w:t>
      </w:r>
    </w:p>
  </w:footnote>
  <w:footnote w:id="42">
    <w:p w:rsidR="0007764C" w:rsidRDefault="00A17FAC">
      <w:pPr>
        <w:pStyle w:val="FootnoteText"/>
        <w:ind w:left="567" w:hanging="567"/>
        <w:jc w:val="both"/>
        <w:rPr>
          <w:rFonts w:ascii="Times New Roman" w:hAnsi="Times New Roman" w:cs="Times New Roman"/>
        </w:rPr>
      </w:pPr>
      <w:r>
        <w:rPr>
          <w:rStyle w:val="FootnoteReference"/>
        </w:rPr>
        <w:footnoteRef/>
      </w:r>
      <w:r>
        <w:rPr>
          <w:rStyle w:val="FootnoteReference"/>
        </w:rPr>
        <w:t xml:space="preserve"> </w:t>
      </w:r>
      <w:r>
        <w:tab/>
      </w:r>
      <w:r>
        <w:rPr>
          <w:rFonts w:ascii="Times New Roman" w:hAnsi="Times New Roman" w:cs="Times New Roman"/>
        </w:rPr>
        <w:t>While the key targets for the four cardinal points will be defined in the digital policy programme, the digital principles will be laid down in the inter-institutional solemn declaration mentioned above.</w:t>
      </w:r>
    </w:p>
  </w:footnote>
  <w:footnote w:id="43">
    <w:p w:rsidR="0007764C" w:rsidRDefault="00A17FAC">
      <w:pPr>
        <w:pStyle w:val="FootnoteText"/>
        <w:ind w:left="567" w:hanging="567"/>
        <w:jc w:val="both"/>
        <w:rPr>
          <w:rFonts w:ascii="Times New Roman" w:hAnsi="Times New Roman" w:cs="Times New Roman"/>
        </w:rPr>
      </w:pPr>
      <w:r>
        <w:rPr>
          <w:rStyle w:val="FootnoteReference"/>
        </w:rPr>
        <w:footnoteRef/>
      </w:r>
      <w:r>
        <w:t xml:space="preserve"> </w:t>
      </w:r>
      <w:r>
        <w:tab/>
      </w:r>
      <w:r>
        <w:rPr>
          <w:rFonts w:ascii="Times New Roman" w:hAnsi="Times New Roman" w:cs="Times New Roman"/>
        </w:rPr>
        <w:t>Member States are cu</w:t>
      </w:r>
      <w:r>
        <w:rPr>
          <w:rFonts w:ascii="Times New Roman" w:hAnsi="Times New Roman" w:cs="Times New Roman"/>
        </w:rPr>
        <w:t>rrently already providing relevant information for the DESI index, therefore there will not be a significant increment of the reporting requests, while at the same time DESI will become an official and concerted instrument. Member States will have a key ro</w:t>
      </w:r>
      <w:r>
        <w:rPr>
          <w:rFonts w:ascii="Times New Roman" w:hAnsi="Times New Roman" w:cs="Times New Roman"/>
        </w:rPr>
        <w:t xml:space="preserve">le in defining the relevant target and indicators, as well as in the enforcing mechanism.  </w:t>
      </w:r>
    </w:p>
  </w:footnote>
  <w:footnote w:id="44">
    <w:p w:rsidR="0007764C" w:rsidRDefault="00A17FAC">
      <w:pPr>
        <w:pStyle w:val="FootnoteText"/>
        <w:ind w:left="567" w:hanging="567"/>
      </w:pPr>
      <w:r>
        <w:rPr>
          <w:rStyle w:val="FootnoteReference"/>
        </w:rPr>
        <w:footnoteRef/>
      </w:r>
      <w:r>
        <w:t xml:space="preserve"> </w:t>
      </w:r>
      <w:r>
        <w:tab/>
      </w:r>
      <w:r>
        <w:rPr>
          <w:rFonts w:ascii="Times New Roman" w:eastAsiaTheme="minorEastAsia" w:hAnsi="Times New Roman" w:cs="Times New Roman"/>
          <w:lang w:val="en-US" w:eastAsia="fr-FR"/>
        </w:rPr>
        <w:t xml:space="preserve">This could encompass, for instance, a further harmonization of spectrum policies. </w:t>
      </w:r>
    </w:p>
  </w:footnote>
  <w:footnote w:id="45">
    <w:p w:rsidR="0007764C" w:rsidRDefault="00A17FAC">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rPr>
        <w:t>The list of multi-country projects provided is indicative. Eligibility for f</w:t>
      </w:r>
      <w:r>
        <w:rPr>
          <w:rFonts w:ascii="Times New Roman" w:hAnsi="Times New Roman" w:cs="Times New Roman"/>
        </w:rPr>
        <w:t>unding from the Recovery and Resilience Facility of any of these projects depends on full compliance with Regulation (EU) 2021/241 of the European Parliament and of the Council.</w:t>
      </w:r>
    </w:p>
  </w:footnote>
  <w:footnote w:id="46">
    <w:p w:rsidR="0007764C" w:rsidRDefault="00A17FAC">
      <w:pPr>
        <w:pStyle w:val="FootnoteText"/>
        <w:ind w:left="567" w:hanging="567"/>
        <w:jc w:val="both"/>
        <w:rPr>
          <w:rFonts w:ascii="Times New Roman" w:hAnsi="Times New Roman" w:cs="Times New Roman"/>
        </w:rPr>
      </w:pPr>
      <w:r>
        <w:rPr>
          <w:rStyle w:val="FootnoteReference"/>
        </w:rPr>
        <w:footnoteRef/>
      </w:r>
      <w:r>
        <w:t xml:space="preserve"> </w:t>
      </w:r>
      <w:r>
        <w:tab/>
        <w:t xml:space="preserve">E.g. </w:t>
      </w:r>
      <w:r>
        <w:rPr>
          <w:rFonts w:ascii="Times New Roman" w:hAnsi="Times New Roman" w:cs="Times New Roman"/>
        </w:rPr>
        <w:t>Joint Undertakings, European Research Infrastructure Consortia, Non-pr</w:t>
      </w:r>
      <w:r>
        <w:rPr>
          <w:rFonts w:ascii="Times New Roman" w:hAnsi="Times New Roman" w:cs="Times New Roman"/>
        </w:rPr>
        <w:t>ofit associations, Important Projects of Common European Interest.</w:t>
      </w:r>
    </w:p>
  </w:footnote>
  <w:footnote w:id="47">
    <w:p w:rsidR="0007764C" w:rsidRDefault="00A17FAC">
      <w:pPr>
        <w:pStyle w:val="FootnoteText"/>
        <w:ind w:left="567" w:hanging="567"/>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Notably through the Neighbourhood, Development and International Cooperation Instrument, but also through its Connecting Europe Facility.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764C" w:rsidRDefault="0007764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764C" w:rsidRDefault="0007764C">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764C" w:rsidRDefault="0007764C">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764C" w:rsidRDefault="0007764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764C" w:rsidRDefault="0007764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764C" w:rsidRDefault="000776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A3539"/>
    <w:multiLevelType w:val="hybridMultilevel"/>
    <w:tmpl w:val="EF588D76"/>
    <w:lvl w:ilvl="0" w:tplc="08090001">
      <w:start w:val="1"/>
      <w:numFmt w:val="bullet"/>
      <w:lvlText w:val=""/>
      <w:lvlJc w:val="left"/>
      <w:pPr>
        <w:ind w:left="1083" w:hanging="360"/>
      </w:pPr>
      <w:rPr>
        <w:rFonts w:ascii="Symbol" w:hAnsi="Symbol" w:hint="default"/>
      </w:rPr>
    </w:lvl>
    <w:lvl w:ilvl="1" w:tplc="04090003" w:tentative="1">
      <w:start w:val="1"/>
      <w:numFmt w:val="bullet"/>
      <w:lvlText w:val="o"/>
      <w:lvlJc w:val="left"/>
      <w:pPr>
        <w:ind w:left="1803" w:hanging="360"/>
      </w:pPr>
      <w:rPr>
        <w:rFonts w:ascii="Courier New" w:hAnsi="Courier New" w:cs="Courier New" w:hint="default"/>
      </w:rPr>
    </w:lvl>
    <w:lvl w:ilvl="2" w:tplc="04090005" w:tentative="1">
      <w:start w:val="1"/>
      <w:numFmt w:val="bullet"/>
      <w:lvlText w:val=""/>
      <w:lvlJc w:val="left"/>
      <w:pPr>
        <w:ind w:left="2523" w:hanging="360"/>
      </w:pPr>
      <w:rPr>
        <w:rFonts w:ascii="Wingdings" w:hAnsi="Wingdings" w:hint="default"/>
      </w:rPr>
    </w:lvl>
    <w:lvl w:ilvl="3" w:tplc="04090001" w:tentative="1">
      <w:start w:val="1"/>
      <w:numFmt w:val="bullet"/>
      <w:lvlText w:val=""/>
      <w:lvlJc w:val="left"/>
      <w:pPr>
        <w:ind w:left="3243" w:hanging="360"/>
      </w:pPr>
      <w:rPr>
        <w:rFonts w:ascii="Symbol" w:hAnsi="Symbol" w:hint="default"/>
      </w:rPr>
    </w:lvl>
    <w:lvl w:ilvl="4" w:tplc="04090003" w:tentative="1">
      <w:start w:val="1"/>
      <w:numFmt w:val="bullet"/>
      <w:lvlText w:val="o"/>
      <w:lvlJc w:val="left"/>
      <w:pPr>
        <w:ind w:left="3963" w:hanging="360"/>
      </w:pPr>
      <w:rPr>
        <w:rFonts w:ascii="Courier New" w:hAnsi="Courier New" w:cs="Courier New" w:hint="default"/>
      </w:rPr>
    </w:lvl>
    <w:lvl w:ilvl="5" w:tplc="04090005" w:tentative="1">
      <w:start w:val="1"/>
      <w:numFmt w:val="bullet"/>
      <w:lvlText w:val=""/>
      <w:lvlJc w:val="left"/>
      <w:pPr>
        <w:ind w:left="4683" w:hanging="360"/>
      </w:pPr>
      <w:rPr>
        <w:rFonts w:ascii="Wingdings" w:hAnsi="Wingdings" w:hint="default"/>
      </w:rPr>
    </w:lvl>
    <w:lvl w:ilvl="6" w:tplc="04090001" w:tentative="1">
      <w:start w:val="1"/>
      <w:numFmt w:val="bullet"/>
      <w:lvlText w:val=""/>
      <w:lvlJc w:val="left"/>
      <w:pPr>
        <w:ind w:left="5403" w:hanging="360"/>
      </w:pPr>
      <w:rPr>
        <w:rFonts w:ascii="Symbol" w:hAnsi="Symbol" w:hint="default"/>
      </w:rPr>
    </w:lvl>
    <w:lvl w:ilvl="7" w:tplc="04090003" w:tentative="1">
      <w:start w:val="1"/>
      <w:numFmt w:val="bullet"/>
      <w:lvlText w:val="o"/>
      <w:lvlJc w:val="left"/>
      <w:pPr>
        <w:ind w:left="6123" w:hanging="360"/>
      </w:pPr>
      <w:rPr>
        <w:rFonts w:ascii="Courier New" w:hAnsi="Courier New" w:cs="Courier New" w:hint="default"/>
      </w:rPr>
    </w:lvl>
    <w:lvl w:ilvl="8" w:tplc="04090005" w:tentative="1">
      <w:start w:val="1"/>
      <w:numFmt w:val="bullet"/>
      <w:lvlText w:val=""/>
      <w:lvlJc w:val="left"/>
      <w:pPr>
        <w:ind w:left="6843" w:hanging="360"/>
      </w:pPr>
      <w:rPr>
        <w:rFonts w:ascii="Wingdings" w:hAnsi="Wingdings" w:hint="default"/>
      </w:rPr>
    </w:lvl>
  </w:abstractNum>
  <w:abstractNum w:abstractNumId="1" w15:restartNumberingAfterBreak="0">
    <w:nsid w:val="04717F85"/>
    <w:multiLevelType w:val="hybridMultilevel"/>
    <w:tmpl w:val="9C3070D6"/>
    <w:lvl w:ilvl="0" w:tplc="DA4089A2">
      <w:numFmt w:val="bullet"/>
      <w:lvlText w:val=""/>
      <w:lvlJc w:val="left"/>
      <w:pPr>
        <w:ind w:left="1060" w:hanging="700"/>
      </w:pPr>
      <w:rPr>
        <w:rFonts w:ascii="Symbol" w:eastAsiaTheme="minorEastAsia" w:hAnsi="Symbol"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4C241F2"/>
    <w:multiLevelType w:val="hybridMultilevel"/>
    <w:tmpl w:val="5F4E8660"/>
    <w:lvl w:ilvl="0" w:tplc="623E66CE">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5136A2"/>
    <w:multiLevelType w:val="hybridMultilevel"/>
    <w:tmpl w:val="32B499FE"/>
    <w:lvl w:ilvl="0" w:tplc="08090001">
      <w:start w:val="1"/>
      <w:numFmt w:val="bullet"/>
      <w:lvlText w:val=""/>
      <w:lvlJc w:val="left"/>
      <w:pPr>
        <w:ind w:left="457" w:hanging="360"/>
      </w:pPr>
      <w:rPr>
        <w:rFonts w:ascii="Symbol" w:hAnsi="Symbol" w:hint="default"/>
      </w:rPr>
    </w:lvl>
    <w:lvl w:ilvl="1" w:tplc="08090003">
      <w:start w:val="1"/>
      <w:numFmt w:val="bullet"/>
      <w:lvlText w:val="o"/>
      <w:lvlJc w:val="left"/>
      <w:pPr>
        <w:ind w:left="1395" w:hanging="360"/>
      </w:pPr>
      <w:rPr>
        <w:rFonts w:ascii="Courier New" w:hAnsi="Courier New" w:cs="Courier New" w:hint="default"/>
      </w:rPr>
    </w:lvl>
    <w:lvl w:ilvl="2" w:tplc="08090005">
      <w:start w:val="1"/>
      <w:numFmt w:val="bullet"/>
      <w:lvlText w:val=""/>
      <w:lvlJc w:val="left"/>
      <w:pPr>
        <w:ind w:left="2115" w:hanging="360"/>
      </w:pPr>
      <w:rPr>
        <w:rFonts w:ascii="Wingdings" w:hAnsi="Wingdings" w:hint="default"/>
      </w:rPr>
    </w:lvl>
    <w:lvl w:ilvl="3" w:tplc="08090001" w:tentative="1">
      <w:start w:val="1"/>
      <w:numFmt w:val="bullet"/>
      <w:lvlText w:val=""/>
      <w:lvlJc w:val="left"/>
      <w:pPr>
        <w:ind w:left="2835" w:hanging="360"/>
      </w:pPr>
      <w:rPr>
        <w:rFonts w:ascii="Symbol" w:hAnsi="Symbol" w:hint="default"/>
      </w:rPr>
    </w:lvl>
    <w:lvl w:ilvl="4" w:tplc="08090003" w:tentative="1">
      <w:start w:val="1"/>
      <w:numFmt w:val="bullet"/>
      <w:lvlText w:val="o"/>
      <w:lvlJc w:val="left"/>
      <w:pPr>
        <w:ind w:left="3555" w:hanging="360"/>
      </w:pPr>
      <w:rPr>
        <w:rFonts w:ascii="Courier New" w:hAnsi="Courier New" w:cs="Courier New" w:hint="default"/>
      </w:rPr>
    </w:lvl>
    <w:lvl w:ilvl="5" w:tplc="08090005" w:tentative="1">
      <w:start w:val="1"/>
      <w:numFmt w:val="bullet"/>
      <w:lvlText w:val=""/>
      <w:lvlJc w:val="left"/>
      <w:pPr>
        <w:ind w:left="4275" w:hanging="360"/>
      </w:pPr>
      <w:rPr>
        <w:rFonts w:ascii="Wingdings" w:hAnsi="Wingdings" w:hint="default"/>
      </w:rPr>
    </w:lvl>
    <w:lvl w:ilvl="6" w:tplc="08090001" w:tentative="1">
      <w:start w:val="1"/>
      <w:numFmt w:val="bullet"/>
      <w:lvlText w:val=""/>
      <w:lvlJc w:val="left"/>
      <w:pPr>
        <w:ind w:left="4995" w:hanging="360"/>
      </w:pPr>
      <w:rPr>
        <w:rFonts w:ascii="Symbol" w:hAnsi="Symbol" w:hint="default"/>
      </w:rPr>
    </w:lvl>
    <w:lvl w:ilvl="7" w:tplc="08090003" w:tentative="1">
      <w:start w:val="1"/>
      <w:numFmt w:val="bullet"/>
      <w:lvlText w:val="o"/>
      <w:lvlJc w:val="left"/>
      <w:pPr>
        <w:ind w:left="5715" w:hanging="360"/>
      </w:pPr>
      <w:rPr>
        <w:rFonts w:ascii="Courier New" w:hAnsi="Courier New" w:cs="Courier New" w:hint="default"/>
      </w:rPr>
    </w:lvl>
    <w:lvl w:ilvl="8" w:tplc="08090005" w:tentative="1">
      <w:start w:val="1"/>
      <w:numFmt w:val="bullet"/>
      <w:lvlText w:val=""/>
      <w:lvlJc w:val="left"/>
      <w:pPr>
        <w:ind w:left="6435" w:hanging="360"/>
      </w:pPr>
      <w:rPr>
        <w:rFonts w:ascii="Wingdings" w:hAnsi="Wingdings" w:hint="default"/>
      </w:rPr>
    </w:lvl>
  </w:abstractNum>
  <w:abstractNum w:abstractNumId="4" w15:restartNumberingAfterBreak="0">
    <w:nsid w:val="05DC7DD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6B86FC4"/>
    <w:multiLevelType w:val="hybridMultilevel"/>
    <w:tmpl w:val="F5C299E4"/>
    <w:lvl w:ilvl="0" w:tplc="04090001">
      <w:start w:val="1"/>
      <w:numFmt w:val="bullet"/>
      <w:lvlText w:val=""/>
      <w:lvlJc w:val="left"/>
      <w:pPr>
        <w:ind w:left="1222" w:hanging="360"/>
      </w:pPr>
      <w:rPr>
        <w:rFonts w:ascii="Symbol" w:hAnsi="Symbol" w:hint="default"/>
      </w:rPr>
    </w:lvl>
    <w:lvl w:ilvl="1" w:tplc="04090003" w:tentative="1">
      <w:start w:val="1"/>
      <w:numFmt w:val="bullet"/>
      <w:lvlText w:val="o"/>
      <w:lvlJc w:val="left"/>
      <w:pPr>
        <w:ind w:left="1942" w:hanging="360"/>
      </w:pPr>
      <w:rPr>
        <w:rFonts w:ascii="Courier New" w:hAnsi="Courier New" w:cs="Courier New" w:hint="default"/>
      </w:rPr>
    </w:lvl>
    <w:lvl w:ilvl="2" w:tplc="04090005" w:tentative="1">
      <w:start w:val="1"/>
      <w:numFmt w:val="bullet"/>
      <w:lvlText w:val=""/>
      <w:lvlJc w:val="left"/>
      <w:pPr>
        <w:ind w:left="2662" w:hanging="360"/>
      </w:pPr>
      <w:rPr>
        <w:rFonts w:ascii="Wingdings" w:hAnsi="Wingdings" w:hint="default"/>
      </w:rPr>
    </w:lvl>
    <w:lvl w:ilvl="3" w:tplc="04090001" w:tentative="1">
      <w:start w:val="1"/>
      <w:numFmt w:val="bullet"/>
      <w:lvlText w:val=""/>
      <w:lvlJc w:val="left"/>
      <w:pPr>
        <w:ind w:left="3382" w:hanging="360"/>
      </w:pPr>
      <w:rPr>
        <w:rFonts w:ascii="Symbol" w:hAnsi="Symbol" w:hint="default"/>
      </w:rPr>
    </w:lvl>
    <w:lvl w:ilvl="4" w:tplc="04090003" w:tentative="1">
      <w:start w:val="1"/>
      <w:numFmt w:val="bullet"/>
      <w:lvlText w:val="o"/>
      <w:lvlJc w:val="left"/>
      <w:pPr>
        <w:ind w:left="4102" w:hanging="360"/>
      </w:pPr>
      <w:rPr>
        <w:rFonts w:ascii="Courier New" w:hAnsi="Courier New" w:cs="Courier New" w:hint="default"/>
      </w:rPr>
    </w:lvl>
    <w:lvl w:ilvl="5" w:tplc="04090005" w:tentative="1">
      <w:start w:val="1"/>
      <w:numFmt w:val="bullet"/>
      <w:lvlText w:val=""/>
      <w:lvlJc w:val="left"/>
      <w:pPr>
        <w:ind w:left="4822" w:hanging="360"/>
      </w:pPr>
      <w:rPr>
        <w:rFonts w:ascii="Wingdings" w:hAnsi="Wingdings" w:hint="default"/>
      </w:rPr>
    </w:lvl>
    <w:lvl w:ilvl="6" w:tplc="04090001" w:tentative="1">
      <w:start w:val="1"/>
      <w:numFmt w:val="bullet"/>
      <w:lvlText w:val=""/>
      <w:lvlJc w:val="left"/>
      <w:pPr>
        <w:ind w:left="5542" w:hanging="360"/>
      </w:pPr>
      <w:rPr>
        <w:rFonts w:ascii="Symbol" w:hAnsi="Symbol" w:hint="default"/>
      </w:rPr>
    </w:lvl>
    <w:lvl w:ilvl="7" w:tplc="04090003" w:tentative="1">
      <w:start w:val="1"/>
      <w:numFmt w:val="bullet"/>
      <w:lvlText w:val="o"/>
      <w:lvlJc w:val="left"/>
      <w:pPr>
        <w:ind w:left="6262" w:hanging="360"/>
      </w:pPr>
      <w:rPr>
        <w:rFonts w:ascii="Courier New" w:hAnsi="Courier New" w:cs="Courier New" w:hint="default"/>
      </w:rPr>
    </w:lvl>
    <w:lvl w:ilvl="8" w:tplc="04090005" w:tentative="1">
      <w:start w:val="1"/>
      <w:numFmt w:val="bullet"/>
      <w:lvlText w:val=""/>
      <w:lvlJc w:val="left"/>
      <w:pPr>
        <w:ind w:left="6982" w:hanging="360"/>
      </w:pPr>
      <w:rPr>
        <w:rFonts w:ascii="Wingdings" w:hAnsi="Wingdings" w:hint="default"/>
      </w:rPr>
    </w:lvl>
  </w:abstractNum>
  <w:abstractNum w:abstractNumId="6" w15:restartNumberingAfterBreak="0">
    <w:nsid w:val="0A1A4BE1"/>
    <w:multiLevelType w:val="hybridMultilevel"/>
    <w:tmpl w:val="8910D4C8"/>
    <w:lvl w:ilvl="0" w:tplc="9872F8F0">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0B88182A"/>
    <w:multiLevelType w:val="hybridMultilevel"/>
    <w:tmpl w:val="6D3AA122"/>
    <w:lvl w:ilvl="0" w:tplc="FFFFFFFF">
      <w:start w:val="1"/>
      <w:numFmt w:val="bullet"/>
      <w:lvlText w:val="-"/>
      <w:lvlJc w:val="left"/>
      <w:pPr>
        <w:ind w:left="360" w:hanging="360"/>
      </w:pPr>
      <w:rPr>
        <w:rFonts w:ascii="Calibri" w:hAnsi="Calibri"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8" w15:restartNumberingAfterBreak="0">
    <w:nsid w:val="0C791F2D"/>
    <w:multiLevelType w:val="hybridMultilevel"/>
    <w:tmpl w:val="55B682DE"/>
    <w:lvl w:ilvl="0" w:tplc="9872F8F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E4D52B4"/>
    <w:multiLevelType w:val="multilevel"/>
    <w:tmpl w:val="14126EE0"/>
    <w:lvl w:ilvl="0">
      <w:start w:val="1"/>
      <w:numFmt w:val="decimal"/>
      <w:lvlText w:val="%1."/>
      <w:lvlJc w:val="left"/>
      <w:pPr>
        <w:ind w:left="1440" w:hanging="360"/>
      </w:pPr>
    </w:lvl>
    <w:lvl w:ilvl="1">
      <w:start w:val="4"/>
      <w:numFmt w:val="decimal"/>
      <w:isLgl/>
      <w:lvlText w:val="%1.%2."/>
      <w:lvlJc w:val="left"/>
      <w:pPr>
        <w:ind w:left="1470" w:hanging="390"/>
      </w:pPr>
    </w:lvl>
    <w:lvl w:ilvl="2">
      <w:start w:val="1"/>
      <w:numFmt w:val="decimal"/>
      <w:isLgl/>
      <w:lvlText w:val="%1.%2.%3."/>
      <w:lvlJc w:val="left"/>
      <w:pPr>
        <w:ind w:left="1800" w:hanging="720"/>
      </w:pPr>
    </w:lvl>
    <w:lvl w:ilvl="3">
      <w:start w:val="1"/>
      <w:numFmt w:val="decimal"/>
      <w:isLgl/>
      <w:lvlText w:val="%1.%2.%3.%4."/>
      <w:lvlJc w:val="left"/>
      <w:pPr>
        <w:ind w:left="1800" w:hanging="720"/>
      </w:pPr>
    </w:lvl>
    <w:lvl w:ilvl="4">
      <w:start w:val="1"/>
      <w:numFmt w:val="decimal"/>
      <w:isLgl/>
      <w:lvlText w:val="%1.%2.%3.%4.%5."/>
      <w:lvlJc w:val="left"/>
      <w:pPr>
        <w:ind w:left="2160" w:hanging="1080"/>
      </w:pPr>
    </w:lvl>
    <w:lvl w:ilvl="5">
      <w:start w:val="1"/>
      <w:numFmt w:val="decimal"/>
      <w:isLgl/>
      <w:lvlText w:val="%1.%2.%3.%4.%5.%6."/>
      <w:lvlJc w:val="left"/>
      <w:pPr>
        <w:ind w:left="2160" w:hanging="1080"/>
      </w:pPr>
    </w:lvl>
    <w:lvl w:ilvl="6">
      <w:start w:val="1"/>
      <w:numFmt w:val="decimal"/>
      <w:isLgl/>
      <w:lvlText w:val="%1.%2.%3.%4.%5.%6.%7."/>
      <w:lvlJc w:val="left"/>
      <w:pPr>
        <w:ind w:left="2520" w:hanging="1440"/>
      </w:pPr>
    </w:lvl>
    <w:lvl w:ilvl="7">
      <w:start w:val="1"/>
      <w:numFmt w:val="decimal"/>
      <w:isLgl/>
      <w:lvlText w:val="%1.%2.%3.%4.%5.%6.%7.%8."/>
      <w:lvlJc w:val="left"/>
      <w:pPr>
        <w:ind w:left="2520" w:hanging="1440"/>
      </w:pPr>
    </w:lvl>
    <w:lvl w:ilvl="8">
      <w:start w:val="1"/>
      <w:numFmt w:val="decimal"/>
      <w:isLgl/>
      <w:lvlText w:val="%1.%2.%3.%4.%5.%6.%7.%8.%9."/>
      <w:lvlJc w:val="left"/>
      <w:pPr>
        <w:ind w:left="2880" w:hanging="1800"/>
      </w:pPr>
    </w:lvl>
  </w:abstractNum>
  <w:abstractNum w:abstractNumId="10" w15:restartNumberingAfterBreak="0">
    <w:nsid w:val="0F4C7D72"/>
    <w:multiLevelType w:val="hybridMultilevel"/>
    <w:tmpl w:val="BCF45080"/>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406531F"/>
    <w:multiLevelType w:val="hybridMultilevel"/>
    <w:tmpl w:val="D2B61B38"/>
    <w:lvl w:ilvl="0" w:tplc="08090009">
      <w:start w:val="1"/>
      <w:numFmt w:val="bullet"/>
      <w:lvlText w:val=""/>
      <w:lvlJc w:val="left"/>
      <w:pPr>
        <w:ind w:left="720" w:hanging="360"/>
      </w:pPr>
      <w:rPr>
        <w:rFonts w:ascii="Wingdings" w:hAnsi="Wingdings" w:hint="default"/>
      </w:rPr>
    </w:lvl>
    <w:lvl w:ilvl="1" w:tplc="08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0F13A4"/>
    <w:multiLevelType w:val="hybridMultilevel"/>
    <w:tmpl w:val="72FCA4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A560E38"/>
    <w:multiLevelType w:val="hybridMultilevel"/>
    <w:tmpl w:val="63A63482"/>
    <w:lvl w:ilvl="0" w:tplc="C9F4445E">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1AE03267"/>
    <w:multiLevelType w:val="hybridMultilevel"/>
    <w:tmpl w:val="A5E86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B5379B6"/>
    <w:multiLevelType w:val="hybridMultilevel"/>
    <w:tmpl w:val="0F546690"/>
    <w:lvl w:ilvl="0" w:tplc="623E66CE">
      <w:start w:val="3"/>
      <w:numFmt w:val="bullet"/>
      <w:lvlText w:val="-"/>
      <w:lvlJc w:val="left"/>
      <w:pPr>
        <w:ind w:left="720" w:hanging="360"/>
      </w:pPr>
      <w:rPr>
        <w:rFonts w:ascii="Times New Roman" w:eastAsiaTheme="minorEastAsia"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1BFF29BB"/>
    <w:multiLevelType w:val="hybridMultilevel"/>
    <w:tmpl w:val="438A82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1C3844F6"/>
    <w:multiLevelType w:val="hybridMultilevel"/>
    <w:tmpl w:val="2E00FD90"/>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8" w15:restartNumberingAfterBreak="0">
    <w:nsid w:val="1C425724"/>
    <w:multiLevelType w:val="hybridMultilevel"/>
    <w:tmpl w:val="E1F04AA0"/>
    <w:lvl w:ilvl="0" w:tplc="7D825C3C">
      <w:numFmt w:val="bullet"/>
      <w:lvlText w:val="-"/>
      <w:lvlJc w:val="left"/>
      <w:pPr>
        <w:ind w:left="720" w:hanging="360"/>
      </w:pPr>
      <w:rPr>
        <w:rFonts w:ascii="Cambria" w:eastAsiaTheme="minorEastAsia" w:hAnsi="Cambri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DA157E0"/>
    <w:multiLevelType w:val="hybridMultilevel"/>
    <w:tmpl w:val="DE06247A"/>
    <w:lvl w:ilvl="0" w:tplc="FFFFFFFF">
      <w:start w:val="1"/>
      <w:numFmt w:val="bullet"/>
      <w:lvlText w:val="-"/>
      <w:lvlJc w:val="left"/>
      <w:pPr>
        <w:ind w:left="360" w:hanging="360"/>
      </w:pPr>
      <w:rPr>
        <w:rFonts w:ascii="Calibri" w:hAnsi="Calibri"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0" w15:restartNumberingAfterBreak="0">
    <w:nsid w:val="1E420759"/>
    <w:multiLevelType w:val="hybridMultilevel"/>
    <w:tmpl w:val="1C9AACA6"/>
    <w:lvl w:ilvl="0" w:tplc="623E66CE">
      <w:start w:val="3"/>
      <w:numFmt w:val="bullet"/>
      <w:lvlText w:val="-"/>
      <w:lvlJc w:val="left"/>
      <w:pPr>
        <w:ind w:left="720" w:hanging="360"/>
      </w:pPr>
      <w:rPr>
        <w:rFonts w:ascii="Times New Roman" w:eastAsiaTheme="minorEastAsia"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1E46276E"/>
    <w:multiLevelType w:val="hybridMultilevel"/>
    <w:tmpl w:val="A580C8BC"/>
    <w:lvl w:ilvl="0" w:tplc="08090001">
      <w:start w:val="1"/>
      <w:numFmt w:val="bullet"/>
      <w:lvlText w:val=""/>
      <w:lvlJc w:val="left"/>
      <w:pPr>
        <w:ind w:left="567" w:hanging="360"/>
      </w:pPr>
      <w:rPr>
        <w:rFonts w:ascii="Symbol" w:hAnsi="Symbol" w:hint="default"/>
      </w:rPr>
    </w:lvl>
    <w:lvl w:ilvl="1" w:tplc="04090003">
      <w:start w:val="1"/>
      <w:numFmt w:val="bullet"/>
      <w:lvlText w:val="o"/>
      <w:lvlJc w:val="left"/>
      <w:pPr>
        <w:ind w:left="1287" w:hanging="360"/>
      </w:pPr>
      <w:rPr>
        <w:rFonts w:ascii="Courier New" w:hAnsi="Courier New" w:cs="Courier New" w:hint="default"/>
      </w:rPr>
    </w:lvl>
    <w:lvl w:ilvl="2" w:tplc="04090005" w:tentative="1">
      <w:start w:val="1"/>
      <w:numFmt w:val="bullet"/>
      <w:lvlText w:val=""/>
      <w:lvlJc w:val="left"/>
      <w:pPr>
        <w:ind w:left="2007" w:hanging="360"/>
      </w:pPr>
      <w:rPr>
        <w:rFonts w:ascii="Wingdings" w:hAnsi="Wingdings" w:hint="default"/>
      </w:rPr>
    </w:lvl>
    <w:lvl w:ilvl="3" w:tplc="04090001" w:tentative="1">
      <w:start w:val="1"/>
      <w:numFmt w:val="bullet"/>
      <w:lvlText w:val=""/>
      <w:lvlJc w:val="left"/>
      <w:pPr>
        <w:ind w:left="2727" w:hanging="360"/>
      </w:pPr>
      <w:rPr>
        <w:rFonts w:ascii="Symbol" w:hAnsi="Symbol" w:hint="default"/>
      </w:rPr>
    </w:lvl>
    <w:lvl w:ilvl="4" w:tplc="04090003" w:tentative="1">
      <w:start w:val="1"/>
      <w:numFmt w:val="bullet"/>
      <w:lvlText w:val="o"/>
      <w:lvlJc w:val="left"/>
      <w:pPr>
        <w:ind w:left="3447" w:hanging="360"/>
      </w:pPr>
      <w:rPr>
        <w:rFonts w:ascii="Courier New" w:hAnsi="Courier New" w:cs="Courier New" w:hint="default"/>
      </w:rPr>
    </w:lvl>
    <w:lvl w:ilvl="5" w:tplc="04090005" w:tentative="1">
      <w:start w:val="1"/>
      <w:numFmt w:val="bullet"/>
      <w:lvlText w:val=""/>
      <w:lvlJc w:val="left"/>
      <w:pPr>
        <w:ind w:left="4167" w:hanging="360"/>
      </w:pPr>
      <w:rPr>
        <w:rFonts w:ascii="Wingdings" w:hAnsi="Wingdings" w:hint="default"/>
      </w:rPr>
    </w:lvl>
    <w:lvl w:ilvl="6" w:tplc="04090001" w:tentative="1">
      <w:start w:val="1"/>
      <w:numFmt w:val="bullet"/>
      <w:lvlText w:val=""/>
      <w:lvlJc w:val="left"/>
      <w:pPr>
        <w:ind w:left="4887" w:hanging="360"/>
      </w:pPr>
      <w:rPr>
        <w:rFonts w:ascii="Symbol" w:hAnsi="Symbol" w:hint="default"/>
      </w:rPr>
    </w:lvl>
    <w:lvl w:ilvl="7" w:tplc="04090003" w:tentative="1">
      <w:start w:val="1"/>
      <w:numFmt w:val="bullet"/>
      <w:lvlText w:val="o"/>
      <w:lvlJc w:val="left"/>
      <w:pPr>
        <w:ind w:left="5607" w:hanging="360"/>
      </w:pPr>
      <w:rPr>
        <w:rFonts w:ascii="Courier New" w:hAnsi="Courier New" w:cs="Courier New" w:hint="default"/>
      </w:rPr>
    </w:lvl>
    <w:lvl w:ilvl="8" w:tplc="04090005" w:tentative="1">
      <w:start w:val="1"/>
      <w:numFmt w:val="bullet"/>
      <w:lvlText w:val=""/>
      <w:lvlJc w:val="left"/>
      <w:pPr>
        <w:ind w:left="6327" w:hanging="360"/>
      </w:pPr>
      <w:rPr>
        <w:rFonts w:ascii="Wingdings" w:hAnsi="Wingdings" w:hint="default"/>
      </w:rPr>
    </w:lvl>
  </w:abstractNum>
  <w:abstractNum w:abstractNumId="22" w15:restartNumberingAfterBreak="0">
    <w:nsid w:val="1F163373"/>
    <w:multiLevelType w:val="hybridMultilevel"/>
    <w:tmpl w:val="1610D4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208C3FD8"/>
    <w:multiLevelType w:val="hybridMultilevel"/>
    <w:tmpl w:val="9578AEB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4" w15:restartNumberingAfterBreak="0">
    <w:nsid w:val="20D70878"/>
    <w:multiLevelType w:val="hybridMultilevel"/>
    <w:tmpl w:val="4CF02C4C"/>
    <w:lvl w:ilvl="0" w:tplc="2B0850A8">
      <w:start w:val="3"/>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Times New Roman"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Times New Roman"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Times New Roman" w:hint="default"/>
      </w:rPr>
    </w:lvl>
    <w:lvl w:ilvl="8" w:tplc="040C0005">
      <w:start w:val="1"/>
      <w:numFmt w:val="bullet"/>
      <w:lvlText w:val=""/>
      <w:lvlJc w:val="left"/>
      <w:pPr>
        <w:ind w:left="6480" w:hanging="360"/>
      </w:pPr>
      <w:rPr>
        <w:rFonts w:ascii="Wingdings" w:hAnsi="Wingdings" w:hint="default"/>
      </w:rPr>
    </w:lvl>
  </w:abstractNum>
  <w:abstractNum w:abstractNumId="25" w15:restartNumberingAfterBreak="0">
    <w:nsid w:val="21253F0D"/>
    <w:multiLevelType w:val="hybridMultilevel"/>
    <w:tmpl w:val="29A8792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24FA3754"/>
    <w:multiLevelType w:val="hybridMultilevel"/>
    <w:tmpl w:val="8138C160"/>
    <w:lvl w:ilvl="0" w:tplc="22126FB6">
      <w:start w:val="1"/>
      <w:numFmt w:val="lowerRoman"/>
      <w:lvlText w:val="(%1)"/>
      <w:lvlJc w:val="left"/>
      <w:pPr>
        <w:ind w:left="1004"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5057C2A"/>
    <w:multiLevelType w:val="hybridMultilevel"/>
    <w:tmpl w:val="4454B662"/>
    <w:lvl w:ilvl="0" w:tplc="623E66CE">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52E01F1"/>
    <w:multiLevelType w:val="hybridMultilevel"/>
    <w:tmpl w:val="8596656C"/>
    <w:lvl w:ilvl="0" w:tplc="A5428394">
      <w:start w:val="4"/>
      <w:numFmt w:val="decimal"/>
      <w:lvlText w:val="%1."/>
      <w:lvlJc w:val="left"/>
      <w:pPr>
        <w:ind w:left="56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5573049"/>
    <w:multiLevelType w:val="hybridMultilevel"/>
    <w:tmpl w:val="43CEA7A2"/>
    <w:lvl w:ilvl="0" w:tplc="224E5FE4">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265E2C92"/>
    <w:multiLevelType w:val="hybridMultilevel"/>
    <w:tmpl w:val="376C960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2FC27128"/>
    <w:multiLevelType w:val="hybridMultilevel"/>
    <w:tmpl w:val="9132D788"/>
    <w:lvl w:ilvl="0" w:tplc="04090001">
      <w:start w:val="1"/>
      <w:numFmt w:val="bullet"/>
      <w:lvlText w:val=""/>
      <w:lvlJc w:val="left"/>
      <w:pPr>
        <w:ind w:left="360" w:hanging="360"/>
      </w:pPr>
      <w:rPr>
        <w:rFonts w:ascii="Symbol" w:hAnsi="Symbol" w:hint="default"/>
      </w:rPr>
    </w:lvl>
    <w:lvl w:ilvl="1" w:tplc="ADB20F38">
      <w:numFmt w:val="bullet"/>
      <w:lvlText w:val="•"/>
      <w:lvlJc w:val="left"/>
      <w:pPr>
        <w:ind w:left="1080" w:hanging="360"/>
      </w:pPr>
      <w:rPr>
        <w:rFonts w:ascii="Calibri" w:eastAsia="Times New Roman" w:hAnsi="Calibri" w:cs="Arial"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2" w15:restartNumberingAfterBreak="0">
    <w:nsid w:val="366633A4"/>
    <w:multiLevelType w:val="multilevel"/>
    <w:tmpl w:val="4FD40B20"/>
    <w:lvl w:ilvl="0">
      <w:numFmt w:val="bullet"/>
      <w:lvlText w:val="-"/>
      <w:lvlJc w:val="left"/>
      <w:pPr>
        <w:ind w:left="-1049" w:hanging="432"/>
      </w:pPr>
      <w:rPr>
        <w:rFonts w:ascii="Times" w:eastAsia="Times New Roman" w:hAnsi="Times" w:cs="Times New Roman" w:hint="default"/>
        <w:b/>
        <w:i w:val="0"/>
      </w:rPr>
    </w:lvl>
    <w:lvl w:ilvl="1">
      <w:start w:val="1"/>
      <w:numFmt w:val="bullet"/>
      <w:lvlText w:val="·"/>
      <w:lvlJc w:val="left"/>
      <w:pPr>
        <w:ind w:left="-905" w:hanging="576"/>
      </w:pPr>
      <w:rPr>
        <w:rFonts w:ascii="Symbol" w:hAnsi="Symbol" w:hint="default"/>
      </w:rPr>
    </w:lvl>
    <w:lvl w:ilvl="2">
      <w:start w:val="1"/>
      <w:numFmt w:val="decimal"/>
      <w:lvlText w:val="%1.%2.%3"/>
      <w:lvlJc w:val="left"/>
      <w:pPr>
        <w:ind w:left="-761" w:hanging="720"/>
      </w:pPr>
      <w:rPr>
        <w:rFonts w:hint="default"/>
      </w:rPr>
    </w:lvl>
    <w:lvl w:ilvl="3">
      <w:start w:val="1"/>
      <w:numFmt w:val="decimal"/>
      <w:lvlText w:val="%1.%2.%3.%4"/>
      <w:lvlJc w:val="left"/>
      <w:pPr>
        <w:ind w:left="-617" w:hanging="864"/>
      </w:pPr>
    </w:lvl>
    <w:lvl w:ilvl="4">
      <w:start w:val="1"/>
      <w:numFmt w:val="decimal"/>
      <w:lvlText w:val="%1.%2.%3.%4.%5"/>
      <w:lvlJc w:val="left"/>
      <w:pPr>
        <w:ind w:left="-473" w:hanging="1008"/>
      </w:pPr>
    </w:lvl>
    <w:lvl w:ilvl="5">
      <w:start w:val="1"/>
      <w:numFmt w:val="decimal"/>
      <w:lvlText w:val="%1.%2.%3.%4.%5.%6"/>
      <w:lvlJc w:val="left"/>
      <w:pPr>
        <w:ind w:left="-329" w:hanging="1152"/>
      </w:pPr>
    </w:lvl>
    <w:lvl w:ilvl="6">
      <w:start w:val="1"/>
      <w:numFmt w:val="decimal"/>
      <w:lvlText w:val="%1.%2.%3.%4.%5.%6.%7"/>
      <w:lvlJc w:val="left"/>
      <w:pPr>
        <w:ind w:left="-185" w:hanging="1296"/>
      </w:pPr>
    </w:lvl>
    <w:lvl w:ilvl="7">
      <w:start w:val="1"/>
      <w:numFmt w:val="decimal"/>
      <w:lvlText w:val="%1.%2.%3.%4.%5.%6.%7.%8"/>
      <w:lvlJc w:val="left"/>
      <w:pPr>
        <w:ind w:left="-41" w:hanging="1440"/>
      </w:pPr>
    </w:lvl>
    <w:lvl w:ilvl="8">
      <w:start w:val="1"/>
      <w:numFmt w:val="decimal"/>
      <w:lvlText w:val="%1.%2.%3.%4.%5.%6.%7.%8.%9"/>
      <w:lvlJc w:val="left"/>
      <w:pPr>
        <w:ind w:left="103" w:hanging="1584"/>
      </w:pPr>
    </w:lvl>
  </w:abstractNum>
  <w:abstractNum w:abstractNumId="33" w15:restartNumberingAfterBreak="0">
    <w:nsid w:val="385A0496"/>
    <w:multiLevelType w:val="hybridMultilevel"/>
    <w:tmpl w:val="1B12C988"/>
    <w:lvl w:ilvl="0" w:tplc="18090001">
      <w:start w:val="1"/>
      <w:numFmt w:val="bullet"/>
      <w:lvlText w:val=""/>
      <w:lvlJc w:val="left"/>
      <w:pPr>
        <w:ind w:left="426" w:hanging="360"/>
      </w:pPr>
      <w:rPr>
        <w:rFonts w:ascii="Symbol" w:hAnsi="Symbol" w:hint="default"/>
      </w:rPr>
    </w:lvl>
    <w:lvl w:ilvl="1" w:tplc="18090003" w:tentative="1">
      <w:start w:val="1"/>
      <w:numFmt w:val="bullet"/>
      <w:lvlText w:val="o"/>
      <w:lvlJc w:val="left"/>
      <w:pPr>
        <w:ind w:left="1146" w:hanging="360"/>
      </w:pPr>
      <w:rPr>
        <w:rFonts w:ascii="Courier New" w:hAnsi="Courier New" w:cs="Courier New" w:hint="default"/>
      </w:rPr>
    </w:lvl>
    <w:lvl w:ilvl="2" w:tplc="18090005" w:tentative="1">
      <w:start w:val="1"/>
      <w:numFmt w:val="bullet"/>
      <w:lvlText w:val=""/>
      <w:lvlJc w:val="left"/>
      <w:pPr>
        <w:ind w:left="1866" w:hanging="360"/>
      </w:pPr>
      <w:rPr>
        <w:rFonts w:ascii="Wingdings" w:hAnsi="Wingdings" w:hint="default"/>
      </w:rPr>
    </w:lvl>
    <w:lvl w:ilvl="3" w:tplc="18090001" w:tentative="1">
      <w:start w:val="1"/>
      <w:numFmt w:val="bullet"/>
      <w:lvlText w:val=""/>
      <w:lvlJc w:val="left"/>
      <w:pPr>
        <w:ind w:left="2586" w:hanging="360"/>
      </w:pPr>
      <w:rPr>
        <w:rFonts w:ascii="Symbol" w:hAnsi="Symbol" w:hint="default"/>
      </w:rPr>
    </w:lvl>
    <w:lvl w:ilvl="4" w:tplc="18090003" w:tentative="1">
      <w:start w:val="1"/>
      <w:numFmt w:val="bullet"/>
      <w:lvlText w:val="o"/>
      <w:lvlJc w:val="left"/>
      <w:pPr>
        <w:ind w:left="3306" w:hanging="360"/>
      </w:pPr>
      <w:rPr>
        <w:rFonts w:ascii="Courier New" w:hAnsi="Courier New" w:cs="Courier New" w:hint="default"/>
      </w:rPr>
    </w:lvl>
    <w:lvl w:ilvl="5" w:tplc="18090005" w:tentative="1">
      <w:start w:val="1"/>
      <w:numFmt w:val="bullet"/>
      <w:lvlText w:val=""/>
      <w:lvlJc w:val="left"/>
      <w:pPr>
        <w:ind w:left="4026" w:hanging="360"/>
      </w:pPr>
      <w:rPr>
        <w:rFonts w:ascii="Wingdings" w:hAnsi="Wingdings" w:hint="default"/>
      </w:rPr>
    </w:lvl>
    <w:lvl w:ilvl="6" w:tplc="18090001" w:tentative="1">
      <w:start w:val="1"/>
      <w:numFmt w:val="bullet"/>
      <w:lvlText w:val=""/>
      <w:lvlJc w:val="left"/>
      <w:pPr>
        <w:ind w:left="4746" w:hanging="360"/>
      </w:pPr>
      <w:rPr>
        <w:rFonts w:ascii="Symbol" w:hAnsi="Symbol" w:hint="default"/>
      </w:rPr>
    </w:lvl>
    <w:lvl w:ilvl="7" w:tplc="18090003" w:tentative="1">
      <w:start w:val="1"/>
      <w:numFmt w:val="bullet"/>
      <w:lvlText w:val="o"/>
      <w:lvlJc w:val="left"/>
      <w:pPr>
        <w:ind w:left="5466" w:hanging="360"/>
      </w:pPr>
      <w:rPr>
        <w:rFonts w:ascii="Courier New" w:hAnsi="Courier New" w:cs="Courier New" w:hint="default"/>
      </w:rPr>
    </w:lvl>
    <w:lvl w:ilvl="8" w:tplc="18090005" w:tentative="1">
      <w:start w:val="1"/>
      <w:numFmt w:val="bullet"/>
      <w:lvlText w:val=""/>
      <w:lvlJc w:val="left"/>
      <w:pPr>
        <w:ind w:left="6186" w:hanging="360"/>
      </w:pPr>
      <w:rPr>
        <w:rFonts w:ascii="Wingdings" w:hAnsi="Wingdings" w:hint="default"/>
      </w:rPr>
    </w:lvl>
  </w:abstractNum>
  <w:abstractNum w:abstractNumId="34" w15:restartNumberingAfterBreak="0">
    <w:nsid w:val="38A552DA"/>
    <w:multiLevelType w:val="hybridMultilevel"/>
    <w:tmpl w:val="58007C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397443AE"/>
    <w:multiLevelType w:val="hybridMultilevel"/>
    <w:tmpl w:val="7A768892"/>
    <w:lvl w:ilvl="0" w:tplc="2B0850A8">
      <w:start w:val="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3BF13B96"/>
    <w:multiLevelType w:val="multilevel"/>
    <w:tmpl w:val="6DB2A49E"/>
    <w:lvl w:ilvl="0">
      <w:start w:val="1"/>
      <w:numFmt w:val="bullet"/>
      <w:lvlText w:val=""/>
      <w:lvlJc w:val="left"/>
      <w:pPr>
        <w:ind w:left="863" w:hanging="432"/>
      </w:pPr>
      <w:rPr>
        <w:rFonts w:ascii="Symbol" w:hAnsi="Symbol" w:hint="default"/>
        <w:b/>
        <w:i w:val="0"/>
      </w:rPr>
    </w:lvl>
    <w:lvl w:ilvl="1">
      <w:start w:val="1"/>
      <w:numFmt w:val="bullet"/>
      <w:lvlText w:val="·"/>
      <w:lvlJc w:val="left"/>
      <w:pPr>
        <w:ind w:left="1007" w:hanging="576"/>
      </w:pPr>
      <w:rPr>
        <w:rFonts w:ascii="Symbol" w:hAnsi="Symbol" w:hint="default"/>
      </w:rPr>
    </w:lvl>
    <w:lvl w:ilvl="2">
      <w:start w:val="1"/>
      <w:numFmt w:val="decimal"/>
      <w:lvlText w:val="%1.%2.%3"/>
      <w:lvlJc w:val="left"/>
      <w:pPr>
        <w:ind w:left="1151" w:hanging="720"/>
      </w:pPr>
      <w:rPr>
        <w:rFonts w:hint="default"/>
      </w:rPr>
    </w:lvl>
    <w:lvl w:ilvl="3">
      <w:start w:val="1"/>
      <w:numFmt w:val="decimal"/>
      <w:lvlText w:val="%1.%2.%3.%4"/>
      <w:lvlJc w:val="left"/>
      <w:pPr>
        <w:ind w:left="1295" w:hanging="864"/>
      </w:pPr>
    </w:lvl>
    <w:lvl w:ilvl="4">
      <w:start w:val="1"/>
      <w:numFmt w:val="decimal"/>
      <w:lvlText w:val="%1.%2.%3.%4.%5"/>
      <w:lvlJc w:val="left"/>
      <w:pPr>
        <w:ind w:left="1439" w:hanging="1008"/>
      </w:pPr>
    </w:lvl>
    <w:lvl w:ilvl="5">
      <w:start w:val="1"/>
      <w:numFmt w:val="decimal"/>
      <w:lvlText w:val="%1.%2.%3.%4.%5.%6"/>
      <w:lvlJc w:val="left"/>
      <w:pPr>
        <w:ind w:left="1583" w:hanging="1152"/>
      </w:pPr>
    </w:lvl>
    <w:lvl w:ilvl="6">
      <w:start w:val="1"/>
      <w:numFmt w:val="decimal"/>
      <w:lvlText w:val="%1.%2.%3.%4.%5.%6.%7"/>
      <w:lvlJc w:val="left"/>
      <w:pPr>
        <w:ind w:left="1727" w:hanging="1296"/>
      </w:pPr>
    </w:lvl>
    <w:lvl w:ilvl="7">
      <w:start w:val="1"/>
      <w:numFmt w:val="decimal"/>
      <w:lvlText w:val="%1.%2.%3.%4.%5.%6.%7.%8"/>
      <w:lvlJc w:val="left"/>
      <w:pPr>
        <w:ind w:left="1871" w:hanging="1440"/>
      </w:pPr>
    </w:lvl>
    <w:lvl w:ilvl="8">
      <w:start w:val="1"/>
      <w:numFmt w:val="decimal"/>
      <w:lvlText w:val="%1.%2.%3.%4.%5.%6.%7.%8.%9"/>
      <w:lvlJc w:val="left"/>
      <w:pPr>
        <w:ind w:left="2015" w:hanging="1584"/>
      </w:pPr>
    </w:lvl>
  </w:abstractNum>
  <w:abstractNum w:abstractNumId="37" w15:restartNumberingAfterBreak="0">
    <w:nsid w:val="3D396670"/>
    <w:multiLevelType w:val="multilevel"/>
    <w:tmpl w:val="6DB2A49E"/>
    <w:lvl w:ilvl="0">
      <w:start w:val="1"/>
      <w:numFmt w:val="bullet"/>
      <w:lvlText w:val=""/>
      <w:lvlJc w:val="left"/>
      <w:pPr>
        <w:ind w:left="863" w:hanging="432"/>
      </w:pPr>
      <w:rPr>
        <w:rFonts w:ascii="Symbol" w:hAnsi="Symbol" w:hint="default"/>
        <w:b/>
        <w:i w:val="0"/>
      </w:rPr>
    </w:lvl>
    <w:lvl w:ilvl="1">
      <w:start w:val="1"/>
      <w:numFmt w:val="bullet"/>
      <w:lvlText w:val="·"/>
      <w:lvlJc w:val="left"/>
      <w:pPr>
        <w:ind w:left="1007" w:hanging="576"/>
      </w:pPr>
      <w:rPr>
        <w:rFonts w:ascii="Symbol" w:hAnsi="Symbol" w:hint="default"/>
      </w:rPr>
    </w:lvl>
    <w:lvl w:ilvl="2">
      <w:start w:val="1"/>
      <w:numFmt w:val="decimal"/>
      <w:lvlText w:val="%1.%2.%3"/>
      <w:lvlJc w:val="left"/>
      <w:pPr>
        <w:ind w:left="1151" w:hanging="720"/>
      </w:pPr>
      <w:rPr>
        <w:rFonts w:hint="default"/>
      </w:rPr>
    </w:lvl>
    <w:lvl w:ilvl="3">
      <w:start w:val="1"/>
      <w:numFmt w:val="decimal"/>
      <w:lvlText w:val="%1.%2.%3.%4"/>
      <w:lvlJc w:val="left"/>
      <w:pPr>
        <w:ind w:left="1295" w:hanging="864"/>
      </w:pPr>
    </w:lvl>
    <w:lvl w:ilvl="4">
      <w:start w:val="1"/>
      <w:numFmt w:val="decimal"/>
      <w:lvlText w:val="%1.%2.%3.%4.%5"/>
      <w:lvlJc w:val="left"/>
      <w:pPr>
        <w:ind w:left="1439" w:hanging="1008"/>
      </w:pPr>
    </w:lvl>
    <w:lvl w:ilvl="5">
      <w:start w:val="1"/>
      <w:numFmt w:val="decimal"/>
      <w:lvlText w:val="%1.%2.%3.%4.%5.%6"/>
      <w:lvlJc w:val="left"/>
      <w:pPr>
        <w:ind w:left="1583" w:hanging="1152"/>
      </w:pPr>
    </w:lvl>
    <w:lvl w:ilvl="6">
      <w:start w:val="1"/>
      <w:numFmt w:val="decimal"/>
      <w:lvlText w:val="%1.%2.%3.%4.%5.%6.%7"/>
      <w:lvlJc w:val="left"/>
      <w:pPr>
        <w:ind w:left="1727" w:hanging="1296"/>
      </w:pPr>
    </w:lvl>
    <w:lvl w:ilvl="7">
      <w:start w:val="1"/>
      <w:numFmt w:val="decimal"/>
      <w:lvlText w:val="%1.%2.%3.%4.%5.%6.%7.%8"/>
      <w:lvlJc w:val="left"/>
      <w:pPr>
        <w:ind w:left="1871" w:hanging="1440"/>
      </w:pPr>
    </w:lvl>
    <w:lvl w:ilvl="8">
      <w:start w:val="1"/>
      <w:numFmt w:val="decimal"/>
      <w:lvlText w:val="%1.%2.%3.%4.%5.%6.%7.%8.%9"/>
      <w:lvlJc w:val="left"/>
      <w:pPr>
        <w:ind w:left="2015" w:hanging="1584"/>
      </w:pPr>
    </w:lvl>
  </w:abstractNum>
  <w:abstractNum w:abstractNumId="38" w15:restartNumberingAfterBreak="0">
    <w:nsid w:val="3E9F2065"/>
    <w:multiLevelType w:val="hybridMultilevel"/>
    <w:tmpl w:val="01103B7E"/>
    <w:lvl w:ilvl="0" w:tplc="08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9" w15:restartNumberingAfterBreak="0">
    <w:nsid w:val="412A3306"/>
    <w:multiLevelType w:val="hybridMultilevel"/>
    <w:tmpl w:val="6B200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15C2035"/>
    <w:multiLevelType w:val="hybridMultilevel"/>
    <w:tmpl w:val="8AE87A60"/>
    <w:lvl w:ilvl="0" w:tplc="2B0850A8">
      <w:start w:val="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46532567"/>
    <w:multiLevelType w:val="hybridMultilevel"/>
    <w:tmpl w:val="47F4B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78045EC"/>
    <w:multiLevelType w:val="hybridMultilevel"/>
    <w:tmpl w:val="71F8C18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4B134CF2"/>
    <w:multiLevelType w:val="hybridMultilevel"/>
    <w:tmpl w:val="406A81FE"/>
    <w:lvl w:ilvl="0" w:tplc="623E66CE">
      <w:start w:val="3"/>
      <w:numFmt w:val="bullet"/>
      <w:lvlText w:val="-"/>
      <w:lvlJc w:val="left"/>
      <w:pPr>
        <w:ind w:left="720" w:hanging="360"/>
      </w:pPr>
      <w:rPr>
        <w:rFonts w:ascii="Times New Roman" w:eastAsiaTheme="minorEastAsia"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4" w15:restartNumberingAfterBreak="0">
    <w:nsid w:val="4BA65E55"/>
    <w:multiLevelType w:val="multilevel"/>
    <w:tmpl w:val="53E0123A"/>
    <w:lvl w:ilvl="0">
      <w:start w:val="1"/>
      <w:numFmt w:val="bullet"/>
      <w:lvlText w:val=""/>
      <w:lvlJc w:val="left"/>
      <w:pPr>
        <w:ind w:left="432" w:hanging="432"/>
      </w:pPr>
      <w:rPr>
        <w:rFonts w:ascii="Symbol" w:hAnsi="Symbol" w:hint="default"/>
        <w:b/>
        <w:i w:val="0"/>
      </w:rPr>
    </w:lvl>
    <w:lvl w:ilvl="1">
      <w:start w:val="1"/>
      <w:numFmt w:val="bullet"/>
      <w:lvlText w:val="·"/>
      <w:lvlJc w:val="left"/>
      <w:pPr>
        <w:ind w:left="576" w:hanging="576"/>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5" w15:restartNumberingAfterBreak="0">
    <w:nsid w:val="4C400774"/>
    <w:multiLevelType w:val="hybridMultilevel"/>
    <w:tmpl w:val="3A4E28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CED5672"/>
    <w:multiLevelType w:val="hybridMultilevel"/>
    <w:tmpl w:val="2242B14A"/>
    <w:lvl w:ilvl="0" w:tplc="9872F8F0">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7" w15:restartNumberingAfterBreak="0">
    <w:nsid w:val="50F74F6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51015A6A"/>
    <w:multiLevelType w:val="hybridMultilevel"/>
    <w:tmpl w:val="BF64DF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9" w15:restartNumberingAfterBreak="0">
    <w:nsid w:val="5218325B"/>
    <w:multiLevelType w:val="hybridMultilevel"/>
    <w:tmpl w:val="F9B414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52EA2E53"/>
    <w:multiLevelType w:val="hybridMultilevel"/>
    <w:tmpl w:val="E3CCB0C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1" w15:restartNumberingAfterBreak="0">
    <w:nsid w:val="53F2263B"/>
    <w:multiLevelType w:val="hybridMultilevel"/>
    <w:tmpl w:val="BE7C44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55F142E3"/>
    <w:multiLevelType w:val="hybridMultilevel"/>
    <w:tmpl w:val="40CE998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3" w15:restartNumberingAfterBreak="0">
    <w:nsid w:val="56065918"/>
    <w:multiLevelType w:val="hybridMultilevel"/>
    <w:tmpl w:val="2638BBD6"/>
    <w:lvl w:ilvl="0" w:tplc="623E66CE">
      <w:start w:val="3"/>
      <w:numFmt w:val="bullet"/>
      <w:lvlText w:val="-"/>
      <w:lvlJc w:val="left"/>
      <w:pPr>
        <w:ind w:left="360" w:hanging="360"/>
      </w:pPr>
      <w:rPr>
        <w:rFonts w:ascii="Times New Roman" w:eastAsiaTheme="minorEastAsia"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4" w15:restartNumberingAfterBreak="0">
    <w:nsid w:val="560F4805"/>
    <w:multiLevelType w:val="hybridMultilevel"/>
    <w:tmpl w:val="7200FB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5" w15:restartNumberingAfterBreak="0">
    <w:nsid w:val="56AF31AF"/>
    <w:multiLevelType w:val="hybridMultilevel"/>
    <w:tmpl w:val="6ACC8A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6" w15:restartNumberingAfterBreak="0">
    <w:nsid w:val="5A577BE4"/>
    <w:multiLevelType w:val="hybridMultilevel"/>
    <w:tmpl w:val="5F80066E"/>
    <w:lvl w:ilvl="0" w:tplc="EEF4C302">
      <w:start w:val="1"/>
      <w:numFmt w:val="bullet"/>
      <w:lvlText w:val=""/>
      <w:lvlJc w:val="left"/>
      <w:pPr>
        <w:ind w:left="360" w:hanging="360"/>
      </w:pPr>
      <w:rPr>
        <w:rFonts w:ascii="Symbol" w:hAnsi="Symbol" w:hint="default"/>
      </w:rPr>
    </w:lvl>
    <w:lvl w:ilvl="1" w:tplc="DDCC99A4">
      <w:start w:val="1"/>
      <w:numFmt w:val="bullet"/>
      <w:lvlText w:val="o"/>
      <w:lvlJc w:val="left"/>
      <w:pPr>
        <w:ind w:left="1080" w:hanging="360"/>
      </w:pPr>
      <w:rPr>
        <w:rFonts w:ascii="Courier New" w:hAnsi="Courier New" w:cs="Times New Roman" w:hint="default"/>
      </w:rPr>
    </w:lvl>
    <w:lvl w:ilvl="2" w:tplc="C0F04AFA">
      <w:start w:val="1"/>
      <w:numFmt w:val="bullet"/>
      <w:lvlText w:val=""/>
      <w:lvlJc w:val="left"/>
      <w:pPr>
        <w:ind w:left="1800" w:hanging="360"/>
      </w:pPr>
      <w:rPr>
        <w:rFonts w:ascii="Wingdings" w:hAnsi="Wingdings" w:hint="default"/>
      </w:rPr>
    </w:lvl>
    <w:lvl w:ilvl="3" w:tplc="C1B82F8A">
      <w:start w:val="1"/>
      <w:numFmt w:val="bullet"/>
      <w:lvlText w:val=""/>
      <w:lvlJc w:val="left"/>
      <w:pPr>
        <w:ind w:left="2520" w:hanging="360"/>
      </w:pPr>
      <w:rPr>
        <w:rFonts w:ascii="Symbol" w:hAnsi="Symbol" w:hint="default"/>
      </w:rPr>
    </w:lvl>
    <w:lvl w:ilvl="4" w:tplc="0D281D1A">
      <w:start w:val="1"/>
      <w:numFmt w:val="bullet"/>
      <w:lvlText w:val="o"/>
      <w:lvlJc w:val="left"/>
      <w:pPr>
        <w:ind w:left="3240" w:hanging="360"/>
      </w:pPr>
      <w:rPr>
        <w:rFonts w:ascii="Courier New" w:hAnsi="Courier New" w:cs="Times New Roman" w:hint="default"/>
      </w:rPr>
    </w:lvl>
    <w:lvl w:ilvl="5" w:tplc="E9C0F022">
      <w:start w:val="1"/>
      <w:numFmt w:val="bullet"/>
      <w:lvlText w:val=""/>
      <w:lvlJc w:val="left"/>
      <w:pPr>
        <w:ind w:left="3960" w:hanging="360"/>
      </w:pPr>
      <w:rPr>
        <w:rFonts w:ascii="Wingdings" w:hAnsi="Wingdings" w:hint="default"/>
      </w:rPr>
    </w:lvl>
    <w:lvl w:ilvl="6" w:tplc="DB7EF328">
      <w:start w:val="1"/>
      <w:numFmt w:val="bullet"/>
      <w:lvlText w:val=""/>
      <w:lvlJc w:val="left"/>
      <w:pPr>
        <w:ind w:left="4680" w:hanging="360"/>
      </w:pPr>
      <w:rPr>
        <w:rFonts w:ascii="Symbol" w:hAnsi="Symbol" w:hint="default"/>
      </w:rPr>
    </w:lvl>
    <w:lvl w:ilvl="7" w:tplc="C9CA05B6">
      <w:start w:val="1"/>
      <w:numFmt w:val="bullet"/>
      <w:lvlText w:val="o"/>
      <w:lvlJc w:val="left"/>
      <w:pPr>
        <w:ind w:left="5400" w:hanging="360"/>
      </w:pPr>
      <w:rPr>
        <w:rFonts w:ascii="Courier New" w:hAnsi="Courier New" w:cs="Times New Roman" w:hint="default"/>
      </w:rPr>
    </w:lvl>
    <w:lvl w:ilvl="8" w:tplc="87707592">
      <w:start w:val="1"/>
      <w:numFmt w:val="bullet"/>
      <w:lvlText w:val=""/>
      <w:lvlJc w:val="left"/>
      <w:pPr>
        <w:ind w:left="6120" w:hanging="360"/>
      </w:pPr>
      <w:rPr>
        <w:rFonts w:ascii="Wingdings" w:hAnsi="Wingdings" w:hint="default"/>
      </w:rPr>
    </w:lvl>
  </w:abstractNum>
  <w:abstractNum w:abstractNumId="57" w15:restartNumberingAfterBreak="0">
    <w:nsid w:val="5B8E1748"/>
    <w:multiLevelType w:val="hybridMultilevel"/>
    <w:tmpl w:val="DB7EEB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8" w15:restartNumberingAfterBreak="0">
    <w:nsid w:val="5C9C2155"/>
    <w:multiLevelType w:val="hybridMultilevel"/>
    <w:tmpl w:val="DA7C69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9" w15:restartNumberingAfterBreak="0">
    <w:nsid w:val="61ED7BE8"/>
    <w:multiLevelType w:val="hybridMultilevel"/>
    <w:tmpl w:val="79E0E69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0" w15:restartNumberingAfterBreak="0">
    <w:nsid w:val="65A94D0E"/>
    <w:multiLevelType w:val="hybridMultilevel"/>
    <w:tmpl w:val="D0CA8642"/>
    <w:lvl w:ilvl="0" w:tplc="08090001">
      <w:start w:val="1"/>
      <w:numFmt w:val="bullet"/>
      <w:lvlText w:val=""/>
      <w:lvlJc w:val="left"/>
      <w:pPr>
        <w:ind w:left="1080" w:hanging="360"/>
      </w:pPr>
      <w:rPr>
        <w:rFonts w:ascii="Symbol" w:hAnsi="Symbol" w:hint="default"/>
      </w:rPr>
    </w:lvl>
    <w:lvl w:ilvl="1" w:tplc="08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1" w15:restartNumberingAfterBreak="0">
    <w:nsid w:val="67D17E6C"/>
    <w:multiLevelType w:val="hybridMultilevel"/>
    <w:tmpl w:val="8BF48EB8"/>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62" w15:restartNumberingAfterBreak="0">
    <w:nsid w:val="68CC357A"/>
    <w:multiLevelType w:val="hybridMultilevel"/>
    <w:tmpl w:val="9C68D54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3" w15:restartNumberingAfterBreak="0">
    <w:nsid w:val="6BD4761A"/>
    <w:multiLevelType w:val="hybridMultilevel"/>
    <w:tmpl w:val="27728396"/>
    <w:lvl w:ilvl="0" w:tplc="8D2A03D4">
      <w:start w:val="1"/>
      <w:numFmt w:val="bullet"/>
      <w:lvlText w:val=""/>
      <w:lvlJc w:val="left"/>
      <w:pPr>
        <w:ind w:left="3904" w:hanging="360"/>
      </w:pPr>
      <w:rPr>
        <w:rFonts w:ascii="Symbol" w:hAnsi="Symbol" w:hint="default"/>
      </w:rPr>
    </w:lvl>
    <w:lvl w:ilvl="1" w:tplc="198C6762">
      <w:start w:val="1"/>
      <w:numFmt w:val="bullet"/>
      <w:lvlText w:val="o"/>
      <w:lvlJc w:val="left"/>
      <w:pPr>
        <w:ind w:left="4624" w:hanging="360"/>
      </w:pPr>
      <w:rPr>
        <w:rFonts w:ascii="Courier New" w:hAnsi="Courier New" w:cs="Times New Roman" w:hint="default"/>
      </w:rPr>
    </w:lvl>
    <w:lvl w:ilvl="2" w:tplc="B588D548">
      <w:start w:val="1"/>
      <w:numFmt w:val="bullet"/>
      <w:lvlText w:val=""/>
      <w:lvlJc w:val="left"/>
      <w:pPr>
        <w:ind w:left="5344" w:hanging="360"/>
      </w:pPr>
      <w:rPr>
        <w:rFonts w:ascii="Wingdings" w:hAnsi="Wingdings" w:hint="default"/>
      </w:rPr>
    </w:lvl>
    <w:lvl w:ilvl="3" w:tplc="AE0EC49A">
      <w:start w:val="1"/>
      <w:numFmt w:val="bullet"/>
      <w:lvlText w:val=""/>
      <w:lvlJc w:val="left"/>
      <w:pPr>
        <w:ind w:left="6064" w:hanging="360"/>
      </w:pPr>
      <w:rPr>
        <w:rFonts w:ascii="Symbol" w:hAnsi="Symbol" w:hint="default"/>
      </w:rPr>
    </w:lvl>
    <w:lvl w:ilvl="4" w:tplc="E0082942">
      <w:start w:val="1"/>
      <w:numFmt w:val="bullet"/>
      <w:lvlText w:val="o"/>
      <w:lvlJc w:val="left"/>
      <w:pPr>
        <w:ind w:left="6784" w:hanging="360"/>
      </w:pPr>
      <w:rPr>
        <w:rFonts w:ascii="Courier New" w:hAnsi="Courier New" w:cs="Times New Roman" w:hint="default"/>
      </w:rPr>
    </w:lvl>
    <w:lvl w:ilvl="5" w:tplc="1CF40076">
      <w:start w:val="1"/>
      <w:numFmt w:val="bullet"/>
      <w:lvlText w:val=""/>
      <w:lvlJc w:val="left"/>
      <w:pPr>
        <w:ind w:left="7504" w:hanging="360"/>
      </w:pPr>
      <w:rPr>
        <w:rFonts w:ascii="Wingdings" w:hAnsi="Wingdings" w:hint="default"/>
      </w:rPr>
    </w:lvl>
    <w:lvl w:ilvl="6" w:tplc="EC7E3186">
      <w:start w:val="1"/>
      <w:numFmt w:val="bullet"/>
      <w:lvlText w:val=""/>
      <w:lvlJc w:val="left"/>
      <w:pPr>
        <w:ind w:left="8224" w:hanging="360"/>
      </w:pPr>
      <w:rPr>
        <w:rFonts w:ascii="Symbol" w:hAnsi="Symbol" w:hint="default"/>
      </w:rPr>
    </w:lvl>
    <w:lvl w:ilvl="7" w:tplc="6DE8C176">
      <w:start w:val="1"/>
      <w:numFmt w:val="bullet"/>
      <w:lvlText w:val="o"/>
      <w:lvlJc w:val="left"/>
      <w:pPr>
        <w:ind w:left="8944" w:hanging="360"/>
      </w:pPr>
      <w:rPr>
        <w:rFonts w:ascii="Courier New" w:hAnsi="Courier New" w:cs="Times New Roman" w:hint="default"/>
      </w:rPr>
    </w:lvl>
    <w:lvl w:ilvl="8" w:tplc="84AE8098">
      <w:start w:val="1"/>
      <w:numFmt w:val="bullet"/>
      <w:lvlText w:val=""/>
      <w:lvlJc w:val="left"/>
      <w:pPr>
        <w:ind w:left="9664" w:hanging="360"/>
      </w:pPr>
      <w:rPr>
        <w:rFonts w:ascii="Wingdings" w:hAnsi="Wingdings" w:hint="default"/>
      </w:rPr>
    </w:lvl>
  </w:abstractNum>
  <w:abstractNum w:abstractNumId="64" w15:restartNumberingAfterBreak="0">
    <w:nsid w:val="6C735559"/>
    <w:multiLevelType w:val="hybridMultilevel"/>
    <w:tmpl w:val="E7985C2C"/>
    <w:lvl w:ilvl="0" w:tplc="A1187CA8">
      <w:start w:val="1"/>
      <w:numFmt w:val="bullet"/>
      <w:lvlText w:val=""/>
      <w:lvlJc w:val="left"/>
      <w:pPr>
        <w:ind w:left="360" w:hanging="360"/>
      </w:pPr>
      <w:rPr>
        <w:rFonts w:ascii="Symbol" w:hAnsi="Symbol" w:hint="default"/>
      </w:rPr>
    </w:lvl>
    <w:lvl w:ilvl="1" w:tplc="D0409F0C">
      <w:start w:val="1"/>
      <w:numFmt w:val="bullet"/>
      <w:lvlText w:val="o"/>
      <w:lvlJc w:val="left"/>
      <w:pPr>
        <w:ind w:left="1080" w:hanging="360"/>
      </w:pPr>
      <w:rPr>
        <w:rFonts w:ascii="Courier New" w:hAnsi="Courier New" w:cs="Times New Roman" w:hint="default"/>
      </w:rPr>
    </w:lvl>
    <w:lvl w:ilvl="2" w:tplc="15082146">
      <w:start w:val="1"/>
      <w:numFmt w:val="bullet"/>
      <w:lvlText w:val=""/>
      <w:lvlJc w:val="left"/>
      <w:pPr>
        <w:ind w:left="1800" w:hanging="360"/>
      </w:pPr>
      <w:rPr>
        <w:rFonts w:ascii="Wingdings" w:hAnsi="Wingdings" w:hint="default"/>
      </w:rPr>
    </w:lvl>
    <w:lvl w:ilvl="3" w:tplc="C9A08E28">
      <w:start w:val="1"/>
      <w:numFmt w:val="bullet"/>
      <w:lvlText w:val=""/>
      <w:lvlJc w:val="left"/>
      <w:pPr>
        <w:ind w:left="2520" w:hanging="360"/>
      </w:pPr>
      <w:rPr>
        <w:rFonts w:ascii="Symbol" w:hAnsi="Symbol" w:hint="default"/>
      </w:rPr>
    </w:lvl>
    <w:lvl w:ilvl="4" w:tplc="14B018BC">
      <w:start w:val="1"/>
      <w:numFmt w:val="bullet"/>
      <w:lvlText w:val="o"/>
      <w:lvlJc w:val="left"/>
      <w:pPr>
        <w:ind w:left="3240" w:hanging="360"/>
      </w:pPr>
      <w:rPr>
        <w:rFonts w:ascii="Courier New" w:hAnsi="Courier New" w:cs="Times New Roman" w:hint="default"/>
      </w:rPr>
    </w:lvl>
    <w:lvl w:ilvl="5" w:tplc="4036A2CC">
      <w:start w:val="1"/>
      <w:numFmt w:val="bullet"/>
      <w:lvlText w:val=""/>
      <w:lvlJc w:val="left"/>
      <w:pPr>
        <w:ind w:left="3960" w:hanging="360"/>
      </w:pPr>
      <w:rPr>
        <w:rFonts w:ascii="Wingdings" w:hAnsi="Wingdings" w:hint="default"/>
      </w:rPr>
    </w:lvl>
    <w:lvl w:ilvl="6" w:tplc="F464421E">
      <w:start w:val="1"/>
      <w:numFmt w:val="bullet"/>
      <w:lvlText w:val=""/>
      <w:lvlJc w:val="left"/>
      <w:pPr>
        <w:ind w:left="4680" w:hanging="360"/>
      </w:pPr>
      <w:rPr>
        <w:rFonts w:ascii="Symbol" w:hAnsi="Symbol" w:hint="default"/>
      </w:rPr>
    </w:lvl>
    <w:lvl w:ilvl="7" w:tplc="F78AEAF6">
      <w:start w:val="1"/>
      <w:numFmt w:val="bullet"/>
      <w:lvlText w:val="o"/>
      <w:lvlJc w:val="left"/>
      <w:pPr>
        <w:ind w:left="5400" w:hanging="360"/>
      </w:pPr>
      <w:rPr>
        <w:rFonts w:ascii="Courier New" w:hAnsi="Courier New" w:cs="Times New Roman" w:hint="default"/>
      </w:rPr>
    </w:lvl>
    <w:lvl w:ilvl="8" w:tplc="6576FEC8">
      <w:start w:val="1"/>
      <w:numFmt w:val="bullet"/>
      <w:lvlText w:val=""/>
      <w:lvlJc w:val="left"/>
      <w:pPr>
        <w:ind w:left="6120" w:hanging="360"/>
      </w:pPr>
      <w:rPr>
        <w:rFonts w:ascii="Wingdings" w:hAnsi="Wingdings" w:hint="default"/>
      </w:rPr>
    </w:lvl>
  </w:abstractNum>
  <w:abstractNum w:abstractNumId="65" w15:restartNumberingAfterBreak="0">
    <w:nsid w:val="7032015C"/>
    <w:multiLevelType w:val="hybridMultilevel"/>
    <w:tmpl w:val="8B04BD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6" w15:restartNumberingAfterBreak="0">
    <w:nsid w:val="70DE3FF7"/>
    <w:multiLevelType w:val="hybridMultilevel"/>
    <w:tmpl w:val="28CC994A"/>
    <w:lvl w:ilvl="0" w:tplc="9D008580">
      <w:numFmt w:val="bullet"/>
      <w:lvlText w:val="-"/>
      <w:lvlJc w:val="left"/>
      <w:pPr>
        <w:ind w:left="720" w:hanging="360"/>
      </w:pPr>
      <w:rPr>
        <w:rFonts w:ascii="Calibri" w:eastAsia="Calibri"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67" w15:restartNumberingAfterBreak="0">
    <w:nsid w:val="716E6946"/>
    <w:multiLevelType w:val="hybridMultilevel"/>
    <w:tmpl w:val="0534DB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71C56462"/>
    <w:multiLevelType w:val="multilevel"/>
    <w:tmpl w:val="7A20C058"/>
    <w:lvl w:ilvl="0">
      <w:start w:val="1"/>
      <w:numFmt w:val="bullet"/>
      <w:lvlText w:val=""/>
      <w:lvlJc w:val="left"/>
      <w:pPr>
        <w:ind w:left="431" w:hanging="432"/>
      </w:pPr>
      <w:rPr>
        <w:rFonts w:ascii="Symbol" w:hAnsi="Symbol" w:hint="default"/>
        <w:b/>
        <w:i w:val="0"/>
      </w:rPr>
    </w:lvl>
    <w:lvl w:ilvl="1">
      <w:start w:val="1"/>
      <w:numFmt w:val="bullet"/>
      <w:lvlText w:val="·"/>
      <w:lvlJc w:val="left"/>
      <w:pPr>
        <w:ind w:left="575" w:hanging="576"/>
      </w:pPr>
      <w:rPr>
        <w:rFonts w:ascii="Symbol" w:hAnsi="Symbol" w:hint="default"/>
      </w:rPr>
    </w:lvl>
    <w:lvl w:ilvl="2">
      <w:start w:val="1"/>
      <w:numFmt w:val="decimal"/>
      <w:lvlText w:val="%1.%2.%3"/>
      <w:lvlJc w:val="left"/>
      <w:pPr>
        <w:ind w:left="719" w:hanging="720"/>
      </w:pPr>
      <w:rPr>
        <w:rFonts w:hint="default"/>
      </w:rPr>
    </w:lvl>
    <w:lvl w:ilvl="3">
      <w:start w:val="1"/>
      <w:numFmt w:val="decimal"/>
      <w:lvlText w:val="%1.%2.%3.%4"/>
      <w:lvlJc w:val="left"/>
      <w:pPr>
        <w:ind w:left="863" w:hanging="864"/>
      </w:pPr>
    </w:lvl>
    <w:lvl w:ilvl="4">
      <w:start w:val="1"/>
      <w:numFmt w:val="decimal"/>
      <w:lvlText w:val="%1.%2.%3.%4.%5"/>
      <w:lvlJc w:val="left"/>
      <w:pPr>
        <w:ind w:left="1007" w:hanging="1008"/>
      </w:pPr>
    </w:lvl>
    <w:lvl w:ilvl="5">
      <w:start w:val="1"/>
      <w:numFmt w:val="decimal"/>
      <w:lvlText w:val="%1.%2.%3.%4.%5.%6"/>
      <w:lvlJc w:val="left"/>
      <w:pPr>
        <w:ind w:left="1151" w:hanging="1152"/>
      </w:pPr>
    </w:lvl>
    <w:lvl w:ilvl="6">
      <w:start w:val="1"/>
      <w:numFmt w:val="decimal"/>
      <w:lvlText w:val="%1.%2.%3.%4.%5.%6.%7"/>
      <w:lvlJc w:val="left"/>
      <w:pPr>
        <w:ind w:left="1295" w:hanging="1296"/>
      </w:pPr>
    </w:lvl>
    <w:lvl w:ilvl="7">
      <w:start w:val="1"/>
      <w:numFmt w:val="decimal"/>
      <w:lvlText w:val="%1.%2.%3.%4.%5.%6.%7.%8"/>
      <w:lvlJc w:val="left"/>
      <w:pPr>
        <w:ind w:left="1439" w:hanging="1440"/>
      </w:pPr>
    </w:lvl>
    <w:lvl w:ilvl="8">
      <w:start w:val="1"/>
      <w:numFmt w:val="decimal"/>
      <w:lvlText w:val="%1.%2.%3.%4.%5.%6.%7.%8.%9"/>
      <w:lvlJc w:val="left"/>
      <w:pPr>
        <w:ind w:left="1583" w:hanging="1584"/>
      </w:pPr>
    </w:lvl>
  </w:abstractNum>
  <w:abstractNum w:abstractNumId="69" w15:restartNumberingAfterBreak="0">
    <w:nsid w:val="724A540E"/>
    <w:multiLevelType w:val="hybridMultilevel"/>
    <w:tmpl w:val="2E5A8CAC"/>
    <w:lvl w:ilvl="0" w:tplc="718EDCFC">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72D81F11"/>
    <w:multiLevelType w:val="hybridMultilevel"/>
    <w:tmpl w:val="FF225784"/>
    <w:lvl w:ilvl="0" w:tplc="9872F8F0">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1" w15:restartNumberingAfterBreak="0">
    <w:nsid w:val="73876078"/>
    <w:multiLevelType w:val="hybridMultilevel"/>
    <w:tmpl w:val="6FE4E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73DF7B7B"/>
    <w:multiLevelType w:val="hybridMultilevel"/>
    <w:tmpl w:val="FE5E13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3" w15:restartNumberingAfterBreak="0">
    <w:nsid w:val="781D3D95"/>
    <w:multiLevelType w:val="multilevel"/>
    <w:tmpl w:val="012EA692"/>
    <w:lvl w:ilvl="0">
      <w:start w:val="1"/>
      <w:numFmt w:val="decimal"/>
      <w:lvlText w:val="%1."/>
      <w:lvlJc w:val="left"/>
      <w:pPr>
        <w:ind w:left="360" w:hanging="360"/>
      </w:pPr>
      <w:rPr>
        <w:rFonts w:hint="default"/>
      </w:rPr>
    </w:lvl>
    <w:lvl w:ilvl="1">
      <w:start w:val="1"/>
      <w:numFmt w:val="decimal"/>
      <w:lvlText w:val="%1.%2."/>
      <w:lvlJc w:val="left"/>
      <w:pPr>
        <w:ind w:left="716"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4" w15:restartNumberingAfterBreak="0">
    <w:nsid w:val="7BBD5402"/>
    <w:multiLevelType w:val="hybridMultilevel"/>
    <w:tmpl w:val="3FB67890"/>
    <w:lvl w:ilvl="0" w:tplc="C1765BC4">
      <w:numFmt w:val="bullet"/>
      <w:lvlText w:val="-"/>
      <w:lvlJc w:val="left"/>
      <w:pPr>
        <w:ind w:left="360" w:hanging="360"/>
      </w:pPr>
      <w:rPr>
        <w:rFonts w:ascii="Times New Roman" w:eastAsia="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6"/>
  </w:num>
  <w:num w:numId="2">
    <w:abstractNumId w:val="37"/>
  </w:num>
  <w:num w:numId="3">
    <w:abstractNumId w:val="13"/>
  </w:num>
  <w:num w:numId="4">
    <w:abstractNumId w:val="30"/>
  </w:num>
  <w:num w:numId="5">
    <w:abstractNumId w:val="33"/>
  </w:num>
  <w:num w:numId="6">
    <w:abstractNumId w:val="32"/>
  </w:num>
  <w:num w:numId="7">
    <w:abstractNumId w:val="68"/>
  </w:num>
  <w:num w:numId="8">
    <w:abstractNumId w:val="44"/>
  </w:num>
  <w:num w:numId="9">
    <w:abstractNumId w:val="55"/>
  </w:num>
  <w:num w:numId="10">
    <w:abstractNumId w:val="48"/>
  </w:num>
  <w:num w:numId="11">
    <w:abstractNumId w:val="72"/>
  </w:num>
  <w:num w:numId="12">
    <w:abstractNumId w:val="25"/>
  </w:num>
  <w:num w:numId="13">
    <w:abstractNumId w:val="29"/>
  </w:num>
  <w:num w:numId="14">
    <w:abstractNumId w:val="58"/>
  </w:num>
  <w:num w:numId="15">
    <w:abstractNumId w:val="53"/>
  </w:num>
  <w:num w:numId="16">
    <w:abstractNumId w:val="20"/>
  </w:num>
  <w:num w:numId="17">
    <w:abstractNumId w:val="1"/>
  </w:num>
  <w:num w:numId="18">
    <w:abstractNumId w:val="28"/>
  </w:num>
  <w:num w:numId="19">
    <w:abstractNumId w:val="6"/>
  </w:num>
  <w:num w:numId="20">
    <w:abstractNumId w:val="46"/>
  </w:num>
  <w:num w:numId="21">
    <w:abstractNumId w:val="70"/>
  </w:num>
  <w:num w:numId="22">
    <w:abstractNumId w:val="61"/>
  </w:num>
  <w:num w:numId="23">
    <w:abstractNumId w:val="21"/>
  </w:num>
  <w:num w:numId="24">
    <w:abstractNumId w:val="16"/>
  </w:num>
  <w:num w:numId="25">
    <w:abstractNumId w:val="57"/>
  </w:num>
  <w:num w:numId="26">
    <w:abstractNumId w:val="54"/>
  </w:num>
  <w:num w:numId="27">
    <w:abstractNumId w:val="35"/>
  </w:num>
  <w:num w:numId="28">
    <w:abstractNumId w:val="63"/>
  </w:num>
  <w:num w:numId="29">
    <w:abstractNumId w:val="23"/>
  </w:num>
  <w:num w:numId="30">
    <w:abstractNumId w:val="56"/>
  </w:num>
  <w:num w:numId="31">
    <w:abstractNumId w:val="64"/>
  </w:num>
  <w:num w:numId="32">
    <w:abstractNumId w:val="47"/>
  </w:num>
  <w:num w:numId="33">
    <w:abstractNumId w:val="73"/>
  </w:num>
  <w:num w:numId="34">
    <w:abstractNumId w:val="4"/>
  </w:num>
  <w:num w:numId="35">
    <w:abstractNumId w:val="49"/>
  </w:num>
  <w:num w:numId="36">
    <w:abstractNumId w:val="18"/>
  </w:num>
  <w:num w:numId="37">
    <w:abstractNumId w:val="5"/>
  </w:num>
  <w:num w:numId="38">
    <w:abstractNumId w:val="69"/>
  </w:num>
  <w:num w:numId="39">
    <w:abstractNumId w:val="3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4"/>
  </w:num>
  <w:num w:numId="41">
    <w:abstractNumId w:val="4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
  </w:num>
  <w:num w:numId="43">
    <w:abstractNumId w:val="34"/>
  </w:num>
  <w:num w:numId="44">
    <w:abstractNumId w:val="51"/>
  </w:num>
  <w:num w:numId="45">
    <w:abstractNumId w:val="41"/>
  </w:num>
  <w:num w:numId="46">
    <w:abstractNumId w:val="8"/>
  </w:num>
  <w:num w:numId="47">
    <w:abstractNumId w:val="15"/>
  </w:num>
  <w:num w:numId="48">
    <w:abstractNumId w:val="9"/>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3"/>
  </w:num>
  <w:num w:numId="50">
    <w:abstractNumId w:val="45"/>
  </w:num>
  <w:num w:numId="51">
    <w:abstractNumId w:val="50"/>
  </w:num>
  <w:num w:numId="52">
    <w:abstractNumId w:val="71"/>
  </w:num>
  <w:num w:numId="53">
    <w:abstractNumId w:val="14"/>
  </w:num>
  <w:num w:numId="54">
    <w:abstractNumId w:val="42"/>
  </w:num>
  <w:num w:numId="55">
    <w:abstractNumId w:val="65"/>
  </w:num>
  <w:num w:numId="56">
    <w:abstractNumId w:val="66"/>
  </w:num>
  <w:num w:numId="57">
    <w:abstractNumId w:val="11"/>
  </w:num>
  <w:num w:numId="58">
    <w:abstractNumId w:val="31"/>
  </w:num>
  <w:num w:numId="59">
    <w:abstractNumId w:val="66"/>
  </w:num>
  <w:num w:numId="60">
    <w:abstractNumId w:val="73"/>
  </w:num>
  <w:num w:numId="61">
    <w:abstractNumId w:val="73"/>
  </w:num>
  <w:num w:numId="62">
    <w:abstractNumId w:val="38"/>
  </w:num>
  <w:num w:numId="63">
    <w:abstractNumId w:val="0"/>
  </w:num>
  <w:num w:numId="64">
    <w:abstractNumId w:val="10"/>
  </w:num>
  <w:num w:numId="65">
    <w:abstractNumId w:val="52"/>
  </w:num>
  <w:num w:numId="66">
    <w:abstractNumId w:val="40"/>
  </w:num>
  <w:num w:numId="67">
    <w:abstractNumId w:val="7"/>
  </w:num>
  <w:num w:numId="68">
    <w:abstractNumId w:val="19"/>
  </w:num>
  <w:num w:numId="69">
    <w:abstractNumId w:val="59"/>
  </w:num>
  <w:num w:numId="70">
    <w:abstractNumId w:val="22"/>
  </w:num>
  <w:num w:numId="71">
    <w:abstractNumId w:val="60"/>
  </w:num>
  <w:num w:numId="7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27"/>
  </w:num>
  <w:num w:numId="74">
    <w:abstractNumId w:val="2"/>
  </w:num>
  <w:num w:numId="75">
    <w:abstractNumId w:val="26"/>
  </w:num>
  <w:num w:numId="76">
    <w:abstractNumId w:val="67"/>
  </w:num>
  <w:num w:numId="77">
    <w:abstractNumId w:val="74"/>
  </w:num>
  <w:num w:numId="78">
    <w:abstractNumId w:val="12"/>
  </w:num>
  <w:num w:numId="79">
    <w:abstractNumId w:val="62"/>
  </w:num>
  <w:num w:numId="80">
    <w:abstractNumId w:val="39"/>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hideGrammaticalErrors/>
  <w:activeWritingStyle w:appName="MSWord" w:lang="fr-FR" w:vendorID="64" w:dllVersion="131078" w:nlCheck="1" w:checkStyle="0"/>
  <w:activeWritingStyle w:appName="MSWord" w:lang="en-IE" w:vendorID="64" w:dllVersion="131078" w:nlCheck="1" w:checkStyle="1"/>
  <w:activeWritingStyle w:appName="MSWord" w:lang="en-GB" w:vendorID="64" w:dllVersion="131078" w:nlCheck="1" w:checkStyle="1"/>
  <w:activeWritingStyle w:appName="MSWord" w:lang="en-US" w:vendorID="64" w:dllVersion="131078" w:nlCheck="1" w:checkStyle="1"/>
  <w:activeWritingStyle w:appName="MSWord" w:lang="it-IT" w:vendorID="64" w:dllVersion="131078" w:nlCheck="1" w:checkStyle="0"/>
  <w:activeWritingStyle w:appName="MSWord" w:lang="fr-BE" w:vendorID="64" w:dllVersion="131078" w:nlCheck="1" w:checkStyle="0"/>
  <w:activeWritingStyle w:appName="MSWord" w:lang="pt-PT" w:vendorID="64" w:dllVersion="131078" w:nlCheck="1" w:checkStyle="0"/>
  <w:activeWritingStyle w:appName="MSWord" w:lang="de-DE" w:vendorID="64" w:dllVersion="131078" w:nlCheck="1" w:checkStyle="0"/>
  <w:activeWritingStyle w:appName="MSWord" w:lang="en-CA" w:vendorID="64" w:dllVersion="131078" w:nlCheck="1" w:checkStyle="1"/>
  <w:defaultTabStop w:val="720"/>
  <w:hyphenationZone w:val="425"/>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11502E66-BB7C-43DF-8A25-45D3BD90988B"/>
    <w:docVar w:name="LW_COVERPAGE_TYPE" w:val="1"/>
    <w:docVar w:name="LW_CROSSREFERENCE" w:val="&lt;UNUSED&gt;"/>
    <w:docVar w:name="LW_DocType" w:val="NORMAL"/>
    <w:docVar w:name="LW_EMISSION" w:val="9.3.2021"/>
    <w:docVar w:name="LW_EMISSION_ISODATE" w:val="2021-03-09"/>
    <w:docVar w:name="LW_EMISSION_LOCATION" w:val="BRX"/>
    <w:docVar w:name="LW_EMISSION_PREFIX" w:val="Brussels, "/>
    <w:docVar w:name="LW_EMISSION_SUFFIX" w:val=" "/>
    <w:docVar w:name="LW_ID_DOCTYPE_NONLW" w:val="CP-014"/>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21) 11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t;FMT:Bold&gt;2030 Digital Compass: the European way for the Digital Decade&lt;/FMT&gt;"/>
    <w:docVar w:name="LW_TYPE.DOC.CP" w:val="COMMUNICATION FROM THE COMMISSION TO THE EUROPEAN PARLIAMENT, THE COUNCIL, THE EUROPEAN ECONOMIC AND SOCIAL COMMITTEE AND THE COMMITTEE OF THE REGIONS"/>
    <w:docVar w:name="LW_TYPE.DOC.CP.USERTEXT" w:val="&lt;EMPTY&gt;"/>
  </w:docVars>
  <w:rsids>
    <w:rsidRoot w:val="0007764C"/>
    <w:rsid w:val="0007764C"/>
    <w:rsid w:val="00A17FA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CA6C99F2-0F6C-4C2C-B247-3C68C7657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7"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rFonts w:eastAsiaTheme="minorEastAsia"/>
      <w:sz w:val="24"/>
      <w:szCs w:val="24"/>
      <w:lang w:val="fr-FR" w:eastAsia="fr-FR"/>
    </w:rPr>
  </w:style>
  <w:style w:type="paragraph" w:styleId="Heading1">
    <w:name w:val="heading 1"/>
    <w:basedOn w:val="Normal"/>
    <w:next w:val="Normal"/>
    <w:link w:val="Heading1Char"/>
    <w:uiPriority w:val="7"/>
    <w:qFormat/>
    <w:pPr>
      <w:spacing w:before="240" w:after="240"/>
      <w:outlineLvl w:val="0"/>
    </w:pPr>
    <w:rPr>
      <w:rFonts w:ascii="Times New Roman" w:eastAsiaTheme="majorEastAsia" w:hAnsi="Times New Roman" w:cs="Times New Roman"/>
      <w:b/>
      <w:smallCaps/>
      <w:lang w:val="en-GB" w:eastAsia="en-US"/>
    </w:rPr>
  </w:style>
  <w:style w:type="paragraph" w:styleId="Heading2">
    <w:name w:val="heading 2"/>
    <w:basedOn w:val="Heading1"/>
    <w:next w:val="Normal"/>
    <w:link w:val="Heading2Char"/>
    <w:uiPriority w:val="9"/>
    <w:unhideWhenUsed/>
    <w:qFormat/>
    <w:pPr>
      <w:ind w:left="716" w:hanging="432"/>
      <w:outlineLvl w:val="1"/>
    </w:pPr>
    <w:rPr>
      <w:i/>
      <w:smallCaps w:val="0"/>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7"/>
    <w:rPr>
      <w:rFonts w:ascii="Times New Roman" w:eastAsiaTheme="majorEastAsia" w:hAnsi="Times New Roman" w:cs="Times New Roman"/>
      <w:b/>
      <w:smallCaps/>
      <w:sz w:val="24"/>
      <w:szCs w:val="24"/>
    </w:rPr>
  </w:style>
  <w:style w:type="character" w:customStyle="1" w:styleId="Heading2Char">
    <w:name w:val="Heading 2 Char"/>
    <w:basedOn w:val="DefaultParagraphFont"/>
    <w:link w:val="Heading2"/>
    <w:uiPriority w:val="9"/>
    <w:rPr>
      <w:rFonts w:ascii="Times New Roman" w:eastAsiaTheme="majorEastAsia" w:hAnsi="Times New Roman" w:cs="Times New Roman"/>
      <w:b/>
      <w:i/>
      <w:sz w:val="24"/>
      <w:szCs w:val="24"/>
    </w:rPr>
  </w:style>
  <w:style w:type="paragraph" w:styleId="ListParagraph">
    <w:name w:val="List Paragraph"/>
    <w:aliases w:val="Fiche List Paragraph,Dot pt,F5 List Paragraph,List Paragraph1,No Spacing1,List Paragraph Char Char Char,Indicator Text,Numbered Para 1,Bullet Points,MAIN CONTENT,List Paragraph12,Bullet 1,OBC Bullet,Colorful List - Accent 11,N,L,Task Body"/>
    <w:basedOn w:val="Normal"/>
    <w:link w:val="ListParagraphChar"/>
    <w:uiPriority w:val="34"/>
    <w:qFormat/>
    <w:pPr>
      <w:spacing w:after="200" w:line="275" w:lineRule="auto"/>
      <w:ind w:left="720"/>
      <w:contextualSpacing/>
    </w:pPr>
    <w:rPr>
      <w:rFonts w:eastAsiaTheme="minorHAnsi"/>
      <w:sz w:val="22"/>
      <w:szCs w:val="22"/>
      <w:lang w:val="en-GB" w:eastAsia="en-US"/>
    </w:rPr>
  </w:style>
  <w:style w:type="character" w:customStyle="1" w:styleId="ListParagraphChar">
    <w:name w:val="List Paragraph Char"/>
    <w:aliases w:val="Fiche List Paragraph Char,Dot pt Char,F5 List Paragraph Char,List Paragraph1 Char,No Spacing1 Char,List Paragraph Char Char Char Char,Indicator Text Char,Numbered Para 1 Char,Bullet Points Char,MAIN CONTENT Char,List Paragraph12 Char"/>
    <w:basedOn w:val="DefaultParagraphFont"/>
    <w:link w:val="ListParagraph"/>
    <w:uiPriority w:val="34"/>
    <w:qFormat/>
    <w:locked/>
  </w:style>
  <w:style w:type="character" w:styleId="FootnoteReference">
    <w:name w:val="footnote reference"/>
    <w:aliases w:val="Footnote symbol,Footnote reference number,Footnote,Times 10 Point,Exposant 3 Point,Ref,de nota al pie,note TESI,SUPERS,EN Footnote Reference,EN Footnote text,-E Fußnotenzeichen,BVI fnr,Footnote number,Footnote Reference Number,FR,fr,o"/>
    <w:basedOn w:val="DefaultParagraphFont"/>
    <w:link w:val="FootnotesymbolCarZchn"/>
    <w:uiPriority w:val="99"/>
    <w:unhideWhenUsed/>
    <w:qFormat/>
    <w:rPr>
      <w:vertAlign w:val="superscript"/>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qFormat/>
    <w:pPr>
      <w:spacing w:after="160" w:line="240" w:lineRule="exact"/>
      <w:jc w:val="both"/>
    </w:pPr>
    <w:rPr>
      <w:rFonts w:eastAsiaTheme="minorHAnsi"/>
      <w:sz w:val="22"/>
      <w:szCs w:val="22"/>
      <w:vertAlign w:val="superscript"/>
      <w:lang w:val="en-GB" w:eastAsia="en-US"/>
    </w:rPr>
  </w:style>
  <w:style w:type="paragraph" w:styleId="FootnoteText">
    <w:name w:val="footnote text"/>
    <w:aliases w:val="Schriftart: 9 pt,Schriftart: 10 pt,Schriftart: 8 pt,WB-Fußnotentext,FoodNote,ft,Footnote text,Footnote Text Char Char,Footnote Text Char1 Char Char,Footnote Text Char Char Char Char,fn,f,Footnotes,Footnote ak,C,Fußnotentextf,Fußnote"/>
    <w:basedOn w:val="Normal"/>
    <w:link w:val="FootnoteTextChar"/>
    <w:uiPriority w:val="99"/>
    <w:unhideWhenUsed/>
    <w:qFormat/>
    <w:rPr>
      <w:rFonts w:eastAsiaTheme="minorHAnsi"/>
      <w:sz w:val="20"/>
      <w:szCs w:val="20"/>
      <w:lang w:val="en-GB" w:eastAsia="en-US"/>
    </w:rPr>
  </w:style>
  <w:style w:type="character" w:customStyle="1" w:styleId="FootnoteTextChar">
    <w:name w:val="Footnote Text Char"/>
    <w:aliases w:val="Schriftart: 9 pt Char,Schriftart: 10 pt Char,Schriftart: 8 pt Char,WB-Fußnotentext Char,FoodNote Char,ft Char,Footnote text Char,Footnote Text Char Char Char,Footnote Text Char1 Char Char Char,Footnote Text Char Char Char Char Char"/>
    <w:basedOn w:val="DefaultParagraphFont"/>
    <w:link w:val="FootnoteText"/>
    <w:uiPriority w:val="99"/>
    <w:qFormat/>
    <w:rPr>
      <w:sz w:val="20"/>
      <w:szCs w:val="20"/>
    </w:rPr>
  </w:style>
  <w:style w:type="character" w:styleId="Hyperlink">
    <w:name w:val="Hyperlink"/>
    <w:basedOn w:val="DefaultParagraphFont"/>
    <w:uiPriority w:val="99"/>
    <w:unhideWhenUsed/>
    <w:rPr>
      <w:color w:val="0000FF" w:themeColor="hyperlink"/>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after="200"/>
    </w:pPr>
    <w:rPr>
      <w:rFonts w:eastAsiaTheme="minorHAnsi"/>
      <w:sz w:val="20"/>
      <w:szCs w:val="20"/>
      <w:lang w:val="en-GB" w:eastAsia="en-US"/>
    </w:rPr>
  </w:style>
  <w:style w:type="character" w:customStyle="1" w:styleId="CommentTextChar">
    <w:name w:val="Comment Text Char"/>
    <w:basedOn w:val="DefaultParagraphFont"/>
    <w:link w:val="CommentText"/>
    <w:uiPriority w:val="99"/>
    <w:rPr>
      <w:sz w:val="20"/>
      <w:szCs w:val="20"/>
    </w:rPr>
  </w:style>
  <w:style w:type="paragraph" w:styleId="BalloonText">
    <w:name w:val="Balloon Text"/>
    <w:basedOn w:val="Normal"/>
    <w:link w:val="BalloonTextChar"/>
    <w:uiPriority w:val="99"/>
    <w:semiHidden/>
    <w:unhideWhenUse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Pr>
      <w:rFonts w:ascii="Lucida Grande" w:eastAsiaTheme="minorEastAsia" w:hAnsi="Lucida Grande" w:cs="Lucida Grande"/>
      <w:sz w:val="18"/>
      <w:szCs w:val="18"/>
      <w:lang w:val="fr-FR" w:eastAsia="fr-FR"/>
    </w:rPr>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basedOn w:val="DefaultParagraphFont"/>
    <w:link w:val="Footer"/>
    <w:uiPriority w:val="99"/>
    <w:rPr>
      <w:rFonts w:eastAsiaTheme="minorEastAsia"/>
      <w:sz w:val="24"/>
      <w:szCs w:val="24"/>
      <w:lang w:val="fr-FR" w:eastAsia="fr-FR"/>
    </w:rPr>
  </w:style>
  <w:style w:type="character" w:styleId="PageNumber">
    <w:name w:val="page number"/>
    <w:basedOn w:val="DefaultParagraphFont"/>
    <w:uiPriority w:val="99"/>
    <w:semiHidden/>
    <w:unhideWhenUsed/>
  </w:style>
  <w:style w:type="table" w:styleId="LightGrid-Accent5">
    <w:name w:val="Light Grid Accent 5"/>
    <w:basedOn w:val="TableNormal"/>
    <w:uiPriority w:val="62"/>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eastAsiaTheme="minorEastAsia"/>
      <w:sz w:val="24"/>
      <w:szCs w:val="24"/>
      <w:lang w:val="fr-FR" w:eastAsia="fr-FR"/>
    </w:rPr>
  </w:style>
  <w:style w:type="paragraph" w:styleId="CommentSubject">
    <w:name w:val="annotation subject"/>
    <w:basedOn w:val="CommentText"/>
    <w:next w:val="CommentText"/>
    <w:link w:val="CommentSubjectChar"/>
    <w:uiPriority w:val="99"/>
    <w:semiHidden/>
    <w:unhideWhenUsed/>
    <w:pPr>
      <w:spacing w:after="0"/>
    </w:pPr>
    <w:rPr>
      <w:rFonts w:eastAsiaTheme="minorEastAsia"/>
      <w:b/>
      <w:bCs/>
      <w:lang w:val="fr-FR" w:eastAsia="fr-FR"/>
    </w:rPr>
  </w:style>
  <w:style w:type="character" w:customStyle="1" w:styleId="CommentSubjectChar">
    <w:name w:val="Comment Subject Char"/>
    <w:basedOn w:val="CommentTextChar"/>
    <w:link w:val="CommentSubject"/>
    <w:uiPriority w:val="99"/>
    <w:semiHidden/>
    <w:rPr>
      <w:rFonts w:eastAsiaTheme="minorEastAsia"/>
      <w:b/>
      <w:bCs/>
      <w:sz w:val="20"/>
      <w:szCs w:val="20"/>
      <w:lang w:val="fr-FR" w:eastAsia="fr-FR"/>
    </w:rPr>
  </w:style>
  <w:style w:type="character" w:styleId="Emphasis">
    <w:name w:val="Emphasis"/>
    <w:basedOn w:val="DefaultParagraphFont"/>
    <w:uiPriority w:val="20"/>
    <w:qFormat/>
    <w:rPr>
      <w:i/>
      <w:iCs/>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TOCHeading">
    <w:name w:val="TOC Heading"/>
    <w:basedOn w:val="Heading1"/>
    <w:next w:val="Normal"/>
    <w:uiPriority w:val="39"/>
    <w:unhideWhenUsed/>
    <w:qFormat/>
    <w:pPr>
      <w:keepNext/>
      <w:keepLines/>
      <w:spacing w:line="259" w:lineRule="auto"/>
      <w:outlineLvl w:val="9"/>
    </w:pPr>
    <w:rPr>
      <w:rFonts w:asciiTheme="majorHAnsi" w:hAnsiTheme="majorHAnsi" w:cstheme="majorBidi"/>
      <w:b w:val="0"/>
      <w:color w:val="365F91" w:themeColor="accent1" w:themeShade="BF"/>
      <w:sz w:val="32"/>
      <w:szCs w:val="32"/>
      <w:lang w:val="en-US"/>
    </w:rPr>
  </w:style>
  <w:style w:type="paragraph" w:styleId="TOC1">
    <w:name w:val="toc 1"/>
    <w:basedOn w:val="Normal"/>
    <w:next w:val="Normal"/>
    <w:autoRedefine/>
    <w:uiPriority w:val="39"/>
    <w:unhideWhenUsed/>
    <w:pPr>
      <w:spacing w:after="100"/>
    </w:pPr>
  </w:style>
  <w:style w:type="paragraph" w:styleId="TOC2">
    <w:name w:val="toc 2"/>
    <w:basedOn w:val="Normal"/>
    <w:next w:val="Normal"/>
    <w:autoRedefine/>
    <w:uiPriority w:val="39"/>
    <w:unhideWhenUsed/>
    <w:pPr>
      <w:spacing w:after="100"/>
      <w:ind w:left="240"/>
    </w:pPr>
  </w:style>
  <w:style w:type="paragraph" w:styleId="NormalWeb">
    <w:name w:val="Normal (Web)"/>
    <w:basedOn w:val="Normal"/>
    <w:uiPriority w:val="99"/>
    <w:semiHidden/>
    <w:unhideWhenUsed/>
    <w:pPr>
      <w:spacing w:before="100" w:beforeAutospacing="1" w:after="100" w:afterAutospacing="1"/>
    </w:pPr>
    <w:rPr>
      <w:rFonts w:ascii="Times New Roman" w:eastAsia="Times New Roman" w:hAnsi="Times New Roman" w:cs="Times New Roman"/>
      <w:lang w:val="en-GB" w:eastAsia="en-GB"/>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243F60" w:themeColor="accent1" w:themeShade="7F"/>
      <w:sz w:val="24"/>
      <w:szCs w:val="24"/>
      <w:lang w:val="fr-FR" w:eastAsia="fr-FR"/>
    </w:rPr>
  </w:style>
  <w:style w:type="character" w:styleId="FollowedHyperlink">
    <w:name w:val="FollowedHyperlink"/>
    <w:basedOn w:val="DefaultParagraphFont"/>
    <w:uiPriority w:val="99"/>
    <w:semiHidden/>
    <w:unhideWhenUsed/>
    <w:rPr>
      <w:color w:val="800080" w:themeColor="followedHyperlink"/>
      <w:u w:val="single"/>
    </w:rPr>
  </w:style>
  <w:style w:type="paragraph" w:styleId="Revision">
    <w:name w:val="Revision"/>
    <w:hidden/>
    <w:uiPriority w:val="99"/>
    <w:semiHidden/>
    <w:pPr>
      <w:spacing w:after="0" w:line="240" w:lineRule="auto"/>
    </w:pPr>
    <w:rPr>
      <w:rFonts w:eastAsiaTheme="minorEastAsia"/>
      <w:sz w:val="24"/>
      <w:szCs w:val="24"/>
      <w:lang w:val="fr-FR" w:eastAsia="fr-FR"/>
    </w:rPr>
  </w:style>
  <w:style w:type="character" w:customStyle="1" w:styleId="MarkingLabel">
    <w:name w:val="MarkingLabel"/>
    <w:semiHidden/>
    <w:rPr>
      <w:b/>
      <w:caps/>
      <w:sz w:val="28"/>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ascii="Times New Roman" w:eastAsiaTheme="minorHAnsi" w:hAnsi="Times New Roman" w:cs="Times New Roman"/>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rPr>
      <w:rFonts w:ascii="Times New Roman" w:hAnsi="Times New Roman" w:cs="Times New Roman"/>
    </w:rPr>
  </w:style>
  <w:style w:type="character" w:customStyle="1" w:styleId="FooterCoverPageChar">
    <w:name w:val="Footer Cover Page Char"/>
    <w:basedOn w:val="DefaultParagraphFont"/>
    <w:link w:val="FooterCoverPage"/>
    <w:rPr>
      <w:rFonts w:ascii="Times New Roman" w:eastAsiaTheme="minorEastAsia" w:hAnsi="Times New Roman" w:cs="Times New Roman"/>
      <w:sz w:val="24"/>
      <w:szCs w:val="24"/>
      <w:lang w:val="fr-FR" w:eastAsia="fr-FR"/>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eastAsiaTheme="minorEastAsia" w:hAnsi="Times New Roman" w:cs="Times New Roman"/>
      <w:b/>
      <w:sz w:val="32"/>
      <w:szCs w:val="24"/>
      <w:lang w:val="fr-FR" w:eastAsia="fr-FR"/>
    </w:rPr>
  </w:style>
  <w:style w:type="paragraph" w:customStyle="1" w:styleId="HeaderCoverPage">
    <w:name w:val="Header Cover Page"/>
    <w:basedOn w:val="Normal"/>
    <w:link w:val="HeaderCoverPageChar"/>
    <w:pPr>
      <w:tabs>
        <w:tab w:val="center" w:pos="4535"/>
        <w:tab w:val="right" w:pos="9071"/>
      </w:tabs>
      <w:spacing w:after="120"/>
      <w:jc w:val="both"/>
    </w:pPr>
    <w:rPr>
      <w:rFonts w:ascii="Times New Roman" w:hAnsi="Times New Roman" w:cs="Times New Roman"/>
    </w:rPr>
  </w:style>
  <w:style w:type="character" w:customStyle="1" w:styleId="HeaderCoverPageChar">
    <w:name w:val="Header Cover Page Char"/>
    <w:basedOn w:val="DefaultParagraphFont"/>
    <w:link w:val="HeaderCoverPage"/>
    <w:rPr>
      <w:rFonts w:ascii="Times New Roman" w:eastAsiaTheme="minorEastAsia" w:hAnsi="Times New Roman" w:cs="Times New Roman"/>
      <w:sz w:val="24"/>
      <w:szCs w:val="24"/>
      <w:lang w:val="fr-FR" w:eastAsia="fr-FR"/>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eastAsiaTheme="minorEastAsia" w:hAnsi="Times New Roman" w:cs="Times New Roman"/>
      <w:b/>
      <w:sz w:val="32"/>
      <w:szCs w:val="24"/>
      <w:lang w:val="fr-FR" w:eastAsia="fr-FR"/>
    </w:rPr>
  </w:style>
  <w:style w:type="paragraph" w:customStyle="1" w:styleId="HeaderSensitivityRight">
    <w:name w:val="Header Sensitivity Right"/>
    <w:basedOn w:val="Normal"/>
    <w:link w:val="HeaderSensitivityRightChar"/>
    <w:pPr>
      <w:spacing w:after="120"/>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eastAsiaTheme="minorEastAsia" w:hAnsi="Times New Roman" w:cs="Times New Roman"/>
      <w:sz w:val="28"/>
      <w:szCs w:val="24"/>
      <w:lang w:val="fr-FR" w:eastAsia="fr-FR"/>
    </w:rPr>
  </w:style>
  <w:style w:type="paragraph" w:customStyle="1" w:styleId="Text1">
    <w:name w:val="Text 1"/>
    <w:basedOn w:val="Normal"/>
    <w:uiPriority w:val="90"/>
    <w:qFormat/>
    <w:pPr>
      <w:spacing w:after="240"/>
      <w:ind w:left="482"/>
      <w:jc w:val="both"/>
    </w:pPr>
    <w:rPr>
      <w:rFonts w:ascii="Times New Roman" w:eastAsia="Times New Roman" w:hAnsi="Times New Roman" w:cs="Times New Roman"/>
      <w:szCs w:val="20"/>
      <w:lang w:val="en-GB" w:eastAsia="en-GB"/>
    </w:rPr>
  </w:style>
  <w:style w:type="paragraph" w:styleId="Caption">
    <w:name w:val="caption"/>
    <w:basedOn w:val="Normal"/>
    <w:next w:val="Normal"/>
    <w:uiPriority w:val="35"/>
    <w:semiHidden/>
    <w:unhideWhenUsed/>
    <w:qFormat/>
    <w:pPr>
      <w:spacing w:after="200"/>
    </w:pPr>
    <w:rPr>
      <w:i/>
      <w:iCs/>
      <w:color w:val="1F497D" w:themeColor="text2"/>
      <w:sz w:val="18"/>
      <w:szCs w:val="18"/>
    </w:rPr>
  </w:style>
  <w:style w:type="paragraph" w:customStyle="1" w:styleId="SecurityMarking">
    <w:name w:val="SecurityMarking"/>
    <w:basedOn w:val="Normal"/>
    <w:pPr>
      <w:spacing w:line="276" w:lineRule="auto"/>
      <w:ind w:left="5103"/>
    </w:pPr>
    <w:rPr>
      <w:rFonts w:ascii="Times New Roman" w:eastAsiaTheme="minorHAnsi" w:hAnsi="Times New Roman" w:cs="Times New Roman"/>
      <w:sz w:val="28"/>
      <w:szCs w:val="22"/>
      <w:lang w:eastAsia="en-US"/>
    </w:rPr>
  </w:style>
  <w:style w:type="paragraph" w:customStyle="1" w:styleId="DateMarking">
    <w:name w:val="DateMarking"/>
    <w:basedOn w:val="Normal"/>
    <w:pPr>
      <w:spacing w:line="276" w:lineRule="auto"/>
      <w:ind w:left="5103"/>
    </w:pPr>
    <w:rPr>
      <w:rFonts w:ascii="Times New Roman" w:eastAsiaTheme="minorHAnsi" w:hAnsi="Times New Roman" w:cs="Times New Roman"/>
      <w:i/>
      <w:sz w:val="28"/>
      <w:szCs w:val="22"/>
      <w:lang w:eastAsia="en-US"/>
    </w:rPr>
  </w:style>
  <w:style w:type="paragraph" w:customStyle="1" w:styleId="ReleasableTo">
    <w:name w:val="ReleasableTo"/>
    <w:basedOn w:val="Normal"/>
    <w:pPr>
      <w:spacing w:line="276" w:lineRule="auto"/>
      <w:ind w:left="5103"/>
    </w:pPr>
    <w:rPr>
      <w:rFonts w:ascii="Times New Roman" w:eastAsiaTheme="minorHAnsi" w:hAnsi="Times New Roman" w:cs="Times New Roman"/>
      <w:i/>
      <w:sz w:val="28"/>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640660">
      <w:bodyDiv w:val="1"/>
      <w:marLeft w:val="0"/>
      <w:marRight w:val="0"/>
      <w:marTop w:val="0"/>
      <w:marBottom w:val="0"/>
      <w:divBdr>
        <w:top w:val="none" w:sz="0" w:space="0" w:color="auto"/>
        <w:left w:val="none" w:sz="0" w:space="0" w:color="auto"/>
        <w:bottom w:val="none" w:sz="0" w:space="0" w:color="auto"/>
        <w:right w:val="none" w:sz="0" w:space="0" w:color="auto"/>
      </w:divBdr>
    </w:div>
    <w:div w:id="161743082">
      <w:bodyDiv w:val="1"/>
      <w:marLeft w:val="0"/>
      <w:marRight w:val="0"/>
      <w:marTop w:val="0"/>
      <w:marBottom w:val="0"/>
      <w:divBdr>
        <w:top w:val="none" w:sz="0" w:space="0" w:color="auto"/>
        <w:left w:val="none" w:sz="0" w:space="0" w:color="auto"/>
        <w:bottom w:val="none" w:sz="0" w:space="0" w:color="auto"/>
        <w:right w:val="none" w:sz="0" w:space="0" w:color="auto"/>
      </w:divBdr>
    </w:div>
    <w:div w:id="233006492">
      <w:bodyDiv w:val="1"/>
      <w:marLeft w:val="0"/>
      <w:marRight w:val="0"/>
      <w:marTop w:val="0"/>
      <w:marBottom w:val="0"/>
      <w:divBdr>
        <w:top w:val="none" w:sz="0" w:space="0" w:color="auto"/>
        <w:left w:val="none" w:sz="0" w:space="0" w:color="auto"/>
        <w:bottom w:val="none" w:sz="0" w:space="0" w:color="auto"/>
        <w:right w:val="none" w:sz="0" w:space="0" w:color="auto"/>
      </w:divBdr>
    </w:div>
    <w:div w:id="235938950">
      <w:bodyDiv w:val="1"/>
      <w:marLeft w:val="0"/>
      <w:marRight w:val="0"/>
      <w:marTop w:val="0"/>
      <w:marBottom w:val="0"/>
      <w:divBdr>
        <w:top w:val="none" w:sz="0" w:space="0" w:color="auto"/>
        <w:left w:val="none" w:sz="0" w:space="0" w:color="auto"/>
        <w:bottom w:val="none" w:sz="0" w:space="0" w:color="auto"/>
        <w:right w:val="none" w:sz="0" w:space="0" w:color="auto"/>
      </w:divBdr>
    </w:div>
    <w:div w:id="331301904">
      <w:bodyDiv w:val="1"/>
      <w:marLeft w:val="0"/>
      <w:marRight w:val="0"/>
      <w:marTop w:val="0"/>
      <w:marBottom w:val="0"/>
      <w:divBdr>
        <w:top w:val="none" w:sz="0" w:space="0" w:color="auto"/>
        <w:left w:val="none" w:sz="0" w:space="0" w:color="auto"/>
        <w:bottom w:val="none" w:sz="0" w:space="0" w:color="auto"/>
        <w:right w:val="none" w:sz="0" w:space="0" w:color="auto"/>
      </w:divBdr>
    </w:div>
    <w:div w:id="407771225">
      <w:bodyDiv w:val="1"/>
      <w:marLeft w:val="0"/>
      <w:marRight w:val="0"/>
      <w:marTop w:val="0"/>
      <w:marBottom w:val="0"/>
      <w:divBdr>
        <w:top w:val="none" w:sz="0" w:space="0" w:color="auto"/>
        <w:left w:val="none" w:sz="0" w:space="0" w:color="auto"/>
        <w:bottom w:val="none" w:sz="0" w:space="0" w:color="auto"/>
        <w:right w:val="none" w:sz="0" w:space="0" w:color="auto"/>
      </w:divBdr>
    </w:div>
    <w:div w:id="568077917">
      <w:bodyDiv w:val="1"/>
      <w:marLeft w:val="0"/>
      <w:marRight w:val="0"/>
      <w:marTop w:val="0"/>
      <w:marBottom w:val="0"/>
      <w:divBdr>
        <w:top w:val="none" w:sz="0" w:space="0" w:color="auto"/>
        <w:left w:val="none" w:sz="0" w:space="0" w:color="auto"/>
        <w:bottom w:val="none" w:sz="0" w:space="0" w:color="auto"/>
        <w:right w:val="none" w:sz="0" w:space="0" w:color="auto"/>
      </w:divBdr>
    </w:div>
    <w:div w:id="589200445">
      <w:bodyDiv w:val="1"/>
      <w:marLeft w:val="0"/>
      <w:marRight w:val="0"/>
      <w:marTop w:val="0"/>
      <w:marBottom w:val="0"/>
      <w:divBdr>
        <w:top w:val="none" w:sz="0" w:space="0" w:color="auto"/>
        <w:left w:val="none" w:sz="0" w:space="0" w:color="auto"/>
        <w:bottom w:val="none" w:sz="0" w:space="0" w:color="auto"/>
        <w:right w:val="none" w:sz="0" w:space="0" w:color="auto"/>
      </w:divBdr>
    </w:div>
    <w:div w:id="788092350">
      <w:bodyDiv w:val="1"/>
      <w:marLeft w:val="0"/>
      <w:marRight w:val="0"/>
      <w:marTop w:val="0"/>
      <w:marBottom w:val="0"/>
      <w:divBdr>
        <w:top w:val="none" w:sz="0" w:space="0" w:color="auto"/>
        <w:left w:val="none" w:sz="0" w:space="0" w:color="auto"/>
        <w:bottom w:val="none" w:sz="0" w:space="0" w:color="auto"/>
        <w:right w:val="none" w:sz="0" w:space="0" w:color="auto"/>
      </w:divBdr>
    </w:div>
    <w:div w:id="1040471206">
      <w:bodyDiv w:val="1"/>
      <w:marLeft w:val="0"/>
      <w:marRight w:val="0"/>
      <w:marTop w:val="0"/>
      <w:marBottom w:val="0"/>
      <w:divBdr>
        <w:top w:val="none" w:sz="0" w:space="0" w:color="auto"/>
        <w:left w:val="none" w:sz="0" w:space="0" w:color="auto"/>
        <w:bottom w:val="none" w:sz="0" w:space="0" w:color="auto"/>
        <w:right w:val="none" w:sz="0" w:space="0" w:color="auto"/>
      </w:divBdr>
    </w:div>
    <w:div w:id="1220895468">
      <w:bodyDiv w:val="1"/>
      <w:marLeft w:val="0"/>
      <w:marRight w:val="0"/>
      <w:marTop w:val="0"/>
      <w:marBottom w:val="0"/>
      <w:divBdr>
        <w:top w:val="none" w:sz="0" w:space="0" w:color="auto"/>
        <w:left w:val="none" w:sz="0" w:space="0" w:color="auto"/>
        <w:bottom w:val="none" w:sz="0" w:space="0" w:color="auto"/>
        <w:right w:val="none" w:sz="0" w:space="0" w:color="auto"/>
      </w:divBdr>
    </w:div>
    <w:div w:id="1546871540">
      <w:bodyDiv w:val="1"/>
      <w:marLeft w:val="0"/>
      <w:marRight w:val="0"/>
      <w:marTop w:val="0"/>
      <w:marBottom w:val="0"/>
      <w:divBdr>
        <w:top w:val="none" w:sz="0" w:space="0" w:color="auto"/>
        <w:left w:val="none" w:sz="0" w:space="0" w:color="auto"/>
        <w:bottom w:val="none" w:sz="0" w:space="0" w:color="auto"/>
        <w:right w:val="none" w:sz="0" w:space="0" w:color="auto"/>
      </w:divBdr>
    </w:div>
    <w:div w:id="1569925579">
      <w:bodyDiv w:val="1"/>
      <w:marLeft w:val="0"/>
      <w:marRight w:val="0"/>
      <w:marTop w:val="0"/>
      <w:marBottom w:val="0"/>
      <w:divBdr>
        <w:top w:val="none" w:sz="0" w:space="0" w:color="auto"/>
        <w:left w:val="none" w:sz="0" w:space="0" w:color="auto"/>
        <w:bottom w:val="none" w:sz="0" w:space="0" w:color="auto"/>
        <w:right w:val="none" w:sz="0" w:space="0" w:color="auto"/>
      </w:divBdr>
    </w:div>
    <w:div w:id="1585912011">
      <w:bodyDiv w:val="1"/>
      <w:marLeft w:val="0"/>
      <w:marRight w:val="0"/>
      <w:marTop w:val="0"/>
      <w:marBottom w:val="0"/>
      <w:divBdr>
        <w:top w:val="none" w:sz="0" w:space="0" w:color="auto"/>
        <w:left w:val="none" w:sz="0" w:space="0" w:color="auto"/>
        <w:bottom w:val="none" w:sz="0" w:space="0" w:color="auto"/>
        <w:right w:val="none" w:sz="0" w:space="0" w:color="auto"/>
      </w:divBdr>
    </w:div>
    <w:div w:id="1627857305">
      <w:bodyDiv w:val="1"/>
      <w:marLeft w:val="0"/>
      <w:marRight w:val="0"/>
      <w:marTop w:val="0"/>
      <w:marBottom w:val="0"/>
      <w:divBdr>
        <w:top w:val="none" w:sz="0" w:space="0" w:color="auto"/>
        <w:left w:val="none" w:sz="0" w:space="0" w:color="auto"/>
        <w:bottom w:val="none" w:sz="0" w:space="0" w:color="auto"/>
        <w:right w:val="none" w:sz="0" w:space="0" w:color="auto"/>
      </w:divBdr>
    </w:div>
    <w:div w:id="1636133646">
      <w:bodyDiv w:val="1"/>
      <w:marLeft w:val="0"/>
      <w:marRight w:val="0"/>
      <w:marTop w:val="0"/>
      <w:marBottom w:val="0"/>
      <w:divBdr>
        <w:top w:val="none" w:sz="0" w:space="0" w:color="auto"/>
        <w:left w:val="none" w:sz="0" w:space="0" w:color="auto"/>
        <w:bottom w:val="none" w:sz="0" w:space="0" w:color="auto"/>
        <w:right w:val="none" w:sz="0" w:space="0" w:color="auto"/>
      </w:divBdr>
    </w:div>
    <w:div w:id="1646932984">
      <w:bodyDiv w:val="1"/>
      <w:marLeft w:val="0"/>
      <w:marRight w:val="0"/>
      <w:marTop w:val="0"/>
      <w:marBottom w:val="0"/>
      <w:divBdr>
        <w:top w:val="none" w:sz="0" w:space="0" w:color="auto"/>
        <w:left w:val="none" w:sz="0" w:space="0" w:color="auto"/>
        <w:bottom w:val="none" w:sz="0" w:space="0" w:color="auto"/>
        <w:right w:val="none" w:sz="0" w:space="0" w:color="auto"/>
      </w:divBdr>
    </w:div>
    <w:div w:id="1663117982">
      <w:bodyDiv w:val="1"/>
      <w:marLeft w:val="0"/>
      <w:marRight w:val="0"/>
      <w:marTop w:val="0"/>
      <w:marBottom w:val="0"/>
      <w:divBdr>
        <w:top w:val="none" w:sz="0" w:space="0" w:color="auto"/>
        <w:left w:val="none" w:sz="0" w:space="0" w:color="auto"/>
        <w:bottom w:val="none" w:sz="0" w:space="0" w:color="auto"/>
        <w:right w:val="none" w:sz="0" w:space="0" w:color="auto"/>
      </w:divBdr>
    </w:div>
    <w:div w:id="1685933985">
      <w:bodyDiv w:val="1"/>
      <w:marLeft w:val="0"/>
      <w:marRight w:val="0"/>
      <w:marTop w:val="0"/>
      <w:marBottom w:val="0"/>
      <w:divBdr>
        <w:top w:val="none" w:sz="0" w:space="0" w:color="auto"/>
        <w:left w:val="none" w:sz="0" w:space="0" w:color="auto"/>
        <w:bottom w:val="none" w:sz="0" w:space="0" w:color="auto"/>
        <w:right w:val="none" w:sz="0" w:space="0" w:color="auto"/>
      </w:divBdr>
    </w:div>
    <w:div w:id="1840191232">
      <w:bodyDiv w:val="1"/>
      <w:marLeft w:val="0"/>
      <w:marRight w:val="0"/>
      <w:marTop w:val="0"/>
      <w:marBottom w:val="0"/>
      <w:divBdr>
        <w:top w:val="none" w:sz="0" w:space="0" w:color="auto"/>
        <w:left w:val="none" w:sz="0" w:space="0" w:color="auto"/>
        <w:bottom w:val="none" w:sz="0" w:space="0" w:color="auto"/>
        <w:right w:val="none" w:sz="0" w:space="0" w:color="auto"/>
      </w:divBdr>
    </w:div>
    <w:div w:id="1864325583">
      <w:bodyDiv w:val="1"/>
      <w:marLeft w:val="0"/>
      <w:marRight w:val="0"/>
      <w:marTop w:val="0"/>
      <w:marBottom w:val="0"/>
      <w:divBdr>
        <w:top w:val="none" w:sz="0" w:space="0" w:color="auto"/>
        <w:left w:val="none" w:sz="0" w:space="0" w:color="auto"/>
        <w:bottom w:val="none" w:sz="0" w:space="0" w:color="auto"/>
        <w:right w:val="none" w:sz="0" w:space="0" w:color="auto"/>
      </w:divBdr>
    </w:div>
    <w:div w:id="1961720504">
      <w:bodyDiv w:val="1"/>
      <w:marLeft w:val="0"/>
      <w:marRight w:val="0"/>
      <w:marTop w:val="0"/>
      <w:marBottom w:val="0"/>
      <w:divBdr>
        <w:top w:val="none" w:sz="0" w:space="0" w:color="auto"/>
        <w:left w:val="none" w:sz="0" w:space="0" w:color="auto"/>
        <w:bottom w:val="none" w:sz="0" w:space="0" w:color="auto"/>
        <w:right w:val="none" w:sz="0" w:space="0" w:color="auto"/>
      </w:divBdr>
    </w:div>
    <w:div w:id="1995641143">
      <w:bodyDiv w:val="1"/>
      <w:marLeft w:val="0"/>
      <w:marRight w:val="0"/>
      <w:marTop w:val="0"/>
      <w:marBottom w:val="0"/>
      <w:divBdr>
        <w:top w:val="none" w:sz="0" w:space="0" w:color="auto"/>
        <w:left w:val="none" w:sz="0" w:space="0" w:color="auto"/>
        <w:bottom w:val="none" w:sz="0" w:space="0" w:color="auto"/>
        <w:right w:val="none" w:sz="0" w:space="0" w:color="auto"/>
      </w:divBdr>
    </w:div>
    <w:div w:id="2032684056">
      <w:bodyDiv w:val="1"/>
      <w:marLeft w:val="0"/>
      <w:marRight w:val="0"/>
      <w:marTop w:val="0"/>
      <w:marBottom w:val="0"/>
      <w:divBdr>
        <w:top w:val="none" w:sz="0" w:space="0" w:color="auto"/>
        <w:left w:val="none" w:sz="0" w:space="0" w:color="auto"/>
        <w:bottom w:val="none" w:sz="0" w:space="0" w:color="auto"/>
        <w:right w:val="none" w:sz="0" w:space="0" w:color="auto"/>
      </w:divBdr>
    </w:div>
    <w:div w:id="2050715365">
      <w:bodyDiv w:val="1"/>
      <w:marLeft w:val="0"/>
      <w:marRight w:val="0"/>
      <w:marTop w:val="0"/>
      <w:marBottom w:val="0"/>
      <w:divBdr>
        <w:top w:val="none" w:sz="0" w:space="0" w:color="auto"/>
        <w:left w:val="none" w:sz="0" w:space="0" w:color="auto"/>
        <w:bottom w:val="none" w:sz="0" w:space="0" w:color="auto"/>
        <w:right w:val="none" w:sz="0" w:space="0" w:color="auto"/>
      </w:divBdr>
    </w:div>
    <w:div w:id="2051147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2.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6.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5.xml"/></Relationships>
</file>

<file path=word/_rels/footnotes.xml.rels><?xml version="1.0" encoding="UTF-8" standalone="yes"?>
<Relationships xmlns="http://schemas.openxmlformats.org/package/2006/relationships"><Relationship Id="rId3" Type="http://schemas.openxmlformats.org/officeDocument/2006/relationships/hyperlink" Target="http://eur-lex.europa.eu/LexUriServ/LexUriServ.do?uri=CELEX:32012D0243:EN:NOT" TargetMode="External"/><Relationship Id="rId2" Type="http://schemas.openxmlformats.org/officeDocument/2006/relationships/hyperlink" Target="https://ec.europa.eu/digital-single-market/en/news/women-digital-scoreboard-2020" TargetMode="External"/><Relationship Id="rId1" Type="http://schemas.openxmlformats.org/officeDocument/2006/relationships/hyperlink" Target="https://ec.europa.eu/digital-single-market/en/digital-economy-and-society-index-de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92B299078F434498DE0F0A996C78641" ma:contentTypeVersion="0" ma:contentTypeDescription="Create a new document." ma:contentTypeScope="" ma:versionID="f4a2f4765262f09da962b5d9d60e936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0F9221-E80F-4F47-AD2E-6AB510A393C9}">
  <ds:schemaRefs>
    <ds:schemaRef ds:uri="http://schemas.microsoft.com/sharepoint/v3/contenttype/forms"/>
  </ds:schemaRefs>
</ds:datastoreItem>
</file>

<file path=customXml/itemProps2.xml><?xml version="1.0" encoding="utf-8"?>
<ds:datastoreItem xmlns:ds="http://schemas.openxmlformats.org/officeDocument/2006/customXml" ds:itemID="{6F45A778-17F0-470A-BAE0-C42C77D680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159718B0-82B6-493A-9EBF-CD0D05E534A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678BC72-2260-4F6F-B7E8-6ADB72C4F3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21</Pages>
  <Words>8320</Words>
  <Characters>47674</Characters>
  <Application>Microsoft Office Word</Application>
  <DocSecurity>0</DocSecurity>
  <Lines>722</Lines>
  <Paragraphs>211</Paragraphs>
  <ScaleCrop>false</ScaleCrop>
  <HeadingPairs>
    <vt:vector size="2" baseType="variant">
      <vt:variant>
        <vt:lpstr>Title</vt:lpstr>
      </vt:variant>
      <vt:variant>
        <vt:i4>1</vt:i4>
      </vt:variant>
    </vt:vector>
  </HeadingPairs>
  <TitlesOfParts>
    <vt:vector size="1" baseType="lpstr">
      <vt:lpstr>Digital decade</vt:lpstr>
    </vt:vector>
  </TitlesOfParts>
  <Manager/>
  <Company/>
  <LinksUpToDate>false</LinksUpToDate>
  <CharactersWithSpaces>55783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Digital decade</dc:title>
  <dc:subject/>
  <dc:creator>THERACE Christine (SG)</dc:creator>
  <cp:keywords/>
  <dc:description/>
  <cp:lastModifiedBy>THERACE Christine (SG)</cp:lastModifiedBy>
  <cp:revision>18</cp:revision>
  <cp:lastPrinted>2021-03-08T18:13:00Z</cp:lastPrinted>
  <dcterms:created xsi:type="dcterms:W3CDTF">2021-03-08T17:14:00Z</dcterms:created>
  <dcterms:modified xsi:type="dcterms:W3CDTF">2021-03-08T18:14:00Z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CPTemplateID">
    <vt:lpwstr>CP-014</vt:lpwstr>
  </property>
  <property fmtid="{D5CDD505-2E9C-101B-9397-08002B2CF9AE}" pid="6" name="Created using">
    <vt:lpwstr>LW 7.0, Build 20190717</vt:lpwstr>
  </property>
  <property fmtid="{D5CDD505-2E9C-101B-9397-08002B2CF9AE}" pid="7" name="DocStatus">
    <vt:lpwstr>Green</vt:lpwstr>
  </property>
  <property fmtid="{D5CDD505-2E9C-101B-9397-08002B2CF9AE}" pid="8" name="Last edited using">
    <vt:lpwstr>LW 7.0.1, Build 20190916</vt:lpwstr>
  </property>
  <property fmtid="{D5CDD505-2E9C-101B-9397-08002B2CF9AE}" pid="9" name="_dlc_DocIdItemGuid">
    <vt:lpwstr>a81159f2-2097-4356-b0f7-511db1ffeb8d</vt:lpwstr>
  </property>
  <property fmtid="{D5CDD505-2E9C-101B-9397-08002B2CF9AE}" pid="10" name="_LW_INVALIDATED__LW_INVALIDATED__LW_INVALIDATED__LW_INVALIDATED__LW_INVALIDATED__LW_INVALIDATED__LW_INVALIDATED__LW_INVALIDATED_ContentTypeId">
    <vt:lpwstr>0x010100258AA79CEB83498886A3A0868112325000E1AEB709759A124D988071725F534713</vt:lpwstr>
  </property>
  <property fmtid="{D5CDD505-2E9C-101B-9397-08002B2CF9AE}" pid="11" name="_LW_INVALIDATED__LW_INVALIDATED__LW_INVALIDATED__LW_INVALIDATED__LW_INVALIDATED_ContentTypeId">
    <vt:lpwstr>0x010100258AA79CEB83498886A3A0868112325000E1AEB709759A124D988071725F534713</vt:lpwstr>
  </property>
  <property fmtid="{D5CDD505-2E9C-101B-9397-08002B2CF9AE}" pid="12" name="_LW_INVALIDATED_ContentTypeId">
    <vt:lpwstr>0x010100692B299078F434498DE0F0A996C78641</vt:lpwstr>
  </property>
</Properties>
</file>