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5110D35-5814-43BC-919F-A243FDC2EBF7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spacing w:after="480"/>
        <w:jc w:val="center"/>
        <w:rPr>
          <w:noProof/>
        </w:rPr>
      </w:pPr>
      <w:r>
        <w:rPr>
          <w:b/>
          <w:noProof/>
        </w:rPr>
        <w:t>PROPOSITION</w:t>
      </w:r>
    </w:p>
    <w:p>
      <w:pPr>
        <w:jc w:val="center"/>
        <w:rPr>
          <w:b/>
          <w:noProof/>
        </w:rPr>
      </w:pPr>
      <w:r>
        <w:rPr>
          <w:b/>
          <w:noProof/>
        </w:rPr>
        <w:t>CHAPITRE II: CONDITIONS ET MODALITÉS FINANCIÈRES DES CRÉDITS À L’EXPORTATION</w:t>
      </w:r>
    </w:p>
    <w:p>
      <w:pPr>
        <w:pStyle w:val="ManualHeading1"/>
        <w:rPr>
          <w:noProof/>
        </w:rPr>
      </w:pPr>
      <w:bookmarkStart w:id="1" w:name="_Toc477949063"/>
      <w:r>
        <w:rPr>
          <w:noProof/>
        </w:rPr>
        <w:t>11.</w:t>
      </w:r>
      <w:r>
        <w:rPr>
          <w:noProof/>
        </w:rPr>
        <w:tab/>
        <w:t>ACOMPTE, SOUTIEN PUBLIC MAXIMUM ET DÉPENSES LOCALES</w:t>
      </w:r>
      <w:bookmarkEnd w:id="1"/>
    </w:p>
    <w:p>
      <w:pPr>
        <w:pStyle w:val="Point1"/>
        <w:rPr>
          <w:noProof/>
        </w:rPr>
      </w:pPr>
      <w:r>
        <w:rPr>
          <w:noProof/>
        </w:rPr>
        <w:t>d)</w:t>
      </w:r>
      <w:r>
        <w:rPr>
          <w:noProof/>
        </w:rPr>
        <w:tab/>
        <w:t>Les Participants peuvent accorder un soutien public pour les dépenses locales à condition de respecter les conditions suivantes:</w:t>
      </w:r>
    </w:p>
    <w:p>
      <w:pPr>
        <w:pStyle w:val="Point2"/>
        <w:rPr>
          <w:noProof/>
        </w:rPr>
      </w:pPr>
      <w:r>
        <w:rPr>
          <w:noProof/>
        </w:rPr>
        <w:t>1)</w:t>
      </w:r>
      <w:r>
        <w:rPr>
          <w:noProof/>
        </w:rPr>
        <w:tab/>
        <w:t>Le montant maximal du soutien public pour les dépenses locales ne doit pas dépasser:</w:t>
      </w:r>
    </w:p>
    <w:p>
      <w:pPr>
        <w:pStyle w:val="Tiret3"/>
        <w:numPr>
          <w:ilvl w:val="0"/>
          <w:numId w:val="5"/>
        </w:numPr>
        <w:rPr>
          <w:noProof/>
        </w:rPr>
      </w:pPr>
      <w:r>
        <w:rPr>
          <w:noProof/>
        </w:rPr>
        <w:t>pour les pays de la catégorie I, 40 % du montant du contrat d’exportation;</w:t>
      </w:r>
    </w:p>
    <w:p>
      <w:pPr>
        <w:pStyle w:val="Tiret3"/>
        <w:rPr>
          <w:rFonts w:eastAsia="Batang"/>
          <w:noProof/>
          <w:szCs w:val="24"/>
        </w:rPr>
      </w:pPr>
      <w:r>
        <w:rPr>
          <w:noProof/>
        </w:rPr>
        <w:t>pour les pays de la catégorie II, 50 % du montant du contrat d’exportation.</w:t>
      </w:r>
    </w:p>
    <w:p>
      <w:pPr>
        <w:pStyle w:val="Point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Le soutien public pour les dépenses locales ne doit pas être fourni à des conditions plus favorables/moins restrictives que celles qui ont été convenues pour les exportations connexes. </w:t>
      </w:r>
    </w:p>
    <w:p>
      <w:pPr>
        <w:pStyle w:val="Point2"/>
        <w:rPr>
          <w:noProof/>
        </w:rPr>
      </w:pPr>
      <w:r>
        <w:rPr>
          <w:noProof/>
        </w:rPr>
        <w:t>3)</w:t>
      </w:r>
      <w:r>
        <w:rPr>
          <w:noProof/>
        </w:rPr>
        <w:tab/>
        <w:t>Lorsque le soutien public pour les dépenses locales dépasse 15 % du montant du contrat d’exportation, ce soutien public fait l’objet d’une notification préalable conformément à l’article 48, précisant la nature des dépenses locales bénéficiant du soutien.</w:t>
      </w:r>
    </w:p>
    <w:p>
      <w:pPr>
        <w:pStyle w:val="ManualHeading1"/>
        <w:rPr>
          <w:b w:val="0"/>
          <w:noProof/>
        </w:rPr>
      </w:pPr>
      <w:r>
        <w:rPr>
          <w:noProof/>
        </w:rPr>
        <w:t>65.</w:t>
      </w:r>
      <w:r>
        <w:rPr>
          <w:noProof/>
        </w:rPr>
        <w:tab/>
        <w:t xml:space="preserve">RÉEXAMEN DU SOUTIEN PUBLIC POUR LES DÉPENSES LOCALES </w:t>
      </w:r>
    </w:p>
    <w:p>
      <w:pPr>
        <w:pStyle w:val="Text1"/>
        <w:rPr>
          <w:noProof/>
        </w:rPr>
      </w:pPr>
      <w:r>
        <w:rPr>
          <w:noProof/>
        </w:rPr>
        <w:t xml:space="preserve">Les Participants réexaminent les dispositions relatives au soutien pour les dépenses locales au plus tard trois ans après l’approbation formelle. </w:t>
      </w:r>
    </w:p>
    <w:p>
      <w:pPr>
        <w:pStyle w:val="Text1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r>
        <w:rPr>
          <w:b/>
          <w:noProof/>
        </w:rPr>
        <w:lastRenderedPageBreak/>
        <w:t>ANNEXE IV de l’Arrangement</w:t>
      </w:r>
    </w:p>
    <w:p>
      <w:pPr>
        <w:jc w:val="center"/>
        <w:rPr>
          <w:b/>
          <w:noProof/>
        </w:rPr>
      </w:pPr>
      <w:r>
        <w:rPr>
          <w:b/>
          <w:noProof/>
        </w:rPr>
        <w:t>ACCORD SECTORIEL SUR LES CRÉDITS À L’EXPORTATION POUR DES PROJETS DANS LES DOMAINES DES ÉNERGIES RENOUVELABLES, DE L’ATTÉNUATION ET DE L’ADAPTATION AU CHANGEMENT CLIMATIQUE, ET DES RESSOURCES EN EAU</w:t>
      </w:r>
    </w:p>
    <w:p>
      <w:pPr>
        <w:pStyle w:val="Point0"/>
        <w:rPr>
          <w:b/>
          <w:strike/>
          <w:noProof/>
        </w:rPr>
      </w:pPr>
      <w:r>
        <w:rPr>
          <w:b/>
          <w:strike/>
          <w:noProof/>
        </w:rPr>
        <w:t xml:space="preserve">7. DÉPENSES LOCALES </w:t>
      </w:r>
    </w:p>
    <w:p>
      <w:pPr>
        <w:pStyle w:val="Point1"/>
        <w:rPr>
          <w:strike/>
          <w:noProof/>
        </w:rPr>
      </w:pPr>
      <w:r>
        <w:rPr>
          <w:strike/>
          <w:noProof/>
        </w:rPr>
        <w:t>a)</w:t>
      </w:r>
      <w:r>
        <w:rPr>
          <w:noProof/>
        </w:rPr>
        <w:tab/>
      </w:r>
      <w:r>
        <w:rPr>
          <w:strike/>
          <w:noProof/>
        </w:rPr>
        <w:t>Pour les crédits à l’exportation bénéficiant d’un soutien public relatif à des contrats d’une valeur d’au moins 10 millions de DTS, le soutien public offert pour les dépenses locales ne dépasse pas 30 % de la valeur du contrat d’exportation.</w:t>
      </w:r>
    </w:p>
    <w:p>
      <w:pPr>
        <w:pStyle w:val="Point1"/>
        <w:rPr>
          <w:strike/>
          <w:noProof/>
        </w:rPr>
      </w:pPr>
      <w:r>
        <w:rPr>
          <w:strike/>
          <w:noProof/>
        </w:rPr>
        <w:t>b)</w:t>
      </w:r>
      <w:r>
        <w:rPr>
          <w:noProof/>
        </w:rPr>
        <w:tab/>
      </w:r>
      <w:r>
        <w:rPr>
          <w:strike/>
          <w:noProof/>
        </w:rPr>
        <w:t>Pour les crédits à l’exportation bénéficiant d’un soutien public relatif à des contrats d’une valeur de moins de 10 millions de DTS:</w:t>
      </w:r>
    </w:p>
    <w:p>
      <w:pPr>
        <w:pStyle w:val="Point2"/>
        <w:rPr>
          <w:strike/>
          <w:noProof/>
        </w:rPr>
      </w:pPr>
      <w:r>
        <w:rPr>
          <w:strike/>
          <w:noProof/>
        </w:rPr>
        <w:t>1)</w:t>
      </w:r>
      <w:r>
        <w:rPr>
          <w:noProof/>
        </w:rPr>
        <w:tab/>
      </w:r>
      <w:r>
        <w:rPr>
          <w:strike/>
          <w:noProof/>
        </w:rPr>
        <w:t>Pour les secteurs dont la liste figure à l’appendice I du présent accord sectoriel, le soutien public offert pour les dépenses locales ne dépasse pas 45 % de la valeur du contrat d’exportation.</w:t>
      </w:r>
    </w:p>
    <w:p>
      <w:pPr>
        <w:pStyle w:val="Point2"/>
        <w:rPr>
          <w:strike/>
          <w:noProof/>
        </w:rPr>
      </w:pPr>
      <w:r>
        <w:rPr>
          <w:strike/>
          <w:noProof/>
        </w:rPr>
        <w:t>2)</w:t>
      </w:r>
      <w:r>
        <w:rPr>
          <w:noProof/>
        </w:rPr>
        <w:tab/>
      </w:r>
      <w:r>
        <w:rPr>
          <w:strike/>
          <w:noProof/>
        </w:rPr>
        <w:t>Pour les secteurs dont la liste figure à l’appendice II et pour les projets dans le secteur des ressources en eau définis à l’article 4 du présent Accord sectoriel, le soutien public offert pour les dépenses locales ne dépasse pas 30 % de la valeur du contrat d’exportation.</w:t>
      </w:r>
    </w:p>
    <w:p>
      <w:pPr>
        <w:pStyle w:val="Point1"/>
        <w:rPr>
          <w:noProof/>
        </w:rPr>
      </w:pPr>
      <w:r>
        <w:rPr>
          <w:strike/>
          <w:noProof/>
        </w:rPr>
        <w:t>c)</w:t>
      </w:r>
      <w:r>
        <w:rPr>
          <w:noProof/>
        </w:rPr>
        <w:tab/>
      </w:r>
      <w:r>
        <w:rPr>
          <w:strike/>
          <w:noProof/>
        </w:rPr>
        <w:t>Lorsque le soutien public pour les dépenses locales dépasse 15 % de la valeur du contrat d’exportation, ce soutien</w:t>
      </w:r>
      <w:r>
        <w:rPr>
          <w:noProof/>
        </w:rPr>
        <w:t xml:space="preserve"> public</w:t>
      </w:r>
      <w:r>
        <w:rPr>
          <w:strike/>
          <w:noProof/>
        </w:rPr>
        <w:t xml:space="preserve"> est soumis à notification préalable, en application de l’article 8 du présent accord sectoriel, qui précise la nature des dépenses locales donnant lieu à un soutien.</w:t>
      </w:r>
    </w:p>
    <w:sectPr>
      <w:footnotePr>
        <w:numRestart w:val="eachSect"/>
      </w:footnotePr>
      <w:endnotePr>
        <w:numFmt w:val="decimal"/>
      </w:endnotePr>
      <w:pgSz w:w="11906" w:h="16838"/>
      <w:pgMar w:top="1984" w:right="1247" w:bottom="1814" w:left="1191" w:header="1247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8244F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B855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CE98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D445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E6D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0345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C7E4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523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03 09:05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5110D35-5814-43BC-919F-A243FDC2EBF7"/>
    <w:docVar w:name="LW_COVERPAGE_TYPE" w:val="1"/>
    <w:docVar w:name="LW_CROSSREFERENCE" w:val="&lt;UNUSED&gt;"/>
    <w:docVar w:name="LW_DocType" w:val="ANNEX"/>
    <w:docVar w:name="LW_EMISSION" w:val="11.3.2021"/>
    <w:docVar w:name="LW_EMISSION_ISODATE" w:val="2021-03-1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prendre, au nom de l\u8217?Union européenne, en ce qui concerne la décision envisagée des participants à l\u8217?arrangement sur les crédits à l\u8217?exportation bénéficiant d\u8217?un soutien public"/>
    <w:docVar w:name="LW_OBJETACTEPRINCIPAL.CP" w:val="relative à la position à prendre, au nom de l\u8217?Union européenne, en ce qui concerne la décision envisagée des participants à l\u8217?arrangement sur les crédits à l\u8217?exportation bénéficiant d\u8217?un soutien public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409</Words>
  <Characters>2166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2021-02-15T13:00:00Z</dcterms:created>
  <dcterms:modified xsi:type="dcterms:W3CDTF">2021-03-03T08:05:00Z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