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5C95B28-42B3-4F34-BAEB-DA317B33697D" style="width:450.75pt;height:365.8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 xml:space="preserve">Настоящото предложение се отнася до решение за установяване на позицията, която трябва да се заеме от името на Европейския съюз от Комисията в контекста на Споразумението за официално подкрепяните експортни кредити („споразумението“) по отношение на предвидено решение за изменение на разпоредбите относно местните разходи, заложени в споразумението. В тях се определя максималният процент от стойността на подкрепяния експортен договор, който може да се състои от продукти и услуги с местен произход, т.е. такива, които произхождат от държавата на местоназначение, а не от държавата износител или трета държава. Предвиденото решение ще повиши този максимален процент, като осигури по-голяма гъвкавост в съответствие с пазарните условия.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за официално подкрепяните експортни кредити</w:t>
      </w:r>
    </w:p>
    <w:p>
      <w:pPr>
        <w:rPr>
          <w:noProof/>
        </w:rPr>
      </w:pPr>
      <w:r>
        <w:rPr>
          <w:noProof/>
        </w:rPr>
        <w:t>Споразумението, което няма задължителен характер („джентълменско споразумение“), е между ЕС, САЩ, Канада, Япония, Корея, Норвегия, Швейцария, Австралия, Нова Зеландия и Турция и неговата цел е да осигури рамка за реда за ползване на официално подкрепяните експортни кредити. На практика това означава, че с него се цели създаване на еднакви условия на конкуренция (при които конкуренцията се основава на цената и качеството на изнасяните стоки и услуги, а не на осигурените финансови условия) и премахване на субсидиите и изкривяванията на търговията във връзка с официално подкрепяните експортни кредити. Споразумението влезе в сила през април 1978 г. То е с неограничен срок на действие и въпреки че се ползва с административната подкрепа от секретариата на ОИСР, то не е акт на ОИСР</w:t>
      </w:r>
      <w:r>
        <w:rPr>
          <w:rStyle w:val="FootnoteReference"/>
          <w:noProof/>
        </w:rPr>
        <w:footnoteReference w:id="1"/>
      </w:r>
      <w:r>
        <w:rPr>
          <w:noProof/>
        </w:rPr>
        <w:t xml:space="preserve">. </w:t>
      </w:r>
    </w:p>
    <w:p>
      <w:pPr>
        <w:rPr>
          <w:noProof/>
        </w:rPr>
      </w:pPr>
      <w:r>
        <w:rPr>
          <w:noProof/>
        </w:rPr>
        <w:t>Споразумението подлежи на редовно актуализиране, като се взема предвид развитието в областта на финансовите пазари и политиката, засягащо предоставянето на официално подкрепяните експортни кредити. В Регламент (ЕС) № 1233/2011 на Европейския парламент и на Съвета</w:t>
      </w:r>
      <w:r>
        <w:rPr>
          <w:rStyle w:val="FootnoteReference"/>
          <w:noProof/>
        </w:rPr>
        <w:footnoteReference w:id="2"/>
      </w:r>
      <w:r>
        <w:rPr>
          <w:noProof/>
        </w:rPr>
        <w:t xml:space="preserve"> се предвижда, че насоките, установени в споразумението, </w:t>
      </w:r>
      <w:r>
        <w:rPr>
          <w:noProof/>
          <w:color w:val="444444"/>
          <w:shd w:val="clear" w:color="auto" w:fill="FFFFFF"/>
        </w:rPr>
        <w:t>се прилагат в Съюза и следователно са придобили</w:t>
      </w:r>
      <w:r>
        <w:rPr>
          <w:noProof/>
        </w:rPr>
        <w:t xml:space="preserve"> правно обвързващ характер в ЕС</w:t>
      </w:r>
      <w:r>
        <w:rPr>
          <w:rStyle w:val="FootnoteReference"/>
          <w:noProof/>
        </w:rPr>
        <w:footnoteReference w:id="3"/>
      </w:r>
      <w:r>
        <w:rPr>
          <w:noProof/>
        </w:rPr>
        <w:t xml:space="preserve">. Прегледите на условията на споразумението са включени в правото на ЕС чрез делегирани актове в съответствие с член 2 от посочения регламент. </w:t>
      </w:r>
    </w:p>
    <w:p>
      <w:pPr>
        <w:pStyle w:val="ManualHeading2"/>
        <w:rPr>
          <w:noProof/>
        </w:rPr>
      </w:pPr>
      <w:r>
        <w:t>2.2.</w:t>
      </w:r>
      <w:r>
        <w:tab/>
      </w:r>
      <w:r>
        <w:rPr>
          <w:noProof/>
        </w:rPr>
        <w:t>Участниците в Споразумението за официално подкрепяните експортни кредити</w:t>
      </w:r>
    </w:p>
    <w:p>
      <w:pPr>
        <w:rPr>
          <w:noProof/>
        </w:rPr>
      </w:pPr>
      <w:r>
        <w:rPr>
          <w:noProof/>
        </w:rPr>
        <w:t xml:space="preserve">Европейската комисия представлява Съюза на срещите на участниците в споразумението („участниците“), както и при писмените процедури за вземане на решения от участниците в споразумението. Решенията по всички изменения на споразумението се вземат с консенсус. Позицията на Съюза се приема от Съвета и се </w:t>
      </w:r>
      <w:r>
        <w:rPr>
          <w:noProof/>
        </w:rPr>
        <w:lastRenderedPageBreak/>
        <w:t>обсъжда от държавите членки в рамките на Работната група за експортно кредитиране към Съвета</w:t>
      </w:r>
      <w:r>
        <w:rPr>
          <w:rStyle w:val="FootnoteReference"/>
          <w:noProof/>
        </w:rPr>
        <w:footnoteReference w:id="4"/>
      </w:r>
      <w:r>
        <w:rPr>
          <w:noProof/>
        </w:rPr>
        <w:t>.</w:t>
      </w:r>
    </w:p>
    <w:p>
      <w:pPr>
        <w:rPr>
          <w:noProof/>
        </w:rPr>
      </w:pPr>
      <w:r>
        <w:rPr>
          <w:noProof/>
        </w:rPr>
        <w:t>Член 62 от споразумението предвижда: „Участниците преразглеждат редовно функционирането на споразумението. При преразглеждането участниците проучват, наред с другото, процедурите за уведомяване, въвеждането и функционирането на системата на диференцирани сконтови проценти, правилата и процедурите в областта на обвързаната помощ, въпросите по приравняването, предходните ангажименти и евентуалното разширение на кръга на участниците в споразумението“.</w:t>
      </w:r>
    </w:p>
    <w:p>
      <w:pPr>
        <w:pStyle w:val="ManualHeading2"/>
        <w:rPr>
          <w:noProof/>
        </w:rPr>
      </w:pPr>
      <w:r>
        <w:t>2.3.</w:t>
      </w:r>
      <w:r>
        <w:tab/>
      </w:r>
      <w:r>
        <w:rPr>
          <w:noProof/>
        </w:rPr>
        <w:t>Предвиденият акт на участниците в Споразумението за официално подкрепяните експортни кредити</w:t>
      </w:r>
    </w:p>
    <w:p>
      <w:pPr>
        <w:rPr>
          <w:noProof/>
        </w:rPr>
      </w:pPr>
      <w:r>
        <w:rPr>
          <w:noProof/>
        </w:rPr>
        <w:t>На 141-та среща на участниците в споразумението, която се проведе през юни 2019 г., участниците обсъдиха проект на предложение на ЕС за увеличаване на официалната подкрепа за местните разходи. Проектът на предложение беше добре приет с изразяване на положителни становища от други участници, но една делегация се въздържа от изразяване на позиция и поиска от ЕС да предостави допълнителна обща информация и разяснения.</w:t>
      </w:r>
    </w:p>
    <w:p>
      <w:pPr>
        <w:rPr>
          <w:noProof/>
        </w:rPr>
      </w:pPr>
      <w:r>
        <w:rPr>
          <w:noProof/>
        </w:rPr>
        <w:t xml:space="preserve">На следващата среща на участниците в споразумението през ноември 2019 г. отново беше обсъдено увеличаването на официалната подкрепа за местните разходи. Обсъждането се отнасяше до потенциални изменения на проекта на предложение, наред с другото, до ограничаване на обхвата на местните разходи до конкретни сектори или държави. Участниците обаче не постигнаха обща позиция и обсъжданията бяха отложени за бъдещи срещи. На 144-ата среща на участниците в споразумението през юни 2020 г. делегацията, която не подкрепи проекта на предложение на ЕС, внесе контрапредложение относно подкрепата за местните разходи. Това предложение не получи подкрепа от други участници, но бяха предложени и обсъдени компромисни решения и изменения за разрешаване на нерешените въпроси. </w:t>
      </w:r>
    </w:p>
    <w:p>
      <w:pPr>
        <w:rPr>
          <w:noProof/>
        </w:rPr>
      </w:pPr>
      <w:r>
        <w:rPr>
          <w:noProof/>
        </w:rPr>
        <w:t xml:space="preserve">ЕС преразгледа проекта си на предложение, като взе под внимание становищата, изразени на предишните срещи на участниците в споразумението, и представи проект на компромисно предложение на 145-та среща на участниците, която се проведе на 17 ноември 2020 г. Някои участници предложиха незначителни изменения на проекта на компромисно предложение. След обсъждане всички участници изразиха подкрепа за проекта на компромисно предложение заедно с предложените изменения. Участниците в споразумението трябва да приемат решение относно проекта на компромисно предложение на Съюза чрез писмена процедура. </w:t>
      </w:r>
    </w:p>
    <w:p>
      <w:pPr>
        <w:pStyle w:val="ManualHeading1"/>
        <w:rPr>
          <w:noProof/>
        </w:rPr>
      </w:pPr>
      <w:r>
        <w:t>3.</w:t>
      </w:r>
      <w:r>
        <w:tab/>
      </w:r>
      <w:r>
        <w:rPr>
          <w:noProof/>
        </w:rPr>
        <w:t>Позиция, която трябва да се заеме от името на Съюза</w:t>
      </w:r>
    </w:p>
    <w:p>
      <w:pPr>
        <w:rPr>
          <w:noProof/>
        </w:rPr>
      </w:pPr>
      <w:r>
        <w:rPr>
          <w:noProof/>
        </w:rPr>
        <w:t xml:space="preserve">Основните принципи, регулиращи официалната подкрепа за местните разходи, са изложени в член 10 от споразумението. В него се посочва, че официалната подкрепа за местните разходи не може да надвишава 30 % от стойността на експортния договор (национално съдържание и доставки от трета държава). Тези разпоредби бяха въведени през 2006 г., когато максималното равнище на официалната подкрепа беше увеличено от 15 % на 30 % от стойността на експортния договор. През последните десетилетия моделите на световната търговия и производство претърпяха значително развитие. Появата на световни вериги за създаване на стойност промени начина на снабдяване на износителите: дружествата, чието основно производство е било в една държава, сега </w:t>
      </w:r>
      <w:r>
        <w:rPr>
          <w:noProof/>
        </w:rPr>
        <w:lastRenderedPageBreak/>
        <w:t xml:space="preserve">оптимизират снабдяването си въз основа на икономическата ефективност и географската наличност, а един-единствен краен продукт често е резултат от производствени и монтажни линии в голям брой държави. Експортният сектор на ЕС отдавна призовава за по-голяма гъвкавост по отношение на местните разходи. Настоящото ограничение на подкрепата за местните разходи поставя износителите от ЕС в неблагоприятно конкурентно положение по отношение на износителите в държави, които не са обвързани от споразумението.  </w:t>
      </w:r>
    </w:p>
    <w:p>
      <w:pPr>
        <w:rPr>
          <w:noProof/>
        </w:rPr>
      </w:pPr>
      <w:r>
        <w:rPr>
          <w:noProof/>
        </w:rPr>
        <w:t>С предвиденото решение за увеличаване на официалната подкрепа за местните разходи максималното равнище на местните разходи ще бъде повишено до 40 % от стойността на експортния договор в държавите с високи доходи</w:t>
      </w:r>
      <w:r>
        <w:rPr>
          <w:rStyle w:val="FootnoteReference"/>
          <w:noProof/>
        </w:rPr>
        <w:footnoteReference w:id="5"/>
      </w:r>
      <w:r>
        <w:rPr>
          <w:noProof/>
        </w:rPr>
        <w:t xml:space="preserve"> (държави от категория I в споразумението) и до 50 % в държавите със средни и ниски доходи (държави от категория II в споразумението). Разпоредбите относно местните разходи в отрасловата договореност относно експортните кредити за проекти, свързани с енергията от възобновяеми източници, с намаляване и приспособяване към изменението на климата и с водите, ще бъдат приведени в съответствие с разпоредбите относно местните разходи в основния текст на споразумението. Освен това към споразумението ще бъде добавена клауза за преразглеждане, предвиждаща преразглеждане три години след влизането в сила на новите разпоредби относно местните разходи. </w:t>
      </w:r>
    </w:p>
    <w:p>
      <w:pPr>
        <w:rPr>
          <w:noProof/>
        </w:rPr>
      </w:pPr>
      <w:r>
        <w:rPr>
          <w:noProof/>
        </w:rPr>
        <w:t xml:space="preserve">Поради това се препоръчва позицията на Съюза да бъде да се одобри предвиденото решение на участниците в споразумението чрез писмена процедура за увеличаване на официалната подкрепа за местните разходи.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6"/>
      </w:r>
      <w:r>
        <w:rPr>
          <w:noProof/>
        </w:rPr>
        <w:t>.</w:t>
      </w:r>
    </w:p>
    <w:p>
      <w:pPr>
        <w:pStyle w:val="ManualHeading3"/>
        <w:rPr>
          <w:noProof/>
        </w:rPr>
      </w:pPr>
      <w:r>
        <w:t>4.1.2.</w:t>
      </w:r>
      <w:r>
        <w:tab/>
      </w:r>
      <w:r>
        <w:rPr>
          <w:noProof/>
        </w:rPr>
        <w:t>Приложение в конкретния случай</w:t>
      </w:r>
    </w:p>
    <w:p>
      <w:pPr>
        <w:rPr>
          <w:noProof/>
        </w:rPr>
      </w:pPr>
      <w:r>
        <w:rPr>
          <w:noProof/>
        </w:rPr>
        <w:t xml:space="preserve">Предвиденият акт може да окаже съществено въздействие върху съдържанието на законодателството на ЕС, а именно Регламент (ЕС) № 1233/2011 на Европейския парламент и на Съвета от 16 ноември 2011 г. за прилагането на определени насоки в областта на официално подкрепяните експортни кредити и за отмяна на решения 2001/76/ЕО и 2001/77/ЕО на Съвета. Причината за това е, че член 2 от посочения регламент гласи, че „Комисията приема делегирани актове в съответствие с член 3 за </w:t>
      </w:r>
      <w:r>
        <w:rPr>
          <w:noProof/>
        </w:rPr>
        <w:lastRenderedPageBreak/>
        <w:t>изменение на приложение II в резултат на измененията на насоките, договорени от участниците в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 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него.</w:t>
      </w:r>
    </w:p>
    <w:p>
      <w:pPr>
        <w:pStyle w:val="ManualHeading1"/>
        <w:rPr>
          <w:noProof/>
        </w:rPr>
      </w:pPr>
      <w:r>
        <w:t>5.</w:t>
      </w:r>
      <w:r>
        <w:tab/>
      </w:r>
      <w:r>
        <w:rPr>
          <w:noProof/>
        </w:rPr>
        <w:t>Публикуване на предвидения акт</w:t>
      </w:r>
    </w:p>
    <w:p>
      <w:pPr>
        <w:rPr>
          <w:noProof/>
        </w:rPr>
      </w:pPr>
      <w:r>
        <w:rPr>
          <w:noProof/>
        </w:rPr>
        <w:t xml:space="preserve">Тъй като с предвиденото решение на участниците ще се внесат изменения в споразумението, е целесъобразно след приемането му този акт да се публикува в </w:t>
      </w:r>
      <w:r>
        <w:rPr>
          <w:i/>
          <w:noProof/>
        </w:rPr>
        <w:t>Официален вестник на Европейския съюз</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по отношение на предвиденото решение на участниците в Споразумението за официално подкрепяните експортни кредити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официално подкрепяните експортни кредити („споразумението“) е с правно обвързващ характер в ЕС в съответствие с Регламент (ЕС) № 1233/2011 на Европейския парламент и на Съвета от 16 ноември 2011 г. за прилагането на определени насоки в областта на официално подкрепяните експортни кредити и за отмяна на решения 2001/76/ЕО и 2001/77/ЕО на Съвета</w:t>
      </w:r>
      <w:r>
        <w:rPr>
          <w:rStyle w:val="FootnoteReference"/>
          <w:noProof/>
        </w:rPr>
        <w:footnoteReference w:id="7"/>
      </w:r>
      <w:r>
        <w:rPr>
          <w:noProof/>
        </w:rPr>
        <w:t xml:space="preserve">. </w:t>
      </w:r>
    </w:p>
    <w:p>
      <w:pPr>
        <w:pStyle w:val="ManualConsidrant"/>
        <w:rPr>
          <w:noProof/>
        </w:rPr>
      </w:pPr>
      <w:r>
        <w:t>(2)</w:t>
      </w:r>
      <w:r>
        <w:tab/>
      </w:r>
      <w:r>
        <w:rPr>
          <w:noProof/>
        </w:rPr>
        <w:t xml:space="preserve">На 145-та си среща, проведена на 17 ноември 2020 г., участниците в споразумението („участниците“) се споразумяха да приемат чрез писмена процедура решение за изменение на споразумението с цел увеличаване на официалната подкрепа за експортни кредити под формата на местни разходи. </w:t>
      </w:r>
    </w:p>
    <w:p>
      <w:pPr>
        <w:pStyle w:val="ManualConsidrant"/>
        <w:rPr>
          <w:noProof/>
        </w:rPr>
      </w:pPr>
      <w:r>
        <w:t>(3)</w:t>
      </w:r>
      <w:r>
        <w:tab/>
      </w:r>
      <w:r>
        <w:rPr>
          <w:noProof/>
        </w:rPr>
        <w:t>Целесъобразно е да се определи позицията, която трябва да се заеме от името на Съюза относно решението, което трябва да бъде прието от участниците в споразумението чрез писмена процедура, тъй като предвиденото решение може да окаже съществено въздействие върху съдържанието на законодателството на Съюза по силата на член 2 от Регламент (ЕС) № 1233/2011.</w:t>
      </w:r>
    </w:p>
    <w:p>
      <w:pPr>
        <w:pStyle w:val="ManualConsidrant"/>
        <w:rPr>
          <w:noProof/>
        </w:rPr>
      </w:pPr>
      <w:r>
        <w:t>(4)</w:t>
      </w:r>
      <w:r>
        <w:tab/>
      </w:r>
      <w:r>
        <w:rPr>
          <w:noProof/>
        </w:rPr>
        <w:t xml:space="preserve">С предвиденото решение за увеличаване на официалната подкрепа за местните разходи следва да се адаптират разпоредбите относно подкрепата за местните разходи, заложени в споразумението, към преобладаващите модели на търговия и производство. Световните вериги за създаване на стойност доведоха до промени в решенията за снабдяване на износителите, като повечето износители вече се снабдяват от голям брой държави и във все по-голяма степен от мястото, където се намира купувачът. С цел да се предостави по-голяма гъвкавост на износителите от ЕС и да се даде възможност за прилагане на оптимални стратегии за снабдяване, горната граница на официалната подкрепа за местни разходи следва да бъде увеличена от 30 % на 40 % от стойността на експортния </w:t>
      </w:r>
      <w:r>
        <w:rPr>
          <w:noProof/>
        </w:rPr>
        <w:lastRenderedPageBreak/>
        <w:t>договор в държавите с високи доходи и от 30 % на 50 % от стойността на експортния договор в държавите със средни и ниски доходи,</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писмена процедура на участниците в споразумението за официално подкрепяните експортни кредити по отношение на предвиденото решение за увеличаване на официалната подкрепа за местни разходи, е установена в приложението към настоящото решение.</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Както е определено в член 5 от Конвенцията на ОИСР. </w:t>
      </w:r>
    </w:p>
  </w:footnote>
  <w:footnote w:id="2">
    <w:p>
      <w:pPr>
        <w:pStyle w:val="FootnoteText"/>
      </w:pPr>
      <w:r>
        <w:rPr>
          <w:rStyle w:val="FootnoteReference"/>
        </w:rPr>
        <w:footnoteRef/>
      </w:r>
      <w:r>
        <w:tab/>
        <w:t>Регламент (ЕС) № 1233/2011 на Европейския парламент и на Съвета от 16 ноември 2011 г. за прилагането на определени насоки в областта на официално подкрепяните експортни кредити и за отмяна на решения 2001/76/ЕО и 2001/77/ЕО на Съвета (ОВ L 326, 8.12.2011 г., стр. 45).</w:t>
      </w:r>
    </w:p>
  </w:footnote>
  <w:footnote w:id="3">
    <w:p>
      <w:pPr>
        <w:pStyle w:val="FootnoteText"/>
      </w:pPr>
      <w:r>
        <w:rPr>
          <w:rStyle w:val="FootnoteReference"/>
        </w:rPr>
        <w:footnoteRef/>
      </w:r>
      <w:r>
        <w:tab/>
        <w:t xml:space="preserve">В миналото предишните редакции на споразумението на ОИСР са били транспонирани в правото на ЕС с решения на Съвета. </w:t>
      </w:r>
    </w:p>
  </w:footnote>
  <w:footnote w:id="4">
    <w:p>
      <w:pPr>
        <w:pStyle w:val="FootnoteText"/>
      </w:pPr>
      <w:r>
        <w:rPr>
          <w:rStyle w:val="FootnoteReference"/>
        </w:rPr>
        <w:footnoteRef/>
      </w:r>
      <w:r>
        <w:tab/>
        <w:t>Решение на Съвета относно създаване на Група за координиране на политиките за кредитно застраховане, кредитни гаранции и финансови кредити (OВ 66, 27.10.1960 г., стр. 1339).</w:t>
      </w:r>
    </w:p>
  </w:footnote>
  <w:footnote w:id="5">
    <w:p>
      <w:pPr>
        <w:pStyle w:val="FootnoteText"/>
      </w:pPr>
      <w:r>
        <w:rPr>
          <w:rStyle w:val="FootnoteReference"/>
        </w:rPr>
        <w:footnoteRef/>
      </w:r>
      <w:r>
        <w:tab/>
        <w:t>Определяни от Световната банка всяка година въз основа на БНД на глава от населението.</w:t>
      </w:r>
    </w:p>
  </w:footnote>
  <w:footnote w:id="6">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7">
    <w:p>
      <w:pPr>
        <w:pStyle w:val="FootnoteText"/>
      </w:pPr>
      <w:r>
        <w:rPr>
          <w:rStyle w:val="FootnoteReference"/>
        </w:rPr>
        <w:footnoteRef/>
      </w:r>
      <w:r>
        <w:tab/>
        <w:t>Регламент (ЕС) № 1233/2011 на Европейския парламент и на Съвета от 16 ноември 2011 г. за прилагането на определени насоки в областта на официално подкрепяните експортни кредити и за отмяна на решения 2001/76/ЕО и 2001/77/ЕО на Съвета (ОВ L 326, 8.12.2011 г., стр. 45) („Регламент (ЕС) № 1233/2011“).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DA92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D89D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34BE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2A9E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9A69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5A9D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5624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02EFD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6"/>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09:08: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5C95B28-42B3-4F34-BAEB-DA317B33697D"/>
    <w:docVar w:name="LW_COVERPAGE_TYPE" w:val="1"/>
    <w:docVar w:name="LW_CROSSREFERENCE" w:val="&lt;UNUSED&gt;"/>
    <w:docVar w:name="LW_DocType" w:val="COM"/>
    <w:docVar w:name="LW_EMISSION" w:val="11.3.2021"/>
    <w:docVar w:name="LW_EMISSION_ISODATE" w:val="2021-03-1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59"/>
    <w:docVar w:name="LW_REF.II.NEW.CP_YEAR" w:val="2021"/>
    <w:docVar w:name="LW_REF.INST.NEW" w:val="COM"/>
    <w:docVar w:name="LW_REF.INST.NEW_ADOPTED" w:val="final"/>
    <w:docVar w:name="LW_REF.INST.NEW_TEXT" w:val="(2021) 1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7?\u1086? \u1086?\u1090?\u1085?\u1086?\u1096?\u1077?\u1085?\u1080?\u1077? \u1085?\u1072? \u1087?\u1088?\u1077?\u1076?\u1074?\u1080?\u1076?\u1077?\u1085?\u1086?\u1090?\u1086? \u1088?\u1077?\u1096?\u1077?\u1085?\u1080?\u1077? \u1085?\u1072? \u1091?\u1095?\u1072?\u1089?\u1090?\u1085?\u1080?\u1094?\u1080?\u1090?\u1077? \u1074? \u1057?\u1087?\u1086?\u1088?\u1072?\u1079?\u1091?\u1084?\u1077?\u1085?\u1080?\u1077?\u1090?\u1086? \u1079?\u1072? \u1086?\u1092?\u1080?\u1094?\u1080?\u1072?\u1083?\u1085?\u1086? \u1087?\u1086?\u1076?\u1082?\u1088?\u1077?\u1087?\u1103?\u1085?\u1080?\u1090?\u1077? \u1077?\u1082?\u1089?\u1087?\u1086?\u1088?\u1090?\u1085?\u1080? \u1082?\u1088?\u1077?\u1076?\u1080?\u1090?\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4DA0CC-591B-4D2E-8333-6C58210D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1884</Words>
  <Characters>11100</Characters>
  <Application>Microsoft Office Word</Application>
  <DocSecurity>0</DocSecurity>
  <Lines>198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2021-02-19T13:37:00Z</dcterms:created>
  <dcterms:modified xsi:type="dcterms:W3CDTF">2021-03-03T08:08:00Z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