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BD8D0876-A9CF-4B85-B636-16498DA933D9" style="width:450.75pt;height:384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spacing w:after="360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ANNEX </w:t>
      </w:r>
    </w:p>
    <w:p>
      <w:pPr>
        <w:spacing w:after="480"/>
        <w:jc w:val="center"/>
        <w:rPr>
          <w:noProof/>
        </w:rPr>
      </w:pPr>
      <w:r>
        <w:rPr>
          <w:b/>
          <w:noProof/>
        </w:rPr>
        <w:t>PROPOSAL</w:t>
      </w:r>
    </w:p>
    <w:p>
      <w:pPr>
        <w:jc w:val="center"/>
        <w:rPr>
          <w:b/>
          <w:noProof/>
        </w:rPr>
      </w:pPr>
      <w:r>
        <w:rPr>
          <w:b/>
          <w:noProof/>
        </w:rPr>
        <w:t>CHAPTER II: FINANCIAL TERMS AND CONDITIONS FOR EXPORT CREDITS</w:t>
      </w:r>
    </w:p>
    <w:p>
      <w:pPr>
        <w:pStyle w:val="ManualHeading1"/>
        <w:rPr>
          <w:noProof/>
          <w:lang w:eastAsia="zh-CN"/>
        </w:rPr>
      </w:pPr>
      <w:bookmarkStart w:id="1" w:name="_Toc477949063"/>
      <w:r>
        <w:rPr>
          <w:noProof/>
          <w:lang w:eastAsia="zh-CN"/>
        </w:rPr>
        <w:t>11.</w:t>
      </w:r>
      <w:r>
        <w:rPr>
          <w:noProof/>
          <w:lang w:eastAsia="zh-CN"/>
        </w:rPr>
        <w:tab/>
        <w:t>DOWN PAYMENT, MAXIMUM OFFICIAL SUPPORT AND LOCAL COSTS</w:t>
      </w:r>
      <w:bookmarkEnd w:id="1"/>
    </w:p>
    <w:p>
      <w:pPr>
        <w:pStyle w:val="Point1"/>
        <w:rPr>
          <w:noProof/>
          <w:lang w:eastAsia="zh-CN"/>
        </w:rPr>
      </w:pPr>
      <w:r>
        <w:rPr>
          <w:noProof/>
          <w:lang w:eastAsia="zh-CN"/>
        </w:rPr>
        <w:t>d)</w:t>
      </w:r>
      <w:r>
        <w:rPr>
          <w:noProof/>
          <w:lang w:eastAsia="zh-CN"/>
        </w:rPr>
        <w:tab/>
        <w:t>The Participants may provide official support for local costs under the following conditions:</w:t>
      </w:r>
    </w:p>
    <w:p>
      <w:pPr>
        <w:pStyle w:val="Point2"/>
        <w:rPr>
          <w:noProof/>
          <w:lang w:eastAsia="zh-CN"/>
        </w:rPr>
      </w:pPr>
      <w:r>
        <w:rPr>
          <w:rFonts w:eastAsia="Batang"/>
          <w:noProof/>
          <w:szCs w:val="24"/>
          <w:lang w:eastAsia="zh-CN"/>
        </w:rPr>
        <w:t>1)</w:t>
      </w:r>
      <w:r>
        <w:rPr>
          <w:rFonts w:eastAsia="Batang"/>
          <w:noProof/>
          <w:szCs w:val="24"/>
          <w:lang w:eastAsia="zh-CN"/>
        </w:rPr>
        <w:tab/>
      </w:r>
      <w:r>
        <w:rPr>
          <w:noProof/>
          <w:lang w:eastAsia="zh-CN"/>
        </w:rPr>
        <w:t>The maximum amount of official support for local costs shall not exceed:</w:t>
      </w:r>
    </w:p>
    <w:p>
      <w:pPr>
        <w:pStyle w:val="Tiret3"/>
        <w:numPr>
          <w:ilvl w:val="0"/>
          <w:numId w:val="5"/>
        </w:numPr>
        <w:rPr>
          <w:noProof/>
          <w:lang w:eastAsia="zh-CN"/>
        </w:rPr>
      </w:pPr>
      <w:r>
        <w:rPr>
          <w:noProof/>
          <w:lang w:eastAsia="zh-CN"/>
        </w:rPr>
        <w:t>For Category I countries, 40% of the export contract value.</w:t>
      </w:r>
    </w:p>
    <w:p>
      <w:pPr>
        <w:pStyle w:val="Tiret3"/>
        <w:rPr>
          <w:rFonts w:eastAsia="Batang"/>
          <w:noProof/>
          <w:szCs w:val="24"/>
          <w:lang w:eastAsia="zh-CN"/>
        </w:rPr>
      </w:pPr>
      <w:r>
        <w:rPr>
          <w:noProof/>
          <w:lang w:eastAsia="zh-CN"/>
        </w:rPr>
        <w:t>For Category II countries, 50% of the export contract value.</w:t>
      </w:r>
    </w:p>
    <w:p>
      <w:pPr>
        <w:pStyle w:val="Point2"/>
        <w:rPr>
          <w:noProof/>
          <w:lang w:eastAsia="zh-CN"/>
        </w:rPr>
      </w:pPr>
      <w:r>
        <w:rPr>
          <w:noProof/>
          <w:lang w:eastAsia="zh-CN"/>
        </w:rPr>
        <w:t>2)</w:t>
      </w:r>
      <w:r>
        <w:rPr>
          <w:noProof/>
          <w:lang w:eastAsia="zh-CN"/>
        </w:rPr>
        <w:tab/>
        <w:t xml:space="preserve">Official support for local costs shall not be provided on terms more favourable/less restrictive than those agreed for the related exports. </w:t>
      </w:r>
    </w:p>
    <w:p>
      <w:pPr>
        <w:pStyle w:val="Point2"/>
        <w:rPr>
          <w:noProof/>
          <w:lang w:eastAsia="zh-CN"/>
        </w:rPr>
      </w:pPr>
      <w:r>
        <w:rPr>
          <w:noProof/>
          <w:lang w:eastAsia="zh-CN"/>
        </w:rPr>
        <w:t>3)</w:t>
      </w:r>
      <w:r>
        <w:rPr>
          <w:noProof/>
          <w:lang w:eastAsia="zh-CN"/>
        </w:rPr>
        <w:tab/>
        <w:t>Where official support for local cost exceeds 15% of the export contract value, such official support shall be subject to prior notification, pursuant to Article 48, specifying the nature of the local costs being supported.</w:t>
      </w:r>
    </w:p>
    <w:p>
      <w:pPr>
        <w:pStyle w:val="ManualHeading1"/>
        <w:rPr>
          <w:b w:val="0"/>
          <w:noProof/>
          <w:lang w:eastAsia="zh-CN"/>
        </w:rPr>
      </w:pPr>
      <w:r>
        <w:rPr>
          <w:noProof/>
          <w:lang w:eastAsia="zh-CN"/>
        </w:rPr>
        <w:t>65.</w:t>
      </w:r>
      <w:r>
        <w:rPr>
          <w:noProof/>
          <w:lang w:eastAsia="zh-CN"/>
        </w:rPr>
        <w:tab/>
        <w:t xml:space="preserve">REVIEW OF OFFICIAL SUPPORT FOR LOCAL COSTS </w:t>
      </w:r>
    </w:p>
    <w:p>
      <w:pPr>
        <w:pStyle w:val="Text1"/>
        <w:rPr>
          <w:noProof/>
          <w:lang w:eastAsia="zh-CN"/>
        </w:rPr>
      </w:pPr>
      <w:r>
        <w:rPr>
          <w:noProof/>
          <w:lang w:eastAsia="zh-CN"/>
        </w:rPr>
        <w:t xml:space="preserve">The Participants shall review the provisions on local costs support by no later than 3 years from formal approval. </w:t>
      </w:r>
    </w:p>
    <w:p>
      <w:pPr>
        <w:pStyle w:val="Text1"/>
        <w:rPr>
          <w:noProof/>
        </w:rPr>
        <w:sectPr>
          <w:footerReference w:type="default" r:id="rId15"/>
          <w:footerReference w:type="first" r:id="rId16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jc w:val="center"/>
        <w:rPr>
          <w:b/>
          <w:noProof/>
          <w:lang w:eastAsia="zh-CN"/>
        </w:rPr>
      </w:pPr>
      <w:r>
        <w:rPr>
          <w:b/>
          <w:noProof/>
          <w:lang w:eastAsia="zh-CN"/>
        </w:rPr>
        <w:t>ANNEX IV of the Arrangement</w:t>
      </w:r>
    </w:p>
    <w:p>
      <w:pPr>
        <w:jc w:val="center"/>
        <w:rPr>
          <w:b/>
          <w:noProof/>
          <w:lang w:eastAsia="zh-CN"/>
        </w:rPr>
      </w:pPr>
      <w:r>
        <w:rPr>
          <w:b/>
          <w:noProof/>
          <w:lang w:eastAsia="zh-CN"/>
        </w:rPr>
        <w:t>SECTOR UNDERSTANDING ON EXPORT CREDITS FOR RENEWABLE ENERGY, CLIMATE CHANGE MITIGATION AND ADAPTATION, AND WATER PROJECTS</w:t>
      </w:r>
    </w:p>
    <w:p>
      <w:pPr>
        <w:pStyle w:val="Point0"/>
        <w:rPr>
          <w:b/>
          <w:strike/>
          <w:noProof/>
          <w:lang w:eastAsia="zh-CN"/>
        </w:rPr>
      </w:pPr>
      <w:r>
        <w:rPr>
          <w:b/>
          <w:strike/>
          <w:noProof/>
          <w:lang w:eastAsia="zh-CN"/>
        </w:rPr>
        <w:t xml:space="preserve">7. LOCAL COSTS </w:t>
      </w:r>
    </w:p>
    <w:p>
      <w:pPr>
        <w:pStyle w:val="Point1"/>
        <w:rPr>
          <w:strike/>
          <w:noProof/>
        </w:rPr>
      </w:pPr>
      <w:r>
        <w:rPr>
          <w:strike/>
          <w:noProof/>
          <w:lang w:eastAsia="zh-CN"/>
        </w:rPr>
        <w:t>a)</w:t>
      </w:r>
      <w:r>
        <w:rPr>
          <w:strike/>
          <w:noProof/>
          <w:lang w:eastAsia="zh-CN"/>
        </w:rPr>
        <w:tab/>
        <w:t xml:space="preserve">For officially </w:t>
      </w:r>
      <w:r>
        <w:rPr>
          <w:strike/>
          <w:noProof/>
        </w:rPr>
        <w:t>supported export credits relating to contracts of a value of at least SDR 10 million, official support provided for local costs shall not exceed 30% of the export contract value.</w:t>
      </w:r>
    </w:p>
    <w:p>
      <w:pPr>
        <w:pStyle w:val="Point1"/>
        <w:rPr>
          <w:strike/>
          <w:noProof/>
          <w:lang w:eastAsia="zh-CN"/>
        </w:rPr>
      </w:pPr>
      <w:r>
        <w:rPr>
          <w:strike/>
          <w:noProof/>
        </w:rPr>
        <w:t>b)</w:t>
      </w:r>
      <w:r>
        <w:rPr>
          <w:strike/>
          <w:noProof/>
        </w:rPr>
        <w:tab/>
        <w:t>For officially supported export credits relating to contracts of a value of less than SDR 10 million</w:t>
      </w:r>
      <w:r>
        <w:rPr>
          <w:strike/>
          <w:noProof/>
          <w:lang w:eastAsia="zh-CN"/>
        </w:rPr>
        <w:t>:</w:t>
      </w:r>
    </w:p>
    <w:p>
      <w:pPr>
        <w:pStyle w:val="Point2"/>
        <w:rPr>
          <w:strike/>
          <w:noProof/>
        </w:rPr>
      </w:pPr>
      <w:r>
        <w:rPr>
          <w:strike/>
          <w:noProof/>
          <w:lang w:eastAsia="zh-CN"/>
        </w:rPr>
        <w:t>1)</w:t>
      </w:r>
      <w:r>
        <w:rPr>
          <w:strike/>
          <w:noProof/>
          <w:lang w:eastAsia="zh-CN"/>
        </w:rPr>
        <w:tab/>
        <w:t xml:space="preserve">For </w:t>
      </w:r>
      <w:r>
        <w:rPr>
          <w:strike/>
          <w:noProof/>
        </w:rPr>
        <w:t>the sectors listed in Appendix I of this Sector Understanding, official support provided for local costs shall not exceed 45% of the export contract value.</w:t>
      </w:r>
    </w:p>
    <w:p>
      <w:pPr>
        <w:pStyle w:val="Point2"/>
        <w:rPr>
          <w:strike/>
          <w:noProof/>
          <w:lang w:eastAsia="zh-CN"/>
        </w:rPr>
      </w:pPr>
      <w:r>
        <w:rPr>
          <w:strike/>
          <w:noProof/>
        </w:rPr>
        <w:t>2)</w:t>
      </w:r>
      <w:r>
        <w:rPr>
          <w:strike/>
          <w:noProof/>
        </w:rPr>
        <w:tab/>
        <w:t>For the sectors listed in Appendix II and for water projects defined in Article 4</w:t>
      </w:r>
      <w:r>
        <w:rPr>
          <w:strike/>
          <w:noProof/>
          <w:lang w:eastAsia="zh-CN"/>
        </w:rPr>
        <w:t xml:space="preserve"> of this Sector Understanding, official support provided for local costs shall not exceed 30% of the export contract value.</w:t>
      </w:r>
    </w:p>
    <w:p>
      <w:pPr>
        <w:pStyle w:val="Point1"/>
        <w:rPr>
          <w:noProof/>
        </w:rPr>
      </w:pPr>
      <w:r>
        <w:rPr>
          <w:strike/>
          <w:noProof/>
          <w:lang w:eastAsia="zh-CN"/>
        </w:rPr>
        <w:t>c)</w:t>
      </w:r>
      <w:r>
        <w:rPr>
          <w:strike/>
          <w:noProof/>
          <w:lang w:eastAsia="zh-CN"/>
        </w:rPr>
        <w:tab/>
        <w:t xml:space="preserve">Where official support for local cost exceeds 15% of the export contract value, such </w:t>
      </w:r>
      <w:r>
        <w:rPr>
          <w:noProof/>
        </w:rPr>
        <w:t>official</w:t>
      </w:r>
      <w:r>
        <w:rPr>
          <w:strike/>
          <w:noProof/>
          <w:lang w:eastAsia="zh-CN"/>
        </w:rPr>
        <w:t xml:space="preserve"> support shall be subject to prior notification, pursuant to Article 8 of this Sector Understanding, specifying the nature of the local costs being supported.</w:t>
      </w:r>
    </w:p>
    <w:sectPr>
      <w:footnotePr>
        <w:numRestart w:val="eachSect"/>
      </w:footnotePr>
      <w:endnotePr>
        <w:numFmt w:val="decimal"/>
      </w:endnotePr>
      <w:pgSz w:w="11906" w:h="16838"/>
      <w:pgMar w:top="1984" w:right="1247" w:bottom="1814" w:left="1191" w:header="1247" w:footer="124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EN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EN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E8244FA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C1B855E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B6CE980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ADD4453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81E6D65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034598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DC7E4B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A6523C3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11"/>
    <w:lvlOverride w:ilvl="0">
      <w:startOverride w:val="1"/>
    </w:lvlOverride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 w:numId="24">
    <w:abstractNumId w:val="18"/>
  </w:num>
  <w:num w:numId="25">
    <w:abstractNumId w:val="12"/>
  </w:num>
  <w:num w:numId="26">
    <w:abstractNumId w:val="20"/>
  </w:num>
  <w:num w:numId="27">
    <w:abstractNumId w:val="11"/>
  </w:num>
  <w:num w:numId="28">
    <w:abstractNumId w:val="13"/>
  </w:num>
  <w:num w:numId="29">
    <w:abstractNumId w:val="9"/>
  </w:num>
  <w:num w:numId="30">
    <w:abstractNumId w:val="19"/>
  </w:num>
  <w:num w:numId="31">
    <w:abstractNumId w:val="8"/>
  </w:num>
  <w:num w:numId="32">
    <w:abstractNumId w:val="14"/>
  </w:num>
  <w:num w:numId="33">
    <w:abstractNumId w:val="16"/>
  </w:num>
  <w:num w:numId="34">
    <w:abstractNumId w:val="17"/>
  </w:num>
  <w:num w:numId="35">
    <w:abstractNumId w:val="10"/>
  </w:num>
  <w:num w:numId="36">
    <w:abstractNumId w:val="15"/>
  </w:num>
  <w:num w:numId="37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R_RefLast" w:val="0"/>
    <w:docVar w:name="DQCDateTime" w:val="2021-03-03 09:10:1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to the"/>
    <w:docVar w:name="LW_ACCOMPAGNANT.CP" w:val="to the"/>
    <w:docVar w:name="LW_ANNEX_NBR_FIRST" w:val="1"/>
    <w:docVar w:name="LW_ANNEX_NBR_LAST" w:val="1"/>
    <w:docVar w:name="LW_ANNEX_UNIQUE" w:val="1"/>
    <w:docVar w:name="LW_CORRIGENDUM" w:val="&lt;UNUSED&gt;"/>
    <w:docVar w:name="LW_COVERPAGE_EXISTS" w:val="True"/>
    <w:docVar w:name="LW_COVERPAGE_GUID" w:val="BD8D0876-A9CF-4B85-B636-16498DA933D9"/>
    <w:docVar w:name="LW_COVERPAGE_TYPE" w:val="1"/>
    <w:docVar w:name="LW_CROSSREFERENCE" w:val="&lt;UNUSED&gt;"/>
    <w:docVar w:name="LW_DocType" w:val="ANNEX"/>
    <w:docVar w:name="LW_EMISSION" w:val="11.3.2021"/>
    <w:docVar w:name="LW_EMISSION_ISODATE" w:val="2021-03-11"/>
    <w:docVar w:name="LW_EMISSION_LOCATION" w:val="BRX"/>
    <w:docVar w:name="LW_EMISSION_PREFIX" w:val="Brussels, "/>
    <w:docVar w:name="LW_EMISSION_SUFFIX" w:val=" "/>
    <w:docVar w:name="LW_ID_DOCSTRUCTURE" w:val="COM/ANNEX"/>
    <w:docVar w:name="LW_ID_DOCTYPE" w:val="SG-017"/>
    <w:docVar w:name="LW_LANGUE" w:val="EN"/>
    <w:docVar w:name="LW_LEVEL_OF_SENSITIVITY" w:val="Standard treatment"/>
    <w:docVar w:name="LW_NOM.INST" w:val="EUROPEAN COMMISSION"/>
    <w:docVar w:name="LW_NOM.INST_JOINTDOC" w:val="&lt;EMPTY&gt;"/>
    <w:docVar w:name="LW_OBJETACTEPRINCIPAL" w:val="on the position to be taken on behalf of the European Union regarding the envisaged decision of the Participants to the Arrangement on Officially Supported Export Credits"/>
    <w:docVar w:name="LW_OBJETACTEPRINCIPAL.CP" w:val="on the position to be taken on behalf of the European Union regarding the envisaged decision of the Participants to the Arrangement on Officially Supported Export Credits"/>
    <w:docVar w:name="LW_PART_NBR" w:val="1"/>
    <w:docVar w:name="LW_PART_NBR_TOTAL" w:val="1"/>
    <w:docVar w:name="LW_REF.INST.NEW" w:val="COM"/>
    <w:docVar w:name="LW_REF.INST.NEW_ADOPTED" w:val="final"/>
    <w:docVar w:name="LW_REF.INST.NEW_TEXT" w:val="(2021) 11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Config isAvailable=&quot;false&quot; isMandatory=&quot;false&quot; sensitiveMarkingMandatory=&quot;false&quot; specialMarkingMandatory=&quot;true&quot; isOptionDisplayInHeaderAvailable=&quot;true&quot; sensitiveMarkingListSee=&quot;SensitiveMarkings&quot; specialMarkingListSee=&quot;SpecialMarkings&quot; sensitiveFootnoteTextSee=&quot;sensitiveFootnote&quot; specialFootnoteTextSee=&quot;specialFootnote&quot; /&gt;_x000d__x000a_  &lt;chosenMainMarking xsi:nil=&quot;true&quot; /&gt;_x000d__x000a_  &lt;dateMarking xsi:nil=&quot;true&quot; /&gt;_x000d__x000a_  &lt;releasableToConfig isAvailable=&quot;false&quot; institutionListSee=&quot;DefaultInstitutions&quot; /&gt;_x000d__x000a_  &lt;chosenReleasableTo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isRestricted&gt;false&lt;/isRestricted&gt;_x000d__x000a_&lt;/SensitivityLevel&gt;"/>
    <w:docVar w:name="LW_SUPERTITRE" w:val="&lt;UNUSED&gt;"/>
    <w:docVar w:name="LW_TYPE.DOC" w:val="ANNEX"/>
    <w:docVar w:name="LW_TYPE.DOC.CP" w:val="ANNEX"/>
    <w:docVar w:name="LW_TYPEACTEPRINCIPAL" w:val="Proposal for a Council Decision"/>
    <w:docVar w:name="LW_TYPEACTEPRINCIPAL.CP" w:val="Proposal for a Council Decision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en-GB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0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0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0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0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en-GB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  <w:lang w:val="en-GB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HeaderSensitivityRight">
    <w:name w:val="Header Sensitivity Right"/>
    <w:basedOn w:val="Normal"/>
    <w:pPr>
      <w:spacing w:before="0"/>
      <w:jc w:val="right"/>
    </w:pPr>
    <w:rPr>
      <w:sz w:val="28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4"/>
      </w:numPr>
    </w:pPr>
  </w:style>
  <w:style w:type="paragraph" w:customStyle="1" w:styleId="Tiret1">
    <w:name w:val="Tiret 1"/>
    <w:basedOn w:val="Point1"/>
    <w:pPr>
      <w:numPr>
        <w:numId w:val="25"/>
      </w:numPr>
    </w:pPr>
  </w:style>
  <w:style w:type="paragraph" w:customStyle="1" w:styleId="Tiret2">
    <w:name w:val="Tiret 2"/>
    <w:basedOn w:val="Point2"/>
    <w:pPr>
      <w:numPr>
        <w:numId w:val="26"/>
      </w:numPr>
    </w:pPr>
  </w:style>
  <w:style w:type="paragraph" w:customStyle="1" w:styleId="Tiret3">
    <w:name w:val="Tiret 3"/>
    <w:basedOn w:val="Point3"/>
    <w:pPr>
      <w:numPr>
        <w:numId w:val="27"/>
      </w:numPr>
    </w:pPr>
  </w:style>
  <w:style w:type="paragraph" w:customStyle="1" w:styleId="Tiret4">
    <w:name w:val="Tiret 4"/>
    <w:basedOn w:val="Point4"/>
    <w:pPr>
      <w:numPr>
        <w:numId w:val="28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9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9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9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9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1"/>
      </w:numPr>
    </w:pPr>
  </w:style>
  <w:style w:type="paragraph" w:customStyle="1" w:styleId="Point1number">
    <w:name w:val="Point 1 (number)"/>
    <w:basedOn w:val="Normal"/>
    <w:pPr>
      <w:numPr>
        <w:ilvl w:val="2"/>
        <w:numId w:val="31"/>
      </w:numPr>
    </w:pPr>
  </w:style>
  <w:style w:type="paragraph" w:customStyle="1" w:styleId="Point2number">
    <w:name w:val="Point 2 (number)"/>
    <w:basedOn w:val="Normal"/>
    <w:pPr>
      <w:numPr>
        <w:ilvl w:val="4"/>
        <w:numId w:val="31"/>
      </w:numPr>
    </w:pPr>
  </w:style>
  <w:style w:type="paragraph" w:customStyle="1" w:styleId="Point3number">
    <w:name w:val="Point 3 (number)"/>
    <w:basedOn w:val="Normal"/>
    <w:pPr>
      <w:numPr>
        <w:ilvl w:val="6"/>
        <w:numId w:val="31"/>
      </w:numPr>
    </w:pPr>
  </w:style>
  <w:style w:type="paragraph" w:customStyle="1" w:styleId="Point0letter">
    <w:name w:val="Point 0 (letter)"/>
    <w:basedOn w:val="Normal"/>
    <w:pPr>
      <w:numPr>
        <w:ilvl w:val="1"/>
        <w:numId w:val="31"/>
      </w:numPr>
    </w:pPr>
  </w:style>
  <w:style w:type="paragraph" w:customStyle="1" w:styleId="Point1letter">
    <w:name w:val="Point 1 (letter)"/>
    <w:basedOn w:val="Normal"/>
    <w:pPr>
      <w:numPr>
        <w:ilvl w:val="3"/>
        <w:numId w:val="31"/>
      </w:numPr>
    </w:pPr>
  </w:style>
  <w:style w:type="paragraph" w:customStyle="1" w:styleId="Point2letter">
    <w:name w:val="Point 2 (letter)"/>
    <w:basedOn w:val="Normal"/>
    <w:pPr>
      <w:numPr>
        <w:ilvl w:val="5"/>
        <w:numId w:val="31"/>
      </w:numPr>
    </w:pPr>
  </w:style>
  <w:style w:type="paragraph" w:customStyle="1" w:styleId="Point3letter">
    <w:name w:val="Point 3 (letter)"/>
    <w:basedOn w:val="Normal"/>
    <w:pPr>
      <w:numPr>
        <w:ilvl w:val="7"/>
        <w:numId w:val="31"/>
      </w:numPr>
    </w:pPr>
  </w:style>
  <w:style w:type="paragraph" w:customStyle="1" w:styleId="Point4letter">
    <w:name w:val="Point 4 (letter)"/>
    <w:basedOn w:val="Normal"/>
    <w:pPr>
      <w:numPr>
        <w:ilvl w:val="8"/>
        <w:numId w:val="31"/>
      </w:numPr>
    </w:pPr>
  </w:style>
  <w:style w:type="paragraph" w:customStyle="1" w:styleId="Bullet0">
    <w:name w:val="Bullet 0"/>
    <w:basedOn w:val="Normal"/>
    <w:pPr>
      <w:numPr>
        <w:numId w:val="32"/>
      </w:numPr>
    </w:pPr>
  </w:style>
  <w:style w:type="paragraph" w:customStyle="1" w:styleId="Bullet1">
    <w:name w:val="Bullet 1"/>
    <w:basedOn w:val="Normal"/>
    <w:pPr>
      <w:numPr>
        <w:numId w:val="33"/>
      </w:numPr>
    </w:pPr>
  </w:style>
  <w:style w:type="paragraph" w:customStyle="1" w:styleId="Bullet2">
    <w:name w:val="Bullet 2"/>
    <w:basedOn w:val="Normal"/>
    <w:pPr>
      <w:numPr>
        <w:numId w:val="34"/>
      </w:numPr>
    </w:pPr>
  </w:style>
  <w:style w:type="paragraph" w:customStyle="1" w:styleId="Bullet3">
    <w:name w:val="Bullet 3"/>
    <w:basedOn w:val="Normal"/>
    <w:pPr>
      <w:numPr>
        <w:numId w:val="35"/>
      </w:numPr>
    </w:pPr>
  </w:style>
  <w:style w:type="paragraph" w:customStyle="1" w:styleId="Bullet4">
    <w:name w:val="Bullet 4"/>
    <w:basedOn w:val="Normal"/>
    <w:pPr>
      <w:numPr>
        <w:numId w:val="36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SecurityMarking">
    <w:name w:val="SecurityMarking"/>
    <w:basedOn w:val="Normal"/>
    <w:pPr>
      <w:spacing w:before="0" w:after="0" w:line="276" w:lineRule="auto"/>
      <w:ind w:left="5103"/>
      <w:jc w:val="left"/>
    </w:pPr>
    <w:rPr>
      <w:sz w:val="28"/>
    </w:rPr>
  </w:style>
  <w:style w:type="paragraph" w:customStyle="1" w:styleId="DateMarking">
    <w:name w:val="DateMarking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ReleasableTo">
    <w:name w:val="ReleasableTo"/>
    <w:basedOn w:val="Normal"/>
    <w:pPr>
      <w:spacing w:before="0" w:after="0" w:line="276" w:lineRule="auto"/>
      <w:ind w:left="5103"/>
      <w:jc w:val="left"/>
    </w:pPr>
    <w:rPr>
      <w:i/>
      <w:sz w:val="28"/>
    </w:r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7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3</TotalTime>
  <Pages>3</Pages>
  <Words>330</Words>
  <Characters>1734</Characters>
  <Application>Microsoft Office Word</Application>
  <DocSecurity>0</DocSecurity>
  <Lines>38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MOLLER Birgit (TRADE)</dc:creator>
  <cp:keywords/>
  <dc:description/>
  <cp:lastModifiedBy>WES PDFC Administrator</cp:lastModifiedBy>
  <cp:revision>9</cp:revision>
  <dcterms:created xsi:type="dcterms:W3CDTF">2021-02-04T08:51:00Z</dcterms:created>
  <dcterms:modified xsi:type="dcterms:W3CDTF">2021-03-03T08:10:00Z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Version">
    <vt:lpwstr>7.0.8.0</vt:lpwstr>
  </property>
  <property fmtid="{D5CDD505-2E9C-101B-9397-08002B2CF9AE}" pid="4" name="Last edited using">
    <vt:lpwstr>LW 7.0, Build 20190717</vt:lpwstr>
  </property>
  <property fmtid="{D5CDD505-2E9C-101B-9397-08002B2CF9AE}" pid="5" name="Created using">
    <vt:lpwstr>LW 7.0, Build 20190717</vt:lpwstr>
  </property>
  <property fmtid="{D5CDD505-2E9C-101B-9397-08002B2CF9AE}" pid="6" name="First annex">
    <vt:lpwstr>1</vt:lpwstr>
  </property>
  <property fmtid="{D5CDD505-2E9C-101B-9397-08002B2CF9AE}" pid="7" name="Last annex">
    <vt:lpwstr>1</vt:lpwstr>
  </property>
  <property fmtid="{D5CDD505-2E9C-101B-9397-08002B2CF9AE}" pid="8" name="Unique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evel of sensitivity">
    <vt:lpwstr>Standard treatment</vt:lpwstr>
  </property>
  <property fmtid="{D5CDD505-2E9C-101B-9397-08002B2CF9AE}" pid="12" name="LWTemplateID">
    <vt:lpwstr>SG-017</vt:lpwstr>
  </property>
  <property fmtid="{D5CDD505-2E9C-101B-9397-08002B2CF9AE}" pid="13" name="DQCStatus">
    <vt:lpwstr>Green (DQC version 03)</vt:lpwstr>
  </property>
</Properties>
</file>