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4D32CAD-3F95-4BB3-97C6-DB1A5FAFEC26" style="width:450.75pt;height:320.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480" w:after="240" w:line="240" w:lineRule="auto"/>
        <w:jc w:val="center"/>
        <w:rPr>
          <w:rFonts w:ascii="Times New Roman" w:eastAsia="Calibri" w:hAnsi="Times New Roman" w:cs="Times New Roman"/>
          <w:b/>
          <w:noProof/>
          <w:sz w:val="24"/>
          <w:szCs w:val="24"/>
          <w:lang w:val="bg-BG"/>
        </w:rPr>
      </w:pPr>
      <w:bookmarkStart w:id="1" w:name="_GoBack"/>
      <w:bookmarkEnd w:id="1"/>
      <w:r>
        <w:rPr>
          <w:rFonts w:ascii="Times New Roman" w:hAnsi="Times New Roman"/>
          <w:b/>
          <w:noProof/>
          <w:sz w:val="24"/>
          <w:szCs w:val="24"/>
          <w:lang w:val="bg-BG"/>
        </w:rPr>
        <w:lastRenderedPageBreak/>
        <w:t>ДОКЛАД НА КОМИСИЯТА ДО ЕВРОПЕЙСКИЯ ПАРЛАМЕНТ И СЪВЕТА</w:t>
      </w:r>
    </w:p>
    <w:p>
      <w:pPr>
        <w:spacing w:after="240" w:line="276" w:lineRule="auto"/>
        <w:jc w:val="center"/>
        <w:rPr>
          <w:rFonts w:ascii="Times New Roman" w:eastAsia="Calibri" w:hAnsi="Times New Roman" w:cs="Times New Roman"/>
          <w:b/>
          <w:noProof/>
          <w:sz w:val="24"/>
          <w:szCs w:val="24"/>
          <w:lang w:val="bg-BG"/>
        </w:rPr>
      </w:pPr>
      <w:r>
        <w:rPr>
          <w:rFonts w:ascii="Times New Roman" w:hAnsi="Times New Roman"/>
          <w:b/>
          <w:noProof/>
          <w:sz w:val="24"/>
          <w:szCs w:val="24"/>
          <w:lang w:val="bg-BG"/>
        </w:rPr>
        <w:t>относно упражняването на правомощието за приемане на делегирани актове, предоставено на Комисията по силата на Регламент (ЕС) 2018/974 относно статистиката за превоза на товари по вътрешни водни пътища</w:t>
      </w:r>
    </w:p>
    <w:p>
      <w:pPr>
        <w:numPr>
          <w:ilvl w:val="0"/>
          <w:numId w:val="2"/>
        </w:numPr>
        <w:spacing w:before="480" w:after="240" w:line="276" w:lineRule="auto"/>
        <w:ind w:left="680" w:hanging="680"/>
        <w:jc w:val="both"/>
        <w:rPr>
          <w:rFonts w:ascii="Times New Roman" w:eastAsia="Calibri" w:hAnsi="Times New Roman" w:cs="Times New Roman"/>
          <w:b/>
          <w:noProof/>
          <w:sz w:val="24"/>
          <w:szCs w:val="24"/>
          <w:lang w:val="bg-BG"/>
        </w:rPr>
      </w:pPr>
      <w:r>
        <w:rPr>
          <w:rFonts w:ascii="Times New Roman" w:hAnsi="Times New Roman"/>
          <w:b/>
          <w:noProof/>
          <w:sz w:val="24"/>
          <w:szCs w:val="24"/>
          <w:lang w:val="bg-BG"/>
        </w:rPr>
        <w:t>ВЪВЕДЕНИЕ</w:t>
      </w:r>
    </w:p>
    <w:p>
      <w:pPr>
        <w:spacing w:after="120" w:line="276"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С Регламент (ЕС) 2018/974 на Европейския парламент и на Съвета</w:t>
      </w:r>
      <w:r>
        <w:rPr>
          <w:rStyle w:val="FootnoteReference"/>
          <w:rFonts w:ascii="Times New Roman" w:eastAsia="Calibri" w:hAnsi="Times New Roman" w:cs="Times New Roman"/>
          <w:noProof/>
          <w:sz w:val="24"/>
          <w:szCs w:val="24"/>
          <w:lang w:val="bg-BG" w:eastAsia="en-US"/>
        </w:rPr>
        <w:footnoteReference w:id="1"/>
      </w:r>
      <w:r>
        <w:rPr>
          <w:rFonts w:ascii="Times New Roman" w:hAnsi="Times New Roman"/>
          <w:noProof/>
          <w:sz w:val="24"/>
          <w:szCs w:val="24"/>
          <w:lang w:val="bg-BG"/>
        </w:rPr>
        <w:t xml:space="preserve"> се предоставя на Комисията правомощието да приема делегирани актове съгласно член 10 за следните цели:</w:t>
      </w:r>
    </w:p>
    <w:p>
      <w:pPr>
        <w:numPr>
          <w:ilvl w:val="0"/>
          <w:numId w:val="5"/>
        </w:numPr>
        <w:spacing w:before="120" w:after="120" w:line="276" w:lineRule="auto"/>
        <w:ind w:left="681" w:hanging="397"/>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повишаване на прага на статистическо обхващане на превоза на товари по вътрешните водни пътища, за да се вземат предвид тенденциите в икономическото и техническото развитие (вж. член 2, параграф 5);</w:t>
      </w:r>
    </w:p>
    <w:p>
      <w:pPr>
        <w:numPr>
          <w:ilvl w:val="0"/>
          <w:numId w:val="5"/>
        </w:numPr>
        <w:spacing w:before="120" w:after="120" w:line="276" w:lineRule="auto"/>
        <w:ind w:left="681" w:hanging="397"/>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адаптиране на определенията или въвеждане на нови определения, за да се вземат предвид съответните определения, изменени или приети на международно равнище (вж. член 3);</w:t>
      </w:r>
    </w:p>
    <w:p>
      <w:pPr>
        <w:numPr>
          <w:ilvl w:val="0"/>
          <w:numId w:val="5"/>
        </w:numPr>
        <w:spacing w:before="120" w:after="240" w:line="276" w:lineRule="auto"/>
        <w:ind w:left="681" w:hanging="397"/>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отразяване на промените в кодирането и номенклатурата на международно равнище или в съответните законодателни актове на Съюза (вж. член 4, параграф 4).</w:t>
      </w:r>
    </w:p>
    <w:p>
      <w:pPr>
        <w:spacing w:after="240" w:line="276"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Съгласно член 2, параграф 5, член 3 и член 4, параграф 4 при упражняването на това правомощие Комисията трябва да гарантира, че делегираните актове не водят до значителна допълнителна тежест за държавите членки или респондентите. Освен това Комисията трябва да обоснове действията, предвидени в тези делегирани актове, като използва, когато е целесъобразно, анализ на разходната ефективност, при който се оценява тежестта върху респондентите и разходите по изготвянето.</w:t>
      </w:r>
    </w:p>
    <w:p>
      <w:pPr>
        <w:spacing w:after="240" w:line="276"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Както е посочено в член 10, параграф 4, преди приемането на делегиран акт Комисията трябва да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r>
        <w:rPr>
          <w:rStyle w:val="FootnoteReference"/>
          <w:rFonts w:ascii="Times New Roman" w:eastAsia="Calibri" w:hAnsi="Times New Roman" w:cs="Times New Roman"/>
          <w:noProof/>
          <w:sz w:val="24"/>
          <w:szCs w:val="24"/>
          <w:lang w:val="bg-BG" w:eastAsia="en-US"/>
        </w:rPr>
        <w:footnoteReference w:id="2"/>
      </w:r>
      <w:r>
        <w:rPr>
          <w:rFonts w:ascii="Times New Roman" w:hAnsi="Times New Roman"/>
          <w:noProof/>
          <w:sz w:val="24"/>
          <w:szCs w:val="24"/>
          <w:lang w:val="bg-BG"/>
        </w:rPr>
        <w:t xml:space="preserve">. </w:t>
      </w:r>
    </w:p>
    <w:p>
      <w:pPr>
        <w:numPr>
          <w:ilvl w:val="0"/>
          <w:numId w:val="2"/>
        </w:numPr>
        <w:spacing w:before="480" w:after="240" w:line="276" w:lineRule="auto"/>
        <w:ind w:left="680" w:hanging="680"/>
        <w:jc w:val="both"/>
        <w:rPr>
          <w:rFonts w:ascii="Times New Roman" w:eastAsia="Calibri" w:hAnsi="Times New Roman" w:cs="Times New Roman"/>
          <w:b/>
          <w:noProof/>
          <w:sz w:val="24"/>
          <w:szCs w:val="24"/>
          <w:lang w:val="bg-BG"/>
        </w:rPr>
      </w:pPr>
      <w:r>
        <w:rPr>
          <w:rFonts w:ascii="Times New Roman" w:hAnsi="Times New Roman"/>
          <w:b/>
          <w:noProof/>
          <w:sz w:val="24"/>
          <w:szCs w:val="24"/>
          <w:lang w:val="bg-BG"/>
        </w:rPr>
        <w:t>ПРАВНО ОСНОВАНИЕ</w:t>
      </w:r>
    </w:p>
    <w:p>
      <w:pPr>
        <w:spacing w:after="240" w:line="276"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В Регламент (ЕС) 2018/974 се предвижда изготвянето на настоящия доклад, а в член 10, параграф 2 от същия регламент се посочва, че правомощието да приема делегирани актове се предоставя на Комисията за срок от 5 години, считано от 7 декември 2016 г. Комисията трябва да съставя доклад относно делегирането на правомощия не по-късно от 9 месеца преди края на 5-годишния период. Настоящият доклад е съставен в изпълнение на това изискване за първи път.</w:t>
      </w:r>
    </w:p>
    <w:p>
      <w:pPr>
        <w:numPr>
          <w:ilvl w:val="0"/>
          <w:numId w:val="2"/>
        </w:numPr>
        <w:spacing w:before="480" w:after="240" w:line="276" w:lineRule="auto"/>
        <w:ind w:left="680" w:hanging="680"/>
        <w:jc w:val="both"/>
        <w:rPr>
          <w:rFonts w:ascii="Times New Roman" w:eastAsia="Calibri" w:hAnsi="Times New Roman" w:cs="Times New Roman"/>
          <w:b/>
          <w:noProof/>
          <w:sz w:val="24"/>
          <w:szCs w:val="24"/>
          <w:lang w:val="bg-BG"/>
        </w:rPr>
      </w:pPr>
      <w:r>
        <w:rPr>
          <w:rFonts w:ascii="Times New Roman" w:hAnsi="Times New Roman"/>
          <w:b/>
          <w:noProof/>
          <w:sz w:val="24"/>
          <w:szCs w:val="24"/>
          <w:lang w:val="bg-BG"/>
        </w:rPr>
        <w:t>УПРАЖНЯВАНЕ НА ДЕЛЕГИРАНЕТО</w:t>
      </w:r>
    </w:p>
    <w:p>
      <w:pPr>
        <w:spacing w:after="240"/>
        <w:jc w:val="both"/>
        <w:rPr>
          <w:noProof/>
          <w:lang w:val="bg-BG"/>
        </w:rPr>
      </w:pPr>
      <w:r>
        <w:rPr>
          <w:rFonts w:ascii="Times New Roman" w:hAnsi="Times New Roman"/>
          <w:noProof/>
          <w:sz w:val="24"/>
          <w:lang w:val="bg-BG"/>
        </w:rPr>
        <w:t>Комисията все още не е упражнявала правомощието за приемане на делегирани актове, предоставено ѝ по силата на Регламент (ЕС) 2018/974.</w:t>
      </w:r>
    </w:p>
    <w:p>
      <w:pPr>
        <w:spacing w:after="240"/>
        <w:jc w:val="both"/>
        <w:rPr>
          <w:rFonts w:ascii="Times New Roman" w:hAnsi="Times New Roman"/>
          <w:noProof/>
          <w:sz w:val="24"/>
          <w:lang w:val="bg-BG"/>
        </w:rPr>
      </w:pPr>
      <w:r>
        <w:rPr>
          <w:rFonts w:ascii="Times New Roman" w:hAnsi="Times New Roman"/>
          <w:noProof/>
          <w:sz w:val="24"/>
          <w:lang w:val="bg-BG"/>
        </w:rPr>
        <w:t>Комисията редовно обсъжда потенциалните подобрения на статистиката на транспорта по вътрешните водни пътища с Експертната група по статистиката на транспорта по вътрешните водни пътища и Координационната група по статистиката на транспорта.</w:t>
      </w:r>
      <w:r>
        <w:rPr>
          <w:rFonts w:ascii="Times New Roman" w:hAnsi="Times New Roman"/>
          <w:noProof/>
          <w:sz w:val="24"/>
          <w:szCs w:val="24"/>
          <w:lang w:val="bg-BG"/>
        </w:rPr>
        <w:t xml:space="preserve"> </w:t>
      </w:r>
      <w:r>
        <w:rPr>
          <w:rFonts w:ascii="Times New Roman" w:hAnsi="Times New Roman"/>
          <w:noProof/>
          <w:sz w:val="24"/>
          <w:lang w:val="bg-BG"/>
        </w:rPr>
        <w:t>При тези обсъждания се вземат предвид и възможните разходи и тежестта за държавите и респондентите.</w:t>
      </w:r>
    </w:p>
    <w:p>
      <w:pPr>
        <w:spacing w:after="120" w:line="276" w:lineRule="auto"/>
        <w:jc w:val="both"/>
        <w:rPr>
          <w:rFonts w:ascii="Times New Roman" w:eastAsia="Calibri" w:hAnsi="Times New Roman" w:cs="Times New Roman"/>
          <w:noProof/>
          <w:sz w:val="24"/>
          <w:szCs w:val="24"/>
          <w:lang w:val="bg-BG"/>
        </w:rPr>
      </w:pPr>
      <w:r>
        <w:rPr>
          <w:rFonts w:ascii="Times New Roman" w:hAnsi="Times New Roman"/>
          <w:noProof/>
          <w:sz w:val="24"/>
          <w:szCs w:val="24"/>
          <w:lang w:val="bg-BG"/>
        </w:rPr>
        <w:t>Възможно е да се наложи Комисията да приема делегирани актове в бъдеще поради статистическите нужди в контекста на стратегията за устойчива и интелигентна мобилност</w:t>
      </w:r>
      <w:r>
        <w:rPr>
          <w:rFonts w:ascii="Times New Roman" w:hAnsi="Times New Roman"/>
          <w:noProof/>
          <w:sz w:val="24"/>
          <w:szCs w:val="24"/>
          <w:vertAlign w:val="superscript"/>
          <w:lang w:val="bg-BG" w:eastAsia="de-DE"/>
        </w:rPr>
        <w:footnoteReference w:id="3"/>
      </w:r>
      <w:r>
        <w:rPr>
          <w:rFonts w:ascii="Times New Roman" w:hAnsi="Times New Roman"/>
          <w:noProof/>
          <w:sz w:val="24"/>
          <w:szCs w:val="24"/>
          <w:lang w:val="bg-BG"/>
        </w:rPr>
        <w:t xml:space="preserve"> и политическите инициативи, посочени в съобщението на Комисията относно Европейския зелен пакт</w:t>
      </w:r>
      <w:r>
        <w:rPr>
          <w:rStyle w:val="FootnoteReference"/>
          <w:rFonts w:ascii="Times New Roman" w:hAnsi="Times New Roman"/>
          <w:noProof/>
          <w:sz w:val="24"/>
          <w:szCs w:val="24"/>
          <w:lang w:val="bg-BG" w:eastAsia="de-DE"/>
        </w:rPr>
        <w:footnoteReference w:id="4"/>
      </w:r>
      <w:r>
        <w:rPr>
          <w:rFonts w:ascii="Times New Roman" w:hAnsi="Times New Roman"/>
          <w:noProof/>
          <w:sz w:val="24"/>
          <w:szCs w:val="24"/>
          <w:lang w:val="bg-BG"/>
        </w:rPr>
        <w:t>. Тези актове ще спомогнат за адаптиране на статистиката на транспорта по вътрешните водни пътища към икономическите и техническите тенденции и за отразяване на промените в определенията, кодирането и номенклатурата на равнище ЕС или на международно равнище.</w:t>
      </w:r>
    </w:p>
    <w:p>
      <w:pPr>
        <w:numPr>
          <w:ilvl w:val="0"/>
          <w:numId w:val="2"/>
        </w:numPr>
        <w:spacing w:before="480" w:after="240" w:line="276" w:lineRule="auto"/>
        <w:ind w:left="680" w:hanging="680"/>
        <w:jc w:val="both"/>
        <w:rPr>
          <w:rFonts w:ascii="Times New Roman" w:eastAsia="Calibri" w:hAnsi="Times New Roman" w:cs="Times New Roman"/>
          <w:b/>
          <w:noProof/>
          <w:sz w:val="24"/>
          <w:szCs w:val="24"/>
          <w:lang w:val="bg-BG"/>
        </w:rPr>
      </w:pPr>
      <w:r>
        <w:rPr>
          <w:rFonts w:ascii="Times New Roman" w:hAnsi="Times New Roman"/>
          <w:b/>
          <w:noProof/>
          <w:sz w:val="24"/>
          <w:szCs w:val="24"/>
          <w:lang w:val="bg-BG"/>
        </w:rPr>
        <w:t>ЗАКЛЮЧЕНИЕ</w:t>
      </w:r>
    </w:p>
    <w:p>
      <w:pPr>
        <w:spacing w:before="120" w:after="120" w:line="240" w:lineRule="auto"/>
        <w:jc w:val="both"/>
        <w:rPr>
          <w:rFonts w:ascii="Times New Roman" w:hAnsi="Times New Roman"/>
          <w:noProof/>
          <w:sz w:val="24"/>
          <w:lang w:val="bg-BG"/>
        </w:rPr>
      </w:pPr>
      <w:r>
        <w:rPr>
          <w:rFonts w:ascii="Times New Roman" w:hAnsi="Times New Roman"/>
          <w:noProof/>
          <w:sz w:val="24"/>
          <w:lang w:val="bg-BG"/>
        </w:rPr>
        <w:t>Комисията все още не е упражнявала правомощието си за приемане на делегирани актове, предоставено ѝ с Регламент (ЕС) 2018/974.</w:t>
      </w:r>
    </w:p>
    <w:p>
      <w:pPr>
        <w:spacing w:after="240" w:line="276" w:lineRule="auto"/>
        <w:jc w:val="both"/>
        <w:rPr>
          <w:rFonts w:ascii="Times New Roman" w:eastAsia="Calibri" w:hAnsi="Times New Roman" w:cs="Times New Roman"/>
          <w:noProof/>
          <w:sz w:val="24"/>
          <w:szCs w:val="24"/>
          <w:lang w:val="bg-BG"/>
        </w:rPr>
      </w:pPr>
      <w:r>
        <w:rPr>
          <w:rFonts w:ascii="Times New Roman" w:hAnsi="Times New Roman"/>
          <w:noProof/>
          <w:sz w:val="24"/>
          <w:lang w:val="bg-BG"/>
        </w:rPr>
        <w:t>Комисията счита, че следва да продължи да разполага с тези делегирани правомощия, тъй като в бъдеще може да се наложи да приема делегирани актове в подкрепа на развитието на статистиката за вътрешните водни пътища.</w:t>
      </w:r>
      <w:r>
        <w:rPr>
          <w:rFonts w:ascii="Times New Roman" w:hAnsi="Times New Roman"/>
          <w:noProof/>
          <w:sz w:val="24"/>
          <w:szCs w:val="24"/>
          <w:lang w:val="bg-BG"/>
        </w:rPr>
        <w:t xml:space="preserve"> </w:t>
      </w:r>
    </w:p>
    <w:p>
      <w:pPr>
        <w:spacing w:after="240" w:line="276" w:lineRule="auto"/>
        <w:jc w:val="both"/>
        <w:rPr>
          <w:noProof/>
          <w:lang w:val="bg-BG"/>
        </w:rPr>
      </w:pPr>
    </w:p>
    <w:p>
      <w:pPr>
        <w:spacing w:after="240" w:line="276" w:lineRule="auto"/>
        <w:jc w:val="both"/>
        <w:rPr>
          <w:noProof/>
          <w:lang w:val="bg-BG"/>
        </w:rPr>
      </w:pPr>
    </w:p>
    <w:p>
      <w:pPr>
        <w:spacing w:after="240" w:line="276" w:lineRule="auto"/>
        <w:jc w:val="both"/>
        <w:rPr>
          <w:noProof/>
          <w:lang w:val="bg-BG"/>
        </w:rPr>
      </w:pPr>
    </w:p>
    <w:p>
      <w:pPr>
        <w:spacing w:after="240" w:line="276" w:lineRule="auto"/>
        <w:jc w:val="both"/>
        <w:rPr>
          <w:noProof/>
          <w:lang w:val="bg-BG"/>
        </w:rPr>
      </w:pPr>
    </w:p>
    <w:p>
      <w:pPr>
        <w:spacing w:after="240" w:line="276" w:lineRule="auto"/>
        <w:jc w:val="both"/>
        <w:rPr>
          <w:noProof/>
          <w:lang w:val="bg-BG"/>
        </w:rPr>
      </w:pPr>
    </w:p>
    <w:p>
      <w:pPr>
        <w:spacing w:after="240" w:line="276" w:lineRule="auto"/>
        <w:jc w:val="both"/>
        <w:rPr>
          <w:noProof/>
          <w:lang w:val="bg-BG"/>
        </w:rPr>
      </w:pPr>
    </w:p>
    <w:p>
      <w:pPr>
        <w:spacing w:after="240" w:line="276" w:lineRule="auto"/>
        <w:jc w:val="both"/>
        <w:rPr>
          <w:noProof/>
          <w:lang w:val="bg-BG"/>
        </w:rPr>
      </w:pPr>
    </w:p>
    <w:p>
      <w:pPr>
        <w:spacing w:before="480" w:after="240" w:line="240" w:lineRule="auto"/>
        <w:jc w:val="center"/>
        <w:rPr>
          <w:noProof/>
          <w:lang w:val="bg-BG"/>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Yu Gothic UI"/>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6099"/>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391494"/>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0" w:line="240" w:lineRule="auto"/>
        <w:ind w:left="284" w:hanging="284"/>
        <w:rPr>
          <w:rStyle w:val="Hyperlink"/>
          <w:rFonts w:ascii="Times New Roman" w:hAnsi="Times New Roman"/>
          <w:color w:val="auto"/>
          <w:u w:val="none"/>
          <w:lang w:val="bg-BG"/>
        </w:rPr>
      </w:pPr>
      <w:r>
        <w:rPr>
          <w:rStyle w:val="FootnoteReference"/>
          <w:lang w:val="bg-BG"/>
        </w:rPr>
        <w:footnoteRef/>
      </w:r>
      <w:r>
        <w:rPr>
          <w:lang w:val="bg-BG"/>
        </w:rPr>
        <w:t xml:space="preserve"> </w:t>
      </w:r>
      <w:r>
        <w:rPr>
          <w:lang w:val="bg-BG"/>
        </w:rPr>
        <w:tab/>
      </w:r>
      <w:r>
        <w:rPr>
          <w:rFonts w:ascii="Times New Roman" w:hAnsi="Times New Roman"/>
          <w:lang w:val="bg-BG"/>
        </w:rPr>
        <w:t>Регламент (ЕС) 2018/974 на Европейския парламент и на Съвета от 4 юли 2018 г. относно статистиката за превоза на товари по вътрешни водни пътища (OВ L 179, 16.7.2018 г., стр. 14)</w:t>
      </w:r>
      <w:r>
        <w:rPr>
          <w:rStyle w:val="Hyperlink"/>
          <w:rFonts w:ascii="Times New Roman" w:hAnsi="Times New Roman"/>
          <w:color w:val="auto"/>
          <w:u w:val="none"/>
          <w:lang w:val="bg-BG"/>
        </w:rPr>
        <w:t>.</w:t>
      </w:r>
    </w:p>
  </w:footnote>
  <w:footnote w:id="2">
    <w:p>
      <w:pPr>
        <w:pStyle w:val="FootnoteText"/>
        <w:spacing w:before="60"/>
        <w:ind w:left="284" w:hanging="284"/>
        <w:rPr>
          <w:rStyle w:val="Hyperlink"/>
          <w:rFonts w:ascii="Times New Roman" w:hAnsi="Times New Roman"/>
          <w:color w:val="auto"/>
          <w:u w:val="none"/>
          <w:lang w:val="bg-BG"/>
        </w:rPr>
      </w:pPr>
      <w:r>
        <w:rPr>
          <w:rStyle w:val="FootnoteReference"/>
          <w:lang w:val="bg-BG"/>
        </w:rPr>
        <w:footnoteRef/>
      </w:r>
      <w:r>
        <w:rPr>
          <w:lang w:val="bg-BG"/>
        </w:rPr>
        <w:t xml:space="preserve"> </w:t>
      </w:r>
      <w:r>
        <w:rPr>
          <w:lang w:val="bg-BG"/>
        </w:rPr>
        <w:tab/>
      </w:r>
      <w:r>
        <w:rPr>
          <w:rFonts w:ascii="Times New Roman" w:hAnsi="Times New Roman"/>
          <w:lang w:val="bg-BG"/>
        </w:rPr>
        <w:t>OВ L 123, 12.5.2016 г., стр. 1.</w:t>
      </w:r>
    </w:p>
  </w:footnote>
  <w:footnote w:id="3">
    <w:p>
      <w:pPr>
        <w:pStyle w:val="FootnoteText"/>
        <w:spacing w:after="0"/>
        <w:rPr>
          <w:lang w:val="bg-BG"/>
        </w:rPr>
      </w:pPr>
      <w:r>
        <w:rPr>
          <w:rFonts w:ascii="Times New Roman" w:hAnsi="Times New Roman"/>
          <w:vertAlign w:val="superscript"/>
          <w:lang w:val="bg-BG"/>
        </w:rPr>
        <w:footnoteRef/>
      </w:r>
      <w:r>
        <w:rPr>
          <w:rFonts w:ascii="Times New Roman" w:hAnsi="Times New Roman"/>
          <w:lang w:val="bg-BG"/>
        </w:rPr>
        <w:t xml:space="preserve"> COM(2020) 789 final.</w:t>
      </w:r>
    </w:p>
  </w:footnote>
  <w:footnote w:id="4">
    <w:p>
      <w:pPr>
        <w:pStyle w:val="FootnoteText"/>
      </w:pPr>
      <w:r>
        <w:rPr>
          <w:rStyle w:val="FootnoteReference"/>
          <w:rFonts w:ascii="Times New Roman" w:hAnsi="Times New Roman"/>
          <w:lang w:val="bg-BG"/>
        </w:rPr>
        <w:footnoteRef/>
      </w:r>
      <w:r>
        <w:rPr>
          <w:rFonts w:ascii="Times New Roman" w:hAnsi="Times New Roman"/>
          <w:lang w:val="bg-BG"/>
        </w:rPr>
        <w:t xml:space="preserve"> COM(2019) 640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10C4"/>
    <w:multiLevelType w:val="hybridMultilevel"/>
    <w:tmpl w:val="E15881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B155F3"/>
    <w:multiLevelType w:val="hybridMultilevel"/>
    <w:tmpl w:val="2CAE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063AF2"/>
    <w:multiLevelType w:val="hybridMultilevel"/>
    <w:tmpl w:val="23CCC4EE"/>
    <w:lvl w:ilvl="0" w:tplc="01EC09CE">
      <w:start w:val="1"/>
      <w:numFmt w:val="bullet"/>
      <w:lvlText w:val=""/>
      <w:lvlJc w:val="left"/>
      <w:pPr>
        <w:ind w:left="2216" w:hanging="360"/>
      </w:pPr>
      <w:rPr>
        <w:rFonts w:ascii="Symbol" w:hAnsi="Symbol" w:hint="default"/>
      </w:rPr>
    </w:lvl>
    <w:lvl w:ilvl="1" w:tplc="08090003" w:tentative="1">
      <w:start w:val="1"/>
      <w:numFmt w:val="bullet"/>
      <w:lvlText w:val="o"/>
      <w:lvlJc w:val="left"/>
      <w:pPr>
        <w:ind w:left="2936" w:hanging="360"/>
      </w:pPr>
      <w:rPr>
        <w:rFonts w:ascii="Courier New" w:hAnsi="Courier New" w:cs="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cs="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cs="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3">
    <w:nsid w:val="355F3A3C"/>
    <w:multiLevelType w:val="hybridMultilevel"/>
    <w:tmpl w:val="0B1CA37E"/>
    <w:lvl w:ilvl="0" w:tplc="08090017">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6412804"/>
    <w:multiLevelType w:val="hybridMultilevel"/>
    <w:tmpl w:val="9906E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9EC207B"/>
    <w:multiLevelType w:val="hybridMultilevel"/>
    <w:tmpl w:val="6BA88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hideSpellingErrors/>
  <w:hideGrammaticalErrors/>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4D32CAD-3F95-4BB3-97C6-DB1A5FAFEC26"/>
    <w:docVar w:name="LW_COVERPAGE_TYPE" w:val="1"/>
    <w:docVar w:name="LW_CROSSREFERENCE" w:val="&lt;UNUSED&gt;"/>
    <w:docVar w:name="LW_DocType" w:val="NORMAL"/>
    <w:docVar w:name="LW_EMISSION" w:val="12.3.2021"/>
    <w:docVar w:name="LW_EMISSION_ISODATE" w:val="2021-03-1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1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56?\u1077?\u1075?\u1083?\u1072?\u1084?\u1077?\u1085?\u1090? (\u1045?\u1057?) 2018/974 \u1086?\u1090?\u1085?\u1086?\u1089?\u1085?\u1086? \u1089?\u1090?\u1072?\u1090?\u1080?\u1089?\u1090?\u1080?\u1082?\u1072?\u1090?\u1072? \u1079?\u1072? \u1087?\u1088?\u1077?\u1074?\u1086?\u1079?\u1072? \u1085?\u1072? \u1090?\u1086?\u1074?\u1072?\u1088?\u1080? \u1087?\u1086? \u1074?\u1098?\u1090?\u1088?\u1077?\u1096?\u1085?\u1080? \u1074?\u1086?\u1076?\u1085?\u1080? \u1087?\u1098?\u1090?\u1080?\u1097?\u1072?&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basedOn w:val="Normal"/>
    <w:link w:val="FootnoteTextChar"/>
    <w:semiHidden/>
    <w:unhideWhenUsed/>
    <w:pPr>
      <w:spacing w:after="200" w:line="276"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Pr>
      <w:rFonts w:ascii="Calibri" w:eastAsia="Calibri" w:hAnsi="Calibri" w:cs="Times New Roman"/>
      <w:sz w:val="20"/>
      <w:szCs w:val="20"/>
      <w:lang w:eastAsia="en-US"/>
    </w:rPr>
  </w:style>
  <w:style w:type="character" w:styleId="FootnoteReference">
    <w:name w:val="footnote reference"/>
    <w:semiHidden/>
    <w:rPr>
      <w:shd w:val="clear" w:color="auto" w:fill="auto"/>
      <w:vertAlign w:val="superscript"/>
    </w:r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EA07387-9D3E-42C5-B132-1C64538D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524</Words>
  <Characters>3040</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Report_Exercise of power to adopt delegated acts_Inland waterways_2020</vt:lpstr>
    </vt:vector>
  </TitlesOfParts>
  <Manager/>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Report_Exercise of power to adopt delegated acts_Inland waterways_2020</dc:title>
  <dc:subject>Report_Exercise of power to adopt delegated acts_Inland waterways_2020</dc:subject>
  <dc:creator/>
  <cp:keywords/>
  <dc:description/>
  <cp:lastModifiedBy>WES PDFC Administrator</cp:lastModifiedBy>
  <cp:revision>17</cp:revision>
  <dcterms:created xsi:type="dcterms:W3CDTF">2021-02-18T09:33:00Z</dcterms:created>
  <dcterms:modified xsi:type="dcterms:W3CDTF">2021-03-12T09:43:00Z</dcterms:modified>
  <cp:category>Inland waterways transport statistics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