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4E905E9-E140-40A7-823D-D112E8749DE1" style="width:450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Heading1"/>
        <w:numPr>
          <w:ilvl w:val="0"/>
          <w:numId w:val="1"/>
        </w:numPr>
        <w:rPr>
          <w:noProof/>
          <w:sz w:val="22"/>
        </w:rPr>
      </w:pPr>
      <w:r>
        <w:rPr>
          <w:noProof/>
        </w:rPr>
        <w:t>Общи указания за водене на преговори</w:t>
      </w:r>
    </w:p>
    <w:p>
      <w:pPr>
        <w:pStyle w:val="ManualHeading2"/>
        <w:rPr>
          <w:noProof/>
        </w:rPr>
      </w:pPr>
      <w:r>
        <w:rPr>
          <w:noProof/>
        </w:rPr>
        <w:tab/>
        <w:t>Предлагани изменения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 xml:space="preserve">Препоръките за изменения на Международното споразумение за какаото (МСК от 2010 г.), изготвени от работната група по преразглеждането на Международното споразумение за какаото през 2019/2020 г., се приемат положително, тъй като следват целите, представени от ЕС в международните органи по суровините (МОС). </w:t>
      </w:r>
    </w:p>
    <w:p>
      <w:pPr>
        <w:pStyle w:val="ManualHeading2"/>
        <w:rPr>
          <w:noProof/>
        </w:rPr>
      </w:pPr>
      <w:r>
        <w:rPr>
          <w:noProof/>
        </w:rPr>
        <w:tab/>
        <w:t>Указания за водене на преговори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>В съответствие с предложените изменения следва да се прилагат следните общи указания за водене на преговори: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общата цел на МСК, както е посочена в член 1, не подлежи на промяна;</w:t>
      </w:r>
    </w:p>
    <w:p>
      <w:pPr>
        <w:pStyle w:val="Considrant"/>
        <w:rPr>
          <w:noProof/>
        </w:rPr>
      </w:pPr>
      <w:r>
        <w:rPr>
          <w:noProof/>
        </w:rPr>
        <w:t>МСК следва да бъде съставено в съответствие с общи принципи за устойчивост, за да се постигне устойчива икономика на какаото. Това включва: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 xml:space="preserve">да се вземат предвид </w:t>
      </w:r>
      <w:r>
        <w:rPr>
          <w:noProof/>
          <w:u w:val="single"/>
        </w:rPr>
        <w:t>принципите за устойчиво развитие</w:t>
      </w:r>
      <w:r>
        <w:rPr>
          <w:noProof/>
        </w:rPr>
        <w:t>, съдържащи се, наред с другото, в Програмата на ООН до 2030 г. за устойчиво развитие, приета в Ню Йорк през 2015 г.;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да се вземе предвид Парижкото споразумение относно изменението на климата и национално определените приноси (НОП) на страните по него;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да се преследва целта да се гарантира икономическа устойчивост на производството на какао чрез гарантиране на доход за живот на производителите на какао, който следва да осигури достоен доход и достоен живот;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да се преследва целта да се гарантира, че производството на какао е устойчиво от екологична гледна точка, чрез предотвратяване или спиране на обезлесяването и влошаването на природните ресурси;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да се преследва целта да се гарантира, че производството на какао е социално устойчиво, като се гарантира зачитането на правата на човека и се постигне напредък към нулев детски труд;</w:t>
      </w:r>
    </w:p>
    <w:p>
      <w:pPr>
        <w:pStyle w:val="Bullet0"/>
        <w:numPr>
          <w:ilvl w:val="0"/>
          <w:numId w:val="11"/>
        </w:numPr>
        <w:rPr>
          <w:noProof/>
          <w:szCs w:val="24"/>
        </w:rPr>
      </w:pPr>
      <w:r>
        <w:rPr>
          <w:noProof/>
        </w:rPr>
        <w:t>и да се прилагат принципите за устойчиво развитие по останалата част от веригата за създаване на стойност.</w:t>
      </w:r>
    </w:p>
    <w:p>
      <w:pPr>
        <w:pStyle w:val="Considrant"/>
        <w:rPr>
          <w:noProof/>
        </w:rPr>
      </w:pPr>
      <w:r>
        <w:rPr>
          <w:noProof/>
        </w:rPr>
        <w:t>МСК остава в сила до прекратяването му от членовете.</w:t>
      </w:r>
    </w:p>
    <w:p>
      <w:pPr>
        <w:pStyle w:val="ManualHeading2"/>
        <w:rPr>
          <w:noProof/>
          <w:szCs w:val="24"/>
        </w:rPr>
      </w:pPr>
      <w:r>
        <w:rPr>
          <w:noProof/>
        </w:rPr>
        <w:tab/>
        <w:t>Подробни указания за водене на преговори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Преамбюл: подлежи на </w:t>
      </w:r>
      <w:r>
        <w:rPr>
          <w:noProof/>
          <w:u w:val="single"/>
        </w:rPr>
        <w:t>евентуално изменение</w:t>
      </w:r>
      <w:r>
        <w:rPr>
          <w:noProof/>
        </w:rPr>
        <w:t>.</w:t>
      </w:r>
    </w:p>
    <w:p>
      <w:pPr>
        <w:spacing w:line="276" w:lineRule="auto"/>
        <w:rPr>
          <w:noProof/>
        </w:rPr>
      </w:pPr>
      <w:r>
        <w:rPr>
          <w:noProof/>
        </w:rPr>
        <w:t>В преамбюла би могло да се включи позоваване не само на „достоен доход“, но и на „доход за живот“.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Член 1, буква й): подлежи на </w:t>
      </w:r>
      <w:r>
        <w:rPr>
          <w:noProof/>
          <w:u w:val="single"/>
        </w:rPr>
        <w:t>евентуално изменение</w:t>
      </w:r>
      <w:r>
        <w:rPr>
          <w:noProof/>
        </w:rPr>
        <w:t>.</w:t>
      </w:r>
    </w:p>
    <w:p>
      <w:pPr>
        <w:spacing w:line="276" w:lineRule="auto"/>
        <w:rPr>
          <w:noProof/>
          <w:szCs w:val="24"/>
        </w:rPr>
      </w:pPr>
      <w:r>
        <w:rPr>
          <w:noProof/>
        </w:rPr>
        <w:t>Вместо „достатъчни доходи“ да се направи позоваване на „достойни доходи“, за да се гарантира съгласуваност на текста с определението за „достоен доход“ в член 2, параграф 21.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Член 16, параграф 3: подлежи на </w:t>
      </w:r>
      <w:r>
        <w:rPr>
          <w:noProof/>
          <w:u w:val="single"/>
        </w:rPr>
        <w:t>заличаване</w:t>
      </w:r>
      <w:r>
        <w:rPr>
          <w:noProof/>
        </w:rPr>
        <w:t>.</w:t>
      </w:r>
    </w:p>
    <w:p>
      <w:pPr>
        <w:pStyle w:val="Text1"/>
        <w:rPr>
          <w:i/>
          <w:noProof/>
        </w:rPr>
      </w:pPr>
      <w:r>
        <w:rPr>
          <w:i/>
          <w:noProof/>
        </w:rPr>
        <w:t>„Длъжността изпълнителен директор се заема на принципа на ротация между кандидат от член износител и кандидат от член вносител.“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Член 36: подлежи на </w:t>
      </w:r>
      <w:r>
        <w:rPr>
          <w:noProof/>
          <w:u w:val="single"/>
        </w:rPr>
        <w:t>евентуално изменение</w:t>
      </w:r>
      <w:r>
        <w:rPr>
          <w:noProof/>
        </w:rPr>
        <w:t>.</w:t>
      </w:r>
    </w:p>
    <w:p>
      <w:pPr>
        <w:pStyle w:val="Text1"/>
        <w:rPr>
          <w:i/>
          <w:noProof/>
        </w:rPr>
      </w:pPr>
      <w:r>
        <w:rPr>
          <w:i/>
          <w:noProof/>
        </w:rPr>
        <w:t xml:space="preserve">„В случай на прогнозиран дисбаланс Съветът може да направи препоръки за смекчаване на отрицателните последици от дисбаланса за първичните производители. </w:t>
      </w:r>
      <w:r>
        <w:rPr>
          <w:b/>
          <w:bCs/>
          <w:i/>
          <w:noProof/>
        </w:rPr>
        <w:t>Мерките обаче не трябва да изключват конкуренцията</w:t>
      </w:r>
      <w:r>
        <w:rPr>
          <w:i/>
          <w:noProof/>
        </w:rPr>
        <w:t>.“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Член 42: подлежи на </w:t>
      </w:r>
      <w:r>
        <w:rPr>
          <w:noProof/>
          <w:u w:val="single"/>
        </w:rPr>
        <w:t>евентуално изменение</w:t>
      </w:r>
      <w:r>
        <w:rPr>
          <w:noProof/>
        </w:rPr>
        <w:t>.</w:t>
      </w:r>
    </w:p>
    <w:p>
      <w:pPr>
        <w:spacing w:line="276" w:lineRule="auto"/>
        <w:rPr>
          <w:noProof/>
        </w:rPr>
      </w:pPr>
      <w:r>
        <w:rPr>
          <w:noProof/>
        </w:rPr>
        <w:t>Положително се приема ангажиментът за подобряване на жизнения стандарт и условията на труд. Може да се добави по-конкретен ангажимент за борба с детския труд.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Член 43: подлежи на </w:t>
      </w:r>
      <w:r>
        <w:rPr>
          <w:noProof/>
          <w:u w:val="single"/>
        </w:rPr>
        <w:t>евентуално изменение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Може да се добави по-конкретен ангажимент за борба с обезлесяването, деградацията на горите и изменението на климата.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0C204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C4288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A40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1AAD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13C7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32D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EFC4D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A08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8 11:00:2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4E905E9-E140-40A7-823D-D112E8749DE1"/>
    <w:docVar w:name="LW_COVERPAGE_TYPE" w:val="1"/>
    <w:docVar w:name="LW_CROSSREFERENCE" w:val="&lt;UNUSED&gt;"/>
    <w:docVar w:name="LW_DocType" w:val="ANNEX"/>
    <w:docVar w:name="LW_EMISSION" w:val="16.3.2021"/>
    <w:docVar w:name="LW_EMISSION_ISODATE" w:val="2021-03-1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2?\u1077?\u1078?\u1076?\u1091?\u1085?\u1072?\u1088?\u1086?\u1076?\u1085?\u1086?\u1090?\u1086? \u1089?\u1087?\u1086?\u1088?\u1072?\u1079?\u1091?\u1084?\u1077?\u1085?\u1080?\u1077? \u1079?\u1072? \u1082?\u1072?\u1082?\u1072?\u1086?\u1090?\u1086? \u1086?\u1090? 2010 \u1075?\u1086?\u1076?\u1080?\u1085?\u1072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0?\u1079?\u1084?\u1077?\u1085?\u1077?\u1085?\u1080?\u1077? \u1085?\u1072? \u1052?\u1077?\u1078?\u1076?\u1091?\u1085?\u1072?\u1088?\u1086?\u1076?\u1085?\u1086?\u1090?\u1086? \u1089?\u1087?\u1086?\u1088?\u1072?\u1079?\u1091?\u1084?\u1077?\u1085?\u1080?\u1077? \u1079?\u1072? \u1082?\u1072?\u1082?\u1072?\u1086?\u1090?\u1086? \u1086?\u1090? 2010 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88?\u1077?\u1096?\u1077?\u1085?\u1080?\u1077? \u1085?\u1072? \u1057?\u1098?\u1074?\u1077?\u1090?\u1072? "/>
    <w:docVar w:name="LW_TYPEACTEPRINCIPAL.CP" w:val="\u1055?\u1088?\u1077?\u1087?\u1086?\u1088?\u1098?\u1082?\u1072? \u1079?\u1072? \u1088?\u1077?\u1096?\u1077?\u1085?\u1080?\u1077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="Times New Roman"/>
      <w:szCs w:val="24"/>
      <w:lang w:eastAsia="fr-B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="Times New Roman"/>
      <w:szCs w:val="24"/>
      <w:lang w:eastAsia="fr-B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452</Words>
  <Characters>2525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 Devrim (DEVCO)</dc:creator>
  <cp:keywords/>
  <dc:description/>
  <cp:lastModifiedBy>WES PDFC Administrator</cp:lastModifiedBy>
  <cp:revision>9</cp:revision>
  <dcterms:created xsi:type="dcterms:W3CDTF">2021-03-01T12:31:00Z</dcterms:created>
  <dcterms:modified xsi:type="dcterms:W3CDTF">2021-03-08T10:00:00Z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