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90FC7F3-ECF9-44E3-95C2-ABAD8D2F9C2E" style="width:450.4pt;height:365.3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rPr>
      </w:pPr>
      <w:r>
        <w:rPr>
          <w:noProof/>
        </w:rPr>
        <w:t>Настоящата препоръка се отнася до решение за упълномощаване на Комисията да участва от името на Съюза в преговорите за частично преразглеждане на Международното споразумение за какаото (МСК)</w:t>
      </w:r>
      <w:r>
        <w:rPr>
          <w:rStyle w:val="FootnoteReference"/>
          <w:noProof/>
        </w:rPr>
        <w:footnoteReference w:id="1"/>
      </w:r>
      <w:r>
        <w:rPr>
          <w:noProof/>
        </w:rPr>
        <w:t>, които Международният съвет за какаото реши да започне под ръководството на Конференцията на ООН за търговия и развитие (УНКТАД).</w:t>
      </w:r>
    </w:p>
    <w:p>
      <w:pPr>
        <w:pStyle w:val="ManualHeading1"/>
        <w:rPr>
          <w:noProof/>
        </w:rPr>
      </w:pPr>
      <w:r>
        <w:rPr>
          <w:noProof/>
        </w:rPr>
        <w:t>1.</w:t>
      </w:r>
      <w:r>
        <w:rPr>
          <w:noProof/>
        </w:rPr>
        <w:tab/>
        <w:t>КОНТЕКСТ НА ПРЕДЛОЖЕНИЕТО</w:t>
      </w:r>
    </w:p>
    <w:p>
      <w:pPr>
        <w:pStyle w:val="ManualHeading2"/>
        <w:rPr>
          <w:noProof/>
        </w:rPr>
      </w:pPr>
      <w:r>
        <w:rPr>
          <w:noProof/>
        </w:rPr>
        <w:tab/>
        <w:t>Преразглеждане на Международното споразумение за какаото от 2010 година</w:t>
      </w:r>
    </w:p>
    <w:p>
      <w:pPr>
        <w:pBdr>
          <w:top w:val="nil"/>
          <w:left w:val="nil"/>
          <w:bottom w:val="nil"/>
          <w:right w:val="nil"/>
          <w:between w:val="nil"/>
          <w:bar w:val="nil"/>
        </w:pBdr>
        <w:spacing w:before="0" w:after="240"/>
        <w:rPr>
          <w:noProof/>
        </w:rPr>
      </w:pPr>
      <w:r>
        <w:rPr>
          <w:noProof/>
        </w:rPr>
        <w:t>Европейският съюз е страна по МСК</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Целта на МСК е да гарантира засилване на международното сътрудничество по въпросите, които имат пряко или непряко отношение към какаото в света, да създаде форум за междуправителствени консултации за какаото и начините да се подобри световната икономика в сектора на какаото, да се улесни търговията със какао чрез събиране и предоставяне на информация относно световния пазар на какао и да насърчи повишеното търсене на какао.</w:t>
      </w:r>
    </w:p>
    <w:p>
      <w:pPr>
        <w:pBdr>
          <w:top w:val="nil"/>
          <w:left w:val="nil"/>
          <w:bottom w:val="nil"/>
          <w:right w:val="nil"/>
          <w:between w:val="nil"/>
          <w:bar w:val="nil"/>
        </w:pBdr>
        <w:spacing w:before="0" w:after="240"/>
        <w:rPr>
          <w:noProof/>
        </w:rPr>
      </w:pPr>
      <w:r>
        <w:rPr>
          <w:noProof/>
        </w:rPr>
        <w:t>МСК влезе в сила на 1 октомври 2012 г. за срок от десет години до 30 септември 2022 г.</w:t>
      </w:r>
    </w:p>
    <w:p>
      <w:pPr>
        <w:pBdr>
          <w:top w:val="nil"/>
          <w:left w:val="nil"/>
          <w:bottom w:val="nil"/>
          <w:right w:val="nil"/>
          <w:between w:val="nil"/>
          <w:bar w:val="nil"/>
        </w:pBdr>
        <w:spacing w:before="0" w:after="240"/>
        <w:rPr>
          <w:noProof/>
        </w:rPr>
      </w:pPr>
      <w:r>
        <w:rPr>
          <w:noProof/>
        </w:rPr>
        <w:t>Съгласно член 7 от МСК Международният съвет за какао е органът, отговарящ за изпълнението на всички функции, необходими за прилагането на разпоредбите на МСК. В член 12 от МСК се предвижда, че всички решения на Международния съвет за какао се вземат по принцип с консенсус, освен ако в МСК е предвидено друго. При липса на консенсус решенията се вземат чрез гласуване с особено мнозинство.</w:t>
      </w:r>
    </w:p>
    <w:p>
      <w:pPr>
        <w:pBdr>
          <w:top w:val="nil"/>
          <w:left w:val="nil"/>
          <w:bottom w:val="nil"/>
          <w:right w:val="nil"/>
          <w:between w:val="nil"/>
          <w:bar w:val="nil"/>
        </w:pBdr>
        <w:spacing w:before="0" w:after="240"/>
        <w:rPr>
          <w:noProof/>
        </w:rPr>
      </w:pPr>
      <w:r>
        <w:rPr>
          <w:noProof/>
        </w:rPr>
        <w:t>Съгласно член 10 от МСК членовете на Съвета на Международната организация за какао (МОК) разполагат общо с 2000 гласа. Всеки член на МОК има определен брой гласове, който всяка година се преизчислява съобразно предварително определени критерии в МСК. Споразумението, и по-специално разпределението на гласовете между членовете, определя също така вноската на всеки член. Понастоящем ЕС има определено най-голямата вноска в бюджета на МОК.</w:t>
      </w:r>
    </w:p>
    <w:p>
      <w:pPr>
        <w:pBdr>
          <w:top w:val="nil"/>
          <w:left w:val="nil"/>
          <w:bottom w:val="nil"/>
          <w:right w:val="nil"/>
          <w:between w:val="nil"/>
          <w:bar w:val="nil"/>
        </w:pBdr>
        <w:spacing w:before="0" w:after="240"/>
        <w:rPr>
          <w:noProof/>
        </w:rPr>
      </w:pPr>
      <w:r>
        <w:rPr>
          <w:noProof/>
        </w:rPr>
        <w:t>Международният съвет за какао започна преговори, за да може да вземе решение за евентуално удължаване на срока на действие на МСК преди настоящия краен срок. Тези преговори ще бъдат подходящата възможност за частично преразглеждане на МСК с акцент върху неговото модернизиране и опростяване.</w:t>
      </w:r>
    </w:p>
    <w:p>
      <w:pPr>
        <w:pBdr>
          <w:top w:val="nil"/>
          <w:left w:val="nil"/>
          <w:bottom w:val="nil"/>
          <w:right w:val="nil"/>
          <w:between w:val="nil"/>
          <w:bar w:val="nil"/>
        </w:pBdr>
        <w:spacing w:before="0" w:after="240"/>
        <w:rPr>
          <w:noProof/>
        </w:rPr>
      </w:pPr>
      <w:r>
        <w:rPr>
          <w:noProof/>
        </w:rPr>
        <w:t>Указанията на Комисията за препоръчаните промени са изложени в приложението.</w:t>
      </w:r>
    </w:p>
    <w:p>
      <w:pPr>
        <w:pBdr>
          <w:top w:val="nil"/>
          <w:left w:val="nil"/>
          <w:bottom w:val="nil"/>
          <w:right w:val="nil"/>
          <w:between w:val="nil"/>
          <w:bar w:val="nil"/>
        </w:pBdr>
        <w:spacing w:before="0" w:after="240"/>
        <w:rPr>
          <w:rFonts w:eastAsia="Arial Unicode MS"/>
          <w:noProof/>
        </w:rPr>
      </w:pPr>
      <w:r>
        <w:rPr>
          <w:noProof/>
        </w:rPr>
        <w:t xml:space="preserve">Въвеждането на реформи в МСК с цел допълнително съобразяване с практиките, които Съюзът насърчава в други международни органи по суровините, както и с развитието на световния пазар на какао от 2010 г. насам, очевидно е в интерес на Съюза. Това беше </w:t>
      </w:r>
      <w:r>
        <w:rPr>
          <w:noProof/>
        </w:rPr>
        <w:lastRenderedPageBreak/>
        <w:t>редовно посочвано по време на последните сесии на Международния съвет за какао през 2019—2020 г., в които участваха и държави — членки на ЕС.</w:t>
      </w:r>
    </w:p>
    <w:p>
      <w:pPr>
        <w:pBdr>
          <w:top w:val="nil"/>
          <w:left w:val="nil"/>
          <w:bottom w:val="nil"/>
          <w:right w:val="nil"/>
          <w:between w:val="nil"/>
          <w:bar w:val="nil"/>
        </w:pBdr>
        <w:spacing w:before="0" w:after="240"/>
        <w:rPr>
          <w:noProof/>
        </w:rPr>
      </w:pPr>
      <w:r>
        <w:rPr>
          <w:noProof/>
        </w:rPr>
        <w:t>Не се предвижда промяна на общата цел на МСК, както е посочена в член 1 от споразумението.</w:t>
      </w:r>
    </w:p>
    <w:p>
      <w:pPr>
        <w:pBdr>
          <w:top w:val="nil"/>
          <w:left w:val="nil"/>
          <w:bottom w:val="nil"/>
          <w:right w:val="nil"/>
          <w:between w:val="nil"/>
          <w:bar w:val="nil"/>
        </w:pBdr>
        <w:spacing w:before="0" w:after="240"/>
        <w:rPr>
          <w:noProof/>
        </w:rPr>
      </w:pPr>
      <w:r>
        <w:rPr>
          <w:noProof/>
        </w:rPr>
        <w:t>В преразгледаното МСК трябва да бъдат предложени две основни промени:</w:t>
      </w:r>
    </w:p>
    <w:p>
      <w:pPr>
        <w:pStyle w:val="Bullet0"/>
        <w:numPr>
          <w:ilvl w:val="0"/>
          <w:numId w:val="9"/>
        </w:numPr>
        <w:rPr>
          <w:noProof/>
        </w:rPr>
      </w:pPr>
      <w:r>
        <w:rPr>
          <w:noProof/>
        </w:rPr>
        <w:t>да се гарантира, че членовете полагат всички усилия, необходими за постигането на устойчива икономика на какаото, като се вземат предвид принципите за устойчиво развитие, съдържащи се, наред с другото, в Програмата на ООН до 2030 г. за устойчиво развитие, приета в Ню Йорк през 2015 г.;</w:t>
      </w:r>
    </w:p>
    <w:p>
      <w:pPr>
        <w:pStyle w:val="Bullet0"/>
        <w:rPr>
          <w:noProof/>
        </w:rPr>
      </w:pPr>
      <w:r>
        <w:rPr>
          <w:noProof/>
        </w:rPr>
        <w:t>да се постигне съгласие преразгледаното МСК да остане в сила до прекратяването му от Съвета.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В член 218, параграф 3 от Договора за функционирането на Европейския съюз (ДФЕС) се предвижда разрешаване на започването на преговорите и назначаване, в зависимост от областта на предвиденото споразумение, на преговарящ или ръководител на преговарящия екип на Съюза. В член 218, параграф 4 от ДФЕС се предвижда Съветът да дава указания до преговарящия и да определи специален комитет, като преговорите трябва да се водят в консултация с този комитет.</w:t>
      </w:r>
    </w:p>
    <w:p>
      <w:pPr>
        <w:pStyle w:val="ManualHeading2"/>
        <w:rPr>
          <w:noProof/>
        </w:rPr>
      </w:pPr>
      <w:r>
        <w:rPr>
          <w:noProof/>
        </w:rPr>
        <w:tab/>
        <w:t>Приложение в конкретния случай</w:t>
      </w:r>
    </w:p>
    <w:p>
      <w:pPr>
        <w:pBdr>
          <w:top w:val="nil"/>
          <w:left w:val="nil"/>
          <w:bottom w:val="nil"/>
          <w:right w:val="nil"/>
          <w:between w:val="nil"/>
          <w:bar w:val="nil"/>
        </w:pBdr>
        <w:spacing w:before="0" w:after="240"/>
        <w:rPr>
          <w:noProof/>
        </w:rPr>
      </w:pPr>
      <w:r>
        <w:rPr>
          <w:noProof/>
        </w:rPr>
        <w:t xml:space="preserve">Предвидените указания за водене на преговори следва да дадат на преговарящия от името на Съюза средствата за постигане на общите цели, определени в точка 1. Те са изложени в приложението. </w:t>
      </w:r>
    </w:p>
    <w:p>
      <w:pPr>
        <w:pBdr>
          <w:top w:val="nil"/>
          <w:left w:val="nil"/>
          <w:bottom w:val="nil"/>
          <w:right w:val="nil"/>
          <w:between w:val="nil"/>
          <w:bar w:val="nil"/>
        </w:pBdr>
        <w:spacing w:before="0" w:after="240"/>
        <w:rPr>
          <w:noProof/>
        </w:rPr>
      </w:pPr>
      <w:r>
        <w:rPr>
          <w:noProof/>
        </w:rPr>
        <w:t>Поради това процесуалноправното основание за предложеното решение е член 218, параграфи 3 и 4 от ДФЕС.</w:t>
      </w:r>
    </w:p>
    <w:p>
      <w:pPr>
        <w:pStyle w:val="ManualHeading2"/>
        <w:rPr>
          <w:noProof/>
        </w:rPr>
      </w:pPr>
      <w:r>
        <w:rPr>
          <w:noProof/>
        </w:rPr>
        <w:tab/>
        <w:t>Заключение</w:t>
      </w:r>
    </w:p>
    <w:p>
      <w:pPr>
        <w:pBdr>
          <w:top w:val="nil"/>
          <w:left w:val="nil"/>
          <w:bottom w:val="nil"/>
          <w:right w:val="nil"/>
          <w:between w:val="nil"/>
          <w:bar w:val="nil"/>
        </w:pBdr>
        <w:spacing w:before="0" w:after="240"/>
        <w:rPr>
          <w:noProof/>
        </w:rPr>
      </w:pPr>
      <w:r>
        <w:rPr>
          <w:noProof/>
        </w:rPr>
        <w:t>Правното основание за предложеното решение следва да е член 218, параграфи 3 и 4 от ДФЕС.</w:t>
      </w:r>
    </w:p>
    <w:p>
      <w:pPr>
        <w:pStyle w:val="ManualHeading2"/>
        <w:rPr>
          <w:noProof/>
        </w:rPr>
      </w:pPr>
      <w:r>
        <w:rPr>
          <w:noProof/>
        </w:rPr>
        <w:tab/>
        <w:t>Субсидиарност (при неизключителна компетентност)</w:t>
      </w:r>
    </w:p>
    <w:p>
      <w:pPr>
        <w:pBdr>
          <w:top w:val="nil"/>
          <w:left w:val="nil"/>
          <w:bottom w:val="nil"/>
          <w:right w:val="nil"/>
          <w:between w:val="nil"/>
          <w:bar w:val="nil"/>
        </w:pBdr>
        <w:spacing w:before="0" w:after="240"/>
        <w:rPr>
          <w:noProof/>
        </w:rPr>
      </w:pPr>
      <w:r>
        <w:rPr>
          <w:noProof/>
        </w:rPr>
        <w:t>Съюзът е страна по МСК и се представлява от Комисията в Международния съвет за какао. Държавите членки не са отделна страна по МСК. Преговорите на ЕС по частичното преразглеждане на МСК са от изключителната компетентност на Съюза.</w:t>
      </w:r>
    </w:p>
    <w:p>
      <w:pPr>
        <w:pStyle w:val="ManualHeading2"/>
        <w:rPr>
          <w:noProof/>
        </w:rPr>
      </w:pP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Преразглеждането на МСК с цел постигане на подобрен договор, водещ до модернизиране на споразумението, е в интерес на Съюза. Понастоящем участието на ЕС в МОК е от полза както за Съюза, така и за останалите държави — членки на МОК. Очаква се модернизирането на споразумението да привлече повече интерес към МОК, като потенциално привлече нови членове и увеличи значението на неговата работа.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Съюзът е страна по МСК и като цяло неговото членство е подкрепяно от 2010 г. насам от сектора на какаото в ЕС, както и от повечето държави — членки на Съюза. Не беше счетено за необходимо да се извършат консултации със заинтересованите страни в един процес, който има за цел единствено да продължи членството на Съюза в МОК, макар и по набор от правила, които съответстват на правилата на други международни органи за суровини, в които ЕС членува.</w:t>
      </w:r>
    </w:p>
    <w:p>
      <w:pPr>
        <w:pStyle w:val="ManualHeading2"/>
        <w:rPr>
          <w:rFonts w:eastAsia="Arial Unicode MS"/>
          <w:noProof/>
          <w:u w:color="000000"/>
          <w:bdr w:val="nil"/>
        </w:rPr>
      </w:pP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Цялостна оценка на въздействието не е необходима, тъй като няма вероятност мярката да окаже значително икономическо, екологично или социално въздействие. Успешното изменение на МСК ще доведе до реформирано управление, което се счита за ключова отправна точка за модернизирането на МСК и следва също така да доведе до по-активно участие в МОК от страна на неговите членове.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sectPr>
          <w:footerReference w:type="default" r:id="rId16"/>
          <w:footerReference w:type="first" r:id="rId17"/>
          <w:pgSz w:w="11907" w:h="16839"/>
          <w:pgMar w:top="1134" w:right="1417" w:bottom="1134" w:left="1417" w:header="709" w:footer="709" w:gutter="0"/>
          <w:cols w:space="708"/>
          <w:docGrid w:linePitch="360"/>
        </w:sectPr>
      </w:pPr>
      <w:r>
        <w:rPr>
          <w:noProof/>
        </w:rPr>
        <w:t>Започването на преговори няма въздействие върху бюджета.</w:t>
      </w: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изменение на Международното споразумение за какаото от 2010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w:t>
      </w:r>
    </w:p>
    <w:p>
      <w:pPr>
        <w:rPr>
          <w:noProof/>
        </w:rPr>
      </w:pPr>
      <w:r>
        <w:rPr>
          <w:noProof/>
        </w:rPr>
        <w:t>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rPr>
          <w:noProof/>
        </w:rPr>
        <w:t>(1)</w:t>
      </w:r>
      <w:r>
        <w:rPr>
          <w:noProof/>
        </w:rPr>
        <w:tab/>
        <w:t>Съюзът е страна по Международното споразумение за какаото от 2010 г. (МСК)</w:t>
      </w:r>
      <w:r>
        <w:rPr>
          <w:rStyle w:val="FootnoteReference"/>
          <w:noProof/>
        </w:rPr>
        <w:footnoteReference w:id="3"/>
      </w:r>
      <w:r>
        <w:rPr>
          <w:noProof/>
        </w:rPr>
        <w:t xml:space="preserve"> и член на Международната организация за какао (МОК)</w:t>
      </w:r>
      <w:r>
        <w:rPr>
          <w:rStyle w:val="FootnoteReference"/>
          <w:noProof/>
        </w:rPr>
        <w:footnoteReference w:id="4"/>
      </w:r>
      <w:r>
        <w:rPr>
          <w:noProof/>
        </w:rPr>
        <w:t>.</w:t>
      </w:r>
    </w:p>
    <w:p>
      <w:pPr>
        <w:pStyle w:val="ManualConsidrant"/>
        <w:rPr>
          <w:noProof/>
        </w:rPr>
      </w:pPr>
      <w:r>
        <w:rPr>
          <w:noProof/>
        </w:rPr>
        <w:t>(2)</w:t>
      </w:r>
      <w:r>
        <w:rPr>
          <w:noProof/>
        </w:rPr>
        <w:tab/>
        <w:t>Съгласно член 7 от МСК Международният съвет за какао изпълнява или гарантира изпълнението на всички функции, необходими за прилагането на разпоредбите на МСК. Съгласно член 12 от МСК всички решения на Международния съвет за какао се вземат по принцип с консенсус. При липса на консенсус решенията се вземат чрез гласуване с особено мнозинство.</w:t>
      </w:r>
    </w:p>
    <w:p>
      <w:pPr>
        <w:pStyle w:val="ManualConsidrant"/>
        <w:rPr>
          <w:noProof/>
        </w:rPr>
      </w:pPr>
      <w:r>
        <w:rPr>
          <w:noProof/>
        </w:rPr>
        <w:t>(3)</w:t>
      </w:r>
      <w:r>
        <w:rPr>
          <w:noProof/>
        </w:rPr>
        <w:tab/>
        <w:t>Съгласно член 10 от МСК членовете на МОК разполагат общо с 2000 гласа. Всеки член има определен брой гласове, който всяка година се преизчислява в съответствие с критериите, определени в член 10 от МСК.</w:t>
      </w:r>
    </w:p>
    <w:p>
      <w:pPr>
        <w:pStyle w:val="ManualConsidrant"/>
        <w:rPr>
          <w:noProof/>
        </w:rPr>
      </w:pPr>
      <w:r>
        <w:rPr>
          <w:noProof/>
        </w:rPr>
        <w:t>(4)</w:t>
      </w:r>
      <w:r>
        <w:rPr>
          <w:noProof/>
        </w:rPr>
        <w:tab/>
        <w:t>В интерес на Съюза е да участва в международно споразумение за какаото, като се има предвид значението на този сектор за редица държави членки и за икономиката на европейския сектор на какаото.</w:t>
      </w:r>
    </w:p>
    <w:p>
      <w:pPr>
        <w:pStyle w:val="ManualConsidrant"/>
        <w:rPr>
          <w:noProof/>
        </w:rPr>
      </w:pPr>
      <w:r>
        <w:rPr>
          <w:noProof/>
        </w:rPr>
        <w:t>(5)</w:t>
      </w:r>
      <w:r>
        <w:rPr>
          <w:noProof/>
        </w:rPr>
        <w:tab/>
        <w:t>Техническа работна група, съставена от държави — членки на МОК, както държави производителки, така и държави износителки, започна работа по същество, за да представи конкретни предложения за изменение на МСК. Всички членове бяха приканени да представят предложения за започването на този технически анализ. ЕС изпълни своята част от тази техническа работа. Международният съвет за какао трябва да започне преговори за частично преразглеждане на МСК доста преди крайния срок на действие на МСК под ръководството на Конференцията на ООН за търговия и развитие (УНКТАД). Всички области на МСК, които подлежат на преразглеждане, трябва да бъдат предмет на официални преговори. Тези преговори трябва да приключат не по-късно от 30 септември 2022 г. — края на действието на настоящото МСК.</w:t>
      </w:r>
    </w:p>
    <w:p>
      <w:pPr>
        <w:pStyle w:val="ManualConsidrant"/>
        <w:rPr>
          <w:noProof/>
        </w:rPr>
      </w:pPr>
      <w:r>
        <w:rPr>
          <w:noProof/>
        </w:rPr>
        <w:t>(6)</w:t>
      </w:r>
      <w:r>
        <w:rPr>
          <w:noProof/>
        </w:rPr>
        <w:tab/>
        <w:t xml:space="preserve">Всички изменения, одобрени по време на тези преговори, следва да се приемат съгласно процедурата, определена в член 63 от МСК. Съгласно посочения член Международният съвет за какао може, с консенсус, а ако не — чрез гласуване с особено мнозинство, да препоръча на страните по МСК изменение на </w:t>
      </w:r>
      <w:r>
        <w:rPr>
          <w:noProof/>
        </w:rPr>
        <w:lastRenderedPageBreak/>
        <w:t>Споразумението. Изменението влиза в сила в съответствие с член 63, параграф 1 от МСК, който изисква нотификация за приемането от определен процент от страните по МСК. Тъй като Съюзът е член на МОК и страна по МСК, в съответствие с член 4 от МСК той следва да може да участва в преговори с цел изменение на институционалната рамка на МСК.</w:t>
      </w:r>
    </w:p>
    <w:p>
      <w:pPr>
        <w:pStyle w:val="ManualConsidrant"/>
        <w:rPr>
          <w:noProof/>
        </w:rPr>
      </w:pPr>
      <w:r>
        <w:rPr>
          <w:noProof/>
        </w:rPr>
        <w:t>(7)</w:t>
      </w:r>
      <w:r>
        <w:rPr>
          <w:noProof/>
        </w:rPr>
        <w:tab/>
        <w:t>Поради това е целесъобразно Комисията да бъде упълномощена да започне преговори за частичното преразглеждане,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С настоящото Комисията се упълномощава да преговаря от името на Съюза за изменение на Международното споразумение за какаото от 2010 година.</w:t>
      </w:r>
    </w:p>
    <w:p>
      <w:pPr>
        <w:pStyle w:val="Titrearticle"/>
        <w:rPr>
          <w:noProof/>
        </w:rPr>
      </w:pPr>
      <w:r>
        <w:rPr>
          <w:noProof/>
        </w:rPr>
        <w:t>Член 2</w:t>
      </w:r>
    </w:p>
    <w:p>
      <w:pPr>
        <w:rPr>
          <w:noProof/>
        </w:rPr>
      </w:pPr>
      <w:r>
        <w:rPr>
          <w:noProof/>
        </w:rPr>
        <w:t>Указанията за водене на преговорите са посочени в приложението.</w:t>
      </w:r>
    </w:p>
    <w:p>
      <w:pPr>
        <w:pStyle w:val="Titrearticle"/>
        <w:rPr>
          <w:noProof/>
        </w:rPr>
      </w:pPr>
      <w:r>
        <w:rPr>
          <w:noProof/>
        </w:rPr>
        <w:t>Член 3</w:t>
      </w:r>
    </w:p>
    <w:p>
      <w:pPr>
        <w:rPr>
          <w:noProof/>
        </w:rPr>
      </w:pPr>
      <w:r>
        <w:rPr>
          <w:noProof/>
        </w:rPr>
        <w:t>Преговорите се водят в консултация с работна група „Суровини“.</w:t>
      </w:r>
    </w:p>
    <w:p>
      <w:pPr>
        <w:jc w:val="center"/>
        <w:rPr>
          <w:i/>
          <w:noProof/>
        </w:rPr>
      </w:pPr>
      <w:r>
        <w:rPr>
          <w:i/>
          <w:noProof/>
        </w:rPr>
        <w:t>Член 4</w:t>
      </w:r>
    </w:p>
    <w:p>
      <w:pPr>
        <w:rPr>
          <w:noProof/>
        </w:rPr>
      </w:pPr>
      <w:r>
        <w:rPr>
          <w:noProof/>
        </w:rPr>
        <w:t>Адресат на настоящото решение е Комисията.</w:t>
      </w:r>
      <w:bookmarkStart w:id="1" w:name="_CopyToNewDocument_"/>
      <w:bookmarkEnd w:id="1"/>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i/>
          <w:iCs/>
        </w:rPr>
        <w:t>Сборник договори</w:t>
      </w:r>
      <w:r>
        <w:t xml:space="preserve"> на ООН, </w:t>
      </w:r>
      <w:hyperlink r:id="rId1" w:tgtFrame="_blank" w:history="1">
        <w:r>
          <w:rPr>
            <w:rStyle w:val="Hyperlink"/>
          </w:rPr>
          <w:t>том 2871</w:t>
        </w:r>
      </w:hyperlink>
      <w:r>
        <w:t>, стр. 3.</w:t>
      </w:r>
    </w:p>
  </w:footnote>
  <w:footnote w:id="2">
    <w:p>
      <w:pPr>
        <w:pStyle w:val="FootnoteText"/>
      </w:pPr>
      <w:r>
        <w:rPr>
          <w:rStyle w:val="FootnoteReference"/>
        </w:rPr>
        <w:footnoteRef/>
      </w:r>
      <w:r>
        <w:tab/>
        <w:t>Решение 2002/970/ЕО на Съвета от 17 май 2011 г. за подписване от името на Европейския съюз и за временно прилагане на Международното споразумение за какаото от 2010 година (ОВ L 259, 4.10.2011 г., стр. 7).</w:t>
      </w:r>
    </w:p>
  </w:footnote>
  <w:footnote w:id="3">
    <w:p>
      <w:pPr>
        <w:pStyle w:val="FootnoteText"/>
      </w:pPr>
      <w:r>
        <w:rPr>
          <w:rStyle w:val="FootnoteReference"/>
        </w:rPr>
        <w:footnoteRef/>
      </w:r>
      <w:r>
        <w:tab/>
        <w:t>Решение 2002/970/ЕО на Съвета от 17 май 2011 г. за подписване от името на Европейския съюз и за временно прилагане на Международното споразумение за какаото от 2010 година (ОВ L 259, 4.10.2011 г., стр. 7).</w:t>
      </w:r>
    </w:p>
  </w:footnote>
  <w:footnote w:id="4">
    <w:p>
      <w:pPr>
        <w:pStyle w:val="FootnoteText"/>
      </w:pPr>
      <w:r>
        <w:rPr>
          <w:rStyle w:val="FootnoteReference"/>
        </w:rPr>
        <w:footnoteRef/>
      </w:r>
      <w:r>
        <w:tab/>
      </w:r>
      <w:r>
        <w:rPr>
          <w:spacing w:val="-4"/>
        </w:rPr>
        <w:t>Създадена със Споразумението за какаото от 1972 г.: Сборник договори на ООН, том 882, стр.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A691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A04B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EE248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B28D3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D863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12C6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CC943E"/>
    <w:lvl w:ilvl="0">
      <w:start w:val="1"/>
      <w:numFmt w:val="decimal"/>
      <w:pStyle w:val="ListNumber"/>
      <w:lvlText w:val="%1."/>
      <w:lvlJc w:val="left"/>
      <w:pPr>
        <w:tabs>
          <w:tab w:val="num" w:pos="360"/>
        </w:tabs>
        <w:ind w:left="360" w:hanging="360"/>
      </w:pPr>
    </w:lvl>
  </w:abstractNum>
  <w:abstractNum w:abstractNumId="7">
    <w:nsid w:val="FFFFFF89"/>
    <w:multiLevelType w:val="singleLevel"/>
    <w:tmpl w:val="22CA19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8 11:00: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90FC7F3-ECF9-44E3-95C2-ABAD8D2F9C2E"/>
    <w:docVar w:name="LW_COVERPAGE_TYPE" w:val="1"/>
    <w:docVar w:name="LW_CROSSREFERENCE" w:val="&lt;UNUSED&gt;"/>
    <w:docVar w:name="LW_DocType" w:val="COM"/>
    <w:docVar w:name="LW_EMISSION" w:val="16.3.2021"/>
    <w:docVar w:name="LW_EMISSION_ISODATE" w:val="2021-03-16"/>
    <w:docVar w:name="LW_EMISSION_LOCATION" w:val="BRX"/>
    <w:docVar w:name="LW_EMISSION_PREFIX" w:val="\u1041?\u1088?\u1102?\u1082?\u1089?\u1077?\u1083?,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79?\u1072? \u1088?\u1072?\u1079?\u1088?\u1077?\u1096?\u1072?\u1074?\u1072?\u1085?\u1077? \u1085?\u1072? \u1079?\u1072?\u1087?\u1086?\u1095?\u1074?\u1072?\u1085?\u1077?\u1090?\u1086? \u1085?\u1072? \u1087?\u1088?\u1077?\u1075?\u1086?\u1074?\u1086?\u1088?\u1080? \u1079?\u1072? \u1080?\u1079?\u1084?\u1077?\u1085?\u1077?\u1085?\u1080?\u1077? \u1085?\u1072? \u1052?\u1077?\u1078?\u1076?\u1091?\u1085?\u1072?\u1088?\u1086?\u1076?\u1085?\u1086?\u1090?\u1086? \u1089?\u1087?\u1086?\u1088?\u1072?\u1079?\u1091?\u1084?\u1077?\u1085?\u1080?\u1077? \u1079?\u1072? \u1082?\u1072?\u1082?\u1072?\u1086?\u1090?\u1086? \u1086?\u1090? 2010 \u1075?\u1086?\u1076?\u1080?\u1085?\u1072?_x000b__x000b_"/>
    <w:docVar w:name="LW_TITRE.OBJ.CP" w:val="\u1079?\u1072? \u1088?\u1072?\u1079?\u1088?\u1077?\u1096?\u1072?\u1074?\u1072?\u1085?\u1077? \u1085?\u1072? \u1079?\u1072?\u1087?\u1086?\u1095?\u1074?\u1072?\u1085?\u1077?\u1090?\u1086? \u1085?\u1072? \u1087?\u1088?\u1077?\u1075?\u1086?\u1074?\u1086?\u1088?\u1080? \u1079?\u1072? \u1080?\u1079?\u1084?\u1077?\u1085?\u1077?\u1085?\u1080?\u1077? \u1085?\u1072? \u1052?\u1077?\u1078?\u1076?\u1091?\u1085?\u1072?\u1088?\u1086?\u1076?\u1085?\u1086?\u1090?\u1086? \u1089?\u1087?\u1086?\u1088?\u1072?\u1079?\u1091?\u1084?\u1077?\u1085?\u1080?\u1077? \u1079?\u1072? \u1082?\u1072?\u1082?\u1072?\u1086?\u1090?\u1086? \u1086?\u1090? 2010 \u1075?\u1086?\u1076?\u1080?\u1085?\u1072?_x000b__x000b_"/>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treaties.un.org/doc/Publication/UNTS/Volume%202871/v287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55A53-AB45-4E74-93F0-13171726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1402</Words>
  <Characters>7656</Characters>
  <Application>Microsoft Office Word</Application>
  <DocSecurity>0</DocSecurity>
  <Lines>153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2021-03-01T12:24:00Z</dcterms:created>
  <dcterms:modified xsi:type="dcterms:W3CDTF">2021-03-08T10:00:00Z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