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en-IE"/>
        </w:rPr>
      </w:pPr>
      <w:r>
        <w:rPr>
          <w:noProof/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CCC8F58C-7228-4E6B-B13E-AD8FB2B181F8" style="width:450.5pt;height:383.35pt">
            <v:imagedata r:id="rId8" o:title=""/>
          </v:shape>
        </w:pict>
      </w:r>
    </w:p>
    <w:p>
      <w:pPr>
        <w:rPr>
          <w:noProof/>
          <w:lang w:val="en-IE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lang w:val="en-IE"/>
        </w:rPr>
      </w:pPr>
      <w:bookmarkStart w:id="0" w:name="_GoBack"/>
      <w:bookmarkEnd w:id="0"/>
      <w:r>
        <w:rPr>
          <w:noProof/>
          <w:lang w:val="en-IE"/>
        </w:rPr>
        <w:lastRenderedPageBreak/>
        <w:t>ANNEX</w:t>
      </w:r>
    </w:p>
    <w:p>
      <w:pPr>
        <w:pStyle w:val="Heading1"/>
        <w:numPr>
          <w:ilvl w:val="0"/>
          <w:numId w:val="1"/>
        </w:numPr>
        <w:rPr>
          <w:noProof/>
          <w:sz w:val="22"/>
          <w:lang w:val="en-IE"/>
        </w:rPr>
      </w:pPr>
      <w:r>
        <w:rPr>
          <w:noProof/>
          <w:lang w:val="en-IE"/>
        </w:rPr>
        <w:t>General negotiating guidelines</w:t>
      </w:r>
    </w:p>
    <w:p>
      <w:pPr>
        <w:pStyle w:val="ManualHeading2"/>
        <w:rPr>
          <w:noProof/>
          <w:lang w:val="en-IE"/>
        </w:rPr>
      </w:pPr>
      <w:r>
        <w:rPr>
          <w:noProof/>
          <w:lang w:val="en-IE"/>
        </w:rPr>
        <w:tab/>
        <w:t>Proposed amendments</w:t>
      </w:r>
    </w:p>
    <w:p>
      <w:pPr>
        <w:spacing w:line="276" w:lineRule="auto"/>
        <w:rPr>
          <w:noProof/>
          <w:szCs w:val="24"/>
          <w:lang w:val="en-IE"/>
        </w:rPr>
      </w:pPr>
      <w:r>
        <w:rPr>
          <w:noProof/>
          <w:szCs w:val="24"/>
          <w:lang w:val="en-IE"/>
        </w:rPr>
        <w:t xml:space="preserve">The recommendations for amendments to the International Cocoa Agreement (ICA 2010) drafted by the Working Group on the Review of the International Cocoa Agreement in 2019/2020 are welcome, as they follow the objectives put forward by the EU in International Commodity Bodies (ICBs). </w:t>
      </w:r>
    </w:p>
    <w:p>
      <w:pPr>
        <w:pStyle w:val="ManualHeading2"/>
        <w:rPr>
          <w:noProof/>
          <w:lang w:val="en-IE"/>
        </w:rPr>
      </w:pPr>
      <w:r>
        <w:rPr>
          <w:noProof/>
          <w:lang w:val="en-IE"/>
        </w:rPr>
        <w:tab/>
        <w:t>Negotiating Guidelines</w:t>
      </w:r>
    </w:p>
    <w:p>
      <w:pPr>
        <w:spacing w:line="276" w:lineRule="auto"/>
        <w:rPr>
          <w:noProof/>
          <w:szCs w:val="24"/>
          <w:lang w:val="en-IE"/>
        </w:rPr>
      </w:pPr>
      <w:r>
        <w:rPr>
          <w:noProof/>
          <w:szCs w:val="24"/>
          <w:lang w:val="en-IE"/>
        </w:rPr>
        <w:t>In line with the proposed amendments, the following general negotiating guidelines should apply:</w:t>
      </w:r>
    </w:p>
    <w:p>
      <w:pPr>
        <w:pStyle w:val="Considrant"/>
        <w:numPr>
          <w:ilvl w:val="0"/>
          <w:numId w:val="10"/>
        </w:numPr>
        <w:rPr>
          <w:noProof/>
          <w:lang w:val="en-IE"/>
        </w:rPr>
      </w:pPr>
      <w:r>
        <w:rPr>
          <w:noProof/>
          <w:lang w:val="en-IE"/>
        </w:rPr>
        <w:t>The overall purpose of the ICA as outlined in Article 1 is not subject to change.</w:t>
      </w:r>
    </w:p>
    <w:p>
      <w:pPr>
        <w:pStyle w:val="Considrant"/>
        <w:rPr>
          <w:noProof/>
          <w:lang w:val="en-IE"/>
        </w:rPr>
      </w:pPr>
      <w:r>
        <w:rPr>
          <w:noProof/>
          <w:lang w:val="en-IE"/>
        </w:rPr>
        <w:t>The ICA should be framed in accordance with overarching sustainability principles, to accomplish a sustainable cocoa economy. This includes:</w:t>
      </w:r>
    </w:p>
    <w:p>
      <w:pPr>
        <w:pStyle w:val="Bullet0"/>
        <w:numPr>
          <w:ilvl w:val="0"/>
          <w:numId w:val="11"/>
        </w:numPr>
        <w:rPr>
          <w:noProof/>
          <w:lang w:val="en-IE"/>
        </w:rPr>
      </w:pPr>
      <w:r>
        <w:rPr>
          <w:noProof/>
          <w:lang w:val="en-IE"/>
        </w:rPr>
        <w:t xml:space="preserve">taking into account </w:t>
      </w:r>
      <w:r>
        <w:rPr>
          <w:noProof/>
          <w:u w:val="single"/>
          <w:lang w:val="en-IE"/>
        </w:rPr>
        <w:t>the sustainable development principles</w:t>
      </w:r>
      <w:r>
        <w:rPr>
          <w:noProof/>
          <w:lang w:val="en-IE"/>
        </w:rPr>
        <w:t xml:space="preserve"> contained, inter alia, in the United Nations 2030 Agenda for Sustainable Development adopted in New York in 2015;</w:t>
      </w:r>
    </w:p>
    <w:p>
      <w:pPr>
        <w:pStyle w:val="Bullet0"/>
        <w:numPr>
          <w:ilvl w:val="0"/>
          <w:numId w:val="11"/>
        </w:numPr>
        <w:rPr>
          <w:noProof/>
          <w:lang w:val="en-IE"/>
        </w:rPr>
      </w:pPr>
      <w:r>
        <w:rPr>
          <w:noProof/>
          <w:lang w:val="en-IE"/>
        </w:rPr>
        <w:t>taking into account the Paris Agreement on climate change and the nationally determined contributions (NDCs) of its Parties;</w:t>
      </w:r>
    </w:p>
    <w:p>
      <w:pPr>
        <w:pStyle w:val="Bullet0"/>
        <w:numPr>
          <w:ilvl w:val="0"/>
          <w:numId w:val="11"/>
        </w:numPr>
        <w:rPr>
          <w:noProof/>
          <w:lang w:val="en-IE"/>
        </w:rPr>
      </w:pPr>
      <w:r>
        <w:rPr>
          <w:noProof/>
          <w:lang w:val="en-IE"/>
        </w:rPr>
        <w:t>pursuing the objective of ensuring that cocoa production is economically sustainable, by ensuring a living income to cocoa producers, which should provide for a decent income and a decent life;</w:t>
      </w:r>
    </w:p>
    <w:p>
      <w:pPr>
        <w:pStyle w:val="Bullet0"/>
        <w:numPr>
          <w:ilvl w:val="0"/>
          <w:numId w:val="11"/>
        </w:numPr>
        <w:rPr>
          <w:noProof/>
          <w:lang w:val="en-IE"/>
        </w:rPr>
      </w:pPr>
      <w:r>
        <w:rPr>
          <w:noProof/>
          <w:lang w:val="en-IE"/>
        </w:rPr>
        <w:t>pursuing the objective of ensuring that cocoa production is environmentally sustainable, by preventing or halting deforestation and natural resource degradation;</w:t>
      </w:r>
    </w:p>
    <w:p>
      <w:pPr>
        <w:pStyle w:val="Bullet0"/>
        <w:numPr>
          <w:ilvl w:val="0"/>
          <w:numId w:val="11"/>
        </w:numPr>
        <w:rPr>
          <w:noProof/>
          <w:lang w:val="en-IE"/>
        </w:rPr>
      </w:pPr>
      <w:r>
        <w:rPr>
          <w:noProof/>
          <w:lang w:val="en-IE"/>
        </w:rPr>
        <w:t>pursuing the objective of ensuring that cocoa production is socially sustainable, by ensuring the respect of human rights, and making progress towards zero child labour;</w:t>
      </w:r>
    </w:p>
    <w:p>
      <w:pPr>
        <w:pStyle w:val="Bullet0"/>
        <w:numPr>
          <w:ilvl w:val="0"/>
          <w:numId w:val="11"/>
        </w:numPr>
        <w:rPr>
          <w:noProof/>
          <w:szCs w:val="24"/>
          <w:lang w:val="en-IE"/>
        </w:rPr>
      </w:pPr>
      <w:r>
        <w:rPr>
          <w:noProof/>
          <w:lang w:val="en-IE"/>
        </w:rPr>
        <w:t>and applying the</w:t>
      </w:r>
      <w:r>
        <w:rPr>
          <w:noProof/>
          <w:szCs w:val="24"/>
          <w:lang w:val="en-IE"/>
        </w:rPr>
        <w:t xml:space="preserve"> sustainable development principles along the rest of the value chain.</w:t>
      </w:r>
    </w:p>
    <w:p>
      <w:pPr>
        <w:pStyle w:val="Considrant"/>
        <w:rPr>
          <w:noProof/>
          <w:lang w:val="en-IE"/>
        </w:rPr>
      </w:pPr>
      <w:r>
        <w:rPr>
          <w:noProof/>
          <w:lang w:val="en-IE"/>
        </w:rPr>
        <w:t>The ICA shall remain into force until terminated by Members.</w:t>
      </w:r>
    </w:p>
    <w:p>
      <w:pPr>
        <w:pStyle w:val="ManualHeading2"/>
        <w:rPr>
          <w:noProof/>
          <w:szCs w:val="24"/>
          <w:lang w:val="en-IE"/>
        </w:rPr>
      </w:pPr>
      <w:r>
        <w:rPr>
          <w:noProof/>
          <w:lang w:val="en-IE"/>
        </w:rPr>
        <w:tab/>
        <w:t>Detailed negotiating Guidelines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 xml:space="preserve">Preamble: to be </w:t>
      </w:r>
      <w:r>
        <w:rPr>
          <w:noProof/>
          <w:u w:val="single"/>
          <w:lang w:val="en-IE"/>
        </w:rPr>
        <w:t>possibly amended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>The preamble could include a reference not only to “decent income” but also to “living income”.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 xml:space="preserve">Article 1(j): to be </w:t>
      </w:r>
      <w:r>
        <w:rPr>
          <w:noProof/>
          <w:u w:val="single"/>
          <w:lang w:val="en-IE"/>
        </w:rPr>
        <w:t>possibly amended</w:t>
      </w:r>
    </w:p>
    <w:p>
      <w:pPr>
        <w:spacing w:line="276" w:lineRule="auto"/>
        <w:rPr>
          <w:noProof/>
          <w:szCs w:val="24"/>
          <w:lang w:val="en-IE"/>
        </w:rPr>
      </w:pPr>
      <w:r>
        <w:rPr>
          <w:noProof/>
          <w:szCs w:val="24"/>
          <w:lang w:val="en-IE"/>
        </w:rPr>
        <w:t>Instead of “sufficient incomes”, refer to “decent incomes” in order to ensure coherence in the text with the definition of “decent income” in Article 2(21).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 xml:space="preserve">Article 16(3): to be </w:t>
      </w:r>
      <w:r>
        <w:rPr>
          <w:noProof/>
          <w:u w:val="single"/>
          <w:lang w:val="en-IE"/>
        </w:rPr>
        <w:t>deleted</w:t>
      </w:r>
    </w:p>
    <w:p>
      <w:pPr>
        <w:pStyle w:val="Text1"/>
        <w:rPr>
          <w:i/>
          <w:noProof/>
          <w:lang w:val="en-IE"/>
        </w:rPr>
      </w:pPr>
      <w:r>
        <w:rPr>
          <w:i/>
          <w:noProof/>
          <w:lang w:val="en-IE"/>
        </w:rPr>
        <w:t>“The position of the Executive Director shall rotate between candidate from an exporting Member and candidate from an importing Member.”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 xml:space="preserve">Article 36: to be </w:t>
      </w:r>
      <w:r>
        <w:rPr>
          <w:noProof/>
          <w:u w:val="single"/>
          <w:lang w:val="en-IE"/>
        </w:rPr>
        <w:t>possibly amended</w:t>
      </w:r>
    </w:p>
    <w:p>
      <w:pPr>
        <w:pStyle w:val="Text1"/>
        <w:rPr>
          <w:i/>
          <w:noProof/>
          <w:lang w:val="en-IE"/>
        </w:rPr>
      </w:pPr>
      <w:r>
        <w:rPr>
          <w:i/>
          <w:noProof/>
          <w:lang w:val="en-IE"/>
        </w:rPr>
        <w:lastRenderedPageBreak/>
        <w:t xml:space="preserve">“In the event of a predicted imbalance, the Council may suggest recommendations on how to mitigate the negative effects of the imbalance on primary producers. </w:t>
      </w:r>
      <w:r>
        <w:rPr>
          <w:b/>
          <w:i/>
          <w:noProof/>
          <w:lang w:val="en-IE"/>
        </w:rPr>
        <w:t>The measures must however not put competition out of play</w:t>
      </w:r>
      <w:r>
        <w:rPr>
          <w:i/>
          <w:noProof/>
          <w:lang w:val="en-IE"/>
        </w:rPr>
        <w:t>.”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 xml:space="preserve">Article 42: to be </w:t>
      </w:r>
      <w:r>
        <w:rPr>
          <w:noProof/>
          <w:u w:val="single"/>
          <w:lang w:val="en-IE"/>
        </w:rPr>
        <w:t>possibly amended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>The commitment to improve living standards and working conditions is welcome. A more specific commitment to the fight against child labour could be added.</w:t>
      </w:r>
    </w:p>
    <w:p>
      <w:pPr>
        <w:spacing w:line="276" w:lineRule="auto"/>
        <w:rPr>
          <w:noProof/>
          <w:lang w:val="en-IE"/>
        </w:rPr>
      </w:pPr>
      <w:r>
        <w:rPr>
          <w:noProof/>
          <w:lang w:val="en-IE"/>
        </w:rPr>
        <w:t xml:space="preserve">Article 43: to be </w:t>
      </w:r>
      <w:r>
        <w:rPr>
          <w:noProof/>
          <w:u w:val="single"/>
          <w:lang w:val="en-IE"/>
        </w:rPr>
        <w:t>possibly amended</w:t>
      </w:r>
    </w:p>
    <w:p>
      <w:pPr>
        <w:rPr>
          <w:noProof/>
          <w:lang w:val="en-IE"/>
        </w:rPr>
      </w:pPr>
      <w:r>
        <w:rPr>
          <w:noProof/>
          <w:lang w:val="en-IE"/>
        </w:rPr>
        <w:t>A more specific commitment to the fight against deforestation, forest degradation and climate change could be added.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0C204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C4288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A40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51AAD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13C7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32D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EFC4D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EA08F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08 11:00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CC8F58C-7228-4E6B-B13E-AD8FB2B181F8"/>
    <w:docVar w:name="LW_COVERPAGE_TYPE" w:val="1"/>
    <w:docVar w:name="LW_CROSSREFERENCE" w:val="&lt;UNUSED&gt;"/>
    <w:docVar w:name="LW_DocType" w:val="ANNEX"/>
    <w:docVar w:name="LW_EMISSION" w:val="16.3.2021"/>
    <w:docVar w:name="LW_EMISSION_ISODATE" w:val="2021-03-16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uthorising the opening of negotiations to amend _x000d__x000b_the International Cocoa Agreement 2010"/>
    <w:docVar w:name="LW_OBJETACTEPRINCIPAL.CP" w:val="authorising the opening of negotiations to amend _x000d__x000b_the International Cocoa Agreement 2010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commendation for a Council Decision"/>
    <w:docVar w:name="LW_TYPEACTEPRINCIPAL.CP" w:val="Recommendation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eastAsia="Times New Roman"/>
      <w:szCs w:val="24"/>
      <w:lang w:eastAsia="fr-B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eastAsia="Times New Roman"/>
      <w:szCs w:val="24"/>
      <w:lang w:eastAsia="fr-B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416</Words>
  <Characters>2363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 Devrim (DEVCO)</dc:creator>
  <cp:keywords/>
  <dc:description/>
  <cp:lastModifiedBy>WES PDFC Administrator</cp:lastModifiedBy>
  <cp:revision>9</cp:revision>
  <dcterms:created xsi:type="dcterms:W3CDTF">2021-02-19T08:36:00Z</dcterms:created>
  <dcterms:modified xsi:type="dcterms:W3CDTF">2021-03-08T10:00:00Z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