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5258943C-AD0D-49A1-893E-D7669009362B" style="width:450.9pt;height:402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2018/0209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Регламент на Европейския парламент и на Съвета за създаване на Програма за околната среда и действията по климата (LIFE) и за отмяна на Регламент (ЕС) № 1293/2013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</w:t>
            </w:r>
            <w:r>
              <w:rPr>
                <w:noProof/>
              </w:rPr>
              <w:br/>
              <w:t>(документ COM(2018) 385 final – 2018/0209 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18 юни 2018 г.</w:t>
            </w:r>
          </w:p>
        </w:tc>
      </w:tr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17 октомври 2018 г. </w:t>
            </w:r>
          </w:p>
        </w:tc>
      </w:tr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становището на Комитета на регионите: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9 октомври 2018 г.</w:t>
            </w:r>
          </w:p>
        </w:tc>
      </w:tr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17 април 2019 г.</w:t>
            </w:r>
          </w:p>
        </w:tc>
      </w:tr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  <w:lang w:val="de-DE"/>
              </w:rPr>
              <w:t>16</w:t>
            </w:r>
            <w:r>
              <w:rPr>
                <w:noProof/>
              </w:rPr>
              <w:t xml:space="preserve"> март 2021 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rPr>
          <w:noProof/>
          <w:szCs w:val="24"/>
        </w:rPr>
      </w:pPr>
      <w:r>
        <w:rPr>
          <w:noProof/>
        </w:rPr>
        <w:t>Основната цел на предложението беше да се подпомогне преходът към модерна, чиста и по-ефективна кръгова икономика, като се осигури продължаването на програмата LIFE след 2020 г.</w:t>
      </w:r>
    </w:p>
    <w:p>
      <w:pPr>
        <w:rPr>
          <w:noProof/>
          <w:szCs w:val="24"/>
        </w:rPr>
      </w:pPr>
      <w:r>
        <w:rPr>
          <w:noProof/>
        </w:rPr>
        <w:t>Програмата LIFE е единственият фонд на ЕС, който е предназначен единствено за целите, свързани с околната среда и климата. Със сравнително скромния си бюджет тя е насочена към ниша между програмите на ЕС в подкрепа на научните изследвания и иновациите, включително техните демонстрационни дейности, от една страна, и програмите на ЕС, с които се финансира широкомащабното внедряване, от друга страна. По този начин програмата допринася за намаляване на дистанцията между развитието на нови знания и тяхното прилагане.</w:t>
      </w:r>
    </w:p>
    <w:p>
      <w:pPr>
        <w:rPr>
          <w:noProof/>
          <w:szCs w:val="24"/>
        </w:rPr>
      </w:pPr>
      <w:r>
        <w:rPr>
          <w:noProof/>
        </w:rPr>
        <w:t>Предложението е резултат от междинната оценка на програмата LIFE и свързаните с нея консултации.</w:t>
      </w:r>
    </w:p>
    <w:p>
      <w:pPr>
        <w:rPr>
          <w:noProof/>
          <w:szCs w:val="24"/>
        </w:rPr>
      </w:pPr>
      <w:r>
        <w:rPr>
          <w:noProof/>
        </w:rPr>
        <w:t>То се основаваше до голяма степен на действащия сега регламент, като обхватът и приложното поле бяха разширени, така че да се включи преходът към чиста енергия, финансиран засега в рамките на „Хоризонт 2020“. За разлика от действащия регламент за LIFE предложението не съдържа подробни разпоредби за реда и условията за изпълнение, а беше ограничено до определянето на по-широките цели и видовете проекти.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Коментари относно позицията на Съвета</w:t>
      </w:r>
    </w:p>
    <w:p>
      <w:pPr>
        <w:rPr>
          <w:noProof/>
        </w:rPr>
      </w:pPr>
      <w:r>
        <w:rPr>
          <w:noProof/>
        </w:rPr>
        <w:t>Позицията на Съвета отразява споразумението, постигнато при тристранните обсъждания. Тя обхваща хоризонталните разпоредби, определени в рамките на преговорите по многогодишната финансова рамка (МФР).</w:t>
      </w:r>
    </w:p>
    <w:p>
      <w:pPr>
        <w:widowControl w:val="0"/>
        <w:rPr>
          <w:noProof/>
        </w:rPr>
      </w:pPr>
      <w:r>
        <w:rPr>
          <w:noProof/>
        </w:rPr>
        <w:t>В сравнение с първото четене в Европейския парламент позицията на Съвета включва следните основни изменения:</w:t>
      </w: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>премахване на неограничения срок на действие на програмата;</w:t>
      </w:r>
    </w:p>
    <w:p>
      <w:pPr>
        <w:pStyle w:val="Tiret0"/>
        <w:rPr>
          <w:noProof/>
        </w:rPr>
      </w:pPr>
      <w:r>
        <w:rPr>
          <w:noProof/>
        </w:rPr>
        <w:t>предложение за прилагане на регламента с обратно действие от 1 януари 2021 г., за да се избегне правен вакуум преди неговото приемане;</w:t>
      </w:r>
    </w:p>
    <w:p>
      <w:pPr>
        <w:pStyle w:val="Tiret0"/>
        <w:rPr>
          <w:noProof/>
        </w:rPr>
      </w:pPr>
      <w:r>
        <w:rPr>
          <w:noProof/>
        </w:rPr>
        <w:t>включване на специфичната за програмата цел в областта на климата и позоваване на амбицията по отношение на биологичното разнообразие;</w:t>
      </w:r>
    </w:p>
    <w:p>
      <w:pPr>
        <w:pStyle w:val="Tiret0"/>
        <w:rPr>
          <w:noProof/>
        </w:rPr>
      </w:pPr>
      <w:r>
        <w:rPr>
          <w:noProof/>
        </w:rPr>
        <w:t>намаляване на бюджетния пакет в съответствие с размера, предвиден в първоначалното предложение на Комисията;</w:t>
      </w:r>
    </w:p>
    <w:p>
      <w:pPr>
        <w:pStyle w:val="Tiret0"/>
        <w:rPr>
          <w:noProof/>
        </w:rPr>
      </w:pPr>
      <w:r>
        <w:rPr>
          <w:noProof/>
        </w:rPr>
        <w:t>доуточняване на предложението на Комисията във връзка с кумулативното и алтернативното финансиране с цел осигуряване на безпрепятствено прилагане на печата за високи постижения;</w:t>
      </w:r>
    </w:p>
    <w:p>
      <w:pPr>
        <w:pStyle w:val="Tiret0"/>
        <w:rPr>
          <w:noProof/>
        </w:rPr>
      </w:pPr>
      <w:r>
        <w:rPr>
          <w:noProof/>
        </w:rPr>
        <w:t>ограничаване на подкрепата за международни споразумения по отношение на организирането на многостранни конференции;</w:t>
      </w:r>
    </w:p>
    <w:p>
      <w:pPr>
        <w:pStyle w:val="Tiret0"/>
        <w:rPr>
          <w:noProof/>
        </w:rPr>
      </w:pPr>
      <w:r>
        <w:rPr>
          <w:noProof/>
        </w:rPr>
        <w:t>премахване на разпоредбата за участие на консорциуми в поканата за представяне на предложения, в съответствие със съществуващата практика, и</w:t>
      </w:r>
    </w:p>
    <w:p>
      <w:pPr>
        <w:pStyle w:val="Tiret0"/>
        <w:rPr>
          <w:noProof/>
        </w:rPr>
      </w:pPr>
      <w:r>
        <w:rPr>
          <w:noProof/>
        </w:rPr>
        <w:t>премахване на оправомощаване на Комисията да определя допълнителни условия за участието на трети държави в програмата.</w:t>
      </w:r>
    </w:p>
    <w:p>
      <w:pPr>
        <w:widowControl w:val="0"/>
        <w:rPr>
          <w:noProof/>
        </w:rPr>
      </w:pPr>
      <w:r>
        <w:rPr>
          <w:noProof/>
        </w:rPr>
        <w:t>Като цяло това споразумение представлява балансиран резултат между позициите на съзаконодателите, зачита първоначалните цели на Комисията и запазва сходно равнище на амбициозност като залегналото в предложението на Комисията.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Изявления на Комисията</w:t>
      </w:r>
    </w:p>
    <w:p>
      <w:pPr>
        <w:rPr>
          <w:noProof/>
        </w:rPr>
      </w:pPr>
      <w:r>
        <w:rPr>
          <w:noProof/>
        </w:rPr>
        <w:t>Комисията направи три декларации, които са поместени в приложението.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Комисията подкрепя резултатите от междуинституционалните преговори и следователно може да приеме позицията на Съвета на първо четене.</w:t>
      </w:r>
    </w:p>
    <w:p>
      <w:pPr>
        <w:rPr>
          <w:rStyle w:val="Strong"/>
          <w:b w:val="0"/>
          <w:bCs w:val="0"/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Style w:val="Strong"/>
          <w:bCs w:val="0"/>
          <w:noProof/>
          <w:u w:val="single"/>
        </w:rPr>
      </w:pPr>
      <w:r>
        <w:rPr>
          <w:b/>
          <w:bCs/>
          <w:noProof/>
        </w:rPr>
        <w:lastRenderedPageBreak/>
        <w:t>ДОПЪЛНЕНИЕ</w:t>
      </w:r>
    </w:p>
    <w:p>
      <w:pPr>
        <w:spacing w:after="480"/>
        <w:jc w:val="center"/>
        <w:rPr>
          <w:noProof/>
        </w:rPr>
      </w:pPr>
      <w:r>
        <w:rPr>
          <w:b/>
          <w:bCs/>
          <w:noProof/>
        </w:rPr>
        <w:t>Изявления на Комисията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Изявление на Комисията относно специфичното лого на програмата</w:t>
      </w:r>
    </w:p>
    <w:p>
      <w:pPr>
        <w:pStyle w:val="Text1"/>
        <w:rPr>
          <w:noProof/>
        </w:rPr>
      </w:pPr>
      <w:r>
        <w:rPr>
          <w:noProof/>
        </w:rPr>
        <w:t>Комисията изразява съжаление, че съзаконодателите решиха да запазят логото на LIFE. Това противоречи на хоризонталния подход в рамките на бъдещия дългосрочен бюджет да няма специфични за отделните програми лога. Намерението на Комисията е да се гарантира, че благодарение на използването на единната емблема на ЕС за различните програми европейците могат да възприемат Съюза като едно цяло.</w:t>
      </w:r>
    </w:p>
    <w:p>
      <w:pPr>
        <w:pStyle w:val="Text1"/>
        <w:rPr>
          <w:noProof/>
        </w:rPr>
      </w:pPr>
      <w:r>
        <w:rPr>
          <w:noProof/>
        </w:rPr>
        <w:t>Тази емблема е обща за всички институции на ЕС и ще бъде важна част от ясните, съгласувани и задължителни изисквания за комуникацията и видимостта, които важат за всички програми.</w:t>
      </w:r>
    </w:p>
    <w:p>
      <w:pPr>
        <w:pStyle w:val="Text1"/>
        <w:rPr>
          <w:noProof/>
        </w:rPr>
      </w:pPr>
      <w:r>
        <w:rPr>
          <w:noProof/>
        </w:rPr>
        <w:t>С оглед на постигането на цялостно споразумение по програмата Комисията може да приеме поддържането на логото на LIFE, при условие че то остане ограничено до програмата LIFE през съответния програмен период.</w:t>
      </w:r>
    </w:p>
    <w:p>
      <w:pPr>
        <w:pStyle w:val="Text1"/>
        <w:rPr>
          <w:noProof/>
        </w:rPr>
      </w:pPr>
      <w:r>
        <w:rPr>
          <w:noProof/>
        </w:rPr>
        <w:t>Комисията е все така убедена, че комуникацията и видимостта на насочените към широката общественост действия на ЕС са по-ефективни, ако не се използват различни лога за отделните програми. Комисията продължава да бъде на разположение на съзаконодателите, за да докаже това достатъчно рано преди преговорите за следващия програмен период.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Изявление на Комисията относно клаузата за непредоставяне на становище</w:t>
      </w:r>
    </w:p>
    <w:p>
      <w:pPr>
        <w:pStyle w:val="Text1"/>
        <w:rPr>
          <w:noProof/>
        </w:rPr>
      </w:pPr>
      <w:r>
        <w:rPr>
          <w:noProof/>
        </w:rPr>
        <w:t>Комисията припомня, че когато законодателят се отклони от критериите, определени в член 2 от Регламент № 182/2011, неговото решене да избере различна процедура, следва да бъде обосновано. Комисията счита, че условието за прибягване до процедурата по разглеждане, а именно, че актът за изпълнение има „значителни последици“, се отнася до размера на предвидения бюджет и че това условие не е изпълнено в случая на програмата LIFE.</w:t>
      </w:r>
    </w:p>
    <w:p>
      <w:pPr>
        <w:pStyle w:val="Text1"/>
        <w:rPr>
          <w:noProof/>
        </w:rPr>
      </w:pPr>
      <w:r>
        <w:rPr>
          <w:noProof/>
        </w:rPr>
        <w:t>Освен това Комисията подчертава, че системното позоваване на член 5, параграф 4, втора алинея, буква б) е в разрез с духа и буквата на Регламент (ЕС) № 182/2011 (ОВ L 55, 28.2.2011 г., стр. 13). До тази разпоредба трябва да се прибягва в отговор на специална необходимост да се направи изключение от принципното правило, което гласи, че Комисията може да приеме проект на акт за изпълнение, когато не е дадено становище. Предвид че представлява изключение от общото правило, определено в член 5, параграф 4, прибягването до втора алинея, буква б) не може да се разглежда просто като „право на преценка“ на законодателя, а трябва да се тълкува ограничително и следователно да бъде мотивирано.</w:t>
      </w:r>
    </w:p>
    <w:p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  <w:t>Изявление на Комисията относно приноса на програмата LIFE за амбицията по отношение на биологичното разнообразие</w:t>
      </w:r>
    </w:p>
    <w:p>
      <w:pPr>
        <w:pStyle w:val="Text1"/>
        <w:rPr>
          <w:noProof/>
        </w:rPr>
      </w:pPr>
      <w:r>
        <w:rPr>
          <w:noProof/>
        </w:rPr>
        <w:t xml:space="preserve">В съответствие с Междуинституционалното споразумение между Европейския парламент, Съвета на Европейския съюз и Европейската комисия относно бюджетната дисциплина, сътрудничеството по бюджетни въпроси и доброто финансово управление и относно новите собствени ресурси, включително пътна карта за въвеждането на нови собствени ресурси (2018/2070(ACI)) </w:t>
      </w:r>
      <w:r>
        <w:rPr>
          <w:noProof/>
        </w:rPr>
        <w:lastRenderedPageBreak/>
        <w:t>Комисията, в сътрудничество със Съвета и Парламента, ще определи ефективна, прозрачна и всеобхватна методика за проследяването на разходите във връзка с биологичното разнообразие с оглед на амбицията през 2024 г. да се предоставят 7,5 % от годишните разходи по МФР за целите в областта на биологичното разнообразие, а през 2026 и 2027 г. съответно по 10 % от годишните разходи по МФР.</w:t>
      </w:r>
    </w:p>
    <w:p>
      <w:pPr>
        <w:pStyle w:val="Text1"/>
        <w:keepNext/>
        <w:rPr>
          <w:noProof/>
        </w:rPr>
      </w:pPr>
      <w:r>
        <w:rPr>
          <w:noProof/>
        </w:rPr>
        <w:t>След като методиката бъде определена, в срок до 31 юли 2022 г. Комисията ще представи на Европейския парламент и на Съвета приноса на Регламента за програмата LIFE по отношение на амбицията в областта на биологичното разнообразие. Разходите по програмата LIFE за цели на биологичното разнообразие ще бъдат докладвани ежегодно в програмните отчети на оперативните разходи. Приносът на програмата към природозащитния статус на местообитанията и видовете ще бъде анализиран в рамките на междинната оценка, предвидена за 2024 г. и посочена в член 19 от Регламента за LIFE.</w:t>
      </w:r>
    </w:p>
    <w:p>
      <w:pPr>
        <w:pStyle w:val="Text1"/>
        <w:rPr>
          <w:rStyle w:val="Strong"/>
          <w:b w:val="0"/>
          <w:bCs w:val="0"/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3B4F2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A645A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227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A44B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A0015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7CF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5708D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529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7 10:38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258943C-AD0D-49A1-893E-D7669009362B"/>
    <w:docVar w:name="LW_COVERPAGE_TYPE" w:val="1"/>
    <w:docVar w:name="LW_CROSSREFERENCE" w:val="&lt;UNUSED&gt;"/>
    <w:docVar w:name="LW_DocType" w:val="COM"/>
    <w:docVar w:name="LW_EMISSION" w:val="17.3.2021"/>
    <w:docVar w:name="LW_EMISSION_ISODATE" w:val="2021-03-17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09"/>
    <w:docVar w:name="LW_REF.II.NEW.CP_YEAR" w:val="2018"/>
    <w:docVar w:name="LW_REF.INST.NEW" w:val="COM"/>
    <w:docVar w:name="LW_REF.INST.NEW_ADOPTED" w:val="final"/>
    <w:docVar w:name="LW_REF.INST.NEW_TEXT" w:val="(2021) 12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9?\u1098?\u1079?\u1076?\u1072?\u1074?\u1072?\u1085?\u1077? \u1085?\u1072? \u1055?\u1088?\u1086?\u1075?\u1088?\u1072?\u1084?\u1072? \u1079?\u1072? \u1086?\u1082?\u1086?\u1083?\u1085?\u1072?\u1090?\u1072? \u1089?\u1088?\u1077?\u1076?\u1072? \u1080? \u1076?\u1077?\u1081?\u1089?\u1090?\u1074?\u1080?\u1103?\u1090?\u1072? \u1087?\u1086? \u1082?\u1083?\u1080?\u1084?\u1072?\u1090?\u1072? (LIFE) \u1080? \u1079?\u1072? \u1086?\u1090?\u1084?\u1103?\u1085?\u1072? \u1085?\u1072? \u1056?\u1077?\u1075?\u1083?\u1072?\u1084?\u1077?\u1085?\u1090? (\u1045?\u1057?) \u8470? 1293/2013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Text1Char">
    <w:name w:val="Text 1 Char"/>
    <w:locked/>
    <w:rPr>
      <w:rFonts w:ascii="Times New Roman" w:hAnsi="Times New Roman" w:cs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Text1Char">
    <w:name w:val="Text 1 Char"/>
    <w:locked/>
    <w:rPr>
      <w:rFonts w:ascii="Times New Roman" w:hAnsi="Times New Roman" w:cs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1121</Words>
  <Characters>6571</Characters>
  <Application>Microsoft Office Word</Application>
  <DocSecurity>0</DocSecurity>
  <Lines>134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2021-03-11T14:59:00Z</dcterms:created>
  <dcterms:modified xsi:type="dcterms:W3CDTF">2021-03-17T09:38:00Z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