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AED904D-98B8-4E17-A657-DFBDD0F8AFAD" style="width:450.45pt;height:402.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СЪОБЩЕНИЕ НА КОМИСИЯТА ДО ЕВРОПЕЙСКИЯ ПАРЛАМЕНТ</w:t>
      </w:r>
    </w:p>
    <w:p>
      <w:pPr>
        <w:jc w:val="center"/>
        <w:rPr>
          <w:b/>
          <w:noProof/>
        </w:rPr>
      </w:pPr>
      <w:r>
        <w:rPr>
          <w:b/>
          <w:noProof/>
        </w:rPr>
        <w:t>съгласно член 294, параграф 6 от Договора за функционирането на Европейския съюз</w:t>
      </w:r>
    </w:p>
    <w:p>
      <w:pPr>
        <w:jc w:val="center"/>
        <w:rPr>
          <w:b/>
          <w:noProof/>
        </w:rPr>
      </w:pPr>
      <w:r>
        <w:rPr>
          <w:b/>
          <w:noProof/>
        </w:rPr>
        <w:t>относно</w:t>
      </w:r>
    </w:p>
    <w:p>
      <w:pPr>
        <w:ind w:firstLine="720"/>
        <w:jc w:val="center"/>
        <w:rPr>
          <w:b/>
          <w:noProof/>
        </w:rPr>
      </w:pPr>
      <w:r>
        <w:rPr>
          <w:b/>
          <w:noProof/>
        </w:rPr>
        <w:t>позицията на Съвета във връзка с приемането на Регламент на Европейския парламент и на Съвета относно справянето с разпространението на терористично съдържание онлайн</w:t>
      </w:r>
    </w:p>
    <w:p>
      <w:pPr>
        <w:pStyle w:val="ManualHeading1"/>
        <w:rPr>
          <w:noProof/>
          <w:sz w:val="22"/>
        </w:rPr>
      </w:pPr>
      <w:r>
        <w:rPr>
          <w:noProof/>
        </w:rPr>
        <w:t>1.</w:t>
      </w:r>
      <w:r>
        <w:rPr>
          <w:noProof/>
        </w:rPr>
        <w:tab/>
        <w:t>Хронология на преписката</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 (документ COM(2018) 640 final — 2018/0331 (COD)</w:t>
            </w:r>
          </w:p>
        </w:tc>
        <w:tc>
          <w:tcPr>
            <w:tcW w:w="2483" w:type="dxa"/>
          </w:tcPr>
          <w:p>
            <w:pPr>
              <w:jc w:val="left"/>
              <w:rPr>
                <w:noProof/>
              </w:rPr>
            </w:pPr>
            <w:r>
              <w:rPr>
                <w:noProof/>
              </w:rPr>
              <w:t>12 септември 2018 г.</w:t>
            </w:r>
          </w:p>
        </w:tc>
      </w:tr>
      <w:tr>
        <w:tc>
          <w:tcPr>
            <w:tcW w:w="6804" w:type="dxa"/>
          </w:tcPr>
          <w:p>
            <w:pPr>
              <w:jc w:val="left"/>
              <w:rPr>
                <w:noProof/>
              </w:rPr>
            </w:pPr>
            <w:r>
              <w:rPr>
                <w:noProof/>
              </w:rPr>
              <w:t>Дата на съгласието на Съвета относно мандата за преговори</w:t>
            </w:r>
          </w:p>
        </w:tc>
        <w:tc>
          <w:tcPr>
            <w:tcW w:w="2483" w:type="dxa"/>
          </w:tcPr>
          <w:p>
            <w:pPr>
              <w:jc w:val="left"/>
              <w:rPr>
                <w:noProof/>
              </w:rPr>
            </w:pPr>
            <w:r>
              <w:rPr>
                <w:noProof/>
              </w:rPr>
              <w:t>6 декември 2018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17 април 2019 г.</w:t>
            </w:r>
          </w:p>
        </w:tc>
      </w:tr>
      <w:tr>
        <w:tc>
          <w:tcPr>
            <w:tcW w:w="6804" w:type="dxa"/>
          </w:tcPr>
          <w:p>
            <w:pPr>
              <w:rPr>
                <w:noProof/>
              </w:rPr>
            </w:pPr>
            <w:r>
              <w:rPr>
                <w:noProof/>
              </w:rPr>
              <w:t>Дата на първата тристранна среща</w:t>
            </w:r>
          </w:p>
        </w:tc>
        <w:tc>
          <w:tcPr>
            <w:tcW w:w="2483" w:type="dxa"/>
          </w:tcPr>
          <w:p>
            <w:pPr>
              <w:jc w:val="left"/>
              <w:rPr>
                <w:noProof/>
              </w:rPr>
            </w:pPr>
            <w:r>
              <w:rPr>
                <w:noProof/>
              </w:rPr>
              <w:t>17 октомври 2019 г.</w:t>
            </w:r>
          </w:p>
        </w:tc>
      </w:tr>
      <w:tr>
        <w:tc>
          <w:tcPr>
            <w:tcW w:w="6804" w:type="dxa"/>
          </w:tcPr>
          <w:p>
            <w:pPr>
              <w:rPr>
                <w:noProof/>
              </w:rPr>
            </w:pPr>
            <w:r>
              <w:rPr>
                <w:noProof/>
              </w:rPr>
              <w:t>Дата на втората тристранна среща</w:t>
            </w:r>
          </w:p>
        </w:tc>
        <w:tc>
          <w:tcPr>
            <w:tcW w:w="2483" w:type="dxa"/>
          </w:tcPr>
          <w:p>
            <w:pPr>
              <w:jc w:val="left"/>
              <w:rPr>
                <w:noProof/>
              </w:rPr>
            </w:pPr>
            <w:r>
              <w:rPr>
                <w:noProof/>
              </w:rPr>
              <w:t>20 ноември 2019 г.</w:t>
            </w:r>
          </w:p>
        </w:tc>
      </w:tr>
      <w:tr>
        <w:tc>
          <w:tcPr>
            <w:tcW w:w="6804" w:type="dxa"/>
          </w:tcPr>
          <w:p>
            <w:pPr>
              <w:rPr>
                <w:noProof/>
              </w:rPr>
            </w:pPr>
            <w:r>
              <w:rPr>
                <w:noProof/>
              </w:rPr>
              <w:t>Дата на третата тристранна среща</w:t>
            </w:r>
          </w:p>
        </w:tc>
        <w:tc>
          <w:tcPr>
            <w:tcW w:w="2483" w:type="dxa"/>
          </w:tcPr>
          <w:p>
            <w:pPr>
              <w:jc w:val="left"/>
              <w:rPr>
                <w:noProof/>
              </w:rPr>
            </w:pPr>
            <w:r>
              <w:rPr>
                <w:noProof/>
              </w:rPr>
              <w:t>12 декември 2019 г.</w:t>
            </w:r>
          </w:p>
        </w:tc>
      </w:tr>
      <w:tr>
        <w:tc>
          <w:tcPr>
            <w:tcW w:w="6804" w:type="dxa"/>
          </w:tcPr>
          <w:p>
            <w:pPr>
              <w:rPr>
                <w:noProof/>
              </w:rPr>
            </w:pPr>
            <w:r>
              <w:rPr>
                <w:noProof/>
              </w:rPr>
              <w:t>Дата на четвъртата тристранна среща</w:t>
            </w:r>
          </w:p>
        </w:tc>
        <w:tc>
          <w:tcPr>
            <w:tcW w:w="2483" w:type="dxa"/>
          </w:tcPr>
          <w:p>
            <w:pPr>
              <w:jc w:val="left"/>
              <w:rPr>
                <w:noProof/>
              </w:rPr>
            </w:pPr>
            <w:r>
              <w:rPr>
                <w:noProof/>
              </w:rPr>
              <w:t>24 септември 2020 г.</w:t>
            </w:r>
          </w:p>
        </w:tc>
      </w:tr>
      <w:tr>
        <w:tc>
          <w:tcPr>
            <w:tcW w:w="6804" w:type="dxa"/>
          </w:tcPr>
          <w:p>
            <w:pPr>
              <w:rPr>
                <w:noProof/>
              </w:rPr>
            </w:pPr>
            <w:r>
              <w:rPr>
                <w:noProof/>
              </w:rPr>
              <w:t>Дата на петата тристранна среща</w:t>
            </w:r>
          </w:p>
        </w:tc>
        <w:tc>
          <w:tcPr>
            <w:tcW w:w="2483" w:type="dxa"/>
          </w:tcPr>
          <w:p>
            <w:pPr>
              <w:jc w:val="left"/>
              <w:rPr>
                <w:noProof/>
              </w:rPr>
            </w:pPr>
            <w:r>
              <w:rPr>
                <w:noProof/>
              </w:rPr>
              <w:t>29 октомври 2020 г.</w:t>
            </w:r>
          </w:p>
        </w:tc>
      </w:tr>
      <w:tr>
        <w:tc>
          <w:tcPr>
            <w:tcW w:w="6804" w:type="dxa"/>
          </w:tcPr>
          <w:p>
            <w:pPr>
              <w:rPr>
                <w:noProof/>
              </w:rPr>
            </w:pPr>
            <w:r>
              <w:rPr>
                <w:noProof/>
              </w:rPr>
              <w:t>Дата на шестата (заключителна) тристранна среща</w:t>
            </w:r>
          </w:p>
        </w:tc>
        <w:tc>
          <w:tcPr>
            <w:tcW w:w="2483" w:type="dxa"/>
          </w:tcPr>
          <w:p>
            <w:pPr>
              <w:jc w:val="left"/>
              <w:rPr>
                <w:noProof/>
              </w:rPr>
            </w:pPr>
            <w:r>
              <w:rPr>
                <w:noProof/>
              </w:rPr>
              <w:t>10 декември 2020 г.</w:t>
            </w:r>
          </w:p>
        </w:tc>
      </w:tr>
      <w:tr>
        <w:tc>
          <w:tcPr>
            <w:tcW w:w="6804" w:type="dxa"/>
          </w:tcPr>
          <w:p>
            <w:pPr>
              <w:rPr>
                <w:noProof/>
              </w:rPr>
            </w:pPr>
            <w:r>
              <w:rPr>
                <w:noProof/>
              </w:rPr>
              <w:t>Дата на политическото споразумение в Комитета на постоянните представители</w:t>
            </w:r>
          </w:p>
        </w:tc>
        <w:tc>
          <w:tcPr>
            <w:tcW w:w="2483" w:type="dxa"/>
          </w:tcPr>
          <w:p>
            <w:pPr>
              <w:jc w:val="left"/>
              <w:rPr>
                <w:noProof/>
              </w:rPr>
            </w:pPr>
            <w:r>
              <w:rPr>
                <w:noProof/>
              </w:rPr>
              <w:t>16 декември 2020 г.</w:t>
            </w:r>
          </w:p>
        </w:tc>
      </w:tr>
      <w:tr>
        <w:tc>
          <w:tcPr>
            <w:tcW w:w="6804" w:type="dxa"/>
            <w:shd w:val="clear" w:color="auto" w:fill="auto"/>
          </w:tcPr>
          <w:p>
            <w:pPr>
              <w:rPr>
                <w:noProof/>
              </w:rPr>
            </w:pPr>
            <w:r>
              <w:rPr>
                <w:noProof/>
              </w:rPr>
              <w:t>Дата, на която комисията по граждански свободи, правосъдие и вътрешни работи на Европейския парламент гласува за одобряване на компромисното споразумение</w:t>
            </w:r>
          </w:p>
        </w:tc>
        <w:tc>
          <w:tcPr>
            <w:tcW w:w="2483" w:type="dxa"/>
            <w:shd w:val="clear" w:color="auto" w:fill="auto"/>
          </w:tcPr>
          <w:p>
            <w:pPr>
              <w:jc w:val="left"/>
              <w:rPr>
                <w:noProof/>
              </w:rPr>
            </w:pPr>
            <w:r>
              <w:rPr>
                <w:noProof/>
              </w:rPr>
              <w:t>11 януари 2021 г.</w:t>
            </w:r>
          </w:p>
        </w:tc>
      </w:tr>
      <w:tr>
        <w:tc>
          <w:tcPr>
            <w:tcW w:w="6804" w:type="dxa"/>
          </w:tcPr>
          <w:p>
            <w:pPr>
              <w:rPr>
                <w:noProof/>
              </w:rPr>
            </w:pPr>
            <w:r>
              <w:rPr>
                <w:noProof/>
              </w:rPr>
              <w:t>Дата на приемане на позицията на Съвета на първо четене</w:t>
            </w:r>
          </w:p>
        </w:tc>
        <w:tc>
          <w:tcPr>
            <w:tcW w:w="2483" w:type="dxa"/>
          </w:tcPr>
          <w:p>
            <w:pPr>
              <w:jc w:val="left"/>
              <w:rPr>
                <w:noProof/>
              </w:rPr>
            </w:pPr>
            <w:r>
              <w:rPr>
                <w:noProof/>
              </w:rPr>
              <w:t>16 март 2021 г.</w:t>
            </w:r>
          </w:p>
        </w:tc>
      </w:tr>
    </w:tbl>
    <w:p>
      <w:pPr>
        <w:pStyle w:val="ManualHeading1"/>
        <w:rPr>
          <w:noProof/>
          <w:szCs w:val="24"/>
        </w:rPr>
      </w:pPr>
      <w:r>
        <w:rPr>
          <w:noProof/>
        </w:rPr>
        <w:t>2.</w:t>
      </w:r>
      <w:r>
        <w:rPr>
          <w:noProof/>
        </w:rPr>
        <w:tab/>
        <w:t>Цел на предложението на Комисията</w:t>
      </w:r>
    </w:p>
    <w:p>
      <w:pPr>
        <w:spacing w:before="100" w:after="150"/>
        <w:rPr>
          <w:noProof/>
          <w:color w:val="000000"/>
          <w:szCs w:val="24"/>
        </w:rPr>
      </w:pPr>
      <w:r>
        <w:rPr>
          <w:noProof/>
          <w:color w:val="000000"/>
          <w:szCs w:val="24"/>
        </w:rPr>
        <w:t>Терористичните нападения на територията на ЕС показаха как терористите злоупотребяват с интернет с цел да вербуват и набират поддръжници, да подготвят и улесняват терористичните дейности, да възхваляват своите жестокости и да подтикват други да последват примера им, както и да всяват страх сред широката общественост.</w:t>
      </w:r>
    </w:p>
    <w:p>
      <w:pPr>
        <w:spacing w:before="100" w:after="150"/>
        <w:rPr>
          <w:noProof/>
          <w:color w:val="000000"/>
          <w:szCs w:val="24"/>
        </w:rPr>
      </w:pPr>
      <w:r>
        <w:rPr>
          <w:noProof/>
          <w:color w:val="000000"/>
          <w:szCs w:val="24"/>
        </w:rPr>
        <w:t xml:space="preserve">Терористичното съдържание, споделяно онлайн за такива цели, се разпространява чрез доставчици на хостинг услуги, които позволяват качването на съдържание на трети страни. Терористите и техните поддръжници злоупотребяват не само с големите платформи на социалните медии, но все по-често и с по-малки доставчици на различни видове хостинг услуги, достъпни в Европейския съюз. Тази злоупотреба с определени </w:t>
      </w:r>
      <w:r>
        <w:rPr>
          <w:noProof/>
          <w:color w:val="000000"/>
          <w:szCs w:val="24"/>
        </w:rPr>
        <w:lastRenderedPageBreak/>
        <w:t>онлайн услуги подчертава особената обществена отговорност, която доставчиците на хостинг услуги имат за защита на своите потребители срещу излагането им на терористично съдържание, както и сериозните рискове във връзка със сигурността, които това съдържание поражда за обществото като цяло.</w:t>
      </w:r>
    </w:p>
    <w:p>
      <w:pPr>
        <w:spacing w:before="100" w:after="150"/>
        <w:rPr>
          <w:noProof/>
          <w:color w:val="000000"/>
          <w:szCs w:val="24"/>
        </w:rPr>
      </w:pPr>
      <w:r>
        <w:rPr>
          <w:noProof/>
          <w:color w:val="000000"/>
          <w:szCs w:val="24"/>
        </w:rPr>
        <w:t>Предложението на Комисията беше да се създаде хармонизирана правна рамка, чрез която да се предотврати злоупотребата с хостинг услуги с цел разпространение на терористично съдържание онлайн и да се осигури безпроблемното функциониране на цифровия единен пазар, като същевременно се гарантира обществената сигурност и се защитят основните права.</w:t>
      </w:r>
    </w:p>
    <w:p>
      <w:pPr>
        <w:spacing w:before="100" w:after="150"/>
        <w:rPr>
          <w:noProof/>
          <w:color w:val="000000"/>
          <w:szCs w:val="24"/>
        </w:rPr>
      </w:pPr>
      <w:r>
        <w:rPr>
          <w:noProof/>
        </w:rPr>
        <w:t>Предложеният регламент има за цел да осигури яснота относно отговорността на доставчиците на хостинг услуги при предприемането на всички подходящи, разумни и пропорционални действия, необходими за гарантиране на безопасността на техните услуги и за бързо и ефективно откриване и премахване на терористичното съдържание онлайн.</w:t>
      </w:r>
      <w:r>
        <w:rPr>
          <w:noProof/>
          <w:color w:val="000000"/>
          <w:szCs w:val="24"/>
        </w:rPr>
        <w:t xml:space="preserve"> Тези действия включват премахването на съответното съдържание в рамките на един час от получаването на заповед за премахване и конкретни мерки, които доставчиците на хостинг услуги следва да предприемат проактивно за защита на своите услуги.</w:t>
      </w:r>
    </w:p>
    <w:p>
      <w:pPr>
        <w:spacing w:before="100" w:after="150"/>
        <w:rPr>
          <w:noProof/>
          <w:color w:val="000000"/>
          <w:szCs w:val="24"/>
        </w:rPr>
      </w:pPr>
      <w:r>
        <w:rPr>
          <w:noProof/>
          <w:color w:val="000000"/>
          <w:szCs w:val="24"/>
        </w:rPr>
        <w:t xml:space="preserve">Същевременно предложеният регламент съдържа предпазни мерки, предназначени да гарантират пълното зачитане на основните права в демократичното общество, като свободата на изразяване на мнение и свободата на информация. </w:t>
      </w:r>
      <w:r>
        <w:rPr>
          <w:noProof/>
        </w:rPr>
        <w:t>Тези предпазни мерки включват задължения за прозрачност, както и механизми за подаване на жалби, чрез които да се гарантира възможността за доставчиците на съдържание да оспорват премахването на предоставяно от тях съдържание или блокирането на достъпа до него, в допълнение към съдебната защита съгласно член 19 от ДЕС и член 47 от Хартата на основните права на ЕС.</w:t>
      </w:r>
    </w:p>
    <w:p>
      <w:pPr>
        <w:spacing w:before="100" w:after="150"/>
        <w:rPr>
          <w:noProof/>
          <w:color w:val="000000"/>
          <w:szCs w:val="24"/>
        </w:rPr>
      </w:pPr>
      <w:r>
        <w:rPr>
          <w:noProof/>
          <w:color w:val="000000"/>
          <w:szCs w:val="24"/>
        </w:rPr>
        <w:t>Задълженията на държавите членки, определени в предложения регламент, ще допринесат за постигането на тези цели чрез предоставяне на правомощия на компетентните органи, увеличаване на предвидимостта и прозрачността, осигуряване на подходящи предпазни мерки и гарантиране на възможността да се налагат ефективни, пропорционални и възпиращи санкции на доставчиците на хостинг услуги, които не спазват задълженията си.</w:t>
      </w:r>
    </w:p>
    <w:p>
      <w:pPr>
        <w:pStyle w:val="ManualHeading1"/>
        <w:rPr>
          <w:noProof/>
        </w:rPr>
      </w:pPr>
      <w:r>
        <w:rPr>
          <w:noProof/>
        </w:rPr>
        <w:t>3.</w:t>
      </w:r>
      <w:r>
        <w:rPr>
          <w:noProof/>
        </w:rPr>
        <w:tab/>
        <w:t>Коментари относно позицията на Съвета</w:t>
      </w:r>
    </w:p>
    <w:p>
      <w:pPr>
        <w:pStyle w:val="ManualHeading1"/>
        <w:tabs>
          <w:tab w:val="clear" w:pos="850"/>
        </w:tabs>
        <w:ind w:left="0" w:firstLine="0"/>
        <w:rPr>
          <w:b w:val="0"/>
          <w:smallCaps w:val="0"/>
          <w:noProof/>
        </w:rPr>
      </w:pPr>
      <w:r>
        <w:rPr>
          <w:b w:val="0"/>
          <w:smallCaps w:val="0"/>
          <w:noProof/>
        </w:rPr>
        <w:t>Позицията на Съвета отразява политическото споразумение, постигнато между Европейския парламент, Съвета и Комисията на 10 декември 2020 г. Най-важните разлики между предложението на Комисията и текста, договорен на политическо равнище, са следните:</w:t>
      </w:r>
    </w:p>
    <w:p>
      <w:pPr>
        <w:pStyle w:val="Tiret0"/>
        <w:numPr>
          <w:ilvl w:val="0"/>
          <w:numId w:val="10"/>
        </w:numPr>
        <w:rPr>
          <w:i/>
          <w:noProof/>
          <w:u w:val="single"/>
        </w:rPr>
      </w:pPr>
      <w:r>
        <w:rPr>
          <w:i/>
          <w:noProof/>
          <w:u w:val="single"/>
        </w:rPr>
        <w:t>Обхват</w:t>
      </w:r>
      <w:r>
        <w:rPr>
          <w:i/>
          <w:noProof/>
        </w:rPr>
        <w:t>:</w:t>
      </w:r>
      <w:r>
        <w:rPr>
          <w:noProof/>
        </w:rPr>
        <w:t xml:space="preserve"> Пояснение, че материалите, разпространявани за образователни, журналистически, художествени или научноизследователски цели или за целите на предотвратяването на или борбата с тероризма, не се считат за терористично съдържание и че чрез оценка трябва да се определи истинската цел на разпространението.</w:t>
      </w:r>
    </w:p>
    <w:p>
      <w:pPr>
        <w:pStyle w:val="Tiret0"/>
        <w:numPr>
          <w:ilvl w:val="0"/>
          <w:numId w:val="10"/>
        </w:numPr>
        <w:rPr>
          <w:i/>
          <w:noProof/>
          <w:u w:val="single"/>
        </w:rPr>
      </w:pPr>
      <w:r>
        <w:rPr>
          <w:noProof/>
        </w:rPr>
        <w:lastRenderedPageBreak/>
        <w:t>Пояснение, че Регламентът не засяга Директивата за електронната търговия</w:t>
      </w:r>
      <w:r>
        <w:rPr>
          <w:rStyle w:val="FootnoteReference"/>
          <w:noProof/>
        </w:rPr>
        <w:footnoteReference w:id="2"/>
      </w:r>
      <w:r>
        <w:rPr>
          <w:noProof/>
        </w:rPr>
        <w:t>, нито Директивата за аудио-визуалните медийни услуги</w:t>
      </w:r>
      <w:r>
        <w:rPr>
          <w:rStyle w:val="FootnoteReference"/>
          <w:noProof/>
        </w:rPr>
        <w:footnoteReference w:id="3"/>
      </w:r>
      <w:r>
        <w:rPr>
          <w:noProof/>
        </w:rPr>
        <w:t>, както и че по отношение на аудио-визуалните медийни услуги втората директива има предимство пред него при противоречие. В съображение се пояснява, че това не засяга определените в Регламента задължения на доставчиците на платформи за споделяне на видеоклипове.</w:t>
      </w:r>
    </w:p>
    <w:p>
      <w:pPr>
        <w:pStyle w:val="Tiret0"/>
        <w:numPr>
          <w:ilvl w:val="0"/>
          <w:numId w:val="10"/>
        </w:numPr>
        <w:rPr>
          <w:i/>
          <w:noProof/>
        </w:rPr>
      </w:pPr>
      <w:r>
        <w:rPr>
          <w:noProof/>
        </w:rPr>
        <w:t>Уточнение, че Регламентът се прилага единствено за доставчиците на хостинг услуги, които разпространяват информация сред обществеността, т.е. сред потенциално неограничен брой лица.</w:t>
      </w:r>
    </w:p>
    <w:p>
      <w:pPr>
        <w:pStyle w:val="Tiret0"/>
        <w:numPr>
          <w:ilvl w:val="0"/>
          <w:numId w:val="10"/>
        </w:numPr>
        <w:rPr>
          <w:noProof/>
          <w:u w:val="single"/>
        </w:rPr>
      </w:pPr>
      <w:r>
        <w:rPr>
          <w:i/>
          <w:noProof/>
          <w:u w:val="single"/>
        </w:rPr>
        <w:t>Определения</w:t>
      </w:r>
      <w:r>
        <w:rPr>
          <w:i/>
          <w:noProof/>
        </w:rPr>
        <w:t xml:space="preserve">: </w:t>
      </w:r>
      <w:r>
        <w:rPr>
          <w:noProof/>
        </w:rPr>
        <w:t>От определението за „терористично съдържание“ са изключени материалите, чрез които се „популяризират“ дейностите на терористични групи, като това определение е съгласувано в по-голяма степен със съответните престъпления, посочени в Директивата относно борбата с тероризма</w:t>
      </w:r>
      <w:r>
        <w:rPr>
          <w:rStyle w:val="FootnoteReference"/>
          <w:noProof/>
          <w:szCs w:val="24"/>
        </w:rPr>
        <w:footnoteReference w:id="4"/>
      </w:r>
      <w:r>
        <w:rPr>
          <w:noProof/>
        </w:rPr>
        <w:t>.</w:t>
      </w:r>
    </w:p>
    <w:p>
      <w:pPr>
        <w:pStyle w:val="Tiret0"/>
        <w:rPr>
          <w:noProof/>
          <w:szCs w:val="24"/>
        </w:rPr>
      </w:pPr>
      <w:r>
        <w:rPr>
          <w:i/>
          <w:iCs/>
          <w:noProof/>
          <w:u w:val="single"/>
        </w:rPr>
        <w:t>Заповеди за премахване</w:t>
      </w:r>
      <w:r>
        <w:rPr>
          <w:i/>
          <w:iCs/>
          <w:noProof/>
        </w:rPr>
        <w:t xml:space="preserve">: </w:t>
      </w:r>
      <w:r>
        <w:rPr>
          <w:noProof/>
        </w:rPr>
        <w:t>Запазен е срокът от максимум един час, в който доставчиците на хостинг услуги трябва да премахнат терористичното съдържание или да блокират достъпа до него, но компетентният орган трябва да предостави информация на доставчика на хостинг услуги най-малко 12 часа преди издаването на първата заповед за премахване, с изключение на спешни случаи. Освен това, когато по обективни технически или оперативни причини не е възможно да се изпълни заповедта за премахване, срокът се спира.</w:t>
      </w:r>
    </w:p>
    <w:p>
      <w:pPr>
        <w:pStyle w:val="Tiret0"/>
        <w:rPr>
          <w:i/>
          <w:iCs/>
          <w:noProof/>
        </w:rPr>
      </w:pPr>
      <w:r>
        <w:rPr>
          <w:i/>
          <w:noProof/>
          <w:u w:val="single"/>
        </w:rPr>
        <w:t>Право на проверка/процедура за трансгранични заповеди за премахване</w:t>
      </w:r>
      <w:r>
        <w:rPr>
          <w:i/>
          <w:noProof/>
        </w:rPr>
        <w:t>:</w:t>
      </w:r>
      <w:r>
        <w:rPr>
          <w:noProof/>
        </w:rPr>
        <w:t xml:space="preserve"> Въпреки че всички държави членки имат право да издават заповеди за премахване по отношение на всеки доставчик на хостинг услуги, независимо от мястото му на установяване, в нов член относно процедурите за трансграничните заповеди за премахване (член 4) е предвидена възможността компетентният орган на държавата членка „домакин“ (т.е. държавата членка, в която доставчикът на хостинг услуги е установен или има свой законен представител) да провери заповедта за премахване, за да определи дали тя съдържа явни или сериозни нарушения на основните права или на Регламента. Доставчиците на хостинг услуги и доставчиците на съдържание имат право да поискат този компетентен орган да извърши преглед на заповедта за премахване, в който случай органът е длъжен да извърши проверката и да изложи констатациите си в решение. Когато в резултат на проверката бъдат установени явни или сериозни нарушения, заповедта за премахване престава да поражда правно действие и доставчикът на хостинг услуги повече не е длъжен да премахне материала и по принцип следва да го възстанови.</w:t>
      </w:r>
    </w:p>
    <w:p>
      <w:pPr>
        <w:pStyle w:val="Tiret0"/>
        <w:rPr>
          <w:i/>
          <w:iCs/>
          <w:noProof/>
        </w:rPr>
      </w:pPr>
      <w:r>
        <w:rPr>
          <w:i/>
          <w:iCs/>
          <w:noProof/>
          <w:u w:val="single"/>
        </w:rPr>
        <w:t>Конкретни мерки</w:t>
      </w:r>
      <w:r>
        <w:rPr>
          <w:i/>
          <w:iCs/>
          <w:noProof/>
        </w:rPr>
        <w:t xml:space="preserve">: </w:t>
      </w:r>
      <w:r>
        <w:rPr>
          <w:noProof/>
        </w:rPr>
        <w:t xml:space="preserve">Съдържанието на членове 3, 6 и 9 от предложението бе адаптирано и обединено в един член, в който се определят задълженията на </w:t>
      </w:r>
      <w:r>
        <w:rPr>
          <w:noProof/>
        </w:rPr>
        <w:lastRenderedPageBreak/>
        <w:t>доставчиците на хостинг услуги да въведат конкретни мерки за справяне с разпространението на терористично съдържание. Тези задължения се прилагат само за доставчиците на хостинг услуги, за които компетентният орган е установил, че са изложени на терористично съдържание. Въпреки че компетентните органи могат да изискват от доставчиците на хостинг услуги да предприемат допълнителни мерки, изборът на конкретните мерки за справяне с терористичното съдържание се прави от доставчиците на хостинг услуги, които не могат да бъдат задължени да използват автоматизирани инструменти.</w:t>
      </w:r>
    </w:p>
    <w:p>
      <w:pPr>
        <w:pStyle w:val="Tiret0"/>
        <w:rPr>
          <w:i/>
          <w:iCs/>
          <w:noProof/>
        </w:rPr>
      </w:pPr>
      <w:r>
        <w:rPr>
          <w:i/>
          <w:iCs/>
          <w:noProof/>
          <w:u w:val="single"/>
        </w:rPr>
        <w:t>Сигнали</w:t>
      </w:r>
      <w:r>
        <w:rPr>
          <w:i/>
          <w:iCs/>
          <w:noProof/>
        </w:rPr>
        <w:t xml:space="preserve">: </w:t>
      </w:r>
      <w:r>
        <w:rPr>
          <w:noProof/>
        </w:rPr>
        <w:t>Съдържащият се в предложението на Комисията член относно сигналите (механизъм за изпращане на съобщения до доставчиците на хостинг услуги, с които те се уведомяват за съществуващо терористично съдържание, за да преценят доброволно дали това съдържание отговаря на прилаганите от тях условия) е заличен. В съображение обаче се пояснява, че инструментът за сигнализиране е на разположение на държавите членки и Европол.</w:t>
      </w:r>
    </w:p>
    <w:p>
      <w:pPr>
        <w:pStyle w:val="Tiret0"/>
        <w:rPr>
          <w:i/>
          <w:iCs/>
          <w:noProof/>
        </w:rPr>
      </w:pPr>
      <w:r>
        <w:rPr>
          <w:i/>
          <w:iCs/>
          <w:noProof/>
          <w:u w:val="single"/>
        </w:rPr>
        <w:t>Компетентни органи</w:t>
      </w:r>
      <w:r>
        <w:rPr>
          <w:i/>
          <w:iCs/>
          <w:noProof/>
        </w:rPr>
        <w:t xml:space="preserve">: </w:t>
      </w:r>
      <w:r>
        <w:rPr>
          <w:noProof/>
        </w:rPr>
        <w:t>Държавите членки следва да определят компетентните органи в съответствие с изискванията, посочени в Регламента, като гарантират по-специално, че тези органи не искат и не получават указания и че действат по обективен и недискриминационен начин и при пълно зачитане на основните права.</w:t>
      </w:r>
    </w:p>
    <w:p>
      <w:pPr>
        <w:pStyle w:val="Tiret0"/>
        <w:rPr>
          <w:iCs/>
          <w:noProof/>
        </w:rPr>
      </w:pPr>
      <w:r>
        <w:rPr>
          <w:i/>
          <w:iCs/>
          <w:noProof/>
          <w:u w:val="single"/>
        </w:rPr>
        <w:t>Санкции</w:t>
      </w:r>
      <w:r>
        <w:rPr>
          <w:i/>
          <w:iCs/>
          <w:noProof/>
        </w:rPr>
        <w:t>:</w:t>
      </w:r>
      <w:r>
        <w:rPr>
          <w:noProof/>
        </w:rPr>
        <w:t xml:space="preserve"> Членът относно санкциите включва изричната възможност за държавите членки да решават дали да наложат санкции в отделни случаи, вземайки предвид обстоятелства, като например естеството и размера на съответния доставчик на хостинг услуги, степента на неговата вина за нарушението и техническите и организационните мерки, които той може да е предприел за спазване на изискванията, определени в Регламента.</w:t>
      </w:r>
    </w:p>
    <w:p>
      <w:pPr>
        <w:pStyle w:val="Tiret0"/>
        <w:rPr>
          <w:iCs/>
          <w:noProof/>
        </w:rPr>
      </w:pPr>
      <w:r>
        <w:rPr>
          <w:i/>
          <w:iCs/>
          <w:noProof/>
          <w:u w:val="single"/>
        </w:rPr>
        <w:t>Заключителни разпоредби</w:t>
      </w:r>
      <w:r>
        <w:rPr>
          <w:i/>
          <w:iCs/>
          <w:noProof/>
        </w:rPr>
        <w:t>:</w:t>
      </w:r>
      <w:r>
        <w:rPr>
          <w:noProof/>
        </w:rPr>
        <w:t xml:space="preserve"> Срокът, в който Регламентът трябва да започне да се прилага, бе удължен на 12 месеца след влизането му в сила, а срокът за оценяването му бе съкратен на две години след началото на прилагането му.</w:t>
      </w:r>
    </w:p>
    <w:p>
      <w:pPr>
        <w:pStyle w:val="Text1"/>
        <w:spacing w:before="100" w:beforeAutospacing="1" w:after="0"/>
        <w:ind w:left="0"/>
        <w:rPr>
          <w:noProof/>
        </w:rPr>
      </w:pPr>
      <w:r>
        <w:rPr>
          <w:noProof/>
        </w:rPr>
        <w:t>Комисията счита, че постигнатото политическо споразумение, отразено в позицията на Съвета, като цяло запазва основните цели на горепосоченото предложение на Комисията. По-специално договореният текст представлява балансиран подход, с който се гарантират ефективна борба с терористичното съдържание онлайн, наличието на комплексен набор от предпазни мерки за защита на основните права и прилагането на еднакви и пропорционални правила спрямо доставчиците на хостинг услуги на вътрешния пазар.</w:t>
      </w:r>
    </w:p>
    <w:p>
      <w:pPr>
        <w:pStyle w:val="ManualHeading1"/>
        <w:rPr>
          <w:noProof/>
        </w:rPr>
      </w:pPr>
      <w:r>
        <w:rPr>
          <w:noProof/>
        </w:rPr>
        <w:t>4.</w:t>
      </w:r>
      <w:r>
        <w:rPr>
          <w:noProof/>
        </w:rPr>
        <w:tab/>
        <w:t>Заключение</w:t>
      </w:r>
    </w:p>
    <w:p>
      <w:pPr>
        <w:keepNext/>
        <w:rPr>
          <w:noProof/>
        </w:rPr>
      </w:pPr>
      <w:r>
        <w:rPr>
          <w:noProof/>
        </w:rPr>
        <w:t>Комисията е съгласна с позицията на Съвета.</w:t>
      </w:r>
    </w:p>
    <w:p>
      <w:pPr>
        <w:keepNext/>
        <w:rPr>
          <w:noProof/>
        </w:rPr>
      </w:pPr>
    </w:p>
    <w:sectPr>
      <w:footerReference w:type="default" r:id="rId11"/>
      <w:footerReference w:type="first" r:id="rId12"/>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rPr>
          <w:sz w:val="16"/>
          <w:szCs w:val="16"/>
        </w:rPr>
        <w:tab/>
      </w:r>
      <w:r>
        <w:t>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(OВ L 178, 17.7.2000 г., стр. 1—16).</w:t>
      </w:r>
    </w:p>
  </w:footnote>
  <w:footnote w:id="3">
    <w:p>
      <w:pPr>
        <w:pStyle w:val="FootnoteText"/>
      </w:pPr>
      <w:r>
        <w:rPr>
          <w:rStyle w:val="FootnoteReference"/>
        </w:rPr>
        <w:footnoteRef/>
      </w:r>
      <w:r>
        <w:tab/>
        <w:t>Директива (ЕС) 2018/1808 на Европейския парламент и на Съвета от 14 ноември 2018 г.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(ОВ L 303, 28.11.2018 г., стр. 69—92).</w:t>
      </w:r>
    </w:p>
  </w:footnote>
  <w:footnote w:id="4">
    <w:p>
      <w:pPr>
        <w:pStyle w:val="FootnoteText"/>
        <w:rPr>
          <w:sz w:val="16"/>
          <w:szCs w:val="16"/>
        </w:rPr>
      </w:pPr>
      <w:r>
        <w:rPr>
          <w:rStyle w:val="FootnoteReference"/>
        </w:rPr>
        <w:footnoteRef/>
      </w:r>
      <w:r>
        <w:tab/>
        <w:t>Директива (ЕС) 2017/541 на Европейския парламент и на Съвета от 15 март 2017 г. относно борбата с тероризма и за замяна на Рамково решение 2002/475/ПВР на Съвета, и за изменение на Решение 2005/671/ПВР на Съвета (ОВ L 88, 31.3.2017 г., стр. 6—21).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6017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5C2A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EE8C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92F2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9091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2054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983204"/>
    <w:lvl w:ilvl="0">
      <w:start w:val="1"/>
      <w:numFmt w:val="decimal"/>
      <w:pStyle w:val="ListNumber"/>
      <w:lvlText w:val="%1."/>
      <w:lvlJc w:val="left"/>
      <w:pPr>
        <w:tabs>
          <w:tab w:val="num" w:pos="360"/>
        </w:tabs>
        <w:ind w:left="360" w:hanging="360"/>
      </w:pPr>
    </w:lvl>
  </w:abstractNum>
  <w:abstractNum w:abstractNumId="7">
    <w:nsid w:val="FFFFFF89"/>
    <w:multiLevelType w:val="singleLevel"/>
    <w:tmpl w:val="DA7452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D5B1E"/>
    <w:multiLevelType w:val="hybridMultilevel"/>
    <w:tmpl w:val="C3D8B91E"/>
    <w:styleLink w:val="ImportedStyle18"/>
    <w:lvl w:ilvl="0" w:tplc="51B066D4">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083D8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CE09AE0">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8C2601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644110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9F2FDD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4E6A6D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626C46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244FC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01935E7"/>
    <w:multiLevelType w:val="hybridMultilevel"/>
    <w:tmpl w:val="30905E9C"/>
    <w:styleLink w:val="ImportedStyle4"/>
    <w:lvl w:ilvl="0" w:tplc="E8E06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E6A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43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6D8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1EBA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AE01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08A6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CA50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225C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22"/>
  </w:num>
  <w:num w:numId="12">
    <w:abstractNumId w:val="10"/>
  </w:num>
  <w:num w:numId="13">
    <w:abstractNumId w:val="19"/>
  </w:num>
  <w:num w:numId="14">
    <w:abstractNumId w:val="13"/>
  </w:num>
  <w:num w:numId="15">
    <w:abstractNumId w:val="21"/>
  </w:num>
  <w:num w:numId="16">
    <w:abstractNumId w:val="12"/>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1"/>
  </w:num>
  <w:num w:numId="25">
    <w:abstractNumId w:val="1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5 10:07: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AED904D-98B8-4E17-A657-DFBDD0F8AFAD"/>
    <w:docVar w:name="LW_COVERPAGE_TYPE" w:val="1"/>
    <w:docVar w:name="LW_CROSSREFERENCE" w:val="&lt;UNUSED&gt;"/>
    <w:docVar w:name="LW_DocType" w:val="COM"/>
    <w:docVar w:name="LW_EMISSION" w:val="17.3.2021"/>
    <w:docVar w:name="LW_EMISSION_ISODATE" w:val="2021-03-17"/>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31"/>
    <w:docVar w:name="LW_REF.II.NEW.CP_YEAR" w:val="2018"/>
    <w:docVar w:name="LW_REF.INST.NEW" w:val="COM"/>
    <w:docVar w:name="LW_REF.INST.NEW_ADOPTED" w:val="final"/>
    <w:docVar w:name="LW_REF.INST.NEW_TEXT" w:val="(2021)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 w:val="&lt;FMT:Bold&gt;\u1087?\u1086?\u1079?\u1080?\u1094?\u1080?\u1103?\u1090?\u1072? \u1085?\u1072? \u1057?\u1098?\u1074?\u1077?\u1090?\u1072? \u1074?\u1098?\u1074? \u1074?\u1088?\u1098?\u1079?\u1082?\u1072? \u1089? \u1087?\u1088?\u1080?\u1077?\u1084?\u1072?\u1085?\u1077?\u1090?\u1086? \u1085?\u1072? \u1056?\u1077?\u1075?\u1083?\u1072?\u1084?\u1077?\u1085?\u1090? \u1085?\u1072? \u1045?\u1074?\u1088?\u1086?\u1087?\u1077?\u1081?\u1089?\u1082?\u1080?\u1103? \u1087?\u1072?\u1088?\u1083?\u1072?\u1084?\u1077?\u1085?\u1090? \u1080? \u1085?\u1072? \u1057?\u1098?\u1074?\u1077?\u1090?\u1072? \u1086?\u1090?\u1085?\u1086?\u1089?\u1085?\u1086? \u1089?\u1087?\u1088?\u1072?\u1074?\u1103?\u1085?\u1077?\u1090?\u1086? \u1089? \u1088?\u1072?\u1079?\u1087?\u1088?\u1086?\u1089?\u1090?\u1088?\u1072?\u1085?\u1077?\u1085?\u1080?\u1077?\u1090?\u1086? \u1085?\u1072? \u1090?\u1077?\u1088?\u1086?\u1088?\u1080?\u1089?\u1090?\u1080?\u1095?\u1085?\u1086? \u1089?\u1098?\u1076?\u1098?\u1088?\u1078?\u1072?\u1085?\u1080?\u1077? \u1086?\u1085?\u1083?\u1072?\u1081?\u1085?&lt;/FMT&gt;"/>
    <w:docVar w:name="LW_TITRE.OBJ.CP" w:val="&lt;FMT:Bold&gt;\u1087?\u1086?\u1079?\u1080?\u1094?\u1080?\u1103?\u1090?\u1072? \u1085?\u1072? \u1057?\u1098?\u1074?\u1077?\u1090?\u1072? \u1074?\u1098?\u1074? \u1074?\u1088?\u1098?\u1079?\u1082?\u1072? \u1089? \u1087?\u1088?\u1080?\u1077?\u1084?\u1072?\u1085?\u1077?\u1090?\u1086? \u1085?\u1072? \u1056?\u1077?\u1075?\u1083?\u1072?\u1084?\u1077?\u1085?\u1090? \u1085?\u1072? \u1045?\u1074?\u1088?\u1086?\u1087?\u1077?\u1081?\u1089?\u1082?\u1080?\u1103? \u1087?\u1072?\u1088?\u1083?\u1072?\u1084?\u1077?\u1085?\u1090? \u1080? \u1085?\u1072? \u1057?\u1098?\u1074?\u1077?\u1090?\u1072? \u1086?\u1090?\u1085?\u1086?\u1089?\u1085?\u1086? \u1089?\u1087?\u1088?\u1072?\u1074?\u1103?\u1085?\u1077?\u1090?\u1086? \u1089? \u1088?\u1072?\u1079?\u1087?\u1088?\u1086?\u1089?\u1090?\u1088?\u1072?\u1085?\u1077?\u1085?\u1080?\u1077?\u1090?\u1086? \u1085?\u1072? \u1090?\u1077?\u1088?\u1086?\u1088?\u1080?\u1089?\u1090?\u1080?\u1095?\u1085?\u1086? \u1089?\u1098?\u1076?\u1098?\u1088?\u1078?\u1072?\u1085?\u1080?\u1077? \u1086?\u1085?\u1083?\u1072?\u1081?\u1085?&lt;/FMT&gt;"/>
    <w:docVar w:name="LW_TYPE.DOC"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lt;LWCR:NBS&gt;294, \u1087?\u1072?\u1088?\u1072?\u1075?\u1088?\u1072?\u1092?&lt;LWCR:NBS&gt;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numbering" w:customStyle="1" w:styleId="ImportedStyle4">
    <w:name w:val="Imported Style 4"/>
    <w:pPr>
      <w:numPr>
        <w:numId w:val="11"/>
      </w:numPr>
    </w:pPr>
  </w:style>
  <w:style w:type="paragraph" w:styleId="ListParagraph">
    <w:name w:val="List Paragraph"/>
    <w:aliases w:val="Fiche List Paragraph,Task Body,Viñetas (Inicio Parrafo),3 Txt tabla,Zerrenda-paragrafoa,Lista multicolor - Énfasis 11,Paragrafo elenco,Nad,Odstavec_muj,Dot pt,F5 List Paragraph,List Paragraph1,No Spacing1,List Paragraph Char Char Char,L"/>
    <w:link w:val="ListParagraphChar"/>
    <w:uiPriority w:val="1"/>
    <w:qFormat/>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Dot pt Char,F5 List Paragraph Char"/>
    <w:link w:val="ListParagraph"/>
    <w:uiPriority w:val="34"/>
    <w:qFormat/>
    <w:locked/>
    <w:rPr>
      <w:rFonts w:ascii="Calibri" w:eastAsia="Calibri" w:hAnsi="Calibri" w:cs="Calibri"/>
      <w:color w:val="000000"/>
      <w:u w:color="000000"/>
      <w:bdr w:val="nil"/>
      <w:lang w:val="bg-BG" w:eastAsia="en-GB"/>
    </w:rPr>
  </w:style>
  <w:style w:type="character" w:customStyle="1" w:styleId="Text1Char">
    <w:name w:val="Text 1 Char"/>
    <w:rPr>
      <w:rFonts w:ascii="Times New Roman" w:hAnsi="Times New Roman" w:cs="Times New Roman"/>
      <w:sz w:val="24"/>
      <w:lang w:val="bg-BG"/>
    </w:rPr>
  </w:style>
  <w:style w:type="numbering" w:customStyle="1" w:styleId="ImportedStyle18">
    <w:name w:val="Imported Style 18"/>
    <w:pPr>
      <w:numPr>
        <w:numId w:val="12"/>
      </w:numPr>
    </w:pPr>
  </w:style>
  <w:style w:type="character" w:styleId="Emphasis">
    <w:name w:val="Emphasis"/>
    <w:basedOn w:val="DefaultParagraphFont"/>
    <w:uiPriority w:val="20"/>
    <w:qFormat/>
    <w:rPr>
      <w:rFonts w:ascii="Times New Roman" w:hAnsi="Times New Roman" w:cs="Times New Roman" w:hint="default"/>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numbering" w:customStyle="1" w:styleId="ImportedStyle4">
    <w:name w:val="Imported Style 4"/>
    <w:pPr>
      <w:numPr>
        <w:numId w:val="11"/>
      </w:numPr>
    </w:pPr>
  </w:style>
  <w:style w:type="paragraph" w:styleId="ListParagraph">
    <w:name w:val="List Paragraph"/>
    <w:aliases w:val="Fiche List Paragraph,Task Body,Viñetas (Inicio Parrafo),3 Txt tabla,Zerrenda-paragrafoa,Lista multicolor - Énfasis 11,Paragrafo elenco,Nad,Odstavec_muj,Dot pt,F5 List Paragraph,List Paragraph1,No Spacing1,List Paragraph Char Char Char,L"/>
    <w:link w:val="ListParagraphChar"/>
    <w:uiPriority w:val="1"/>
    <w:qFormat/>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Dot pt Char,F5 List Paragraph Char"/>
    <w:link w:val="ListParagraph"/>
    <w:uiPriority w:val="34"/>
    <w:qFormat/>
    <w:locked/>
    <w:rPr>
      <w:rFonts w:ascii="Calibri" w:eastAsia="Calibri" w:hAnsi="Calibri" w:cs="Calibri"/>
      <w:color w:val="000000"/>
      <w:u w:color="000000"/>
      <w:bdr w:val="nil"/>
      <w:lang w:val="bg-BG" w:eastAsia="en-GB"/>
    </w:rPr>
  </w:style>
  <w:style w:type="character" w:customStyle="1" w:styleId="Text1Char">
    <w:name w:val="Text 1 Char"/>
    <w:rPr>
      <w:rFonts w:ascii="Times New Roman" w:hAnsi="Times New Roman" w:cs="Times New Roman"/>
      <w:sz w:val="24"/>
      <w:lang w:val="bg-BG"/>
    </w:rPr>
  </w:style>
  <w:style w:type="numbering" w:customStyle="1" w:styleId="ImportedStyle18">
    <w:name w:val="Imported Style 18"/>
    <w:pPr>
      <w:numPr>
        <w:numId w:val="12"/>
      </w:numPr>
    </w:pPr>
  </w:style>
  <w:style w:type="character" w:styleId="Emphasis">
    <w:name w:val="Emphasis"/>
    <w:basedOn w:val="DefaultParagraphFont"/>
    <w:uiPriority w:val="20"/>
    <w:qFormat/>
    <w:rPr>
      <w:rFonts w:ascii="Times New Roman" w:hAnsi="Times New Roman" w:cs="Times New Roman" w:hint="default"/>
      <w:i/>
      <w:iC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B4ECA28-38A6-4188-82F6-36A4AED0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1416</Words>
  <Characters>8601</Characters>
  <Application>Microsoft Office Word</Application>
  <DocSecurity>0</DocSecurity>
  <Lines>165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2021-03-12T10:53:00Z</dcterms:created>
  <dcterms:modified xsi:type="dcterms:W3CDTF">2021-03-15T09:07:00Z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