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E3525FE5-5A39-4156-868B-35C1F9333979" style="width:450.5pt;height:459.45pt">
            <v:imagedata r:id="rId8" o:title=""/>
          </v:shape>
        </w:pict>
      </w:r>
    </w:p>
    <w:p>
      <w:pPr>
        <w:rPr>
          <w:noProof/>
        </w:rPr>
        <w:sectPr>
          <w:footerReference w:type="default" r:id="rId9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Rfrenceinterinstitutionnelle"/>
        <w:rPr>
          <w:noProof/>
        </w:rPr>
      </w:pPr>
      <w:bookmarkStart w:id="0" w:name="_GoBack"/>
      <w:bookmarkEnd w:id="0"/>
      <w:r>
        <w:rPr>
          <w:noProof/>
        </w:rPr>
        <w:lastRenderedPageBreak/>
        <w:t>2018/0224 (COD)</w:t>
      </w:r>
    </w:p>
    <w:p>
      <w:pPr>
        <w:pStyle w:val="Typedudocument"/>
        <w:rPr>
          <w:noProof/>
        </w:rPr>
      </w:pPr>
      <w:r>
        <w:rPr>
          <w:noProof/>
        </w:rPr>
        <w:t>СЪОБЩЕНИЕ НА КОМИСИЯТА ДО ЕВРОПЕЙСКИЯ ПАРЛАМЕНТ</w:t>
      </w:r>
      <w:r>
        <w:rPr>
          <w:noProof/>
        </w:rPr>
        <w:br/>
      </w:r>
      <w:r>
        <w:rPr>
          <w:noProof/>
        </w:rPr>
        <w:br/>
        <w:t>съгласно член 294, параграф 6 от Договора за функционирането на Европейския съюз</w:t>
      </w:r>
      <w:r>
        <w:rPr>
          <w:noProof/>
        </w:rPr>
        <w:br/>
      </w:r>
      <w:r>
        <w:rPr>
          <w:noProof/>
        </w:rPr>
        <w:br/>
        <w:t>относно</w:t>
      </w:r>
    </w:p>
    <w:p>
      <w:pPr>
        <w:pStyle w:val="Titreobjet"/>
        <w:rPr>
          <w:noProof/>
        </w:rPr>
      </w:pPr>
      <w:r>
        <w:rPr>
          <w:noProof/>
        </w:rPr>
        <w:t>позицията на Съвета относно приемането на Регламент на Европейския парламент и на Съвета за създаване на Рамковата програма за научни изследвания и иновации „Хоризонт Европа“ и за определяне на нейните правила за участие и разпространение на резултатите</w:t>
      </w:r>
    </w:p>
    <w:p>
      <w:pPr>
        <w:pStyle w:val="IntrtEEE"/>
        <w:rPr>
          <w:noProof/>
        </w:rPr>
      </w:pPr>
      <w:r>
        <w:rPr>
          <w:noProof/>
        </w:rPr>
        <w:t>(текст от значение за ЕИП)</w:t>
      </w:r>
    </w:p>
    <w:p>
      <w:pPr>
        <w:pStyle w:val="ManualHeading1"/>
        <w:rPr>
          <w:noProof/>
          <w:sz w:val="22"/>
        </w:rPr>
      </w:pPr>
      <w:r>
        <w:rPr>
          <w:noProof/>
        </w:rPr>
        <w:t>1.</w:t>
      </w:r>
      <w:r>
        <w:rPr>
          <w:noProof/>
        </w:rPr>
        <w:tab/>
        <w:t xml:space="preserve">Контекст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804"/>
        <w:gridCol w:w="2043"/>
        <w:gridCol w:w="440"/>
      </w:tblGrid>
      <w:tr>
        <w:tc>
          <w:tcPr>
            <w:tcW w:w="680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Дата на предаване на предложението на Европейския парламент и на Съвета (документ COM(2018) 435 final — 2018/0224 COD)</w:t>
            </w:r>
          </w:p>
        </w:tc>
        <w:tc>
          <w:tcPr>
            <w:tcW w:w="2483" w:type="dxa"/>
            <w:gridSpan w:val="2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7 юни 2018 г.</w:t>
            </w:r>
          </w:p>
        </w:tc>
      </w:tr>
      <w:tr>
        <w:tc>
          <w:tcPr>
            <w:tcW w:w="680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Дата на съгласието на Съвета относно частичен общ подход</w:t>
            </w:r>
          </w:p>
        </w:tc>
        <w:tc>
          <w:tcPr>
            <w:tcW w:w="2483" w:type="dxa"/>
            <w:gridSpan w:val="2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30 ноември 2018 г.</w:t>
            </w:r>
          </w:p>
        </w:tc>
      </w:tr>
      <w:tr>
        <w:trPr>
          <w:gridAfter w:val="1"/>
          <w:wAfter w:w="440" w:type="dxa"/>
        </w:trPr>
        <w:tc>
          <w:tcPr>
            <w:tcW w:w="680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Дата на тристранната среща (общо разбиране)</w:t>
            </w:r>
          </w:p>
        </w:tc>
        <w:tc>
          <w:tcPr>
            <w:tcW w:w="204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19 март 2019 г.</w:t>
            </w:r>
          </w:p>
        </w:tc>
      </w:tr>
      <w:tr>
        <w:tc>
          <w:tcPr>
            <w:tcW w:w="680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Дата, на която частичното временно компромисно споразумение (общо разбиране) е одобрено от Комитета на постоянните представители</w:t>
            </w:r>
          </w:p>
        </w:tc>
        <w:tc>
          <w:tcPr>
            <w:tcW w:w="2483" w:type="dxa"/>
            <w:gridSpan w:val="2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27 март 2019 г.</w:t>
            </w:r>
          </w:p>
        </w:tc>
      </w:tr>
      <w:tr>
        <w:tc>
          <w:tcPr>
            <w:tcW w:w="680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Дата на позицията на Европейския парламент на първо четене (включваща общото разбиране):</w:t>
            </w:r>
          </w:p>
        </w:tc>
        <w:tc>
          <w:tcPr>
            <w:tcW w:w="2483" w:type="dxa"/>
            <w:gridSpan w:val="2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17 април 2019 г.</w:t>
            </w:r>
          </w:p>
        </w:tc>
      </w:tr>
      <w:tr>
        <w:tc>
          <w:tcPr>
            <w:tcW w:w="680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Дата на тристранната среща (споразумение за окончателния текст)</w:t>
            </w:r>
          </w:p>
        </w:tc>
        <w:tc>
          <w:tcPr>
            <w:tcW w:w="2483" w:type="dxa"/>
            <w:gridSpan w:val="2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10—11 декември 2020 г.</w:t>
            </w:r>
          </w:p>
        </w:tc>
      </w:tr>
      <w:tr>
        <w:tc>
          <w:tcPr>
            <w:tcW w:w="6804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Дата, на която Комисията по промишленост, изследвания и енергетика е гласувала за одобряване на компромисното споразумение </w:t>
            </w:r>
          </w:p>
        </w:tc>
        <w:tc>
          <w:tcPr>
            <w:tcW w:w="2483" w:type="dxa"/>
            <w:gridSpan w:val="2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17 декември 2020 г. </w:t>
            </w:r>
          </w:p>
        </w:tc>
      </w:tr>
      <w:tr>
        <w:tc>
          <w:tcPr>
            <w:tcW w:w="680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Дата на политическото споразумение в Комитета на постоянните представители</w:t>
            </w:r>
          </w:p>
        </w:tc>
        <w:tc>
          <w:tcPr>
            <w:tcW w:w="2483" w:type="dxa"/>
            <w:gridSpan w:val="2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18 декември 2020 г.</w:t>
            </w:r>
          </w:p>
        </w:tc>
      </w:tr>
      <w:tr>
        <w:tc>
          <w:tcPr>
            <w:tcW w:w="680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Дата на приемане на позицията на Съвета на първо четене</w:t>
            </w:r>
          </w:p>
        </w:tc>
        <w:tc>
          <w:tcPr>
            <w:tcW w:w="2483" w:type="dxa"/>
            <w:gridSpan w:val="2"/>
          </w:tcPr>
          <w:p>
            <w:pPr>
              <w:jc w:val="left"/>
              <w:rPr>
                <w:noProof/>
                <w:highlight w:val="yellow"/>
              </w:rPr>
            </w:pPr>
            <w:r>
              <w:rPr>
                <w:noProof/>
              </w:rPr>
              <w:t>16 март 2021 г.</w:t>
            </w:r>
          </w:p>
        </w:tc>
      </w:tr>
    </w:tbl>
    <w:p>
      <w:pPr>
        <w:pStyle w:val="ManualHeading1"/>
        <w:rPr>
          <w:noProof/>
          <w:szCs w:val="24"/>
        </w:rPr>
      </w:pPr>
      <w:r>
        <w:rPr>
          <w:noProof/>
        </w:rPr>
        <w:t>2.</w:t>
      </w:r>
      <w:r>
        <w:rPr>
          <w:noProof/>
        </w:rPr>
        <w:tab/>
        <w:t>Цел на предложението на Комисията</w:t>
      </w:r>
    </w:p>
    <w:p>
      <w:pPr>
        <w:rPr>
          <w:noProof/>
          <w:szCs w:val="24"/>
        </w:rPr>
      </w:pPr>
      <w:r>
        <w:rPr>
          <w:noProof/>
        </w:rPr>
        <w:t xml:space="preserve">Програмата „Хоризонт Европа“ е в съответствие с приоритетите на Комисията, определени в нейната Програма за работни места, растеж, справедливост и </w:t>
      </w:r>
      <w:r>
        <w:rPr>
          <w:noProof/>
        </w:rPr>
        <w:lastRenderedPageBreak/>
        <w:t xml:space="preserve">демократична промяна, както и с приоритетите на глобалната политика (целите за устойчиво развитие). </w:t>
      </w:r>
    </w:p>
    <w:p>
      <w:pPr>
        <w:rPr>
          <w:noProof/>
          <w:szCs w:val="24"/>
        </w:rPr>
      </w:pPr>
      <w:r>
        <w:rPr>
          <w:noProof/>
        </w:rPr>
        <w:t xml:space="preserve">С помощта на програмата ще се укрепят научните и технологичните основи на Съюза в подкрепа на справянето с текущите и бъдещите глобални предизвикателства и ще се допринесе за екологичния и цифровия преход, както и за възстановяването от пандемията от COVID–19, като в същото време се преследва постигането на целите за устойчиво развитие (ЦУР). Заедно с това с програмата ще се даде импулс на конкурентоспособността на Съюза и на неговия промишлен сектор. „Хоризонт Европа“ ще спомогне за осъществяването на стратегическите приоритети на Съюза, както и за разработването и прилагането на неговите политики. „Хоризонт Европа“ ще допринесе за превръщането на отличните научни резултати в иновации с реално благотворно въздействие върху европейската икономика и качеството на живот на гражданите, както и за създаването на нови пазари с по-квалифицирани работни места. 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Коментари относно позицията на Съвета</w:t>
      </w:r>
    </w:p>
    <w:p>
      <w:pPr>
        <w:pStyle w:val="ManualHeading1"/>
        <w:rPr>
          <w:b w:val="0"/>
          <w:smallCaps w:val="0"/>
          <w:noProof/>
        </w:rPr>
      </w:pPr>
      <w:r>
        <w:rPr>
          <w:b w:val="0"/>
          <w:smallCaps w:val="0"/>
          <w:noProof/>
        </w:rPr>
        <w:t xml:space="preserve">Позицията на Съвета напълно отразява съгласието, постигнато по време на тристранните срещи. Най-важните промени, въведени в сравнение с предложението на Комисията, включват: </w:t>
      </w:r>
    </w:p>
    <w:p>
      <w:pPr>
        <w:pStyle w:val="Tiret0"/>
        <w:numPr>
          <w:ilvl w:val="0"/>
          <w:numId w:val="5"/>
        </w:numPr>
        <w:spacing w:before="240"/>
        <w:rPr>
          <w:noProof/>
        </w:rPr>
      </w:pPr>
      <w:r>
        <w:rPr>
          <w:i/>
          <w:noProof/>
        </w:rPr>
        <w:t>Структура на програмата.</w:t>
      </w:r>
      <w:r>
        <w:rPr>
          <w:noProof/>
        </w:rPr>
        <w:t xml:space="preserve"> Разделяне на предложения клъстер </w:t>
      </w:r>
      <w:r>
        <w:rPr>
          <w:i/>
          <w:noProof/>
        </w:rPr>
        <w:t>„Приобщаващо и сигурно общество“</w:t>
      </w:r>
      <w:r>
        <w:rPr>
          <w:noProof/>
        </w:rPr>
        <w:t xml:space="preserve"> на </w:t>
      </w:r>
      <w:r>
        <w:rPr>
          <w:i/>
          <w:noProof/>
        </w:rPr>
        <w:t>„Култура, творчество и приобщаващо общество“</w:t>
      </w:r>
      <w:r>
        <w:rPr>
          <w:noProof/>
        </w:rPr>
        <w:t xml:space="preserve"> и </w:t>
      </w:r>
      <w:r>
        <w:rPr>
          <w:i/>
          <w:noProof/>
        </w:rPr>
        <w:t>„Гражданска сигурност за обществото“</w:t>
      </w:r>
      <w:r>
        <w:rPr>
          <w:noProof/>
        </w:rPr>
        <w:t xml:space="preserve">. Включване на израза </w:t>
      </w:r>
      <w:r>
        <w:rPr>
          <w:i/>
          <w:noProof/>
        </w:rPr>
        <w:t>„космическо пространство“</w:t>
      </w:r>
      <w:r>
        <w:rPr>
          <w:noProof/>
        </w:rPr>
        <w:t xml:space="preserve"> в клъстера </w:t>
      </w:r>
      <w:r>
        <w:rPr>
          <w:i/>
          <w:noProof/>
        </w:rPr>
        <w:t>„Цифрова сфера, промишленост и космическо пространство“</w:t>
      </w:r>
      <w:r>
        <w:rPr>
          <w:noProof/>
        </w:rPr>
        <w:t xml:space="preserve"> и промяна на заглавието на клъстера </w:t>
      </w:r>
      <w:r>
        <w:rPr>
          <w:i/>
          <w:noProof/>
        </w:rPr>
        <w:t xml:space="preserve">„Храни, биоикономика, природни ресурси, селско стопанство и околна среда“. </w:t>
      </w:r>
      <w:r>
        <w:rPr>
          <w:noProof/>
        </w:rPr>
        <w:t>Освен това промяна на имената на трите стълба: „</w:t>
      </w:r>
      <w:r>
        <w:rPr>
          <w:i/>
          <w:noProof/>
        </w:rPr>
        <w:t>Високи постижения в научната област“</w:t>
      </w:r>
      <w:r>
        <w:rPr>
          <w:noProof/>
        </w:rPr>
        <w:t>, „</w:t>
      </w:r>
      <w:r>
        <w:rPr>
          <w:i/>
          <w:noProof/>
        </w:rPr>
        <w:t>Глобални предизвикателства и конкурентоспособност на европейската промишленост</w:t>
      </w:r>
      <w:r>
        <w:rPr>
          <w:noProof/>
        </w:rPr>
        <w:t>“ и „</w:t>
      </w:r>
      <w:r>
        <w:rPr>
          <w:i/>
          <w:noProof/>
        </w:rPr>
        <w:t>Новаторска Европа</w:t>
      </w:r>
      <w:r>
        <w:rPr>
          <w:noProof/>
        </w:rPr>
        <w:t>“. С промяната на правното основание на решението за конкретната програма, приложението за Европейския институт за иновации и технологии (EIT) беше преместено от решението за конкретна програма в регламента за рамковата програма.</w:t>
      </w:r>
    </w:p>
    <w:p>
      <w:pPr>
        <w:pStyle w:val="Tiret0"/>
        <w:numPr>
          <w:ilvl w:val="0"/>
          <w:numId w:val="5"/>
        </w:numPr>
        <w:spacing w:before="240"/>
        <w:rPr>
          <w:noProof/>
        </w:rPr>
      </w:pPr>
      <w:r>
        <w:rPr>
          <w:i/>
          <w:noProof/>
        </w:rPr>
        <w:t>Разширяване на участието и разпространяване на високите постижения</w:t>
      </w:r>
      <w:r>
        <w:rPr>
          <w:noProof/>
        </w:rPr>
        <w:t>. Съображение, свързано с бюджета на направлението за разширяване на участието и разпространяване на върховите постижения, в което се посочва, че той следва да бъде най-малко 3,3 % от общия бюджет по програмата. Освен това включване в отделен член на ново определение за държавите, където да се разшири участието, както и списък на държавите членки.</w:t>
      </w:r>
    </w:p>
    <w:p>
      <w:pPr>
        <w:pStyle w:val="Tiret0"/>
        <w:numPr>
          <w:ilvl w:val="0"/>
          <w:numId w:val="5"/>
        </w:numPr>
        <w:spacing w:before="240"/>
        <w:rPr>
          <w:noProof/>
        </w:rPr>
      </w:pPr>
      <w:r>
        <w:rPr>
          <w:i/>
          <w:noProof/>
        </w:rPr>
        <w:t>Европейски съвет по иновациите</w:t>
      </w:r>
      <w:r>
        <w:rPr>
          <w:noProof/>
        </w:rPr>
        <w:t xml:space="preserve">. Разширяване на мандата в съответния член и съответното съображение относно подпомагането на МСП, включително новосъздадени предприятия, само с безвъзмездни средства по линия на инструмента „Ускорител“ на ЕСИ. Във връзка с ЕСИ Комисията публикува декларация относно изпълнението на бюджета за инструмента „Ускорител“ на ЕСИ. </w:t>
      </w:r>
    </w:p>
    <w:p>
      <w:pPr>
        <w:pStyle w:val="Tiret0"/>
        <w:numPr>
          <w:ilvl w:val="0"/>
          <w:numId w:val="5"/>
        </w:numPr>
        <w:spacing w:before="240"/>
        <w:rPr>
          <w:i/>
          <w:noProof/>
        </w:rPr>
      </w:pPr>
      <w:r>
        <w:rPr>
          <w:i/>
          <w:noProof/>
        </w:rPr>
        <w:t xml:space="preserve">Мисии и партньорства. </w:t>
      </w:r>
      <w:r>
        <w:rPr>
          <w:noProof/>
        </w:rPr>
        <w:t xml:space="preserve">Включване на списък от 5 области за възможни мисии и 8 области за институционализирани партньорства в приложение към </w:t>
      </w:r>
      <w:r>
        <w:rPr>
          <w:noProof/>
        </w:rPr>
        <w:lastRenderedPageBreak/>
        <w:t>рамковата програма и на „междинна оценка“. Освен това добавяне на таван на бюджета за мисии и партньорства.</w:t>
      </w:r>
    </w:p>
    <w:p>
      <w:pPr>
        <w:pStyle w:val="Tiret0"/>
        <w:numPr>
          <w:ilvl w:val="0"/>
          <w:numId w:val="5"/>
        </w:numPr>
        <w:spacing w:before="240"/>
        <w:rPr>
          <w:i/>
          <w:noProof/>
        </w:rPr>
      </w:pPr>
      <w:r>
        <w:rPr>
          <w:i/>
          <w:noProof/>
        </w:rPr>
        <w:t>Възнаграждение.</w:t>
      </w:r>
      <w:r>
        <w:rPr>
          <w:noProof/>
        </w:rPr>
        <w:t xml:space="preserve"> Съображение, с което се признава съществуването на разлика във възнаграждението в Европа и се насърчават държавите членки да предприемат мерки за гарантиране на привлекателни заплати за научните изследователи.</w:t>
      </w:r>
    </w:p>
    <w:p>
      <w:pPr>
        <w:pStyle w:val="Tiret0"/>
        <w:numPr>
          <w:ilvl w:val="0"/>
          <w:numId w:val="5"/>
        </w:numPr>
        <w:spacing w:before="240"/>
        <w:rPr>
          <w:i/>
          <w:noProof/>
        </w:rPr>
      </w:pPr>
      <w:r>
        <w:rPr>
          <w:i/>
          <w:noProof/>
        </w:rPr>
        <w:t xml:space="preserve">Привеждане в съответствие на програмата „Хоризонт Европа“ с продължителността на многогодишната финансова рамка (МФР) за периода 2021—2027 г. </w:t>
      </w:r>
      <w:r>
        <w:rPr>
          <w:noProof/>
        </w:rPr>
        <w:t>Разпоредба за привеждане в съответствие на програмата с продължителността на многогодишната финансова рамка за периода 2021—2027 г.</w:t>
      </w:r>
    </w:p>
    <w:p>
      <w:pPr>
        <w:pStyle w:val="Tiret0"/>
        <w:numPr>
          <w:ilvl w:val="0"/>
          <w:numId w:val="5"/>
        </w:numPr>
        <w:spacing w:before="240"/>
        <w:rPr>
          <w:i/>
          <w:noProof/>
        </w:rPr>
      </w:pPr>
      <w:r>
        <w:rPr>
          <w:i/>
          <w:noProof/>
        </w:rPr>
        <w:t xml:space="preserve">Биологично разнообразие. </w:t>
      </w:r>
      <w:r>
        <w:rPr>
          <w:noProof/>
        </w:rPr>
        <w:t>Съображение, в което се посочват конкретни цели за биологичното разнообразие.</w:t>
      </w:r>
    </w:p>
    <w:p>
      <w:pPr>
        <w:pStyle w:val="Tiret0"/>
        <w:numPr>
          <w:ilvl w:val="0"/>
          <w:numId w:val="5"/>
        </w:numPr>
        <w:spacing w:before="100" w:beforeAutospacing="1"/>
        <w:rPr>
          <w:noProof/>
        </w:rPr>
      </w:pPr>
      <w:r>
        <w:rPr>
          <w:i/>
          <w:iCs/>
          <w:noProof/>
        </w:rPr>
        <w:t xml:space="preserve">Клауза за прилагане с обратна сила. </w:t>
      </w:r>
      <w:r>
        <w:rPr>
          <w:noProof/>
        </w:rPr>
        <w:t>За да се осигури приемственост в изпълнението на програмата, регламентът следва да се прилага с обратна сила, от началото на финансовата 2021 г., и да влезе в сила по спешност. В надлежно обоснованите случаи, конкретно посочени в решението за финансиране, дейностите, за които е предвидено подпомагане съгласно регламента, и съответните разходи за тях могат да се считат за допустими от 1 януари 2021 г., дори ако са били изпълнени и направени преди подаването на заявлението за безвъзмездни средства.</w:t>
      </w:r>
    </w:p>
    <w:p>
      <w:pPr>
        <w:pStyle w:val="Tiret0"/>
        <w:numPr>
          <w:ilvl w:val="0"/>
          <w:numId w:val="5"/>
        </w:numPr>
        <w:spacing w:before="100" w:beforeAutospacing="1"/>
        <w:rPr>
          <w:noProof/>
        </w:rPr>
      </w:pPr>
      <w:r>
        <w:rPr>
          <w:i/>
          <w:noProof/>
        </w:rPr>
        <w:t>Включване на разпоредба относно академичната свобода</w:t>
      </w:r>
      <w:r>
        <w:rPr>
          <w:noProof/>
        </w:rPr>
        <w:t xml:space="preserve">. Съображение относно академичната свобода и връзките с програмата. </w:t>
      </w:r>
    </w:p>
    <w:p>
      <w:pPr>
        <w:pStyle w:val="Tiret0"/>
        <w:numPr>
          <w:ilvl w:val="0"/>
          <w:numId w:val="5"/>
        </w:numPr>
        <w:spacing w:before="100" w:beforeAutospacing="1"/>
        <w:rPr>
          <w:noProof/>
        </w:rPr>
      </w:pPr>
      <w:r>
        <w:rPr>
          <w:i/>
          <w:noProof/>
        </w:rPr>
        <w:t xml:space="preserve">Бюджет. </w:t>
      </w:r>
      <w:r>
        <w:rPr>
          <w:noProof/>
        </w:rPr>
        <w:t>Изменение на члена, свързан с бюджета. „Разпоредби относно изваждането“ (съображение и член) за използването на средства по Инструмента на Европейския съюз за възстановяване в контекста на програмата. Нов параграф относно сумата от глоби, която се разпределя по програмата. Предложеният общ финансов пакет е в размер на 95,5 милиарда евро. Сумата включва приходи от глоби, средства по Инструмента на Европейския съюз за възстановяване и връщане на средства в резултат на отмяна на поети задължения. Индикативното разпределение на освободени средства в бюджета на програмата не е включено в текста на регламента, а в съвместно политическо изявление между съзаконодателите и Комисията.</w:t>
      </w:r>
    </w:p>
    <w:p>
      <w:pPr>
        <w:pStyle w:val="Tiret0"/>
        <w:numPr>
          <w:ilvl w:val="0"/>
          <w:numId w:val="5"/>
        </w:numPr>
        <w:spacing w:before="240"/>
        <w:rPr>
          <w:i/>
          <w:noProof/>
        </w:rPr>
      </w:pPr>
      <w:r>
        <w:rPr>
          <w:bCs/>
          <w:i/>
          <w:noProof/>
        </w:rPr>
        <w:t xml:space="preserve">Включване на зачитането на правата на човека. </w:t>
      </w:r>
      <w:r>
        <w:rPr>
          <w:noProof/>
        </w:rPr>
        <w:t xml:space="preserve">Добавяне на зачитането на правата на човека в члена, съдържащ набора от критерии за трети държави и територии от категория г), които трябва да бъдат изпълнени, за да бъдат допустими за асоцииране. Приета е декларация на Комисията относно правата на човека. В декларацията се припомня, че Комисията изцяло се придържа към зачитането на правата на човека в съответствие с член 21 от Договора за функционирането на Европейския съюз; въпреки това Комисията изразява съжаление относно включването на „зачитане на правата на човека“ в набора от критерии, които третите държави трябва да изпълняват, за да бъдат допустими за асоцииране по програмата. </w:t>
      </w:r>
    </w:p>
    <w:p>
      <w:pPr>
        <w:pStyle w:val="Tiret0"/>
        <w:numPr>
          <w:ilvl w:val="0"/>
          <w:numId w:val="5"/>
        </w:numPr>
        <w:spacing w:before="240"/>
        <w:rPr>
          <w:i/>
          <w:noProof/>
        </w:rPr>
      </w:pPr>
      <w:r>
        <w:rPr>
          <w:bCs/>
          <w:i/>
          <w:noProof/>
        </w:rPr>
        <w:lastRenderedPageBreak/>
        <w:t>Включване на анализ на ползите за Съюза в обхвата на асоциирането.</w:t>
      </w:r>
      <w:r>
        <w:rPr>
          <w:noProof/>
        </w:rPr>
        <w:t xml:space="preserve"> Добавяне на анализ на ползите за Съюза в члена относно обхвата на асоциирането.</w:t>
      </w:r>
    </w:p>
    <w:p>
      <w:pPr>
        <w:pStyle w:val="Tiret0"/>
        <w:numPr>
          <w:ilvl w:val="0"/>
          <w:numId w:val="5"/>
        </w:numPr>
        <w:spacing w:before="240"/>
        <w:rPr>
          <w:noProof/>
        </w:rPr>
      </w:pPr>
      <w:r>
        <w:rPr>
          <w:bCs/>
          <w:i/>
          <w:noProof/>
        </w:rPr>
        <w:t xml:space="preserve">Разпределяне на финансовите вноски от асоциираните държави. </w:t>
      </w:r>
      <w:r>
        <w:rPr>
          <w:noProof/>
        </w:rPr>
        <w:t>Параграф в член, с който се посочва, че при разпределянето на финансовите вноски в частите от програмата трябва да се взема предвид нивото на участие на субектите от асоциираните държави в гореспоменатите части.</w:t>
      </w:r>
    </w:p>
    <w:p>
      <w:pPr>
        <w:pStyle w:val="Tiret0"/>
        <w:numPr>
          <w:ilvl w:val="0"/>
          <w:numId w:val="5"/>
        </w:numPr>
        <w:spacing w:before="240"/>
        <w:rPr>
          <w:noProof/>
        </w:rPr>
      </w:pPr>
      <w:r>
        <w:rPr>
          <w:i/>
          <w:noProof/>
        </w:rPr>
        <w:t xml:space="preserve">Информация относно финансовите вноски към асоциираните държави. </w:t>
      </w:r>
      <w:r>
        <w:rPr>
          <w:noProof/>
        </w:rPr>
        <w:t>Съображение, с което се предвижда предоставянето на редовна информация от Комисията на Парламента и Съвета относно размера на финансовите вноски на Съюза, предоставени на субекти, установени в асоциирани и неасоциирани трети държави.</w:t>
      </w:r>
    </w:p>
    <w:p>
      <w:pPr>
        <w:pStyle w:val="Tiret0"/>
        <w:numPr>
          <w:ilvl w:val="0"/>
          <w:numId w:val="5"/>
        </w:numPr>
        <w:spacing w:before="240"/>
        <w:rPr>
          <w:i/>
          <w:noProof/>
        </w:rPr>
      </w:pPr>
      <w:r>
        <w:rPr>
          <w:bCs/>
          <w:i/>
          <w:noProof/>
        </w:rPr>
        <w:t xml:space="preserve">Ограничаване на участието или изключване на юридически лица с цел защита на стратегическите активи, интересите, автономията или сигурността на ЕС. </w:t>
      </w:r>
      <w:r>
        <w:rPr>
          <w:noProof/>
        </w:rPr>
        <w:t xml:space="preserve">Беше включена разпоредба, в която се предвиждат допълнителни мерки за ограничаване на участието на субекти, контролирани от трети държави или техни субекти, в определени чувствителни дейности с цел защита на стратегическите интереси на Съюза и неговите държави членки. </w:t>
      </w:r>
    </w:p>
    <w:p>
      <w:pPr>
        <w:pStyle w:val="Tiret0"/>
        <w:numPr>
          <w:ilvl w:val="0"/>
          <w:numId w:val="5"/>
        </w:numPr>
        <w:spacing w:before="240"/>
        <w:rPr>
          <w:i/>
          <w:noProof/>
        </w:rPr>
      </w:pPr>
      <w:r>
        <w:rPr>
          <w:i/>
          <w:noProof/>
        </w:rPr>
        <w:t xml:space="preserve">Обединяване на разпоредбите, свързани с полезните взаимодействия. </w:t>
      </w:r>
      <w:r>
        <w:rPr>
          <w:noProof/>
        </w:rPr>
        <w:t>Обединяване на всички разпоредби, свързани с полезните взаимодействия с други програми на ЕС</w:t>
      </w:r>
      <w:r>
        <w:rPr>
          <w:i/>
          <w:noProof/>
        </w:rPr>
        <w:t xml:space="preserve"> </w:t>
      </w:r>
      <w:r>
        <w:rPr>
          <w:noProof/>
        </w:rPr>
        <w:t>в един член.</w:t>
      </w:r>
    </w:p>
    <w:p>
      <w:pPr>
        <w:pStyle w:val="Tiret0"/>
        <w:spacing w:before="100" w:beforeAutospacing="1"/>
        <w:rPr>
          <w:i/>
          <w:noProof/>
        </w:rPr>
      </w:pPr>
      <w:r>
        <w:rPr>
          <w:i/>
          <w:noProof/>
        </w:rPr>
        <w:t xml:space="preserve">Полезни взаимодействия с други програми на ЕС. </w:t>
      </w:r>
      <w:r>
        <w:rPr>
          <w:noProof/>
        </w:rPr>
        <w:t>Добавяне в отделно приложение на четири нови програми, с които е възможно постигането на полезни взаимодействия с „Хоризонт Европа“, по-специално „Творческа Европа“, Механизма за справедлив преход, Механизма за възстановяване и устойчивост и „EU4Health“.</w:t>
      </w:r>
    </w:p>
    <w:p>
      <w:pPr>
        <w:pStyle w:val="Tiret0"/>
        <w:spacing w:before="100" w:beforeAutospacing="1"/>
        <w:rPr>
          <w:noProof/>
        </w:rPr>
      </w:pPr>
      <w:r>
        <w:rPr>
          <w:i/>
          <w:iCs/>
          <w:noProof/>
        </w:rPr>
        <w:t xml:space="preserve">Хоризонтално привеждане в съответствие на разпоредбите, свързани с обратното прехвърляне на неизползвани средства от ресурси под споделено управление към „Хоризонт Европа“. </w:t>
      </w:r>
      <w:r>
        <w:rPr>
          <w:noProof/>
        </w:rPr>
        <w:t>Параграф в член, свързан с обратното прехвърляне на неизползвани средства, прехвърлени от ресурси под споделеното управление към „Хоризонт Европа“, в отражение на Регламента за общоприложимите разпоредби.</w:t>
      </w:r>
    </w:p>
    <w:p>
      <w:pPr>
        <w:pStyle w:val="Tiret0"/>
        <w:keepNext/>
        <w:numPr>
          <w:ilvl w:val="0"/>
          <w:numId w:val="6"/>
        </w:numPr>
        <w:spacing w:before="100" w:beforeAutospacing="1" w:line="276" w:lineRule="auto"/>
        <w:rPr>
          <w:noProof/>
        </w:rPr>
      </w:pPr>
      <w:r>
        <w:rPr>
          <w:noProof/>
        </w:rPr>
        <w:t>Хоризонтална разпоредба, приложима за всички секторни програми за периода 2021—2027 г., по-специално:</w:t>
      </w:r>
    </w:p>
    <w:p>
      <w:pPr>
        <w:pStyle w:val="Tiret1"/>
        <w:numPr>
          <w:ilvl w:val="0"/>
          <w:numId w:val="25"/>
        </w:numPr>
        <w:rPr>
          <w:noProof/>
        </w:rPr>
      </w:pPr>
      <w:r>
        <w:rPr>
          <w:i/>
          <w:iCs/>
          <w:noProof/>
        </w:rPr>
        <w:t>Климат.</w:t>
      </w:r>
      <w:r>
        <w:rPr>
          <w:noProof/>
        </w:rPr>
        <w:t xml:space="preserve"> Актуализиране до 30 % на общата цел за свързаните с климата разходи за цялата МФР (първоначално 25 %).</w:t>
      </w:r>
    </w:p>
    <w:p>
      <w:pPr>
        <w:pStyle w:val="Tiret1"/>
        <w:rPr>
          <w:noProof/>
        </w:rPr>
      </w:pPr>
      <w:r>
        <w:rPr>
          <w:i/>
          <w:iCs/>
          <w:noProof/>
        </w:rPr>
        <w:t>Принципи на правовата държава.</w:t>
      </w:r>
      <w:r>
        <w:rPr>
          <w:noProof/>
        </w:rPr>
        <w:t xml:space="preserve"> Позоваване на защитата на бюджета на Съюза в случай на незачитане на принципите на правовата държава в дадена държава членка.</w:t>
      </w:r>
    </w:p>
    <w:p>
      <w:pPr>
        <w:pStyle w:val="Tiret1"/>
        <w:rPr>
          <w:noProof/>
        </w:rPr>
      </w:pPr>
      <w:r>
        <w:rPr>
          <w:i/>
          <w:iCs/>
          <w:noProof/>
        </w:rPr>
        <w:t>Защита на финансовите интереси на Съюза:</w:t>
      </w:r>
      <w:r>
        <w:rPr>
          <w:noProof/>
        </w:rPr>
        <w:t xml:space="preserve"> Член, в който се посочва общият режим на обвързаност с условия за защита на бюджета на Съюза.</w:t>
      </w:r>
    </w:p>
    <w:p>
      <w:pPr>
        <w:pStyle w:val="Tiret0"/>
        <w:rPr>
          <w:noProof/>
        </w:rPr>
      </w:pPr>
      <w:r>
        <w:rPr>
          <w:noProof/>
        </w:rPr>
        <w:t>Други декларации, издадени от Комисията в контекста на „Хоризонт Европа“, са свързани с:</w:t>
      </w:r>
    </w:p>
    <w:p>
      <w:pPr>
        <w:pStyle w:val="Tiret1"/>
        <w:rPr>
          <w:noProof/>
        </w:rPr>
      </w:pPr>
      <w:r>
        <w:rPr>
          <w:i/>
          <w:noProof/>
        </w:rPr>
        <w:lastRenderedPageBreak/>
        <w:t>Научните изследвания в областта на отбраната</w:t>
      </w:r>
      <w:r>
        <w:rPr>
          <w:noProof/>
        </w:rPr>
        <w:t>. Посочване на обстоятелството, че дейностите по „Хоризонт Европа“, които са свързани с научни изследвания в областта на отбраната, съвпадат с научноизследователските дейности по Европейския фонд за отбрана.</w:t>
      </w:r>
    </w:p>
    <w:p>
      <w:pPr>
        <w:pStyle w:val="Tiret1"/>
        <w:rPr>
          <w:noProof/>
        </w:rPr>
      </w:pPr>
      <w:r>
        <w:rPr>
          <w:i/>
          <w:noProof/>
        </w:rPr>
        <w:t>Участие на Европейския парламент в прилагането на „Хоризонт Европа“</w:t>
      </w:r>
      <w:r>
        <w:rPr>
          <w:noProof/>
        </w:rPr>
        <w:t>. Ангажимент за обмен на мнения с отговорните комисии на Европейския парламент относно списъка на партньорствата, списъка на мисиите, както и резултатите от стратегическата програма и работните програми.</w:t>
      </w:r>
    </w:p>
    <w:p>
      <w:pPr>
        <w:pStyle w:val="Tiret1"/>
        <w:rPr>
          <w:noProof/>
        </w:rPr>
      </w:pPr>
      <w:r>
        <w:rPr>
          <w:i/>
          <w:noProof/>
        </w:rPr>
        <w:t xml:space="preserve">Клауза за липса на становище. </w:t>
      </w:r>
      <w:r>
        <w:rPr>
          <w:noProof/>
        </w:rPr>
        <w:t>Пояснение относно възможността Комисията да дава становище в процедура на комитет относно актове за изпълнение в случай на липса на становище от програмния комитет (давано в контекста на конкретната програма).</w:t>
      </w:r>
    </w:p>
    <w:p>
      <w:pPr>
        <w:pStyle w:val="Tiret1"/>
        <w:rPr>
          <w:noProof/>
        </w:rPr>
      </w:pPr>
      <w:r>
        <w:rPr>
          <w:i/>
          <w:noProof/>
        </w:rPr>
        <w:t>Етика, по-специално във връзка с човешки ембрионални стволови клетки</w:t>
      </w:r>
      <w:r>
        <w:rPr>
          <w:noProof/>
        </w:rPr>
        <w:t>: спецификации, свързани с научноизследователски дейности по „Хоризонт Европа“, за привеждане в съответствие на програмата с етичната рамка при финансиране от ЕС на научни изследвания, свързани с човешки ембрионални стволови клетки, както е в „Хоризонт 2020“.</w:t>
      </w:r>
    </w:p>
    <w:p>
      <w:pPr>
        <w:pStyle w:val="Tiret1"/>
        <w:rPr>
          <w:noProof/>
        </w:rPr>
      </w:pPr>
      <w:r>
        <w:rPr>
          <w:i/>
          <w:noProof/>
        </w:rPr>
        <w:t>Асоцииране на трети държави към програми на Съюза</w:t>
      </w:r>
      <w:r>
        <w:rPr>
          <w:noProof/>
        </w:rPr>
        <w:t>: Тази декларация, която изпълнява ролята на „насрещно изявление“ спрямо декларация на Съвета относно сътрудничеството между Съвета и Комисията по време на договарянето на споразумения за асоцииране на трети държави към програми на Съюза, ще се издаде след изготвянето на такава декларация от Съвета.</w:t>
      </w:r>
    </w:p>
    <w:p>
      <w:pPr>
        <w:pStyle w:val="Text1"/>
        <w:spacing w:before="100" w:beforeAutospacing="1" w:after="0"/>
        <w:rPr>
          <w:noProof/>
        </w:rPr>
      </w:pPr>
      <w:r>
        <w:rPr>
          <w:noProof/>
        </w:rPr>
        <w:t xml:space="preserve">С постигнатото споразумение се запазват целите на първоначалното предложение на Комисията и се поддържа равнището на амбиция по отношение на минималните изисквания, но в същото време се дава възможност за определена степен на гъвкавост при прилагането на новите правила. </w:t>
      </w:r>
    </w:p>
    <w:p>
      <w:pPr>
        <w:pStyle w:val="ManualHeading1"/>
        <w:rPr>
          <w:noProof/>
        </w:rPr>
      </w:pPr>
      <w:r>
        <w:rPr>
          <w:noProof/>
        </w:rPr>
        <w:t>4. Заключение</w:t>
      </w:r>
    </w:p>
    <w:p>
      <w:pPr>
        <w:keepNext/>
        <w:rPr>
          <w:noProof/>
        </w:rPr>
      </w:pPr>
      <w:r>
        <w:rPr>
          <w:noProof/>
        </w:rPr>
        <w:t xml:space="preserve">Комисията подкрепя резултатите от междуинституционалните преговори и следователно приема позицията на Съвета. </w:t>
      </w:r>
    </w:p>
    <w:p>
      <w:pPr>
        <w:keepNext/>
        <w:rPr>
          <w:noProof/>
        </w:rPr>
      </w:pPr>
    </w:p>
    <w:sectPr>
      <w:footerReference w:type="default" r:id="rId10"/>
      <w:footerReference w:type="first" r:id="rId11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39435C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2B4FEE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088F0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B761BE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3280E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836539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09E16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75617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8"/>
    <w:lvlOverride w:ilvl="0">
      <w:startOverride w:val="1"/>
    </w:lvlOverride>
  </w:num>
  <w:num w:numId="6">
    <w:abstractNumId w:val="18"/>
    <w:lvlOverride w:ilvl="0">
      <w:startOverride w:val="1"/>
    </w:lvlOverride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12"/>
    <w:lvlOverride w:ilvl="0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1-03-17 16:49:5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E3525FE5-5A39-4156-868B-35C1F9333979"/>
    <w:docVar w:name="LW_COVERPAGE_TYPE" w:val="1"/>
    <w:docVar w:name="LW_CROSSREFERENCE" w:val="&lt;UNUSED&gt;"/>
    <w:docVar w:name="LW_DocType" w:val="COM"/>
    <w:docVar w:name="LW_EMISSION" w:val="17.3.2021"/>
    <w:docVar w:name="LW_EMISSION_ISODATE" w:val="2021-03-17"/>
    <w:docVar w:name="LW_EMISSION_LOCATION" w:val="BRX"/>
    <w:docVar w:name="LW_EMISSION_PREFIX" w:val="\u1041?\u1088?\u1102?\u1082?\u1089?\u1077?\u1083?, "/>
    <w:docVar w:name="LW_EMISSION_SUFFIX" w:val=" \u1075?."/>
    <w:docVar w:name="LW_ID_DOCMODEL" w:val="SJ-028"/>
    <w:docVar w:name="LW_ID_DOCSTRUCTURE" w:val="COM/PL/CODEC"/>
    <w:docVar w:name="LW_ID_DOCTYPE" w:val="SJ-028"/>
    <w:docVar w:name="LW_INTERETEEE.CP" w:val="(\u1090?\u1077?\u1082?\u1089?\u1090? \u1086?\u1090? \u1079?\u1085?\u1072?\u1095?\u1077?\u1085?\u1080?\u1077? \u1079?\u1072? \u1045?\u1048?\u1055?)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COD"/>
    <w:docVar w:name="LW_REF.II.NEW.CP_NUMBER" w:val="0224"/>
    <w:docVar w:name="LW_REF.II.NEW.CP_YEAR" w:val="2018"/>
    <w:docVar w:name="LW_REF.INST.NEW" w:val="COM"/>
    <w:docVar w:name="LW_REF.INST.NEW_ADOPTED" w:val="final"/>
    <w:docVar w:name="LW_REF.INST.NEW_TEXT" w:val="(2021) 13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\u1087?\u1086?\u1079?\u1080?\u1094?\u1080?\u1103?\u1090?\u1072? \u1085?\u1072? \u1057?\u1098?\u1074?\u1077?\u1090?\u1072? \u1086?\u1090?\u1085?\u1086?\u1089?\u1085?\u1086? \u1087?\u1088?\u1080?\u1077?\u1084?\u1072?\u1085?\u1077?\u1090?\u1086? \u1085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 \u1079?\u1072? \u1089?\u1098?\u1079?\u1076?\u1072?\u1074?\u1072?\u1085?\u1077? \u1085?\u1072? \u1056?\u1072?\u1084?\u1082?\u1086?\u1074?\u1072?\u1090?\u1072? \u1087?\u1088?\u1086?\u1075?\u1088?\u1072?\u1084?\u1072? \u1079?\u1072? \u1085?\u1072?\u1091?\u1095?\u1085?\u1080? \u1080?\u1079?\u1089?\u1083?\u1077?\u1076?\u1074?\u1072?\u1085?\u1080?\u1103? \u1080? \u1080?\u1085?\u1086?\u1074?\u1072?\u1094?\u1080?\u1080? \u8222?\u1061?\u1086?\u1088?\u1080?\u1079?\u1086?\u1085?\u1090? \u1045?\u1074?\u1088?\u1086?\u1087?\u1072?\u8220? \u1080? \u1079?\u1072? \u1086?\u1087?\u1088?\u1077?\u1076?\u1077?\u1083?\u1103?\u1085?\u1077? \u1085?\u1072? \u1085?\u1077?\u1081?\u1085?\u1080?\u1090?\u1077? \u1087?\u1088?\u1072?\u1074?\u1080?\u1083?\u1072? \u1079?\u1072? \u1091?\u1095?\u1072?\u1089?\u1090?\u1080?\u1077? \u1080? \u1088?\u1072?\u1079?\u1087?\u1088?\u1086?\u1089?\u1090?\u1088?\u1072?\u1085?\u1077?\u1085?\u1080?\u1077? \u1085?\u1072? \u1088?\u1077?\u1079?\u1091?\u1083?\u1090?\u1072?\u1090?\u1080?\u1090?\u1077?"/>
    <w:docVar w:name="LW_TYPE.DOC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_x000b__x000b_\u1089?\u1098?\u1075?\u1083?\u1072?\u1089?\u1085?\u1086? \u1095?\u1083?\u1077?\u1085? 294, \u1087?\u1072?\u1088?\u1072?\u1075?\u1088?\u1072?\u1092? 6 \u1086?\u1090? \u1044?\u1086?\u1075?\u1086?\u1074?\u1086?\u1088?\u1072? \u1079?\u1072? \u1092?\u1091?\u1085?\u1082?\u1094?\u1080?\u1086?\u1085?\u1080?\u1088?\u1072?\u1085?\u1077?\u1090?\u1086? \u1085?\u1072? \u1045?\u1074?\u1088?\u1086?\u1087?\u1077?\u1081?\u1089?\u1082?\u1080?\u1103? \u1089?\u1098?\u1102?\u1079?_x000b__x000b_\u1086?\u1090?\u1085?\u1086?\u1089?\u1085?\u1086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6</Pages>
  <Words>1648</Words>
  <Characters>10004</Characters>
  <Application>Microsoft Office Word</Application>
  <DocSecurity>0</DocSecurity>
  <Lines>208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WES PDFC Administrator</cp:lastModifiedBy>
  <cp:revision>18</cp:revision>
  <dcterms:created xsi:type="dcterms:W3CDTF">2021-03-17T14:37:00Z</dcterms:created>
  <dcterms:modified xsi:type="dcterms:W3CDTF">2021-03-17T15:49:00Z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COM/PL/CODEC</vt:lpwstr>
  </property>
  <property fmtid="{D5CDD505-2E9C-101B-9397-08002B2CF9AE}" pid="3" name="Version">
    <vt:lpwstr>7.0.9.0</vt:lpwstr>
  </property>
  <property fmtid="{D5CDD505-2E9C-101B-9397-08002B2CF9AE}" pid="4" name="Last edited using">
    <vt:lpwstr>LW 7.0.1, Build 20190916</vt:lpwstr>
  </property>
  <property fmtid="{D5CDD505-2E9C-101B-9397-08002B2CF9AE}" pid="5" name="Created using">
    <vt:lpwstr>LW 7.0.1, Build 20190916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SJ-028</vt:lpwstr>
  </property>
  <property fmtid="{D5CDD505-2E9C-101B-9397-08002B2CF9AE}" pid="10" name="DQCStatus">
    <vt:lpwstr>Green (DQC version 03)</vt:lpwstr>
  </property>
</Properties>
</file>