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86CBDA-3FC8-4613-B129-C248E79D368D"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international des céréales en lien avec l’adoption envisagée de la prorogation, jusqu’au 30 juin 2023, de la</w:t>
      </w:r>
      <w:r>
        <w:rPr>
          <w:b/>
          <w:noProof/>
        </w:rPr>
        <w:t xml:space="preserve"> convention sur le commerce des céréales de 1995</w:t>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 convention sur le commerce des céréales de 1995</w:t>
      </w:r>
    </w:p>
    <w:p>
      <w:pPr>
        <w:rPr>
          <w:rFonts w:eastAsia="Arial Unicode MS"/>
          <w:noProof/>
        </w:rPr>
      </w:pPr>
      <w:r>
        <w:rPr>
          <w:noProof/>
        </w:rPr>
        <w:t>La convention sur le commerce des céréales de 1995 (ci-après la «convention») a pour objet de favoriser la coopération internationale dans tous les aspects du commerce des céréales, de favoriser le développement du commerce international des céréales et de faire en sorte que ce commerce s'effectue le plus librement possible. En outre, la convention vise à contribuer, autant que possible, à la stabilité des marchés internationaux des céréales dans l'intérêt de tous les membres, à renforcer la sécurité alimentaire mondiale et à fournir un cadre pour l'échange d'informations et l'examen des préoccupations des membres concernant le commerce des céréales.</w:t>
      </w:r>
    </w:p>
    <w:p>
      <w:pPr>
        <w:rPr>
          <w:rFonts w:eastAsia="Arial Unicode MS"/>
          <w:noProof/>
        </w:rPr>
      </w:pPr>
      <w:r>
        <w:rPr>
          <w:noProof/>
        </w:rPr>
        <w:t>La convention est entrée en vigueur le 1</w:t>
      </w:r>
      <w:r>
        <w:rPr>
          <w:noProof/>
          <w:vertAlign w:val="superscript"/>
        </w:rPr>
        <w:t>er</w:t>
      </w:r>
      <w:r>
        <w:rPr>
          <w:noProof/>
        </w:rPr>
        <w:t xml:space="preserve"> juillet 1995. </w:t>
      </w:r>
    </w:p>
    <w:p>
      <w:pPr>
        <w:rPr>
          <w:rFonts w:eastAsia="Arial Unicode MS"/>
          <w:noProof/>
        </w:rPr>
      </w:pPr>
      <w:r>
        <w:rPr>
          <w:noProof/>
        </w:rPr>
        <w:t>L’Union européenne est partie à la convention</w:t>
      </w:r>
      <w:r>
        <w:rPr>
          <w:rStyle w:val="FootnoteReference"/>
          <w:rFonts w:eastAsia="Arial Unicode MS"/>
          <w:noProof/>
        </w:rPr>
        <w:footnoteReference w:id="1"/>
      </w:r>
      <w:r>
        <w:rPr>
          <w:noProof/>
        </w:rPr>
        <w:t>.</w:t>
      </w:r>
    </w:p>
    <w:p>
      <w:pPr>
        <w:pStyle w:val="ManualHeading2"/>
        <w:rPr>
          <w:noProof/>
        </w:rPr>
      </w:pPr>
      <w:r>
        <w:t>2.2.</w:t>
      </w:r>
      <w:r>
        <w:tab/>
      </w:r>
      <w:r>
        <w:rPr>
          <w:noProof/>
        </w:rPr>
        <w:t>Le Conseil international des céréales</w:t>
      </w:r>
    </w:p>
    <w:p>
      <w:pPr>
        <w:rPr>
          <w:rFonts w:eastAsia="Arial Unicode MS"/>
          <w:noProof/>
        </w:rPr>
      </w:pPr>
      <w:r>
        <w:rPr>
          <w:noProof/>
        </w:rPr>
        <w:t>Le Conseil international des céréales (ci-après le «CIC») est une organisation intergouvernementale qui s’efforce d’atteindre les objectifs fixés à l’article 1</w:t>
      </w:r>
      <w:r>
        <w:rPr>
          <w:noProof/>
          <w:vertAlign w:val="superscript"/>
        </w:rPr>
        <w:t>er</w:t>
      </w:r>
      <w:r>
        <w:rPr>
          <w:noProof/>
        </w:rPr>
        <w:t xml:space="preserve"> de la convention. Le CIC vise notamment à:</w:t>
      </w:r>
    </w:p>
    <w:p>
      <w:pPr>
        <w:pStyle w:val="Bullet0"/>
        <w:numPr>
          <w:ilvl w:val="0"/>
          <w:numId w:val="11"/>
        </w:numPr>
        <w:rPr>
          <w:noProof/>
        </w:rPr>
      </w:pPr>
      <w:r>
        <w:rPr>
          <w:noProof/>
        </w:rPr>
        <w:t>favoriser la coopération internationale dans tous les aspects du commerce des céréales;</w:t>
      </w:r>
    </w:p>
    <w:p>
      <w:pPr>
        <w:pStyle w:val="Bullet0"/>
        <w:numPr>
          <w:ilvl w:val="0"/>
          <w:numId w:val="11"/>
        </w:numPr>
        <w:rPr>
          <w:noProof/>
        </w:rPr>
      </w:pPr>
      <w:r>
        <w:rPr>
          <w:noProof/>
        </w:rPr>
        <w:t>promouvoir l'essor, l'ouverture et l'équité du commerce international dans le secteur des céréales;</w:t>
      </w:r>
    </w:p>
    <w:p>
      <w:pPr>
        <w:pStyle w:val="Bullet0"/>
        <w:numPr>
          <w:ilvl w:val="0"/>
          <w:numId w:val="11"/>
        </w:numPr>
        <w:rPr>
          <w:noProof/>
        </w:rPr>
      </w:pPr>
      <w:r>
        <w:rPr>
          <w:noProof/>
        </w:rPr>
        <w:t>contribuer à la stabilité du marché international des céréales, à renforcer la sécurité alimentaire mondiale et à contribuer au développement des pays dont l’économie dépend des ventes de céréales.</w:t>
      </w:r>
    </w:p>
    <w:p>
      <w:pPr>
        <w:rPr>
          <w:rFonts w:eastAsia="Arial Unicode MS"/>
          <w:noProof/>
        </w:rPr>
      </w:pPr>
      <w:r>
        <w:rPr>
          <w:noProof/>
        </w:rPr>
        <w:t>La réalisation de ces objectifs passe par une amélioration de la transparence du marché grâce à l'échange d'informations, l'analyse et la consultation en matière d'évolution du marché et des politiques.</w:t>
      </w:r>
    </w:p>
    <w:p>
      <w:pPr>
        <w:rPr>
          <w:noProof/>
        </w:rPr>
      </w:pPr>
      <w:r>
        <w:rPr>
          <w:noProof/>
        </w:rPr>
        <w:t xml:space="preserve">Le Conseil international des céréales compte 30 membres, comprenant un nombre important de grands producteurs mondiaux de céréales, ainsi que des importateurs. Outre l’Union européenne, ses membres sont notamment l’Argentine, l’Australie, le Canada, l’Égypte, l’Inde, le Japon, le Royaume-Uni, la Russie, l’Ukraine et les États-Unis. Toutefois, la Chine et le Brésil ne sont pas membres. </w:t>
      </w:r>
    </w:p>
    <w:p>
      <w:pPr>
        <w:rPr>
          <w:noProof/>
        </w:rPr>
      </w:pPr>
      <w:r>
        <w:rPr>
          <w:noProof/>
        </w:rPr>
        <w:t xml:space="preserve">Les 30 membres du CIC disposent au total de 2 000 voix. </w:t>
      </w:r>
    </w:p>
    <w:p>
      <w:pPr>
        <w:rPr>
          <w:noProof/>
        </w:rPr>
      </w:pPr>
      <w:r>
        <w:rPr>
          <w:noProof/>
        </w:rPr>
        <w:t>Pour les procédures budgétaires (voir article 11 de la convention), c’est-à-dire pour la fixation des cotisations financières annuelles des membres, l’Union dispose de 371 voix en 2020/21</w:t>
      </w:r>
      <w:r>
        <w:rPr>
          <w:rStyle w:val="FootnoteReference"/>
          <w:noProof/>
        </w:rPr>
        <w:footnoteReference w:id="2"/>
      </w:r>
      <w:r>
        <w:rPr>
          <w:noProof/>
        </w:rPr>
        <w:t xml:space="preserve">. </w:t>
      </w:r>
    </w:p>
    <w:p>
      <w:pPr>
        <w:rPr>
          <w:noProof/>
        </w:rPr>
      </w:pPr>
      <w:r>
        <w:rPr>
          <w:noProof/>
        </w:rPr>
        <w:lastRenderedPageBreak/>
        <w:t>Pour la prise de décision, à savoir lorsque les votes ont lieu (voir article 12 de la convention), 1 000 voix sont distribuées aux 11 membres exportateurs (l’Union dispose de 244 voix) et 1 000 voix sont attribuées aux 19 membres importateurs. Il y a lieu de souligner qu’en principe, le CIC agit sur la base d’un consensus et que la tenue d’un vote est en réalité très rare.</w:t>
      </w:r>
    </w:p>
    <w:p>
      <w:pPr>
        <w:rPr>
          <w:rFonts w:eastAsia="Arial Unicode MS"/>
          <w:noProof/>
        </w:rPr>
      </w:pPr>
      <w:r>
        <w:rPr>
          <w:noProof/>
        </w:rPr>
        <w:t>Lors des réunions du Conseil international des céréales, l’Union européenne est représentée par la Commission européenne. Les États membres peuvent assister aux réunions du CIC, en particulier aux sessions du Conseil.</w:t>
      </w:r>
    </w:p>
    <w:p>
      <w:pPr>
        <w:pStyle w:val="ManualHeading2"/>
        <w:rPr>
          <w:noProof/>
        </w:rPr>
      </w:pPr>
      <w:r>
        <w:t>2.3.</w:t>
      </w:r>
      <w:r>
        <w:tab/>
      </w:r>
      <w:r>
        <w:rPr>
          <w:noProof/>
        </w:rPr>
        <w:t>L'acte envisagé du Conseil international des céréales</w:t>
      </w:r>
    </w:p>
    <w:p>
      <w:pPr>
        <w:rPr>
          <w:rFonts w:eastAsia="Arial Unicode MS"/>
          <w:noProof/>
        </w:rPr>
      </w:pPr>
      <w:r>
        <w:rPr>
          <w:noProof/>
        </w:rPr>
        <w:t>Le 7 juin 2021, au cours de sa 53</w:t>
      </w:r>
      <w:r>
        <w:rPr>
          <w:noProof/>
          <w:vertAlign w:val="superscript"/>
        </w:rPr>
        <w:t>e</w:t>
      </w:r>
      <w:r>
        <w:rPr>
          <w:noProof/>
        </w:rPr>
        <w:t xml:space="preserve"> session, le Conseil international des céréales doit adopter une décision concernant la prorogation de la convention pour une durée de deux ans (ci-après l’«acte envisagé»).</w:t>
      </w:r>
    </w:p>
    <w:p>
      <w:pPr>
        <w:rPr>
          <w:rFonts w:eastAsia="Arial Unicode MS"/>
          <w:noProof/>
        </w:rPr>
      </w:pPr>
      <w:r>
        <w:rPr>
          <w:noProof/>
        </w:rPr>
        <w:t>L'objectif de l’acte envisagé, fondé sur l’article 33 de la convention, est de permettre au Conseil international des céréales de poursuivre sa mission.</w:t>
      </w:r>
    </w:p>
    <w:p>
      <w:pPr>
        <w:rPr>
          <w:rFonts w:eastAsia="Arial Unicode MS"/>
          <w:noProof/>
        </w:rPr>
      </w:pPr>
      <w:r>
        <w:rPr>
          <w:noProof/>
        </w:rPr>
        <w:t>La prorogation de la convention couvrira la période comprise entre le 1</w:t>
      </w:r>
      <w:r>
        <w:rPr>
          <w:noProof/>
          <w:vertAlign w:val="superscript"/>
        </w:rPr>
        <w:t>er</w:t>
      </w:r>
      <w:r>
        <w:rPr>
          <w:noProof/>
        </w:rPr>
        <w:t xml:space="preserve"> juillet 2021 et le 30 juin 2023.</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rFonts w:eastAsia="Arial Unicode MS"/>
          <w:noProof/>
        </w:rPr>
      </w:pPr>
      <w:r>
        <w:rPr>
          <w:noProof/>
        </w:rPr>
        <w:t xml:space="preserve">La </w:t>
      </w:r>
      <w:r>
        <w:rPr>
          <w:b/>
          <w:bCs/>
          <w:noProof/>
        </w:rPr>
        <w:t>convention sur le commerce des céréales de 1995</w:t>
      </w:r>
      <w:r>
        <w:rPr>
          <w:noProof/>
        </w:rPr>
        <w:t xml:space="preserve"> a été conclue par l’Union européenne dans la décision 96/88/CE du Conseil</w:t>
      </w:r>
      <w:r>
        <w:rPr>
          <w:rStyle w:val="FootnoteReference"/>
          <w:noProof/>
        </w:rPr>
        <w:footnoteReference w:id="3"/>
      </w:r>
      <w:r>
        <w:rPr>
          <w:noProof/>
        </w:rPr>
        <w:t xml:space="preserve"> jusqu’au 30 juin 1998 et a été prorogée régulièrement depuis lors. La convention est à chaque fois prorogée pour une période maximale de deux ans, conformément à son article 33. Elle a été prorogée en dernier lieu par une décision du Conseil international des céréales en juin 2019 et reste en vigueur jusqu’au 30 juin 2021. </w:t>
      </w:r>
    </w:p>
    <w:p>
      <w:pPr>
        <w:pBdr>
          <w:top w:val="nil"/>
          <w:left w:val="nil"/>
          <w:bottom w:val="nil"/>
          <w:right w:val="nil"/>
          <w:between w:val="nil"/>
          <w:bar w:val="nil"/>
        </w:pBdr>
        <w:spacing w:before="0" w:after="240"/>
        <w:rPr>
          <w:rFonts w:eastAsia="Arial Unicode MS"/>
          <w:noProof/>
        </w:rPr>
      </w:pPr>
      <w:r>
        <w:rPr>
          <w:noProof/>
        </w:rPr>
        <w:t xml:space="preserve">L’Union européenne a toujours été un membre actif du CIC et il est dans son intérêt de prévoir une nouvelle prorogation de la convention pour une période de deux ans au maximum. L’Union est un important producteur de céréales et un exportateur de blé et d’orge de premier rang, tout en étant le plus grand importateur de maïs. </w:t>
      </w:r>
      <w:r>
        <w:rPr>
          <w:noProof/>
        </w:rPr>
        <w:tab/>
      </w:r>
    </w:p>
    <w:p>
      <w:pPr>
        <w:rPr>
          <w:noProof/>
        </w:rPr>
      </w:pPr>
      <w:r>
        <w:rPr>
          <w:noProof/>
        </w:rPr>
        <w:t>L’objectif de la présente proposition est d’obtenir du Conseil qu’il autorise la Commission à voter, au nom de l’Union européenne, en faveur de la prorogation de la convention jusqu’au 30 juin 2023, lors du vote au sein du Conseil international des céréales. Il est prévu que la décision formelle concernant la prorogation de la convention soit adoptée lors de la 53</w:t>
      </w:r>
      <w:r>
        <w:rPr>
          <w:noProof/>
          <w:vertAlign w:val="superscript"/>
        </w:rPr>
        <w:t>e</w:t>
      </w:r>
      <w:r>
        <w:rPr>
          <w:noProof/>
        </w:rPr>
        <w:t xml:space="preserve"> session du Conseil international des céréales qui se tiendra le 7 juin 2021, probablement par vidéoconférence.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 xml:space="preserve">les positions à prendre au nom de l’Union dans une instance créée par un accord, lorsque cette instance est appelée à adopter des actes ayant des </w:t>
      </w:r>
      <w:r>
        <w:rPr>
          <w:i/>
          <w:iCs/>
          <w:noProof/>
        </w:rPr>
        <w:lastRenderedPageBreak/>
        <w:t>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 xml:space="preserve">L’acte envisagé du Conseil international des céréales a pour effet de prolonger la validité de la convention, qui est un accord international contraignant pour l’Union. L’acte envisagé produit donc des effets juridiques.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européenne.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concernent essentiellement le commerce de produits agricoles. </w:t>
      </w:r>
    </w:p>
    <w:p>
      <w:pPr>
        <w:rPr>
          <w:noProof/>
        </w:rPr>
      </w:pPr>
      <w:r>
        <w:rPr>
          <w:noProof/>
        </w:rPr>
        <w:t>La base juridique matérielle de la décision proposée est donc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Puisque l’acte du Conseil international des céréales prolonge la durée de la convention, il convient de le publier la décision du Conseil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international des céréales en ce qui concerne la prorogation de la convention sur le commerce des céréales de 1995</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le commerce des céréales de 1995 (ci-après dénommée «convention») a été conclue par l’Union par la décision 96/88/CE du Conseil</w:t>
      </w:r>
      <w:r>
        <w:rPr>
          <w:rStyle w:val="FootnoteReference"/>
          <w:noProof/>
        </w:rPr>
        <w:footnoteReference w:id="5"/>
      </w:r>
      <w:r>
        <w:rPr>
          <w:noProof/>
        </w:rPr>
        <w:t xml:space="preserve"> et est entrée en vigueur le 1</w:t>
      </w:r>
      <w:r>
        <w:rPr>
          <w:noProof/>
          <w:vertAlign w:val="superscript"/>
        </w:rPr>
        <w:t>er</w:t>
      </w:r>
      <w:r>
        <w:rPr>
          <w:noProof/>
        </w:rPr>
        <w:t xml:space="preserve"> juillet 1995. La convention a été conclue pour une période de trois ans.</w:t>
      </w:r>
    </w:p>
    <w:p>
      <w:pPr>
        <w:pStyle w:val="ManualConsidrant"/>
        <w:rPr>
          <w:noProof/>
        </w:rPr>
      </w:pPr>
      <w:r>
        <w:t>(2)</w:t>
      </w:r>
      <w:r>
        <w:tab/>
      </w:r>
      <w:r>
        <w:rPr>
          <w:noProof/>
        </w:rPr>
        <w:t>Aux termes de l’article 33 de la convention, le Conseil international des céréales peut, par un vote spécial, proroger la convention pour des périodes successives ne dépassant pas deux ans chacune. Depuis sa conclusion, la convention a été régulièrement prorogée pour de nouvelles périodes de deux ans. La convention a été prorogée pour la dernière fois par décision du Conseil international des céréales le 10 juin 2019</w:t>
      </w:r>
      <w:r>
        <w:rPr>
          <w:rStyle w:val="FootnoteReference"/>
          <w:noProof/>
        </w:rPr>
        <w:footnoteReference w:id="6"/>
      </w:r>
      <w:r>
        <w:rPr>
          <w:noProof/>
        </w:rPr>
        <w:t xml:space="preserve"> et elle reste en vigueur jusqu’au 30 juin 2021.</w:t>
      </w:r>
    </w:p>
    <w:p>
      <w:pPr>
        <w:pStyle w:val="ManualConsidrant"/>
        <w:rPr>
          <w:noProof/>
        </w:rPr>
      </w:pPr>
      <w:r>
        <w:t>(3)</w:t>
      </w:r>
      <w:r>
        <w:tab/>
      </w:r>
      <w:r>
        <w:rPr>
          <w:noProof/>
        </w:rPr>
        <w:t>Lors de sa 53</w:t>
      </w:r>
      <w:r>
        <w:rPr>
          <w:noProof/>
          <w:vertAlign w:val="superscript"/>
        </w:rPr>
        <w:t>e</w:t>
      </w:r>
      <w:r>
        <w:rPr>
          <w:noProof/>
        </w:rPr>
        <w:t xml:space="preserve"> session, qui se tiendra le 7 juin 2021, le Conseil international des céréales doit décider de proroger la convention pour une nouvelle période de deux ans au maximum, du 1</w:t>
      </w:r>
      <w:r>
        <w:rPr>
          <w:noProof/>
          <w:vertAlign w:val="superscript"/>
        </w:rPr>
        <w:t>er</w:t>
      </w:r>
      <w:r>
        <w:rPr>
          <w:noProof/>
        </w:rPr>
        <w:t xml:space="preserve"> juillet 2021 au 30 juin 2023.</w:t>
      </w:r>
    </w:p>
    <w:p>
      <w:pPr>
        <w:pStyle w:val="ManualConsidrant"/>
        <w:rPr>
          <w:noProof/>
        </w:rPr>
      </w:pPr>
      <w:r>
        <w:t>(4)</w:t>
      </w:r>
      <w:r>
        <w:tab/>
      </w:r>
      <w:r>
        <w:rPr>
          <w:noProof/>
        </w:rPr>
        <w:t>Il convient de déterminer la position à prendre au nom de l’Union lors de la 53</w:t>
      </w:r>
      <w:r>
        <w:rPr>
          <w:noProof/>
          <w:vertAlign w:val="superscript"/>
        </w:rPr>
        <w:t>e</w:t>
      </w:r>
      <w:r>
        <w:rPr>
          <w:noProof/>
        </w:rPr>
        <w:t xml:space="preserve"> session du Conseil international des céréales, car une prorogation de la convention est dans l’intérêt de l’Union,</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par la Commission au nom de l’Union lors de la 53</w:t>
      </w:r>
      <w:r>
        <w:rPr>
          <w:noProof/>
          <w:vertAlign w:val="superscript"/>
        </w:rPr>
        <w:t>e</w:t>
      </w:r>
      <w:r>
        <w:rPr>
          <w:noProof/>
        </w:rPr>
        <w:t xml:space="preserve"> session du Conseil international des céréales est de voter en faveur de la prorogation de la convention sur le commerce des céréales de 1995 pour une nouvelle période de deux ans au maximum, du 1</w:t>
      </w:r>
      <w:r>
        <w:rPr>
          <w:noProof/>
          <w:vertAlign w:val="superscript"/>
        </w:rPr>
        <w:t>er</w:t>
      </w:r>
      <w:r>
        <w:rPr>
          <w:noProof/>
        </w:rPr>
        <w:t xml:space="preserve"> juillet  2021 au 30 juin 2023.</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851"/>
        <w:gridCol w:w="850"/>
      </w:tblGrid>
      <w:tr>
        <w:trPr>
          <w:trHeight w:val="355"/>
        </w:trPr>
        <w:tc>
          <w:tcPr>
            <w:tcW w:w="7144" w:type="dxa"/>
            <w:gridSpan w:val="4"/>
            <w:vMerge w:val="restart"/>
          </w:tcPr>
          <w:p>
            <w:pPr>
              <w:pStyle w:val="Fichefinanciretitretable"/>
              <w:keepNext/>
              <w:rPr>
                <w:noProof/>
              </w:rPr>
            </w:pPr>
            <w:r>
              <w:rPr>
                <w:noProof/>
              </w:rPr>
              <w:lastRenderedPageBreak/>
              <w:t>FICHE FINANCIÈRE</w:t>
            </w:r>
          </w:p>
        </w:tc>
        <w:tc>
          <w:tcPr>
            <w:tcW w:w="1984" w:type="dxa"/>
            <w:gridSpan w:val="3"/>
          </w:tcPr>
          <w:p>
            <w:pPr>
              <w:pStyle w:val="Fichefinanciretextetable"/>
              <w:keepNext/>
            </w:pPr>
            <w:r>
              <w:rPr>
                <w:noProof/>
              </w:rPr>
              <w:t xml:space="preserve">FinancSt/10/ </w:t>
            </w:r>
            <w:r>
              <w:rPr>
                <w:noProof/>
              </w:rPr>
              <w:br/>
              <w:t>PSH/pl/914809</w:t>
            </w:r>
          </w:p>
        </w:tc>
      </w:tr>
      <w:tr>
        <w:trPr>
          <w:trHeight w:val="355"/>
        </w:trPr>
        <w:tc>
          <w:tcPr>
            <w:tcW w:w="7144" w:type="dxa"/>
            <w:gridSpan w:val="4"/>
            <w:vMerge/>
            <w:tcBorders>
              <w:bottom w:val="nil"/>
            </w:tcBorders>
          </w:tcPr>
          <w:p>
            <w:pPr>
              <w:pStyle w:val="Fichefinanciretitretable"/>
              <w:keepNext/>
              <w:rPr>
                <w:noProof/>
              </w:rPr>
            </w:pPr>
          </w:p>
        </w:tc>
        <w:tc>
          <w:tcPr>
            <w:tcW w:w="1984" w:type="dxa"/>
            <w:gridSpan w:val="3"/>
          </w:tcPr>
          <w:p>
            <w:pPr>
              <w:pStyle w:val="Fichefinanciretextetable"/>
              <w:keepNext/>
            </w:pPr>
            <w:r>
              <w:rPr>
                <w:noProof/>
              </w:rPr>
              <w:t>6.221.2022.1</w:t>
            </w:r>
          </w:p>
        </w:tc>
      </w:tr>
      <w:tr>
        <w:tc>
          <w:tcPr>
            <w:tcW w:w="7144" w:type="dxa"/>
            <w:gridSpan w:val="4"/>
            <w:tcBorders>
              <w:top w:val="nil"/>
            </w:tcBorders>
          </w:tcPr>
          <w:p>
            <w:pPr>
              <w:pStyle w:val="Fichefinanciretextetable"/>
              <w:keepNext/>
              <w:rPr>
                <w:noProof/>
              </w:rPr>
            </w:pPr>
          </w:p>
        </w:tc>
        <w:tc>
          <w:tcPr>
            <w:tcW w:w="1984" w:type="dxa"/>
            <w:gridSpan w:val="3"/>
          </w:tcPr>
          <w:p>
            <w:pPr>
              <w:pStyle w:val="Fichefinanciretextetable"/>
              <w:keepNext/>
              <w:rPr>
                <w:noProof/>
              </w:rPr>
            </w:pPr>
            <w:r>
              <w:rPr>
                <w:noProof/>
              </w:rPr>
              <w:t>DATE: 18.1.2021</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3"/>
            <w:tcBorders>
              <w:left w:val="nil"/>
              <w:right w:val="nil"/>
            </w:tcBorders>
          </w:tcPr>
          <w:p>
            <w:pPr>
              <w:pStyle w:val="Fichefinanciretextetable"/>
              <w:keepNext/>
              <w:rPr>
                <w:noProof/>
              </w:rPr>
            </w:pPr>
            <w:r>
              <w:rPr>
                <w:noProof/>
              </w:rPr>
              <w:t>LIGNE BUDGÉTAIRE:</w:t>
            </w:r>
          </w:p>
          <w:p>
            <w:pPr>
              <w:pStyle w:val="Fichefinanciretextetable"/>
              <w:keepNext/>
              <w:rPr>
                <w:noProof/>
              </w:rPr>
            </w:pPr>
            <w:r>
              <w:rPr>
                <w:noProof/>
              </w:rPr>
              <w:t>14 20 03 06 Accords internationaux en matière agricole</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CRÉDITS:</w:t>
            </w:r>
          </w:p>
          <w:p>
            <w:pPr>
              <w:pStyle w:val="Fichefinanciretextetable"/>
              <w:keepNext/>
              <w:rPr>
                <w:noProof/>
              </w:rPr>
            </w:pPr>
            <w:r>
              <w:rPr>
                <w:noProof/>
              </w:rPr>
              <w:t>B2021 6 300 000 EUR</w:t>
            </w:r>
          </w:p>
        </w:tc>
      </w:tr>
      <w:tr>
        <w:tc>
          <w:tcPr>
            <w:tcW w:w="567" w:type="dxa"/>
            <w:tcBorders>
              <w:bottom w:val="nil"/>
              <w:right w:val="nil"/>
            </w:tcBorders>
          </w:tcPr>
          <w:p>
            <w:pPr>
              <w:pStyle w:val="Fichefinanciretextetable"/>
              <w:keepNext/>
              <w:rPr>
                <w:noProof/>
              </w:rPr>
            </w:pPr>
            <w:r>
              <w:rPr>
                <w:noProof/>
              </w:rPr>
              <w:t>2.</w:t>
            </w:r>
          </w:p>
        </w:tc>
        <w:tc>
          <w:tcPr>
            <w:tcW w:w="8561" w:type="dxa"/>
            <w:gridSpan w:val="6"/>
            <w:tcBorders>
              <w:left w:val="nil"/>
            </w:tcBorders>
          </w:tcPr>
          <w:p>
            <w:pPr>
              <w:pStyle w:val="Fichefinanciretextetable"/>
              <w:keepNext/>
              <w:rPr>
                <w:noProof/>
              </w:rPr>
            </w:pPr>
            <w:r>
              <w:rPr>
                <w:noProof/>
              </w:rPr>
              <w:t>INTITULÉ DE LA MESURE:</w:t>
            </w:r>
          </w:p>
          <w:p>
            <w:pPr>
              <w:pStyle w:val="Fichefinanciretextetable"/>
              <w:keepNext/>
              <w:rPr>
                <w:noProof/>
              </w:rPr>
            </w:pPr>
            <w:r>
              <w:rPr>
                <w:noProof/>
              </w:rPr>
              <w:t>Proposition de décision du Conseil sur la position à prendre, au nom de l’Union européenne, au sein du Conseil international des céréales en ce qui concerne la prorogation de l’accord international sur le commerce des céréales de 1995</w:t>
            </w:r>
          </w:p>
        </w:tc>
      </w:tr>
      <w:tr>
        <w:tc>
          <w:tcPr>
            <w:tcW w:w="567" w:type="dxa"/>
            <w:tcBorders>
              <w:bottom w:val="nil"/>
              <w:right w:val="nil"/>
            </w:tcBorders>
          </w:tcPr>
          <w:p>
            <w:pPr>
              <w:pStyle w:val="Fichefinanciretextetable"/>
              <w:keepNext/>
              <w:rPr>
                <w:noProof/>
              </w:rPr>
            </w:pPr>
            <w:r>
              <w:rPr>
                <w:noProof/>
              </w:rPr>
              <w:t>3.</w:t>
            </w:r>
          </w:p>
        </w:tc>
        <w:tc>
          <w:tcPr>
            <w:tcW w:w="8561" w:type="dxa"/>
            <w:gridSpan w:val="6"/>
            <w:tcBorders>
              <w:left w:val="nil"/>
            </w:tcBorders>
          </w:tcPr>
          <w:p>
            <w:pPr>
              <w:pStyle w:val="Fichefinanciretextetable"/>
              <w:keepNext/>
              <w:rPr>
                <w:noProof/>
              </w:rPr>
            </w:pPr>
            <w:r>
              <w:rPr>
                <w:noProof/>
              </w:rPr>
              <w:t>BASE JURIDIQUE: Article 207 en liaison avec l'article 218, paragraphe 9, du traité sur le fonctionnement de l'Union européenne</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6"/>
            <w:tcBorders>
              <w:left w:val="nil"/>
            </w:tcBorders>
          </w:tcPr>
          <w:p>
            <w:pPr>
              <w:pStyle w:val="Fichefinanciretextetable"/>
              <w:keepNext/>
              <w:rPr>
                <w:noProof/>
              </w:rPr>
            </w:pPr>
            <w:r>
              <w:rPr>
                <w:noProof/>
              </w:rPr>
              <w:t>OBJECTIFS:</w:t>
            </w:r>
          </w:p>
          <w:p>
            <w:pPr>
              <w:pStyle w:val="Fichefinanciretextetable"/>
              <w:keepNext/>
              <w:rPr>
                <w:noProof/>
              </w:rPr>
            </w:pPr>
            <w:r>
              <w:rPr>
                <w:noProof/>
              </w:rPr>
              <w:t>Prorogation de l'actuelle convention sur le commerce des céréales de deux années supplémentaires (du 1</w:t>
            </w:r>
            <w:r>
              <w:rPr>
                <w:noProof/>
                <w:vertAlign w:val="superscript"/>
              </w:rPr>
              <w:t>er</w:t>
            </w:r>
            <w:r>
              <w:rPr>
                <w:noProof/>
              </w:rPr>
              <w:t xml:space="preserve"> juillet 2021 au 30 juin 2023).</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INCIDENCES FINANCIÈRES</w:t>
            </w:r>
          </w:p>
        </w:tc>
        <w:tc>
          <w:tcPr>
            <w:tcW w:w="1417" w:type="dxa"/>
          </w:tcPr>
          <w:p>
            <w:pPr>
              <w:pStyle w:val="Fichefinanciretextetable"/>
              <w:keepNext/>
              <w:jc w:val="center"/>
              <w:rPr>
                <w:noProof/>
              </w:rPr>
            </w:pPr>
            <w:r>
              <w:rPr>
                <w:noProof/>
              </w:rPr>
              <w:t xml:space="preserve">PÉRIODE DE 12 MOIS </w:t>
            </w:r>
            <w:r>
              <w:rPr>
                <w:noProof/>
              </w:rPr>
              <w:br/>
              <w:t xml:space="preserve"> </w:t>
            </w:r>
            <w:r>
              <w:rPr>
                <w:noProof/>
              </w:rPr>
              <w:br/>
              <w:t xml:space="preserve"> </w:t>
            </w:r>
            <w:r>
              <w:rPr>
                <w:noProof/>
              </w:rPr>
              <w:br/>
              <w:t>(Mio EUR)</w:t>
            </w:r>
          </w:p>
        </w:tc>
        <w:tc>
          <w:tcPr>
            <w:tcW w:w="1559" w:type="dxa"/>
            <w:gridSpan w:val="2"/>
          </w:tcPr>
          <w:p>
            <w:pPr>
              <w:pStyle w:val="Fichefinanciretextetable"/>
              <w:keepNext/>
              <w:jc w:val="center"/>
              <w:rPr>
                <w:noProof/>
              </w:rPr>
            </w:pPr>
            <w:r>
              <w:rPr>
                <w:noProof/>
              </w:rPr>
              <w:t>EXERCICE EN COURS</w:t>
            </w:r>
          </w:p>
          <w:p>
            <w:pPr>
              <w:pStyle w:val="Fichefinanciretextetable"/>
              <w:keepNext/>
              <w:jc w:val="center"/>
              <w:rPr>
                <w:noProof/>
              </w:rPr>
            </w:pPr>
            <w:r>
              <w:rPr>
                <w:noProof/>
              </w:rPr>
              <w:t>2021</w:t>
            </w:r>
          </w:p>
          <w:p>
            <w:pPr>
              <w:pStyle w:val="Fichefinanciretextetable"/>
              <w:keepNext/>
              <w:jc w:val="center"/>
              <w:rPr>
                <w:noProof/>
              </w:rPr>
            </w:pPr>
            <w:r>
              <w:rPr>
                <w:noProof/>
              </w:rPr>
              <w:t>(Mio EUR)</w:t>
            </w:r>
          </w:p>
        </w:tc>
        <w:tc>
          <w:tcPr>
            <w:tcW w:w="1701" w:type="dxa"/>
            <w:gridSpan w:val="2"/>
          </w:tcPr>
          <w:p>
            <w:pPr>
              <w:pStyle w:val="Fichefinanciretextetable"/>
              <w:keepNext/>
              <w:jc w:val="center"/>
              <w:rPr>
                <w:noProof/>
              </w:rPr>
            </w:pPr>
            <w:r>
              <w:rPr>
                <w:noProof/>
              </w:rPr>
              <w:t>EXERCICE SUIVANT</w:t>
            </w:r>
          </w:p>
          <w:p>
            <w:pPr>
              <w:pStyle w:val="Fichefinanciretextetable"/>
              <w:keepNext/>
              <w:jc w:val="center"/>
              <w:rPr>
                <w:noProof/>
              </w:rPr>
            </w:pPr>
            <w:r>
              <w:rPr>
                <w:noProof/>
              </w:rPr>
              <w:t>2022</w:t>
            </w:r>
          </w:p>
          <w:p>
            <w:pPr>
              <w:pStyle w:val="Fichefinanciretextetable"/>
              <w:keepNext/>
              <w:jc w:val="center"/>
              <w:rPr>
                <w:noProof/>
              </w:rPr>
            </w:pPr>
            <w:r>
              <w:rPr>
                <w:noProof/>
              </w:rPr>
              <w:t>(Mio EUR)</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DÉPENSES</w:t>
            </w:r>
          </w:p>
          <w:p>
            <w:pPr>
              <w:pStyle w:val="Fichefinanciretextetable"/>
              <w:keepNext/>
              <w:rPr>
                <w:noProof/>
              </w:rPr>
            </w:pPr>
            <w:r>
              <w:rPr>
                <w:noProof/>
              </w:rPr>
              <w:t>-</w:t>
            </w:r>
            <w:r>
              <w:rPr>
                <w:noProof/>
              </w:rPr>
              <w:tab/>
              <w:t xml:space="preserve">À LA CHARGE DU BUDGET DE L'UE </w:t>
            </w:r>
            <w:r>
              <w:rPr>
                <w:noProof/>
              </w:rPr>
              <w:br/>
              <w:t>(RESTITUTIONS/INTERVENTIONS)</w:t>
            </w:r>
          </w:p>
          <w:p>
            <w:pPr>
              <w:pStyle w:val="Fichefinanciretextetable"/>
              <w:keepNext/>
              <w:rPr>
                <w:noProof/>
              </w:rPr>
            </w:pPr>
            <w:r>
              <w:rPr>
                <w:noProof/>
              </w:rPr>
              <w:t>-</w:t>
            </w:r>
            <w:r>
              <w:rPr>
                <w:noProof/>
              </w:rPr>
              <w:tab/>
              <w:t>DES BUDGETS NATIONAUX</w:t>
            </w:r>
          </w:p>
          <w:p>
            <w:pPr>
              <w:pStyle w:val="Fichefinanciretextetable"/>
              <w:keepNext/>
              <w:rPr>
                <w:noProof/>
              </w:rPr>
            </w:pPr>
            <w:r>
              <w:rPr>
                <w:noProof/>
              </w:rPr>
              <w:t>-</w:t>
            </w:r>
            <w:r>
              <w:rPr>
                <w:noProof/>
              </w:rPr>
              <w:tab/>
              <w:t>D'AUTRES SECTEURS</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r>
              <w:rPr>
                <w:noProof/>
              </w:rPr>
              <w:t>0,42</w:t>
            </w:r>
          </w:p>
        </w:tc>
        <w:tc>
          <w:tcPr>
            <w:tcW w:w="1701" w:type="dxa"/>
            <w:gridSpan w:val="2"/>
          </w:tcPr>
          <w:p>
            <w:pPr>
              <w:pStyle w:val="Fichefinanciretextetable"/>
              <w:keepNext/>
              <w:jc w:val="center"/>
              <w:rPr>
                <w:noProof/>
              </w:rPr>
            </w:pPr>
            <w:r>
              <w:rPr>
                <w:noProof/>
              </w:rPr>
              <w:t>0,39</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RECETTES</w:t>
            </w:r>
          </w:p>
          <w:p>
            <w:pPr>
              <w:pStyle w:val="Fichefinanciretextetable"/>
              <w:keepNext/>
              <w:rPr>
                <w:noProof/>
              </w:rPr>
            </w:pPr>
            <w:r>
              <w:rPr>
                <w:noProof/>
              </w:rPr>
              <w:t>-</w:t>
            </w:r>
            <w:r>
              <w:rPr>
                <w:noProof/>
              </w:rPr>
              <w:tab/>
              <w:t>RESSOURCES PROPRES DE L’UE (PRÉLÈVEMENTS/DROITS DE DOUANE)</w:t>
            </w:r>
          </w:p>
          <w:p>
            <w:pPr>
              <w:pStyle w:val="Fichefinanciretextetable"/>
              <w:keepNext/>
              <w:rPr>
                <w:noProof/>
              </w:rPr>
            </w:pPr>
            <w:r>
              <w:rPr>
                <w:noProof/>
              </w:rPr>
              <w:t>-</w:t>
            </w:r>
            <w:r>
              <w:rPr>
                <w:noProof/>
              </w:rPr>
              <w:tab/>
              <w:t>SUR LE PLAN NATIONAL</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417" w:type="dxa"/>
            <w:tcBorders>
              <w:bottom w:val="nil"/>
            </w:tcBorders>
          </w:tcPr>
          <w:p>
            <w:pPr>
              <w:pStyle w:val="Fichefinanciretextetable"/>
              <w:keepNext/>
              <w:jc w:val="center"/>
              <w:rPr>
                <w:noProof/>
              </w:rPr>
            </w:pPr>
            <w:r>
              <w:rPr>
                <w:noProof/>
              </w:rPr>
              <w:t>2023</w:t>
            </w:r>
          </w:p>
        </w:tc>
        <w:tc>
          <w:tcPr>
            <w:tcW w:w="1559" w:type="dxa"/>
            <w:gridSpan w:val="2"/>
            <w:tcBorders>
              <w:bottom w:val="nil"/>
            </w:tcBorders>
          </w:tcPr>
          <w:p>
            <w:pPr>
              <w:pStyle w:val="Fichefinanciretextetable"/>
              <w:keepNext/>
              <w:jc w:val="center"/>
            </w:pPr>
          </w:p>
        </w:tc>
        <w:tc>
          <w:tcPr>
            <w:tcW w:w="1701" w:type="dxa"/>
            <w:gridSpan w:val="2"/>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PRÉVISIONS DES DÉPENSES</w:t>
            </w:r>
          </w:p>
        </w:tc>
        <w:tc>
          <w:tcPr>
            <w:tcW w:w="1417" w:type="dxa"/>
            <w:tcBorders>
              <w:bottom w:val="nil"/>
            </w:tcBorders>
          </w:tcPr>
          <w:p>
            <w:pPr>
              <w:pStyle w:val="Fichefinanciretextetable"/>
              <w:keepNext/>
              <w:jc w:val="center"/>
              <w:rPr>
                <w:noProof/>
              </w:rPr>
            </w:pPr>
            <w:r>
              <w:rPr>
                <w:noProof/>
              </w:rPr>
              <w:t>-</w:t>
            </w:r>
          </w:p>
        </w:tc>
        <w:tc>
          <w:tcPr>
            <w:tcW w:w="1559" w:type="dxa"/>
            <w:gridSpan w:val="2"/>
            <w:tcBorders>
              <w:bottom w:val="nil"/>
            </w:tcBorders>
          </w:tcPr>
          <w:p>
            <w:pPr>
              <w:pStyle w:val="Fichefinanciretextetable"/>
              <w:keepNext/>
              <w:jc w:val="center"/>
              <w:rPr>
                <w:noProof/>
              </w:rPr>
            </w:pPr>
          </w:p>
        </w:tc>
        <w:tc>
          <w:tcPr>
            <w:tcW w:w="1701" w:type="dxa"/>
            <w:gridSpan w:val="2"/>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PRÉVISIONS DES RECETTES</w:t>
            </w:r>
          </w:p>
        </w:tc>
        <w:tc>
          <w:tcPr>
            <w:tcW w:w="1417" w:type="dxa"/>
            <w:tcBorders>
              <w:top w:val="nil"/>
            </w:tcBorders>
          </w:tcPr>
          <w:p>
            <w:pPr>
              <w:pStyle w:val="Fichefinanciretextetable"/>
              <w:keepNext/>
              <w:jc w:val="center"/>
              <w:rPr>
                <w:noProof/>
              </w:rPr>
            </w:pPr>
          </w:p>
        </w:tc>
        <w:tc>
          <w:tcPr>
            <w:tcW w:w="1559" w:type="dxa"/>
            <w:gridSpan w:val="2"/>
            <w:tcBorders>
              <w:top w:val="nil"/>
            </w:tcBorders>
          </w:tcPr>
          <w:p>
            <w:pPr>
              <w:pStyle w:val="Fichefinanciretextetable"/>
              <w:keepNext/>
              <w:jc w:val="center"/>
              <w:rPr>
                <w:noProof/>
              </w:rPr>
            </w:pPr>
          </w:p>
        </w:tc>
        <w:tc>
          <w:tcPr>
            <w:tcW w:w="1701" w:type="dxa"/>
            <w:gridSpan w:val="2"/>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6"/>
            <w:tcBorders>
              <w:left w:val="nil"/>
            </w:tcBorders>
          </w:tcPr>
          <w:p>
            <w:pPr>
              <w:pStyle w:val="Fichefinanciretextetable"/>
              <w:keepNext/>
              <w:spacing w:before="60" w:after="60"/>
              <w:rPr>
                <w:noProof/>
              </w:rPr>
            </w:pPr>
            <w:r>
              <w:rPr>
                <w:noProof/>
              </w:rPr>
              <w:t>MODE DE CALCUL: Basé sur des hypothèses quant au nombre estimé de voix attribuées à l'UE (qui varie chaque année) et sur le montant estimé à payer par voix en GBP.</w:t>
            </w:r>
          </w:p>
        </w:tc>
      </w:tr>
      <w:tr>
        <w:tc>
          <w:tcPr>
            <w:tcW w:w="567" w:type="dxa"/>
            <w:tcBorders>
              <w:bottom w:val="nil"/>
              <w:right w:val="nil"/>
            </w:tcBorders>
          </w:tcPr>
          <w:p>
            <w:pPr>
              <w:pStyle w:val="Fichefinanciretextetable"/>
              <w:keepNext/>
              <w:rPr>
                <w:noProof/>
              </w:rPr>
            </w:pPr>
            <w:r>
              <w:rPr>
                <w:noProof/>
              </w:rPr>
              <w:t>6.0</w:t>
            </w:r>
          </w:p>
        </w:tc>
        <w:tc>
          <w:tcPr>
            <w:tcW w:w="7711" w:type="dxa"/>
            <w:gridSpan w:val="5"/>
            <w:tcBorders>
              <w:left w:val="nil"/>
              <w:right w:val="nil"/>
            </w:tcBorders>
          </w:tcPr>
          <w:p>
            <w:pPr>
              <w:pStyle w:val="Fichefinanciretextetable"/>
              <w:keepNext/>
              <w:spacing w:before="60" w:after="60"/>
              <w:rPr>
                <w:noProof/>
              </w:rPr>
            </w:pPr>
            <w:r>
              <w:rPr>
                <w:noProof/>
              </w:rPr>
              <w:t>FINANCEMENT POSSIBLE PAR CRÉDITS INSCRITS AU CHAPITRE CONCERNÉ DU BUDGET EN COURS D'EXÉCUTION</w:t>
            </w:r>
          </w:p>
        </w:tc>
        <w:tc>
          <w:tcPr>
            <w:tcW w:w="850" w:type="dxa"/>
            <w:tcBorders>
              <w:left w:val="nil"/>
              <w:bottom w:val="nil"/>
            </w:tcBorders>
          </w:tcPr>
          <w:p>
            <w:pPr>
              <w:pStyle w:val="Fichefinanciretextetable"/>
              <w:keepNext/>
              <w:jc w:val="center"/>
              <w:rPr>
                <w:noProof/>
              </w:rPr>
            </w:pPr>
            <w:r>
              <w:rPr>
                <w:noProof/>
              </w:rPr>
              <w:t xml:space="preserve">OUI </w:t>
            </w:r>
          </w:p>
        </w:tc>
      </w:tr>
      <w:tr>
        <w:tc>
          <w:tcPr>
            <w:tcW w:w="567" w:type="dxa"/>
            <w:tcBorders>
              <w:bottom w:val="nil"/>
              <w:right w:val="nil"/>
            </w:tcBorders>
          </w:tcPr>
          <w:p>
            <w:pPr>
              <w:pStyle w:val="Fichefinanciretextetable"/>
              <w:keepNext/>
              <w:rPr>
                <w:noProof/>
              </w:rPr>
            </w:pPr>
            <w:r>
              <w:rPr>
                <w:noProof/>
              </w:rPr>
              <w:t>6.1</w:t>
            </w:r>
          </w:p>
        </w:tc>
        <w:tc>
          <w:tcPr>
            <w:tcW w:w="7711" w:type="dxa"/>
            <w:gridSpan w:val="5"/>
            <w:tcBorders>
              <w:left w:val="nil"/>
              <w:right w:val="nil"/>
            </w:tcBorders>
          </w:tcPr>
          <w:p>
            <w:pPr>
              <w:pStyle w:val="Fichefinanciretextetable"/>
              <w:keepNext/>
              <w:spacing w:before="60" w:after="60"/>
              <w:rPr>
                <w:noProof/>
              </w:rPr>
            </w:pPr>
            <w:r>
              <w:rPr>
                <w:noProof/>
              </w:rPr>
              <w:t>FINANCEMENT POSSIBLE PAR VIREMENT ENTRE CHAPITRES DU BUDGET EN COURS D'EXÉCUTION</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bottom w:val="nil"/>
              <w:right w:val="nil"/>
            </w:tcBorders>
          </w:tcPr>
          <w:p>
            <w:pPr>
              <w:pStyle w:val="Fichefinanciretextetable"/>
              <w:keepNext/>
              <w:rPr>
                <w:noProof/>
              </w:rPr>
            </w:pPr>
            <w:r>
              <w:rPr>
                <w:noProof/>
              </w:rPr>
              <w:t>6.2</w:t>
            </w:r>
          </w:p>
        </w:tc>
        <w:tc>
          <w:tcPr>
            <w:tcW w:w="7711" w:type="dxa"/>
            <w:gridSpan w:val="5"/>
            <w:tcBorders>
              <w:left w:val="nil"/>
              <w:right w:val="nil"/>
            </w:tcBorders>
          </w:tcPr>
          <w:p>
            <w:pPr>
              <w:pStyle w:val="Fichefinanciretextetable"/>
              <w:keepNext/>
              <w:spacing w:before="60" w:after="60"/>
              <w:rPr>
                <w:noProof/>
              </w:rPr>
            </w:pPr>
            <w:r>
              <w:rPr>
                <w:noProof/>
              </w:rPr>
              <w:t>NÉCESSITÉ D'UN BUDGET SUPPLÉMENTAIRE</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right w:val="nil"/>
            </w:tcBorders>
          </w:tcPr>
          <w:p>
            <w:pPr>
              <w:pStyle w:val="Fichefinanciretextetable"/>
              <w:keepNext/>
              <w:rPr>
                <w:noProof/>
              </w:rPr>
            </w:pPr>
            <w:r>
              <w:rPr>
                <w:noProof/>
              </w:rPr>
              <w:t>6.3</w:t>
            </w:r>
          </w:p>
        </w:tc>
        <w:tc>
          <w:tcPr>
            <w:tcW w:w="7711" w:type="dxa"/>
            <w:gridSpan w:val="5"/>
            <w:tcBorders>
              <w:left w:val="nil"/>
              <w:right w:val="nil"/>
            </w:tcBorders>
          </w:tcPr>
          <w:p>
            <w:pPr>
              <w:pStyle w:val="Fichefinanciretextetable"/>
              <w:keepNext/>
              <w:spacing w:before="60" w:after="60"/>
              <w:rPr>
                <w:noProof/>
              </w:rPr>
            </w:pPr>
            <w:r>
              <w:rPr>
                <w:noProof/>
              </w:rPr>
              <w:t>CRÉDITS À INSCRIRE DANS LES BUDGETS FUTURS</w:t>
            </w:r>
          </w:p>
        </w:tc>
        <w:tc>
          <w:tcPr>
            <w:tcW w:w="850" w:type="dxa"/>
            <w:tcBorders>
              <w:left w:val="nil"/>
            </w:tcBorders>
          </w:tcPr>
          <w:p>
            <w:pPr>
              <w:pStyle w:val="Fichefinanciretextetable"/>
              <w:keepNext/>
              <w:jc w:val="center"/>
            </w:pPr>
            <w:r>
              <w:rPr>
                <w:noProof/>
              </w:rPr>
              <w:t xml:space="preserve">OUI </w:t>
            </w:r>
          </w:p>
        </w:tc>
      </w:tr>
      <w:tr>
        <w:tc>
          <w:tcPr>
            <w:tcW w:w="9128" w:type="dxa"/>
            <w:gridSpan w:val="7"/>
          </w:tcPr>
          <w:p>
            <w:pPr>
              <w:pStyle w:val="Fichefinanciretextetable"/>
              <w:keepNext/>
              <w:rPr>
                <w:noProof/>
              </w:rPr>
            </w:pPr>
            <w:r>
              <w:rPr>
                <w:noProof/>
              </w:rPr>
              <w:t>OBSERVATIONS:</w:t>
            </w:r>
          </w:p>
          <w:p>
            <w:pPr>
              <w:keepNext/>
              <w:autoSpaceDE w:val="0"/>
              <w:autoSpaceDN w:val="0"/>
              <w:adjustRightInd w:val="0"/>
              <w:rPr>
                <w:noProof/>
                <w:sz w:val="20"/>
              </w:rPr>
            </w:pPr>
            <w:r>
              <w:rPr>
                <w:noProof/>
                <w:sz w:val="20"/>
              </w:rPr>
              <w:t xml:space="preserve">Le montant à payer effectivement peut varier en fonction du nombre final de voix attribuées à l'UE, du montant à payer par voix en GBP et du taux de change EUR/GBP. </w:t>
            </w:r>
          </w:p>
          <w:p>
            <w:pPr>
              <w:pStyle w:val="Fichefinanciretextetable"/>
              <w:rPr>
                <w:noProof/>
              </w:rPr>
            </w:pPr>
          </w:p>
        </w:tc>
      </w:tr>
    </w:tbl>
    <w:p>
      <w:pPr>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 du 27.1.1996, p. 47.</w:t>
      </w:r>
    </w:p>
  </w:footnote>
  <w:footnote w:id="2">
    <w:p>
      <w:pPr>
        <w:pStyle w:val="FootnoteText"/>
        <w:rPr>
          <w:lang w:val="fr-BE"/>
        </w:rPr>
      </w:pPr>
      <w:r>
        <w:rPr>
          <w:rStyle w:val="FootnoteReference"/>
        </w:rPr>
        <w:footnoteRef/>
      </w:r>
      <w:r>
        <w:rPr>
          <w:lang w:val="fr-BE"/>
        </w:rPr>
        <w:tab/>
        <w:t>Le Conseil international des céréales agit sur la base d’un exercice compris entre le 1</w:t>
      </w:r>
      <w:r>
        <w:rPr>
          <w:vertAlign w:val="superscript"/>
          <w:lang w:val="fr-BE"/>
        </w:rPr>
        <w:t>er</w:t>
      </w:r>
      <w:r>
        <w:rPr>
          <w:lang w:val="fr-BE"/>
        </w:rPr>
        <w:t xml:space="preserve"> juillet et le 30 juin de l'année suivante.</w:t>
      </w:r>
    </w:p>
  </w:footnote>
  <w:footnote w:id="3">
    <w:p>
      <w:pPr>
        <w:pStyle w:val="FootnoteText"/>
        <w:rPr>
          <w:lang w:val="fr-BE"/>
        </w:rPr>
      </w:pPr>
      <w:r>
        <w:rPr>
          <w:rStyle w:val="FootnoteReference"/>
        </w:rPr>
        <w:footnoteRef/>
      </w:r>
      <w:r>
        <w:rPr>
          <w:lang w:val="fr-BE"/>
        </w:rPr>
        <w:tab/>
        <w:t>JO L 21 du 27.1.1996, p. 47.</w:t>
      </w:r>
    </w:p>
  </w:footnote>
  <w:footnote w:id="4">
    <w:p>
      <w:pPr>
        <w:pStyle w:val="FootnoteText"/>
        <w:rPr>
          <w:lang w:val="fr-BE"/>
        </w:rPr>
      </w:pPr>
      <w:r>
        <w:rPr>
          <w:rStyle w:val="FootnoteReference"/>
        </w:rPr>
        <w:footnoteRef/>
      </w:r>
      <w:r>
        <w:rPr>
          <w:lang w:val="fr-BE"/>
        </w:rPr>
        <w:tab/>
        <w:t>Arrêt de la Cour de justice du 7 octobre 2014, Allemagne/Conseil, C-399/12, ECLI:EU:C:2014:2258, points 63 et 64.</w:t>
      </w:r>
    </w:p>
  </w:footnote>
  <w:footnote w:id="5">
    <w:p>
      <w:pPr>
        <w:pStyle w:val="FootnoteText"/>
        <w:rPr>
          <w:lang w:val="fr-BE"/>
        </w:rPr>
      </w:pPr>
      <w:r>
        <w:rPr>
          <w:rStyle w:val="FootnoteReference"/>
        </w:rPr>
        <w:footnoteRef/>
      </w:r>
      <w:r>
        <w:rPr>
          <w:lang w:val="fr-BE"/>
        </w:rPr>
        <w:tab/>
        <w:t>Décision 96/88/CE du Conseil du 19 décembre 1995 concernant l’approbation par la Communauté européenne de la convention sur le commerce des céréales et de la convention relative à l’aide alimentaire, constituant l’accord international sur les céréales de 1995 (JO L 21 du 27.1.1996, p. 47).</w:t>
      </w:r>
    </w:p>
  </w:footnote>
  <w:footnote w:id="6">
    <w:p>
      <w:pPr>
        <w:pStyle w:val="FootnoteText"/>
        <w:rPr>
          <w:lang w:val="fr-BE"/>
        </w:rPr>
      </w:pPr>
      <w:r>
        <w:rPr>
          <w:rStyle w:val="FootnoteReference"/>
        </w:rPr>
        <w:footnoteRef/>
      </w:r>
      <w:r>
        <w:rPr>
          <w:lang w:val="fr-BE"/>
        </w:rPr>
        <w:tab/>
        <w:t>Décision (UE) 2019/813 du Conseil du 17 mai 2019 relative à la position à prendre, au nom de l’Union européenne, au sein du Conseil international des céréales en ce qui concerne la prorogation de la convention sur le commerce des céréales de 1995 (JO L 133 du 21.5.2019,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841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94B5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3E5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3A8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348A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A475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8D15A"/>
    <w:lvl w:ilvl="0">
      <w:start w:val="1"/>
      <w:numFmt w:val="decimal"/>
      <w:pStyle w:val="ListNumber"/>
      <w:lvlText w:val="%1."/>
      <w:lvlJc w:val="left"/>
      <w:pPr>
        <w:tabs>
          <w:tab w:val="num" w:pos="360"/>
        </w:tabs>
        <w:ind w:left="360" w:hanging="360"/>
      </w:pPr>
    </w:lvl>
  </w:abstractNum>
  <w:abstractNum w:abstractNumId="7">
    <w:nsid w:val="FFFFFF89"/>
    <w:multiLevelType w:val="singleLevel"/>
    <w:tmpl w:val="5AFAB0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15:24: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86CBDA-3FC8-4613-B129-C248E79D368D"/>
    <w:docVar w:name="LW_COVERPAGE_TYPE" w:val="1"/>
    <w:docVar w:name="LW_CROSSREFERENCE" w:val="&lt;UNUSED&gt;"/>
    <w:docVar w:name="LW_DocType" w:val="COM"/>
    <w:docVar w:name="LW_EMISSION" w:val="18.3.2021"/>
    <w:docVar w:name="LW_EMISSION_ISODATE" w:val="2021-03-1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5"/>
    <w:docVar w:name="LW_REF.II.NEW.CP_YEAR" w:val="2021"/>
    <w:docVar w:name="LW_REF.INST.NEW" w:val="COM"/>
    <w:docVar w:name="LW_REF.INST.NEW_ADOPTED" w:val="final"/>
    <w:docVar w:name="LW_REF.INST.NEW_TEXT" w:val="(2021)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international des céréales en ce qui concerne la prorogation de la convention sur le commerce des céréales de 1995"/>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9729BB6-BC27-46D5-91C8-8F7C5194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1852</Words>
  <Characters>9783</Characters>
  <Application>Microsoft Office Word</Application>
  <DocSecurity>0</DocSecurity>
  <Lines>257</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2021-03-08T08:17:00Z</dcterms:created>
  <dcterms:modified xsi:type="dcterms:W3CDTF">2021-03-15T14:24:00Z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6.0.1, Build 20180503</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