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B5" w:rsidRDefault="00454F4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C7B675A-3057-4B29-AB0C-2F8FE45F4570" style="width:450.45pt;height:393.3pt">
            <v:imagedata r:id="rId8" o:title=""/>
          </v:shape>
        </w:pict>
      </w:r>
    </w:p>
    <w:p w:rsidR="00D947B5" w:rsidRDefault="00D947B5">
      <w:pPr>
        <w:rPr>
          <w:noProof/>
        </w:rPr>
        <w:sectPr w:rsidR="00D947B5">
          <w:footerReference w:type="default" r:id="rId9"/>
          <w:pgSz w:w="11907" w:h="16839"/>
          <w:pgMar w:top="1134" w:right="1417" w:bottom="1134" w:left="1417" w:header="709" w:footer="709" w:gutter="0"/>
          <w:pgNumType w:start="0"/>
          <w:cols w:space="720"/>
          <w:docGrid w:linePitch="360"/>
        </w:sectPr>
      </w:pPr>
    </w:p>
    <w:p w:rsidR="00D947B5" w:rsidRDefault="00454F48">
      <w:pPr>
        <w:pStyle w:val="Exposdesmotifstitre"/>
        <w:rPr>
          <w:noProof/>
        </w:rPr>
      </w:pPr>
      <w:r>
        <w:rPr>
          <w:noProof/>
        </w:rPr>
        <w:lastRenderedPageBreak/>
        <w:t>EXPLANATORY MEMORANDUM</w:t>
      </w:r>
    </w:p>
    <w:p w:rsidR="00D947B5" w:rsidRDefault="00454F48">
      <w:pPr>
        <w:pStyle w:val="ManualHeading1"/>
        <w:rPr>
          <w:noProof/>
        </w:rPr>
      </w:pPr>
      <w:r>
        <w:rPr>
          <w:noProof/>
        </w:rPr>
        <w:t>1.</w:t>
      </w:r>
      <w:r>
        <w:rPr>
          <w:noProof/>
        </w:rPr>
        <w:tab/>
        <w:t>CONTEXT OF THE PROPOSAL</w:t>
      </w:r>
    </w:p>
    <w:p w:rsidR="00D947B5" w:rsidRDefault="00454F4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D947B5" w:rsidRDefault="00454F48">
      <w:pPr>
        <w:rPr>
          <w:noProof/>
          <w:lang w:val="en-IE"/>
        </w:rPr>
      </w:pPr>
      <w:r>
        <w:rPr>
          <w:noProof/>
          <w:lang w:val="en-IE"/>
        </w:rPr>
        <w:t xml:space="preserve">In accordance with the Convention implementing the </w:t>
      </w:r>
      <w:r>
        <w:rPr>
          <w:noProof/>
          <w:lang w:val="en-IE"/>
        </w:rPr>
        <w:t xml:space="preserve">Schengen Agreement, third-country nationals legally residing or legally staying in a Member State may travel freely within the territories of the other Member States, provided that they fulfil certain conditions. The policy developed by the Union ensuring </w:t>
      </w:r>
      <w:r>
        <w:rPr>
          <w:noProof/>
          <w:lang w:val="en-IE"/>
        </w:rPr>
        <w:t>the absence of any controls on persons when crossing the internal borders thus benefits not only Union citizens but also third country nationals that have the right to travel in the EU. However, some of the restrictions adopted by the Member States in orde</w:t>
      </w:r>
      <w:r>
        <w:rPr>
          <w:noProof/>
          <w:lang w:val="en-IE"/>
        </w:rPr>
        <w:t xml:space="preserve">r to limit the spread of severe acute respiratory syndrome coronavirus 2 (‘SARS-CoV-2’), which causes coronavirus disease 2019 (‘COVID 19’), have had an impact on the exercise of that right. These measures often consisted of restrictions on entry or other </w:t>
      </w:r>
      <w:r>
        <w:rPr>
          <w:noProof/>
          <w:lang w:val="en-IE"/>
        </w:rPr>
        <w:t>specific requirements applicable to cross-border travellers, such as to undergo quarantine or self-isolation or to be tested for SARS-CoV-2 infection prior to and/or after arrival.</w:t>
      </w:r>
    </w:p>
    <w:p w:rsidR="00D947B5" w:rsidRDefault="00454F48">
      <w:pPr>
        <w:rPr>
          <w:rFonts w:eastAsia="Times New Roman"/>
          <w:noProof/>
          <w:lang w:val="en-IE"/>
        </w:rPr>
      </w:pPr>
      <w:r>
        <w:rPr>
          <w:noProof/>
          <w:lang w:val="en-IE"/>
        </w:rPr>
        <w:t>To ensure a well-coordinated, predictable and transparent approach to the a</w:t>
      </w:r>
      <w:r>
        <w:rPr>
          <w:noProof/>
          <w:lang w:val="en-IE"/>
        </w:rPr>
        <w:t>doption of restrictions on freedom of movement, the Council adopted, o</w:t>
      </w:r>
      <w:r>
        <w:rPr>
          <w:noProof/>
        </w:rPr>
        <w:t>n 13 October 2020, Council Recommendation (EU) 2020/1475 on a coordinated approach to the restriction of free movement in response to the COVID-19 pandemic, which addresses also the situ</w:t>
      </w:r>
      <w:r>
        <w:rPr>
          <w:noProof/>
        </w:rPr>
        <w:t>ation of third country nationals legally staying or legally residing in the Union</w:t>
      </w:r>
      <w:r>
        <w:rPr>
          <w:rStyle w:val="FootnoteReference"/>
          <w:noProof/>
        </w:rPr>
        <w:footnoteReference w:id="1"/>
      </w:r>
      <w:r>
        <w:rPr>
          <w:noProof/>
        </w:rPr>
        <w:t xml:space="preserve">. </w:t>
      </w:r>
      <w:r>
        <w:rPr>
          <w:rFonts w:eastAsia="Times New Roman"/>
          <w:noProof/>
          <w:lang w:val="en-IE"/>
        </w:rPr>
        <w:t>In line with point 17 of Council Recommendation (EU) 2020/1475, Member States could require persons travelling from risk areas in another EU Member State to undergo quarant</w:t>
      </w:r>
      <w:r>
        <w:rPr>
          <w:rFonts w:eastAsia="Times New Roman"/>
          <w:noProof/>
          <w:lang w:val="en-IE"/>
        </w:rPr>
        <w:t xml:space="preserve">ine/self-isolation and/or to undergo a test for SARS-CoV-2 infection prior to and/or after arrival. </w:t>
      </w:r>
    </w:p>
    <w:p w:rsidR="00D947B5" w:rsidRDefault="00454F48">
      <w:pPr>
        <w:rPr>
          <w:noProof/>
        </w:rPr>
      </w:pPr>
      <w:r>
        <w:rPr>
          <w:rFonts w:eastAsia="Times New Roman"/>
          <w:noProof/>
          <w:lang w:val="en-IE"/>
        </w:rPr>
        <w:t>To show compliance with the different requirements, travellers have been asked to provide various types of documentary evidence, such as medical certificat</w:t>
      </w:r>
      <w:r>
        <w:rPr>
          <w:rFonts w:eastAsia="Times New Roman"/>
          <w:noProof/>
          <w:lang w:val="en-IE"/>
        </w:rPr>
        <w:t xml:space="preserve">es, test results, or </w:t>
      </w:r>
      <w:r>
        <w:rPr>
          <w:noProof/>
        </w:rPr>
        <w:t>declarations. The absence of standardised and secured formats has resulted in travellers experiencing problems in the acceptance of their documents, as well as reports of fraudulent or forged documents being presented</w:t>
      </w:r>
      <w:r>
        <w:rPr>
          <w:rStyle w:val="FootnoteReference"/>
          <w:noProof/>
        </w:rPr>
        <w:footnoteReference w:id="2"/>
      </w:r>
      <w:r>
        <w:rPr>
          <w:noProof/>
        </w:rPr>
        <w:t>. These issues, w</w:t>
      </w:r>
      <w:r>
        <w:rPr>
          <w:noProof/>
        </w:rPr>
        <w:t>hich can lead to unnecessary delays and obstacles, are likely to become even more prominent as more and more Europeans are being tested for and vaccinated against COVID-19 and receive documentary proof to this effect. The European Council has taken up this</w:t>
      </w:r>
      <w:r>
        <w:rPr>
          <w:noProof/>
        </w:rPr>
        <w:t xml:space="preserve"> matter. In their statement, adopted following the informal video conferences on 25 and 26 February 2021</w:t>
      </w:r>
      <w:r>
        <w:rPr>
          <w:rStyle w:val="FootnoteReference"/>
          <w:noProof/>
        </w:rPr>
        <w:footnoteReference w:id="3"/>
      </w:r>
      <w:r>
        <w:rPr>
          <w:noProof/>
        </w:rPr>
        <w:t>, the members of the European Council called for work to continue on a common approach to vaccination certificates.</w:t>
      </w:r>
    </w:p>
    <w:p w:rsidR="00D947B5" w:rsidRDefault="00454F48">
      <w:pPr>
        <w:rPr>
          <w:rFonts w:eastAsia="Times New Roman"/>
          <w:noProof/>
          <w:szCs w:val="24"/>
          <w:lang w:val="en-NZ"/>
        </w:rPr>
      </w:pPr>
      <w:r>
        <w:rPr>
          <w:rFonts w:eastAsia="Times New Roman"/>
          <w:noProof/>
          <w:szCs w:val="24"/>
          <w:lang w:val="en-IE"/>
        </w:rPr>
        <w:t>There is consensus among Member Sta</w:t>
      </w:r>
      <w:r>
        <w:rPr>
          <w:rFonts w:eastAsia="Times New Roman"/>
          <w:noProof/>
          <w:szCs w:val="24"/>
          <w:lang w:val="en-IE"/>
        </w:rPr>
        <w:t xml:space="preserve">tes on the use of such certificates for medical purposes, such as to ensure proper follow-up between a first and second dose, as well as any necessary subsequent booster. </w:t>
      </w:r>
      <w:r>
        <w:rPr>
          <w:rFonts w:eastAsia="Times New Roman"/>
          <w:noProof/>
          <w:szCs w:val="24"/>
          <w:lang w:val="en-NZ"/>
        </w:rPr>
        <w:t>Member States are working on developing vaccination certificates, often using informa</w:t>
      </w:r>
      <w:r>
        <w:rPr>
          <w:rFonts w:eastAsia="Times New Roman"/>
          <w:noProof/>
          <w:szCs w:val="24"/>
          <w:lang w:val="en-NZ"/>
        </w:rPr>
        <w:t xml:space="preserve">tion available in immunisation registries. </w:t>
      </w:r>
    </w:p>
    <w:p w:rsidR="00D947B5" w:rsidRDefault="00454F48">
      <w:pPr>
        <w:rPr>
          <w:rFonts w:eastAsia="Times New Roman"/>
          <w:noProof/>
          <w:szCs w:val="24"/>
          <w:lang w:val="en-NZ"/>
        </w:rPr>
      </w:pPr>
      <w:r>
        <w:rPr>
          <w:rFonts w:eastAsia="Times New Roman"/>
          <w:noProof/>
          <w:szCs w:val="24"/>
          <w:lang w:val="en-IE"/>
        </w:rPr>
        <w:t xml:space="preserve">The Commission has been working with the Member States in the eHealth Network, a </w:t>
      </w:r>
      <w:r>
        <w:rPr>
          <w:noProof/>
        </w:rPr>
        <w:t xml:space="preserve">voluntary network connecting national authorities responsible for </w:t>
      </w:r>
      <w:r>
        <w:rPr>
          <w:rStyle w:val="highlight"/>
          <w:noProof/>
        </w:rPr>
        <w:t>eHealth,</w:t>
      </w:r>
      <w:r>
        <w:rPr>
          <w:rFonts w:eastAsia="Times New Roman"/>
          <w:noProof/>
          <w:szCs w:val="24"/>
          <w:lang w:val="en-IE"/>
        </w:rPr>
        <w:t xml:space="preserve"> on preparing the interoperability of vaccination certificates. On 27 January 2021, the eHealth Network adopted Guidelines on proof of vaccination for medical purposes which it updated on 12 March 2021</w:t>
      </w:r>
      <w:r>
        <w:rPr>
          <w:rStyle w:val="FootnoteReference"/>
          <w:noProof/>
        </w:rPr>
        <w:footnoteReference w:id="4"/>
      </w:r>
      <w:r>
        <w:rPr>
          <w:rFonts w:eastAsia="Times New Roman"/>
          <w:noProof/>
          <w:szCs w:val="24"/>
          <w:lang w:val="en-IE"/>
        </w:rPr>
        <w:t xml:space="preserve">. </w:t>
      </w:r>
      <w:r>
        <w:rPr>
          <w:rFonts w:eastAsia="Times New Roman"/>
          <w:noProof/>
          <w:szCs w:val="24"/>
        </w:rPr>
        <w:t>These guidelines define the central interoperability</w:t>
      </w:r>
      <w:r>
        <w:rPr>
          <w:rFonts w:eastAsia="Times New Roman"/>
          <w:noProof/>
          <w:szCs w:val="24"/>
        </w:rPr>
        <w:t xml:space="preserve"> elements, namely a minimum dataset for vaccination certificates, and a unique identifier. The eHealth Network and the Health Security Committee </w:t>
      </w:r>
      <w:r>
        <w:rPr>
          <w:noProof/>
          <w:lang w:val="en-IE"/>
        </w:rPr>
        <w:t xml:space="preserve">established by Article 17 of </w:t>
      </w:r>
      <w:r>
        <w:rPr>
          <w:noProof/>
        </w:rPr>
        <w:t>Decision No 1082/2013/EU of the European Parliament and of the Council</w:t>
      </w:r>
      <w:r>
        <w:rPr>
          <w:rStyle w:val="FootnoteReference"/>
          <w:noProof/>
        </w:rPr>
        <w:footnoteReference w:id="5"/>
      </w:r>
      <w:r>
        <w:rPr>
          <w:noProof/>
        </w:rPr>
        <w:t xml:space="preserve"> have also </w:t>
      </w:r>
      <w:r>
        <w:rPr>
          <w:noProof/>
        </w:rPr>
        <w:t>been working on a common standardised set of data for COVID-19 test result certificates</w:t>
      </w:r>
      <w:r>
        <w:rPr>
          <w:rStyle w:val="FootnoteReference"/>
          <w:noProof/>
        </w:rPr>
        <w:footnoteReference w:id="6"/>
      </w:r>
      <w:r>
        <w:rPr>
          <w:noProof/>
        </w:rPr>
        <w:t>, guidelines on recovery certificates and respective datasets, and an outline on the interoperability of health certificates</w:t>
      </w:r>
      <w:r>
        <w:rPr>
          <w:rStyle w:val="FootnoteReference"/>
          <w:noProof/>
        </w:rPr>
        <w:footnoteReference w:id="7"/>
      </w:r>
      <w:r>
        <w:rPr>
          <w:noProof/>
        </w:rPr>
        <w:t>.</w:t>
      </w:r>
    </w:p>
    <w:p w:rsidR="00D947B5" w:rsidRDefault="00454F48">
      <w:pPr>
        <w:rPr>
          <w:noProof/>
        </w:rPr>
      </w:pPr>
      <w:r>
        <w:rPr>
          <w:rFonts w:eastAsia="Times New Roman"/>
          <w:noProof/>
        </w:rPr>
        <w:t>Based on the technical work carried out s</w:t>
      </w:r>
      <w:r>
        <w:rPr>
          <w:rFonts w:eastAsia="Times New Roman"/>
          <w:noProof/>
        </w:rPr>
        <w:t xml:space="preserve">o far, the Commission proposes, in its proposal for a Regulation on a Digital Green Certificate (COM(2021)/xxx), that is presented in parallel to this proposal, to establish an EU-wide framework for the issuance, verification and acceptance of vaccination </w:t>
      </w:r>
      <w:r>
        <w:rPr>
          <w:rFonts w:eastAsia="Times New Roman"/>
          <w:noProof/>
        </w:rPr>
        <w:t>certificates within the EU as part of a “</w:t>
      </w:r>
      <w:r>
        <w:rPr>
          <w:rFonts w:eastAsiaTheme="minorEastAsia"/>
          <w:noProof/>
          <w:lang w:val="en-IE"/>
        </w:rPr>
        <w:t>Digital Green Certificate</w:t>
      </w:r>
      <w:r>
        <w:rPr>
          <w:rFonts w:eastAsia="Times New Roman"/>
          <w:noProof/>
        </w:rPr>
        <w:t>”.</w:t>
      </w:r>
      <w:r>
        <w:rPr>
          <w:rFonts w:eastAsia="Times New Roman"/>
          <w:noProof/>
          <w:szCs w:val="24"/>
          <w:lang w:val="en-IE"/>
        </w:rPr>
        <w:t xml:space="preserve"> At the same time, this framework should also cover other certificates issued during the COVID-19 pandemic, namely documents certifying a negative test result for SARS-CoV-2 infection as w</w:t>
      </w:r>
      <w:r>
        <w:rPr>
          <w:rFonts w:eastAsia="Times New Roman"/>
          <w:noProof/>
          <w:szCs w:val="24"/>
          <w:lang w:val="en-IE"/>
        </w:rPr>
        <w:t>ell as documents certifying that the person concerned has recovered from a previous infection with SARS-CoV-2. This allows persons who are not vaccinated or who have not yet had the opportunity to be vaccinated to benefit from such an interoperable framewo</w:t>
      </w:r>
      <w:r>
        <w:rPr>
          <w:rFonts w:eastAsia="Times New Roman"/>
          <w:noProof/>
          <w:szCs w:val="24"/>
          <w:lang w:val="en-IE"/>
        </w:rPr>
        <w:t>rk as well, facilitating their travel. While children, for example, cannot benefit from COVID-19 vaccination for the time being,</w:t>
      </w:r>
      <w:r>
        <w:rPr>
          <w:noProof/>
        </w:rPr>
        <w:t xml:space="preserve"> they should be able to receive a test or recovery certificate, which could also be received by their parents on their behalf. </w:t>
      </w:r>
    </w:p>
    <w:p w:rsidR="00D947B5" w:rsidRDefault="00454F48">
      <w:pPr>
        <w:rPr>
          <w:rFonts w:eastAsia="Arial Unicode MS"/>
          <w:noProof/>
          <w:lang w:val="en-IE"/>
        </w:rPr>
      </w:pPr>
      <w:r>
        <w:rPr>
          <w:noProof/>
        </w:rPr>
        <w:t xml:space="preserve">The framework set out in the proposal for a Regulation on a Digital Green Certificate (COM(2021)/xxx) applies to Union citizens or their family members who may be a third country national. </w:t>
      </w:r>
      <w:r>
        <w:rPr>
          <w:noProof/>
          <w:lang w:val="en-IE"/>
        </w:rPr>
        <w:t>This proposal has the objective of ensuring that the same framework</w:t>
      </w:r>
      <w:r>
        <w:rPr>
          <w:noProof/>
          <w:lang w:val="en-IE"/>
        </w:rPr>
        <w:t xml:space="preserve"> applies to other t</w:t>
      </w:r>
      <w:r>
        <w:rPr>
          <w:noProof/>
        </w:rPr>
        <w:t xml:space="preserve">hird-country nationals who are legally staying or legally residing on the territory of an EU Member State and who are entitled to travel to another Member State in accordance with Union law. </w:t>
      </w:r>
    </w:p>
    <w:p w:rsidR="00D947B5" w:rsidRDefault="00454F48">
      <w:pPr>
        <w:pBdr>
          <w:top w:val="nil"/>
          <w:left w:val="nil"/>
          <w:bottom w:val="nil"/>
          <w:right w:val="nil"/>
          <w:between w:val="nil"/>
          <w:bar w:val="nil"/>
        </w:pBdr>
        <w:spacing w:before="0" w:after="240"/>
        <w:rPr>
          <w:rFonts w:eastAsia="Arial Unicode MS"/>
          <w:noProof/>
          <w:lang w:val="en-IE"/>
        </w:rPr>
      </w:pPr>
      <w:r>
        <w:rPr>
          <w:rFonts w:eastAsia="Arial Unicode MS"/>
          <w:noProof/>
          <w:lang w:val="en-IE"/>
        </w:rPr>
        <w:t xml:space="preserve">Pursuant to Article 77(2)(c) of the Treaty on the Functioning of the European Union (TFEU), </w:t>
      </w:r>
      <w:r>
        <w:rPr>
          <w:noProof/>
          <w:shd w:val="clear" w:color="auto" w:fill="FFFFFF"/>
        </w:rPr>
        <w:t>the Union shall develop policies setting out the conditions under which nationals of third countries shall have the freedom to travel within the Union</w:t>
      </w:r>
      <w:r>
        <w:rPr>
          <w:noProof/>
        </w:rPr>
        <w:t>.</w:t>
      </w:r>
      <w:r>
        <w:rPr>
          <w:rFonts w:eastAsiaTheme="minorEastAsia"/>
          <w:noProof/>
          <w:lang w:val="en-IE"/>
        </w:rPr>
        <w:t xml:space="preserve"> </w:t>
      </w:r>
      <w:r>
        <w:rPr>
          <w:rFonts w:eastAsia="Arial Unicode MS"/>
          <w:noProof/>
          <w:lang w:val="en-IE"/>
        </w:rPr>
        <w:t>However, som</w:t>
      </w:r>
      <w:r>
        <w:rPr>
          <w:rFonts w:eastAsia="Arial Unicode MS"/>
          <w:noProof/>
          <w:lang w:val="en-IE"/>
        </w:rPr>
        <w:t>e of the measures adopted by Member States to limit the spread of the COVID-19 outbreak have had an impact on the freedom to travel within the Union of legally staying or legally residing third-country nationals. These measures have often consisted of rest</w:t>
      </w:r>
      <w:r>
        <w:rPr>
          <w:rFonts w:eastAsia="Arial Unicode MS"/>
          <w:noProof/>
          <w:lang w:val="en-IE"/>
        </w:rPr>
        <w:t xml:space="preserve">rictions on entry or other specific requirements applicable to cross-border travellers, with a particular high impact on persons living in border regions and crossing borders as part of their daily life for work, education, health care, shopping, cultural </w:t>
      </w:r>
      <w:r>
        <w:rPr>
          <w:rFonts w:eastAsia="Arial Unicode MS"/>
          <w:noProof/>
          <w:lang w:val="en-IE"/>
        </w:rPr>
        <w:t>and leisure activities, such as the requirement to undergo quarantine or self-isolation or to be tested for COVID-19 infection prior to and/or after arrival.</w:t>
      </w:r>
    </w:p>
    <w:p w:rsidR="00D947B5" w:rsidRDefault="00454F48">
      <w:pPr>
        <w:rPr>
          <w:noProof/>
        </w:rPr>
      </w:pPr>
      <w:r>
        <w:rPr>
          <w:noProof/>
        </w:rPr>
        <w:t>Council Recommendation (EU) 2020/1475 established a coordinated approach on the following key poin</w:t>
      </w:r>
      <w:r>
        <w:rPr>
          <w:noProof/>
        </w:rPr>
        <w:t>ts: the application of common criteria and thresholds when deciding whether to introduce restrictions to free movement, a mapping of the risk of COVID-19 transmission, published by the European Centre for Disease Prevention and Control (ECDC)</w:t>
      </w:r>
      <w:r>
        <w:rPr>
          <w:rStyle w:val="FootnoteReference"/>
          <w:noProof/>
        </w:rPr>
        <w:footnoteReference w:id="8"/>
      </w:r>
      <w:r>
        <w:rPr>
          <w:noProof/>
        </w:rPr>
        <w:t>, based on an</w:t>
      </w:r>
      <w:r>
        <w:rPr>
          <w:noProof/>
        </w:rPr>
        <w:t xml:space="preserve"> agreed colour code, and a coordinated approach as to the measures, if any, which may appropriately be applied to persons moving between areas, depending on the level of risk of transmission in those areas.</w:t>
      </w:r>
    </w:p>
    <w:p w:rsidR="00D947B5" w:rsidRDefault="00454F48">
      <w:pPr>
        <w:rPr>
          <w:noProof/>
        </w:rPr>
      </w:pPr>
      <w:r>
        <w:rPr>
          <w:noProof/>
        </w:rPr>
        <w:t>On 30 October 2020, the Council adopted Council R</w:t>
      </w:r>
      <w:r>
        <w:rPr>
          <w:noProof/>
        </w:rPr>
        <w:t>ecommendation (EU) 2020/1632 on a coordinated approach to the restriction of free movement in response to the COVID-19 pandemic in the Schengen area, in which it recommended Member States that are bound by the Schengen acquis to apply the principles, commo</w:t>
      </w:r>
      <w:r>
        <w:rPr>
          <w:noProof/>
        </w:rPr>
        <w:t xml:space="preserve">n criteria, common thresholds and common framework of measures, set out in Council Recommendation (EU) 2020/1475. </w:t>
      </w:r>
      <w:r>
        <w:rPr>
          <w:rFonts w:eastAsia="Times New Roman"/>
          <w:noProof/>
          <w:szCs w:val="24"/>
          <w:lang w:val="en-IE"/>
        </w:rPr>
        <w:t>To ensure interoperability between the different technical solutions for vaccination certificates being developed by the Member States, some o</w:t>
      </w:r>
      <w:r>
        <w:rPr>
          <w:rFonts w:eastAsia="Times New Roman"/>
          <w:noProof/>
          <w:szCs w:val="24"/>
          <w:lang w:val="en-IE"/>
        </w:rPr>
        <w:t xml:space="preserve">f which have already started accepting proofs of vaccination to exempt travellers from certain restrictions, </w:t>
      </w:r>
      <w:r>
        <w:rPr>
          <w:noProof/>
        </w:rPr>
        <w:t xml:space="preserve">uniform conditions for the </w:t>
      </w:r>
      <w:r>
        <w:rPr>
          <w:rFonts w:eastAsia="Times New Roman"/>
          <w:noProof/>
        </w:rPr>
        <w:t>issuance, verification and acceptance</w:t>
      </w:r>
      <w:r>
        <w:rPr>
          <w:noProof/>
        </w:rPr>
        <w:t xml:space="preserve"> of certificates on COVID-19 vaccination, tests and recovery are needed.</w:t>
      </w:r>
    </w:p>
    <w:p w:rsidR="00D947B5" w:rsidRDefault="00454F48">
      <w:pPr>
        <w:rPr>
          <w:rFonts w:eastAsiaTheme="minorEastAsia"/>
          <w:noProof/>
          <w:lang w:val="en-IE"/>
        </w:rPr>
      </w:pPr>
      <w:r>
        <w:rPr>
          <w:rFonts w:eastAsia="Times New Roman"/>
          <w:noProof/>
        </w:rPr>
        <w:t>The</w:t>
      </w:r>
      <w:r>
        <w:rPr>
          <w:rFonts w:eastAsiaTheme="minorEastAsia"/>
          <w:noProof/>
          <w:lang w:val="en-IE"/>
        </w:rPr>
        <w:t xml:space="preserve"> “Digit</w:t>
      </w:r>
      <w:r>
        <w:rPr>
          <w:rFonts w:eastAsiaTheme="minorEastAsia"/>
          <w:noProof/>
          <w:lang w:val="en-IE"/>
        </w:rPr>
        <w:t xml:space="preserve">al Green Certificate” framework to be established should lay out the format and content of </w:t>
      </w:r>
      <w:r>
        <w:rPr>
          <w:noProof/>
          <w:lang w:val="en-IE"/>
        </w:rPr>
        <w:t xml:space="preserve">certificates on COVID-19 vaccination, testing and recovery. The Commission also proposes that the </w:t>
      </w:r>
      <w:r>
        <w:rPr>
          <w:rFonts w:eastAsiaTheme="minorEastAsia"/>
          <w:noProof/>
          <w:lang w:val="en-IE"/>
        </w:rPr>
        <w:t>“Digital Green Certificate” framework should ensure that these cert</w:t>
      </w:r>
      <w:r>
        <w:rPr>
          <w:rFonts w:eastAsiaTheme="minorEastAsia"/>
          <w:noProof/>
          <w:lang w:val="en-IE"/>
        </w:rPr>
        <w:t>ificates can be issued in an interoperable format and be reliably verified when presented by the holder in other Member States, thereby facilitating travel within the European Union.</w:t>
      </w:r>
    </w:p>
    <w:p w:rsidR="00D947B5" w:rsidRDefault="00454F48">
      <w:pPr>
        <w:rPr>
          <w:rFonts w:eastAsiaTheme="minorEastAsia"/>
          <w:noProof/>
          <w:lang w:val="en-IE"/>
        </w:rPr>
      </w:pPr>
      <w:r>
        <w:rPr>
          <w:rFonts w:eastAsiaTheme="minorEastAsia"/>
          <w:noProof/>
          <w:lang w:val="en-IE"/>
        </w:rPr>
        <w:t xml:space="preserve">The certificates should contain only such personal data as is necessary. </w:t>
      </w:r>
      <w:r>
        <w:rPr>
          <w:rFonts w:eastAsiaTheme="minorEastAsia"/>
          <w:noProof/>
          <w:lang w:val="en-IE"/>
        </w:rPr>
        <w:t>Given that the personal data includes sensitive medical data, a very high level of data protection should be ensured and data minimisation principles should be preserved. In particular, the “Digital Green Certificate” framework should not require the setti</w:t>
      </w:r>
      <w:r>
        <w:rPr>
          <w:rFonts w:eastAsiaTheme="minorEastAsia"/>
          <w:noProof/>
          <w:lang w:val="en-IE"/>
        </w:rPr>
        <w:t xml:space="preserve">ng up and maintenance of a database at EU level, but should allow for the decentralised verification of digitally signed interoperable certificates.  </w:t>
      </w:r>
    </w:p>
    <w:p w:rsidR="00D947B5" w:rsidRDefault="00454F48">
      <w:pPr>
        <w:rPr>
          <w:noProof/>
        </w:rPr>
      </w:pPr>
      <w:r>
        <w:rPr>
          <w:noProof/>
        </w:rPr>
        <w:t>The proposed Regulation (EU) 2021/XXX takes into account ongoing efforts at the international level, such</w:t>
      </w:r>
      <w:r>
        <w:rPr>
          <w:noProof/>
        </w:rPr>
        <w:t xml:space="preserve"> as </w:t>
      </w:r>
      <w:r>
        <w:rPr>
          <w:rFonts w:eastAsia="Times New Roman"/>
          <w:noProof/>
        </w:rPr>
        <w:t xml:space="preserve">under the auspices of the </w:t>
      </w:r>
      <w:r>
        <w:rPr>
          <w:rStyle w:val="titxdkkzwvy9yqo8olape"/>
          <w:noProof/>
        </w:rPr>
        <w:t xml:space="preserve">World Health Organization (‘WHO’) and </w:t>
      </w:r>
      <w:r>
        <w:rPr>
          <w:noProof/>
        </w:rPr>
        <w:t>other specialised agencies of the United Nations</w:t>
      </w:r>
      <w:r>
        <w:rPr>
          <w:rStyle w:val="titxdkkzwvy9yqo8olape"/>
          <w:noProof/>
        </w:rPr>
        <w:t xml:space="preserve">, to establish </w:t>
      </w:r>
      <w:r>
        <w:rPr>
          <w:noProof/>
        </w:rPr>
        <w:t>specifications and guidance for using digital technologies for documenting vaccination status. Third countries should be enco</w:t>
      </w:r>
      <w:r>
        <w:rPr>
          <w:noProof/>
        </w:rPr>
        <w:t xml:space="preserve">uraged to recognise the </w:t>
      </w:r>
      <w:r>
        <w:rPr>
          <w:rFonts w:eastAsiaTheme="minorEastAsia"/>
          <w:noProof/>
          <w:lang w:val="en-IE"/>
        </w:rPr>
        <w:t>“Digital Green Certificate” when waiving restrictions on non-essential travel.</w:t>
      </w:r>
      <w:r>
        <w:rPr>
          <w:noProof/>
        </w:rPr>
        <w:t xml:space="preserve"> In particular, this could include interoperability between technological systems established at global level and the systems established for the purpose </w:t>
      </w:r>
      <w:r>
        <w:rPr>
          <w:noProof/>
        </w:rPr>
        <w:t xml:space="preserve">of this Regulation to facilitate travel within the European Union. </w:t>
      </w:r>
    </w:p>
    <w:p w:rsidR="00D947B5" w:rsidRDefault="00D947B5">
      <w:pPr>
        <w:pBdr>
          <w:top w:val="nil"/>
          <w:left w:val="nil"/>
          <w:bottom w:val="nil"/>
          <w:right w:val="nil"/>
          <w:between w:val="nil"/>
          <w:bar w:val="nil"/>
        </w:pBdr>
        <w:spacing w:before="0" w:after="240"/>
        <w:rPr>
          <w:rFonts w:eastAsia="Arial Unicode MS"/>
          <w:noProof/>
        </w:rPr>
      </w:pPr>
    </w:p>
    <w:p w:rsidR="00D947B5" w:rsidRDefault="00454F48">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D947B5" w:rsidRDefault="00454F48">
      <w:pPr>
        <w:rPr>
          <w:rFonts w:eastAsia="Times New Roman"/>
          <w:noProof/>
        </w:rPr>
      </w:pPr>
      <w:r>
        <w:rPr>
          <w:noProof/>
        </w:rPr>
        <w:t xml:space="preserve">This proposal is without prejudice to the Schengen rules as regards the entry conditions for third country nationals. </w:t>
      </w:r>
      <w:r>
        <w:rPr>
          <w:rFonts w:eastAsia="Times New Roman"/>
          <w:noProof/>
        </w:rPr>
        <w:t xml:space="preserve">The </w:t>
      </w:r>
      <w:r>
        <w:rPr>
          <w:rFonts w:eastAsia="Times New Roman"/>
          <w:noProof/>
        </w:rPr>
        <w:t>proposed Regulation should not in any way be understood as encouraging or facilitating the reintroduction of border controls at internal borders, which must remain a measure of last resort subject to the conditions set out in Regulation (EU) 2016/399 (“the</w:t>
      </w:r>
      <w:r>
        <w:rPr>
          <w:rFonts w:eastAsia="Times New Roman"/>
          <w:noProof/>
        </w:rPr>
        <w:t xml:space="preserve"> Schengen Borders Code”)</w:t>
      </w:r>
      <w:r>
        <w:rPr>
          <w:rStyle w:val="FootnoteReference"/>
          <w:rFonts w:eastAsia="Times New Roman"/>
          <w:noProof/>
        </w:rPr>
        <w:footnoteReference w:id="9"/>
      </w:r>
      <w:r>
        <w:rPr>
          <w:rFonts w:eastAsia="Times New Roman"/>
          <w:noProof/>
        </w:rPr>
        <w:t>.</w:t>
      </w:r>
    </w:p>
    <w:p w:rsidR="00D947B5" w:rsidRDefault="00454F48">
      <w:pPr>
        <w:rPr>
          <w:noProof/>
        </w:rPr>
      </w:pPr>
      <w:r>
        <w:rPr>
          <w:rFonts w:eastAsiaTheme="minorEastAsia"/>
          <w:noProof/>
          <w:lang w:val="en-IE"/>
        </w:rPr>
        <w:t>The proposal complements and builds upon other policy initiatives adopted during the COVID-19 pandemic in the field of free movement and travelling, such as Council Recommendation (EU) 2020/1475, Council Recommendation (EU) 2021/</w:t>
      </w:r>
      <w:r>
        <w:rPr>
          <w:rFonts w:eastAsiaTheme="minorEastAsia"/>
          <w:noProof/>
          <w:lang w:val="en-IE"/>
        </w:rPr>
        <w:t xml:space="preserve">119, Council Recommendation (EU) 2020/912 and </w:t>
      </w:r>
      <w:r>
        <w:rPr>
          <w:noProof/>
          <w:lang w:val="en-US"/>
        </w:rPr>
        <w:t>Council Recommendation (EU) 2021/132</w:t>
      </w:r>
      <w:r>
        <w:rPr>
          <w:rStyle w:val="FootnoteReference"/>
          <w:rFonts w:eastAsiaTheme="minorEastAsia"/>
          <w:noProof/>
          <w:lang w:val="en-IE"/>
        </w:rPr>
        <w:footnoteReference w:id="10"/>
      </w:r>
      <w:r>
        <w:rPr>
          <w:rFonts w:eastAsiaTheme="minorEastAsia"/>
          <w:noProof/>
          <w:lang w:val="en-IE"/>
        </w:rPr>
        <w:t>. In particular, Council Recommendation (EU) 2020/1475 describes the general principles based on which Member States should coordinate their actions w</w:t>
      </w:r>
      <w:r>
        <w:rPr>
          <w:noProof/>
        </w:rPr>
        <w:t>hen adopting and applyi</w:t>
      </w:r>
      <w:r>
        <w:rPr>
          <w:noProof/>
        </w:rPr>
        <w:t xml:space="preserve">ng measures to protect public health in response to the COVID-19 pandemic, and </w:t>
      </w:r>
      <w:r>
        <w:rPr>
          <w:rFonts w:eastAsiaTheme="minorEastAsia"/>
          <w:noProof/>
          <w:lang w:val="en-IE"/>
        </w:rPr>
        <w:t>Council Recommendation (EU) 2020/912 lists the third countries from where non-essential travel should be allowed, as well as the functions and needs for which essential travel i</w:t>
      </w:r>
      <w:r>
        <w:rPr>
          <w:rFonts w:eastAsiaTheme="minorEastAsia"/>
          <w:noProof/>
          <w:lang w:val="en-IE"/>
        </w:rPr>
        <w:t xml:space="preserve">s allowed irrespective of the third country of origin. </w:t>
      </w:r>
      <w:r>
        <w:rPr>
          <w:noProof/>
          <w:szCs w:val="24"/>
          <w:lang w:val="en-US"/>
        </w:rPr>
        <w:t>For the immediate future, the Commission will keep the operation of the latter Recommendation under close review, and propose amendments in line with developments in this area.</w:t>
      </w:r>
    </w:p>
    <w:p w:rsidR="00D947B5" w:rsidRDefault="00454F4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w:t>
      </w:r>
      <w:r>
        <w:rPr>
          <w:rFonts w:eastAsia="Arial Unicode MS"/>
          <w:noProof/>
        </w:rPr>
        <w:t xml:space="preserve"> Union policies</w:t>
      </w:r>
    </w:p>
    <w:p w:rsidR="00D947B5" w:rsidRDefault="00454F48">
      <w:pPr>
        <w:rPr>
          <w:rStyle w:val="highlight"/>
          <w:noProof/>
        </w:rPr>
      </w:pPr>
      <w:r>
        <w:rPr>
          <w:rFonts w:eastAsia="Times New Roman"/>
          <w:noProof/>
          <w:lang w:val="en-IE"/>
        </w:rPr>
        <w:t xml:space="preserve">This proposal is part of the set of EU measures to respond to the COVID-19 pandemic. It builds, in particular, on previous technical work carried out in the </w:t>
      </w:r>
      <w:r>
        <w:rPr>
          <w:noProof/>
          <w:lang w:val="en-IE"/>
        </w:rPr>
        <w:t xml:space="preserve">Health Security Committee </w:t>
      </w:r>
      <w:r>
        <w:rPr>
          <w:noProof/>
        </w:rPr>
        <w:t xml:space="preserve">and the </w:t>
      </w:r>
      <w:r>
        <w:rPr>
          <w:rFonts w:eastAsia="Times New Roman"/>
          <w:noProof/>
          <w:szCs w:val="24"/>
          <w:lang w:val="en-IE"/>
        </w:rPr>
        <w:t xml:space="preserve">eHealth Network, a </w:t>
      </w:r>
      <w:r>
        <w:rPr>
          <w:noProof/>
        </w:rPr>
        <w:t>voluntary network connecting n</w:t>
      </w:r>
      <w:r>
        <w:rPr>
          <w:noProof/>
        </w:rPr>
        <w:t xml:space="preserve">ational authorities responsible for </w:t>
      </w:r>
      <w:r>
        <w:rPr>
          <w:rStyle w:val="highlight"/>
          <w:noProof/>
        </w:rPr>
        <w:t>eHealth.</w:t>
      </w:r>
    </w:p>
    <w:p w:rsidR="00D947B5" w:rsidRDefault="00454F48">
      <w:pPr>
        <w:rPr>
          <w:noProof/>
        </w:rPr>
      </w:pPr>
      <w:r>
        <w:rPr>
          <w:noProof/>
        </w:rPr>
        <w:t>This proposal is consistent with the Union's policy on immigration of third country nationals.</w:t>
      </w:r>
    </w:p>
    <w:p w:rsidR="00D947B5" w:rsidRDefault="00454F48">
      <w:pPr>
        <w:rPr>
          <w:noProof/>
        </w:rPr>
      </w:pPr>
      <w:r>
        <w:rPr>
          <w:noProof/>
        </w:rPr>
        <w:t>Existing EU legislation does not contain any provisions on the issuance, verification and acceptance of certificates</w:t>
      </w:r>
      <w:r>
        <w:rPr>
          <w:noProof/>
        </w:rPr>
        <w:t xml:space="preserve"> documenting the holder’s health status, even if the production of such certificates may be necessary to waive certain restrictions on the right to travel imposed during a pandemic. It is therefore necessary to establish provisions in order to ensure the i</w:t>
      </w:r>
      <w:r>
        <w:rPr>
          <w:noProof/>
        </w:rPr>
        <w:t>nteroperability and security of such certificates.</w:t>
      </w:r>
    </w:p>
    <w:p w:rsidR="00D947B5" w:rsidRDefault="00454F48">
      <w:pPr>
        <w:rPr>
          <w:noProof/>
        </w:rPr>
      </w:pPr>
      <w:r>
        <w:rPr>
          <w:rFonts w:eastAsia="Times New Roman"/>
          <w:noProof/>
        </w:rPr>
        <w:t xml:space="preserve">This proposal takes into account ongoing efforts at the international level, such as under the auspices of </w:t>
      </w:r>
      <w:r>
        <w:rPr>
          <w:rFonts w:eastAsia="Times New Roman"/>
          <w:noProof/>
          <w:lang w:val="en-IE"/>
        </w:rPr>
        <w:t xml:space="preserve">specialized agencies of the United Nations including </w:t>
      </w:r>
      <w:r>
        <w:rPr>
          <w:rFonts w:eastAsia="Times New Roman"/>
          <w:noProof/>
        </w:rPr>
        <w:t xml:space="preserve">the </w:t>
      </w:r>
      <w:r>
        <w:rPr>
          <w:rStyle w:val="titxdkkzwvy9yqo8olape"/>
          <w:noProof/>
        </w:rPr>
        <w:t>World Health Organization (‘WHO’)</w:t>
      </w:r>
      <w:r>
        <w:rPr>
          <w:rFonts w:eastAsia="Times New Roman"/>
          <w:noProof/>
          <w:lang w:val="en-IE"/>
        </w:rPr>
        <w:t>, on the</w:t>
      </w:r>
      <w:r>
        <w:rPr>
          <w:rFonts w:eastAsia="Times New Roman"/>
          <w:noProof/>
          <w:lang w:val="en-IE"/>
        </w:rPr>
        <w:t xml:space="preserve"> basis of the International Health Regulations,</w:t>
      </w:r>
      <w:r>
        <w:rPr>
          <w:rStyle w:val="titxdkkzwvy9yqo8olape"/>
          <w:noProof/>
        </w:rPr>
        <w:t xml:space="preserve"> to establish </w:t>
      </w:r>
      <w:r>
        <w:rPr>
          <w:noProof/>
        </w:rPr>
        <w:t xml:space="preserve">specifications and guidance for using digital technologies for documenting vaccination status. Third countries should be encouraged to recognise the </w:t>
      </w:r>
      <w:r>
        <w:rPr>
          <w:rFonts w:eastAsiaTheme="minorEastAsia"/>
          <w:noProof/>
          <w:lang w:val="en-IE"/>
        </w:rPr>
        <w:t xml:space="preserve">“Digital Green Certificate” when waiving </w:t>
      </w:r>
      <w:r>
        <w:rPr>
          <w:rFonts w:eastAsiaTheme="minorEastAsia"/>
          <w:noProof/>
          <w:lang w:val="en-IE"/>
        </w:rPr>
        <w:t>restrictions on non-essential travel.</w:t>
      </w:r>
    </w:p>
    <w:p w:rsidR="00D947B5" w:rsidRDefault="00D947B5">
      <w:pPr>
        <w:rPr>
          <w:noProof/>
        </w:rPr>
      </w:pPr>
    </w:p>
    <w:p w:rsidR="00D947B5" w:rsidRDefault="00454F48">
      <w:pPr>
        <w:pStyle w:val="ManualHeading1"/>
        <w:rPr>
          <w:noProof/>
        </w:rPr>
      </w:pPr>
      <w:r>
        <w:rPr>
          <w:noProof/>
        </w:rPr>
        <w:t>2.</w:t>
      </w:r>
      <w:r>
        <w:rPr>
          <w:noProof/>
        </w:rPr>
        <w:tab/>
        <w:t>LEGAL BASIS, SUBSIDIARITY AND PROPORTIONALITY</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D947B5" w:rsidRDefault="00454F48">
      <w:pPr>
        <w:spacing w:before="0" w:after="240"/>
        <w:rPr>
          <w:rFonts w:eastAsia="Times New Roman"/>
          <w:noProof/>
        </w:rPr>
      </w:pPr>
      <w:r>
        <w:rPr>
          <w:rFonts w:eastAsia="Times New Roman"/>
          <w:noProof/>
        </w:rPr>
        <w:t xml:space="preserve">Article 77(2)(c) TFEU stipulates that the Union shall set out </w:t>
      </w:r>
      <w:r>
        <w:rPr>
          <w:noProof/>
          <w:shd w:val="clear" w:color="auto" w:fill="FFFFFF"/>
        </w:rPr>
        <w:t xml:space="preserve">the conditions under which legally staying or legally residing nationals of third countries </w:t>
      </w:r>
      <w:r>
        <w:rPr>
          <w:noProof/>
          <w:shd w:val="clear" w:color="auto" w:fill="FFFFFF"/>
        </w:rPr>
        <w:t>shall have the freedom to travel within the Union for a short period</w:t>
      </w:r>
      <w:r>
        <w:rPr>
          <w:rFonts w:eastAsia="Times New Roman"/>
          <w:noProof/>
        </w:rPr>
        <w:t>. The ordinary legislative procedure applies.</w:t>
      </w:r>
    </w:p>
    <w:p w:rsidR="00D947B5" w:rsidRDefault="00454F48">
      <w:pPr>
        <w:rPr>
          <w:noProof/>
        </w:rPr>
      </w:pPr>
      <w:r>
        <w:rPr>
          <w:rFonts w:eastAsia="Times New Roman"/>
          <w:noProof/>
        </w:rPr>
        <w:t>The proposal aims to</w:t>
      </w:r>
      <w:r>
        <w:rPr>
          <w:noProof/>
        </w:rPr>
        <w:t xml:space="preserve"> facilitate the travel of third-country nationals within the EU during the COVID-19 pandemic</w:t>
      </w:r>
      <w:r>
        <w:rPr>
          <w:noProof/>
          <w:szCs w:val="24"/>
        </w:rPr>
        <w:t xml:space="preserve"> by </w:t>
      </w:r>
      <w:r>
        <w:rPr>
          <w:noProof/>
        </w:rPr>
        <w:t xml:space="preserve">establishing a </w:t>
      </w:r>
      <w:r>
        <w:rPr>
          <w:noProof/>
          <w:lang w:val="en-IE"/>
        </w:rPr>
        <w:t>common fram</w:t>
      </w:r>
      <w:r>
        <w:rPr>
          <w:noProof/>
          <w:lang w:val="en-IE"/>
        </w:rPr>
        <w:t>ework for the issuance and acceptance of interoperable certificates on COVID-19 vaccination, testing and recovery. This should allow third-country nationals legally staying or legally residing in a Member State and who are entitled to travel to the other M</w:t>
      </w:r>
      <w:r>
        <w:rPr>
          <w:noProof/>
          <w:lang w:val="en-IE"/>
        </w:rPr>
        <w:t xml:space="preserve">ember States to demonstrate that they fulfil public health requirements imposed, in compliance with Union law, by the Member State of destination. The proposal also aims to ensure </w:t>
      </w:r>
      <w:r>
        <w:rPr>
          <w:noProof/>
        </w:rPr>
        <w:t>that restrictions to the freedom to travel currently in place to limit the s</w:t>
      </w:r>
      <w:r>
        <w:rPr>
          <w:noProof/>
        </w:rPr>
        <w:t>pread of COVID-19 can be lifted in a coordinated manner as more scientific evidence becomes available.</w:t>
      </w:r>
    </w:p>
    <w:p w:rsidR="00D947B5" w:rsidRDefault="00454F48">
      <w:pPr>
        <w:rPr>
          <w:noProof/>
        </w:rPr>
      </w:pPr>
      <w:r>
        <w:rPr>
          <w:noProof/>
        </w:rPr>
        <w:t xml:space="preserve">This proposal establishes neither an obligation nor a right to vaccination. Vaccination strategies are a national competence of the Member States. </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val="en-US" w:eastAsia="en-GB"/>
        </w:rPr>
        <w:t xml:space="preserve">Subsidiarity (for non-exclusive competence) </w:t>
      </w:r>
    </w:p>
    <w:p w:rsidR="00D947B5" w:rsidRDefault="00454F48">
      <w:pPr>
        <w:rPr>
          <w:noProof/>
          <w:u w:color="000000"/>
          <w:bdr w:val="nil"/>
          <w:lang w:val="en-IE" w:eastAsia="en-GB"/>
        </w:rPr>
      </w:pPr>
      <w:r>
        <w:rPr>
          <w:noProof/>
          <w:u w:color="000000"/>
          <w:bdr w:val="nil"/>
          <w:lang w:val="en-IE" w:eastAsia="en-GB"/>
        </w:rPr>
        <w:t>The objectives of this proposal, namely to facilitate travelling within the Union during the COVID-19 pandemic by establishing secure and interoperable certificates on the holder’s vaccination, testing and recov</w:t>
      </w:r>
      <w:r>
        <w:rPr>
          <w:noProof/>
          <w:u w:color="000000"/>
          <w:bdr w:val="nil"/>
          <w:lang w:val="en-IE" w:eastAsia="en-GB"/>
        </w:rPr>
        <w:t xml:space="preserve">ery status cannot be sufficiently achieved by the Member States individually but can rather, by reason of the scale and effects of the action, be better achieved at Union level. </w:t>
      </w:r>
    </w:p>
    <w:p w:rsidR="00D947B5" w:rsidRDefault="00454F48">
      <w:pPr>
        <w:rPr>
          <w:noProof/>
          <w:u w:color="000000"/>
          <w:bdr w:val="nil"/>
          <w:lang w:val="en-IE" w:eastAsia="en-GB"/>
        </w:rPr>
      </w:pPr>
      <w:r>
        <w:rPr>
          <w:noProof/>
          <w:u w:color="000000"/>
          <w:bdr w:val="nil"/>
          <w:lang w:val="en-IE" w:eastAsia="en-GB"/>
        </w:rPr>
        <w:t>Absence of EU level action would likely result in Member States adopting diff</w:t>
      </w:r>
      <w:r>
        <w:rPr>
          <w:noProof/>
          <w:u w:color="000000"/>
          <w:bdr w:val="nil"/>
          <w:lang w:val="en-IE" w:eastAsia="en-GB"/>
        </w:rPr>
        <w:t xml:space="preserve">erent systems, resulting in </w:t>
      </w:r>
      <w:r>
        <w:rPr>
          <w:noProof/>
          <w:bdr w:val="none" w:sz="0" w:space="0" w:color="auto" w:frame="1"/>
          <w:lang w:val="en-IE" w:eastAsia="en-GB"/>
        </w:rPr>
        <w:t xml:space="preserve">legally staying </w:t>
      </w:r>
      <w:r>
        <w:rPr>
          <w:noProof/>
          <w:lang w:val="en-IE"/>
        </w:rPr>
        <w:t xml:space="preserve">or legally residing </w:t>
      </w:r>
      <w:r>
        <w:rPr>
          <w:noProof/>
          <w:u w:color="000000"/>
          <w:bdr w:val="nil"/>
          <w:lang w:val="en-IE" w:eastAsia="en-GB"/>
        </w:rPr>
        <w:t xml:space="preserve"> third-country nationals exercising their freedom to travel experiencing problems in terms of having the documents they have been issued recognised in other Member States. In particular, it is</w:t>
      </w:r>
      <w:r>
        <w:rPr>
          <w:noProof/>
          <w:u w:color="000000"/>
          <w:bdr w:val="nil"/>
          <w:lang w:val="en-IE" w:eastAsia="en-GB"/>
        </w:rPr>
        <w:t xml:space="preserve"> necessary to agree on the technical standards to be used to ensure interoperability, security and verifiability of the certificates being issued.</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D947B5" w:rsidRDefault="00454F48">
      <w:pPr>
        <w:rPr>
          <w:rFonts w:eastAsia="Times New Roman"/>
          <w:noProof/>
        </w:rPr>
      </w:pPr>
      <w:r>
        <w:rPr>
          <w:rFonts w:eastAsia="Times New Roman"/>
          <w:noProof/>
        </w:rPr>
        <w:t>EU action can add considerable value in addressing the challenges identified above and is t</w:t>
      </w:r>
      <w:r>
        <w:rPr>
          <w:rFonts w:eastAsia="Times New Roman"/>
          <w:noProof/>
        </w:rPr>
        <w:t xml:space="preserve">he only way by which a converged and compatible framework can be achieved and maintained. </w:t>
      </w:r>
    </w:p>
    <w:p w:rsidR="00D947B5" w:rsidRDefault="00454F48">
      <w:pPr>
        <w:rPr>
          <w:rFonts w:eastAsia="Times New Roman"/>
          <w:noProof/>
        </w:rPr>
      </w:pPr>
      <w:r>
        <w:rPr>
          <w:rFonts w:eastAsia="Times New Roman"/>
          <w:noProof/>
        </w:rPr>
        <w:t>The adoption of unilateral or uncoordinated measures regarding COVID-19 health certificates may lead to measures that limit the possibility for third country nationa</w:t>
      </w:r>
      <w:r>
        <w:rPr>
          <w:rFonts w:eastAsia="Times New Roman"/>
          <w:noProof/>
        </w:rPr>
        <w:t>ls who are entitled to travel within the Union, to engage in such travel.</w:t>
      </w:r>
    </w:p>
    <w:p w:rsidR="00D947B5" w:rsidRDefault="00454F48">
      <w:pPr>
        <w:rPr>
          <w:rFonts w:eastAsia="Times New Roman"/>
          <w:noProof/>
        </w:rPr>
      </w:pPr>
      <w:r>
        <w:rPr>
          <w:rFonts w:eastAsia="Times New Roman"/>
          <w:noProof/>
        </w:rPr>
        <w:t>In line with the rules set out in Regulation (</w:t>
      </w:r>
      <w:r>
        <w:rPr>
          <w:noProof/>
        </w:rPr>
        <w:t>EU) 2021/XXXX which apply entirely to this proposed Regulation, t</w:t>
      </w:r>
      <w:r>
        <w:rPr>
          <w:rFonts w:eastAsia="Times New Roman"/>
          <w:noProof/>
        </w:rPr>
        <w:t>he proposed Regulation should be suspended once the COVID-19 pandemic h</w:t>
      </w:r>
      <w:r>
        <w:rPr>
          <w:rFonts w:eastAsia="Times New Roman"/>
          <w:noProof/>
        </w:rPr>
        <w:t>as been overcome, since as of that point, there is no justification to oblige third-country nationals to present any health documents when travelling within the Union. At the same time, its application should resume if the WHO declares another pandemic due</w:t>
      </w:r>
      <w:r>
        <w:rPr>
          <w:rFonts w:eastAsia="Times New Roman"/>
          <w:noProof/>
        </w:rPr>
        <w:t xml:space="preserve"> to an outbreak of </w:t>
      </w:r>
      <w:r>
        <w:rPr>
          <w:rStyle w:val="Emphasis"/>
          <w:noProof/>
        </w:rPr>
        <w:t>SARS</w:t>
      </w:r>
      <w:r>
        <w:rPr>
          <w:rStyle w:val="acopre"/>
          <w:i/>
          <w:noProof/>
        </w:rPr>
        <w:t>-</w:t>
      </w:r>
      <w:r>
        <w:rPr>
          <w:rStyle w:val="Emphasis"/>
          <w:noProof/>
        </w:rPr>
        <w:t>CoV</w:t>
      </w:r>
      <w:r>
        <w:rPr>
          <w:rStyle w:val="acopre"/>
          <w:i/>
          <w:noProof/>
        </w:rPr>
        <w:t>-</w:t>
      </w:r>
      <w:r>
        <w:rPr>
          <w:rStyle w:val="Emphasis"/>
          <w:noProof/>
        </w:rPr>
        <w:t xml:space="preserve">2, </w:t>
      </w:r>
      <w:bookmarkStart w:id="0" w:name="_GoBack"/>
      <w:r w:rsidRPr="00454F48">
        <w:rPr>
          <w:rStyle w:val="Emphasis"/>
          <w:i w:val="0"/>
          <w:noProof/>
        </w:rPr>
        <w:t>a variant thereof, or of similar</w:t>
      </w:r>
      <w:r>
        <w:rPr>
          <w:rStyle w:val="Emphasis"/>
          <w:noProof/>
        </w:rPr>
        <w:t xml:space="preserve"> </w:t>
      </w:r>
      <w:bookmarkEnd w:id="0"/>
      <w:r>
        <w:rPr>
          <w:noProof/>
        </w:rPr>
        <w:t>infectious diseases with epidemic potential</w:t>
      </w:r>
      <w:r>
        <w:rPr>
          <w:rFonts w:eastAsiaTheme="minorEastAsia"/>
          <w:noProof/>
          <w:lang w:val="en-IE"/>
        </w:rPr>
        <w:t xml:space="preserve">. </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D947B5" w:rsidRDefault="00454F48">
      <w:pPr>
        <w:rPr>
          <w:noProof/>
        </w:rPr>
      </w:pPr>
      <w:r>
        <w:rPr>
          <w:noProof/>
        </w:rPr>
        <w:t>A Regulation ensures the direct, immediate and common implementation of EU law in all Member States.</w:t>
      </w:r>
    </w:p>
    <w:p w:rsidR="00D947B5" w:rsidRDefault="00454F48">
      <w:pPr>
        <w:pStyle w:val="ManualHeading1"/>
        <w:rPr>
          <w:noProof/>
        </w:rPr>
      </w:pPr>
      <w:r>
        <w:rPr>
          <w:noProof/>
        </w:rPr>
        <w:t>3.</w:t>
      </w:r>
      <w:r>
        <w:rPr>
          <w:noProof/>
        </w:rPr>
        <w:tab/>
        <w:t xml:space="preserve">RESULTS OF </w:t>
      </w:r>
      <w:r>
        <w:rPr>
          <w:noProof/>
        </w:rPr>
        <w:t>EX-POST EVALUATIONS, STAKEHOLDER CONSULTATIONS AND IMPACT ASSESSMENTS</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D947B5" w:rsidRDefault="00454F48">
      <w:pPr>
        <w:rPr>
          <w:noProof/>
        </w:rPr>
      </w:pPr>
      <w:r>
        <w:rPr>
          <w:rFonts w:eastAsia="Times New Roman"/>
          <w:noProof/>
          <w:lang w:val="en-IE"/>
        </w:rPr>
        <w:t xml:space="preserve">The proposal takes into account the discussions held at regular intervals with Member States, the technical exchanges taking place within the Health Security </w:t>
      </w:r>
      <w:r>
        <w:rPr>
          <w:rFonts w:eastAsia="Times New Roman"/>
          <w:noProof/>
          <w:lang w:val="en-IE"/>
        </w:rPr>
        <w:t>Committee and the eHealth Network, the information available on the evolving epidemiological situation and relevant available scientific evidence.</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D947B5" w:rsidRDefault="00454F48">
      <w:pPr>
        <w:spacing w:before="0" w:after="240"/>
        <w:rPr>
          <w:rFonts w:eastAsiaTheme="minorEastAsia"/>
          <w:noProof/>
        </w:rPr>
      </w:pPr>
      <w:r>
        <w:rPr>
          <w:rFonts w:eastAsiaTheme="minorEastAsia"/>
          <w:noProof/>
        </w:rPr>
        <w:t xml:space="preserve">The proposal builds on </w:t>
      </w:r>
      <w:r>
        <w:rPr>
          <w:rFonts w:eastAsia="Times New Roman"/>
          <w:noProof/>
          <w:lang w:val="en-IE"/>
        </w:rPr>
        <w:t>the technical exchanges taking place within the Heal</w:t>
      </w:r>
      <w:r>
        <w:rPr>
          <w:rFonts w:eastAsia="Times New Roman"/>
          <w:noProof/>
          <w:lang w:val="en-IE"/>
        </w:rPr>
        <w:t>th Security Committee and the eHealth Network, the information published by ECDC on the epidemiological situation related to the COVID-19 pandemic, and relevant available scientific evidence</w:t>
      </w:r>
      <w:r>
        <w:rPr>
          <w:rFonts w:eastAsiaTheme="minorEastAsia"/>
          <w:noProof/>
        </w:rPr>
        <w:t>.</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D947B5" w:rsidRDefault="00454F48">
      <w:pPr>
        <w:spacing w:before="0" w:after="240"/>
        <w:rPr>
          <w:noProof/>
        </w:rPr>
      </w:pPr>
      <w:r>
        <w:rPr>
          <w:rFonts w:eastAsiaTheme="minorEastAsia"/>
          <w:noProof/>
          <w:szCs w:val="24"/>
        </w:rPr>
        <w:t>In view of the urgency, the Commission did n</w:t>
      </w:r>
      <w:r>
        <w:rPr>
          <w:rFonts w:eastAsiaTheme="minorEastAsia"/>
          <w:noProof/>
          <w:szCs w:val="24"/>
        </w:rPr>
        <w:t>ot carry out any impact assessment.</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D947B5" w:rsidRDefault="00454F48">
      <w:pPr>
        <w:rPr>
          <w:noProof/>
        </w:rPr>
      </w:pPr>
      <w:r>
        <w:rPr>
          <w:noProof/>
        </w:rPr>
        <w:t>This proposal implies processing of personal data, including health data. There are potential impacts on individuals’ fundamental rights, namely Article 7 of the Charter on the respect of private lif</w:t>
      </w:r>
      <w:r>
        <w:rPr>
          <w:noProof/>
        </w:rPr>
        <w:t>e and Article 8 on the right to the protection of personal data. Processing the personal data of individuals, including collection, access and use of personal data, affects the right to privacy and the right to protection of personal data under the Charter</w:t>
      </w:r>
      <w:r>
        <w:rPr>
          <w:noProof/>
        </w:rPr>
        <w:t>. Interference with these fundamental rights must be justified.</w:t>
      </w:r>
    </w:p>
    <w:p w:rsidR="00D947B5" w:rsidRDefault="00454F48">
      <w:pPr>
        <w:rPr>
          <w:noProof/>
        </w:rPr>
      </w:pPr>
      <w:r>
        <w:rPr>
          <w:noProof/>
        </w:rPr>
        <w:t>As regards the right to the protection of personal data including data security, Regulation (EU) 2016/679 of the European Parliament and of the Council</w:t>
      </w:r>
      <w:r>
        <w:rPr>
          <w:rStyle w:val="FootnoteReference"/>
          <w:noProof/>
        </w:rPr>
        <w:footnoteReference w:id="11"/>
      </w:r>
      <w:r>
        <w:rPr>
          <w:noProof/>
        </w:rPr>
        <w:t xml:space="preserve"> applies. No derogation from the data pr</w:t>
      </w:r>
      <w:r>
        <w:rPr>
          <w:noProof/>
        </w:rPr>
        <w:t>otection regime of the Union is envisaged and clear rules, conditions and robust safeguards must be implemented by Member States in line with the EU data protection rules. The proposed Regulation does not establish a European database on vaccination, testi</w:t>
      </w:r>
      <w:r>
        <w:rPr>
          <w:noProof/>
        </w:rPr>
        <w:t>ng or recovery from COVID-19. For the purposes of the proposed Regulation, personal data need only to be included in the certificate issued, which should be protected against falsification and tampering.</w:t>
      </w:r>
    </w:p>
    <w:p w:rsidR="00D947B5" w:rsidRDefault="00454F48">
      <w:pPr>
        <w:pStyle w:val="ManualHeading1"/>
        <w:rPr>
          <w:noProof/>
        </w:rPr>
      </w:pPr>
      <w:r>
        <w:rPr>
          <w:noProof/>
        </w:rPr>
        <w:t>4.</w:t>
      </w:r>
      <w:r>
        <w:rPr>
          <w:noProof/>
        </w:rPr>
        <w:tab/>
        <w:t>BUDGETARY IMPLICATIONS</w:t>
      </w:r>
    </w:p>
    <w:p w:rsidR="00D947B5" w:rsidRDefault="00454F48">
      <w:pPr>
        <w:pBdr>
          <w:top w:val="nil"/>
          <w:left w:val="nil"/>
          <w:bottom w:val="nil"/>
          <w:right w:val="nil"/>
          <w:between w:val="nil"/>
          <w:bar w:val="nil"/>
        </w:pBdr>
        <w:spacing w:before="0" w:after="240"/>
        <w:rPr>
          <w:rFonts w:eastAsia="Arial Unicode MS"/>
          <w:noProof/>
        </w:rPr>
      </w:pPr>
      <w:r>
        <w:rPr>
          <w:noProof/>
          <w:sz w:val="23"/>
          <w:szCs w:val="23"/>
        </w:rPr>
        <w:t>The financing of actions s</w:t>
      </w:r>
      <w:r>
        <w:rPr>
          <w:noProof/>
          <w:sz w:val="23"/>
          <w:szCs w:val="23"/>
        </w:rPr>
        <w:t xml:space="preserve">upporting this initiative will be covered by the Legislative Financial Statement submitted with the proposal for </w:t>
      </w:r>
      <w:r>
        <w:rPr>
          <w:noProof/>
        </w:rPr>
        <w:t>Regulation (EU) 2021/XXX</w:t>
      </w:r>
      <w:r>
        <w:rPr>
          <w:noProof/>
          <w:sz w:val="23"/>
          <w:szCs w:val="23"/>
        </w:rPr>
        <w:t>.</w:t>
      </w:r>
    </w:p>
    <w:p w:rsidR="00D947B5" w:rsidRDefault="00454F48">
      <w:pPr>
        <w:pStyle w:val="ManualHeading1"/>
        <w:rPr>
          <w:noProof/>
        </w:rPr>
      </w:pPr>
      <w:r>
        <w:rPr>
          <w:noProof/>
        </w:rPr>
        <w:t>5.</w:t>
      </w:r>
      <w:r>
        <w:rPr>
          <w:noProof/>
        </w:rPr>
        <w:tab/>
        <w:t>OTHER ELEMENTS</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D947B5" w:rsidRDefault="00454F48">
      <w:pPr>
        <w:pBdr>
          <w:top w:val="nil"/>
          <w:left w:val="nil"/>
          <w:bottom w:val="nil"/>
          <w:right w:val="nil"/>
          <w:between w:val="nil"/>
          <w:bar w:val="nil"/>
        </w:pBdr>
        <w:spacing w:before="0" w:after="240"/>
        <w:rPr>
          <w:rFonts w:eastAsia="Arial Unicode MS"/>
          <w:noProof/>
        </w:rPr>
      </w:pPr>
      <w:r>
        <w:rPr>
          <w:noProof/>
        </w:rPr>
        <w:t xml:space="preserve">Not relevant. </w:t>
      </w:r>
    </w:p>
    <w:p w:rsidR="00D947B5" w:rsidRDefault="00454F4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val="en-US" w:eastAsia="en-GB"/>
        </w:rPr>
        <w:t>Detailed explanation of the specific provisions of the proposal</w:t>
      </w:r>
    </w:p>
    <w:p w:rsidR="00D947B5" w:rsidRDefault="00454F48">
      <w:pPr>
        <w:spacing w:before="0" w:after="200" w:line="276" w:lineRule="auto"/>
        <w:jc w:val="left"/>
        <w:rPr>
          <w:noProof/>
        </w:rPr>
      </w:pPr>
      <w:r>
        <w:rPr>
          <w:noProof/>
          <w:u w:val="single"/>
        </w:rPr>
        <w:t xml:space="preserve">Article 1 </w:t>
      </w:r>
      <w:r>
        <w:rPr>
          <w:noProof/>
        </w:rPr>
        <w:t>of the proposal describes the subject matter of the proposed Regulation.</w:t>
      </w:r>
    </w:p>
    <w:p w:rsidR="00D947B5" w:rsidRDefault="00454F48">
      <w:pPr>
        <w:rPr>
          <w:rFonts w:eastAsia="Arial Unicode MS"/>
          <w:noProof/>
        </w:rPr>
      </w:pPr>
      <w:r>
        <w:rPr>
          <w:rFonts w:eastAsia="Arial Unicode MS"/>
          <w:noProof/>
          <w:u w:val="single"/>
        </w:rPr>
        <w:t>Article 2</w:t>
      </w:r>
      <w:r>
        <w:rPr>
          <w:rFonts w:eastAsia="Arial Unicode MS"/>
          <w:noProof/>
        </w:rPr>
        <w:t xml:space="preserve"> </w:t>
      </w:r>
      <w:r>
        <w:rPr>
          <w:noProof/>
          <w:szCs w:val="24"/>
        </w:rPr>
        <w:t>provides for an expedited entry into force of the Regulation</w:t>
      </w:r>
      <w:r>
        <w:rPr>
          <w:rFonts w:eastAsia="Arial Unicode MS"/>
          <w:noProof/>
        </w:rPr>
        <w:t>.</w:t>
      </w:r>
    </w:p>
    <w:p w:rsidR="00D947B5" w:rsidRDefault="00D947B5">
      <w:pPr>
        <w:rPr>
          <w:noProof/>
        </w:rPr>
        <w:sectPr w:rsidR="00D947B5">
          <w:footerReference w:type="default" r:id="rId10"/>
          <w:footerReference w:type="first" r:id="rId11"/>
          <w:pgSz w:w="11907" w:h="16839"/>
          <w:pgMar w:top="1134" w:right="1417" w:bottom="1134" w:left="1417" w:header="709" w:footer="709" w:gutter="0"/>
          <w:cols w:space="708"/>
          <w:docGrid w:linePitch="360"/>
        </w:sectPr>
      </w:pPr>
    </w:p>
    <w:p w:rsidR="00D947B5" w:rsidRDefault="00454F48">
      <w:pPr>
        <w:pStyle w:val="Rfrenceinterinstitutionnelle"/>
        <w:rPr>
          <w:noProof/>
        </w:rPr>
      </w:pPr>
      <w:r>
        <w:rPr>
          <w:noProof/>
        </w:rPr>
        <w:t>2021/0071 (COD)</w:t>
      </w:r>
    </w:p>
    <w:p w:rsidR="00D947B5" w:rsidRDefault="00454F48">
      <w:pPr>
        <w:pStyle w:val="Statut"/>
        <w:rPr>
          <w:noProof/>
        </w:rPr>
      </w:pPr>
      <w:r>
        <w:rPr>
          <w:noProof/>
        </w:rPr>
        <w:t>Proposal for a</w:t>
      </w:r>
    </w:p>
    <w:p w:rsidR="00D947B5" w:rsidRDefault="00454F48">
      <w:pPr>
        <w:pStyle w:val="Typedudocument"/>
        <w:rPr>
          <w:noProof/>
        </w:rPr>
      </w:pPr>
      <w:r>
        <w:rPr>
          <w:noProof/>
        </w:rPr>
        <w:t>REGULATION OF THE EUROPEAN PARLIAMENT AND OF THE COUNCIL</w:t>
      </w:r>
    </w:p>
    <w:p w:rsidR="00D947B5" w:rsidRDefault="00454F48">
      <w:pPr>
        <w:pStyle w:val="Titreobjet"/>
        <w:rPr>
          <w:noProof/>
        </w:rPr>
      </w:pPr>
      <w:r>
        <w:rPr>
          <w:noProof/>
        </w:rPr>
        <w:t xml:space="preserve">on a framework for the issuance, verification and acceptance of interoperable certificates on vaccination, testing and recovery to third-country </w:t>
      </w:r>
      <w:r>
        <w:rPr>
          <w:noProof/>
        </w:rPr>
        <w:t>nationals legally staying or legally residing in the territories of Member States during the COVID-19 pandemic (Digital Green Certificate)</w:t>
      </w:r>
      <w:r>
        <w:rPr>
          <w:noProof/>
        </w:rPr>
        <w:br/>
      </w:r>
    </w:p>
    <w:p w:rsidR="00D947B5" w:rsidRDefault="00454F48">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D947B5" w:rsidRDefault="00454F48">
      <w:pPr>
        <w:rPr>
          <w:noProof/>
        </w:rPr>
      </w:pPr>
      <w:r>
        <w:rPr>
          <w:noProof/>
        </w:rPr>
        <w:t>Having regard to the Treaty on the Functioning of the</w:t>
      </w:r>
      <w:r>
        <w:rPr>
          <w:noProof/>
        </w:rPr>
        <w:t xml:space="preserve"> European Union, and in particular Article 77(2)(c)thereof,</w:t>
      </w:r>
    </w:p>
    <w:p w:rsidR="00D947B5" w:rsidRDefault="00454F48">
      <w:pPr>
        <w:rPr>
          <w:noProof/>
        </w:rPr>
      </w:pPr>
      <w:r>
        <w:rPr>
          <w:noProof/>
        </w:rPr>
        <w:t>Having regard to the proposal from the European Commission,</w:t>
      </w:r>
    </w:p>
    <w:p w:rsidR="00D947B5" w:rsidRDefault="00454F48">
      <w:pPr>
        <w:rPr>
          <w:noProof/>
        </w:rPr>
      </w:pPr>
      <w:r>
        <w:rPr>
          <w:noProof/>
        </w:rPr>
        <w:t>After transmission of the draft legislative act to the national parliaments,</w:t>
      </w:r>
      <w:r>
        <w:rPr>
          <w:noProof/>
          <w:sz w:val="23"/>
          <w:szCs w:val="23"/>
        </w:rPr>
        <w:t xml:space="preserve"> </w:t>
      </w:r>
    </w:p>
    <w:p w:rsidR="00D947B5" w:rsidRDefault="00454F48">
      <w:pPr>
        <w:rPr>
          <w:noProof/>
        </w:rPr>
      </w:pPr>
      <w:r>
        <w:rPr>
          <w:noProof/>
        </w:rPr>
        <w:t>Acting in accordance with the ordinary legislative procedu</w:t>
      </w:r>
      <w:r>
        <w:rPr>
          <w:noProof/>
        </w:rPr>
        <w:t>re,</w:t>
      </w:r>
    </w:p>
    <w:p w:rsidR="00D947B5" w:rsidRDefault="00454F48">
      <w:pPr>
        <w:rPr>
          <w:noProof/>
        </w:rPr>
      </w:pPr>
      <w:r>
        <w:rPr>
          <w:noProof/>
        </w:rPr>
        <w:t>Whereas:</w:t>
      </w:r>
    </w:p>
    <w:p w:rsidR="00D947B5" w:rsidRDefault="00454F48">
      <w:pPr>
        <w:pStyle w:val="ManualConsidrant"/>
        <w:rPr>
          <w:noProof/>
          <w:sz w:val="22"/>
        </w:rPr>
      </w:pPr>
      <w:r>
        <w:t>(1)</w:t>
      </w:r>
      <w:r>
        <w:tab/>
      </w:r>
      <w:r>
        <w:rPr>
          <w:noProof/>
        </w:rPr>
        <w:t>Under the Schengen acquis, third country nationals lawfully residing in the Union and third country nationals who have legally entered the territory of a Member State</w:t>
      </w:r>
      <w:r>
        <w:rPr>
          <w:noProof/>
          <w:sz w:val="22"/>
        </w:rPr>
        <w:t xml:space="preserve"> </w:t>
      </w:r>
      <w:r>
        <w:rPr>
          <w:noProof/>
        </w:rPr>
        <w:t>may move freely within the territories of all other Member States during</w:t>
      </w:r>
      <w:r>
        <w:rPr>
          <w:noProof/>
        </w:rPr>
        <w:t xml:space="preserve"> a period of 90 days in any 180-day period.</w:t>
      </w:r>
    </w:p>
    <w:p w:rsidR="00D947B5" w:rsidRDefault="00454F48">
      <w:pPr>
        <w:pStyle w:val="ManualConsidrant"/>
        <w:rPr>
          <w:noProof/>
        </w:rPr>
      </w:pPr>
      <w:r>
        <w:t>(2)</w:t>
      </w:r>
      <w:r>
        <w:tab/>
      </w:r>
      <w:r>
        <w:rPr>
          <w:noProof/>
        </w:rPr>
        <w:t xml:space="preserve">On 30 January 2020, the </w:t>
      </w:r>
      <w:r>
        <w:rPr>
          <w:rStyle w:val="titxdkkzwvy9yqo8olape"/>
          <w:noProof/>
        </w:rPr>
        <w:t xml:space="preserve">Director-General of the World Health Organization (‘WHO’) declared </w:t>
      </w:r>
      <w:r>
        <w:rPr>
          <w:noProof/>
        </w:rPr>
        <w:t xml:space="preserve">a public health emergency of international concern over the global outbreak of </w:t>
      </w:r>
      <w:r>
        <w:rPr>
          <w:rStyle w:val="acopre"/>
          <w:noProof/>
        </w:rPr>
        <w:t>severe acute respiratory syndrome coro</w:t>
      </w:r>
      <w:r>
        <w:rPr>
          <w:rStyle w:val="acopre"/>
          <w:noProof/>
        </w:rPr>
        <w:t>navirus 2 (</w:t>
      </w:r>
      <w:r>
        <w:rPr>
          <w:rStyle w:val="Emphasis"/>
          <w:noProof/>
        </w:rPr>
        <w:t>SARS</w:t>
      </w:r>
      <w:r>
        <w:rPr>
          <w:rStyle w:val="acopre"/>
          <w:i/>
          <w:noProof/>
        </w:rPr>
        <w:t>-</w:t>
      </w:r>
      <w:r>
        <w:rPr>
          <w:rStyle w:val="Emphasis"/>
          <w:noProof/>
        </w:rPr>
        <w:t>CoV</w:t>
      </w:r>
      <w:r>
        <w:rPr>
          <w:rStyle w:val="acopre"/>
          <w:i/>
          <w:noProof/>
        </w:rPr>
        <w:t>-</w:t>
      </w:r>
      <w:r>
        <w:rPr>
          <w:rStyle w:val="Emphasis"/>
          <w:noProof/>
        </w:rPr>
        <w:t>2</w:t>
      </w:r>
      <w:r>
        <w:rPr>
          <w:rStyle w:val="acopre"/>
          <w:noProof/>
        </w:rPr>
        <w:t>)</w:t>
      </w:r>
      <w:r>
        <w:rPr>
          <w:noProof/>
        </w:rPr>
        <w:t>, which causes</w:t>
      </w:r>
      <w:r>
        <w:rPr>
          <w:rStyle w:val="titxdkkzwvy9yqo8olape"/>
          <w:noProof/>
        </w:rPr>
        <w:t xml:space="preserve"> </w:t>
      </w:r>
      <w:r>
        <w:rPr>
          <w:noProof/>
        </w:rPr>
        <w:t>coronavirus disease 2019 (COVID</w:t>
      </w:r>
      <w:r>
        <w:rPr>
          <w:rFonts w:ascii="Cambria Math" w:hAnsi="Cambria Math" w:cs="Cambria Math"/>
          <w:noProof/>
        </w:rPr>
        <w:t>‑</w:t>
      </w:r>
      <w:r>
        <w:rPr>
          <w:noProof/>
        </w:rPr>
        <w:t>19). On 11 March 2020, the WHO made the assessment that COVID-19 can be characterized as a pandemic.</w:t>
      </w:r>
    </w:p>
    <w:p w:rsidR="00D947B5" w:rsidRDefault="00454F48">
      <w:pPr>
        <w:pStyle w:val="ManualConsidrant"/>
        <w:rPr>
          <w:noProof/>
        </w:rPr>
      </w:pPr>
      <w:r>
        <w:t>(3)</w:t>
      </w:r>
      <w:r>
        <w:tab/>
      </w:r>
      <w:r>
        <w:rPr>
          <w:noProof/>
        </w:rPr>
        <w:t>To limit the spread of the virus, the Member States have adopted various measures,</w:t>
      </w:r>
      <w:r>
        <w:rPr>
          <w:noProof/>
        </w:rPr>
        <w:t xml:space="preserve"> some of which have had an impact on travel to and within the territory of the Member States, such as restrictions on entry or requirements for cross-border travellers to undergo quarantine.</w:t>
      </w:r>
    </w:p>
    <w:p w:rsidR="00D947B5" w:rsidRDefault="00454F48">
      <w:pPr>
        <w:pStyle w:val="ManualConsidrant"/>
        <w:rPr>
          <w:noProof/>
        </w:rPr>
      </w:pPr>
      <w:r>
        <w:t>(4)</w:t>
      </w:r>
      <w:r>
        <w:tab/>
      </w:r>
      <w:r>
        <w:rPr>
          <w:noProof/>
        </w:rPr>
        <w:t>On 13 October 2020, the Council adopted Council Recommendatio</w:t>
      </w:r>
      <w:r>
        <w:rPr>
          <w:noProof/>
        </w:rPr>
        <w:t>n (EU) 2020/1475 on a coordinated approach to the restriction of free movement in response to the COVID-19 pandemic</w:t>
      </w:r>
      <w:r>
        <w:rPr>
          <w:rStyle w:val="FootnoteReference"/>
          <w:noProof/>
        </w:rPr>
        <w:footnoteReference w:id="12"/>
      </w:r>
      <w:r>
        <w:rPr>
          <w:noProof/>
        </w:rPr>
        <w:t xml:space="preserve">. </w:t>
      </w:r>
    </w:p>
    <w:p w:rsidR="00D947B5" w:rsidRDefault="00454F48">
      <w:pPr>
        <w:pStyle w:val="ManualConsidrant"/>
        <w:rPr>
          <w:noProof/>
        </w:rPr>
      </w:pPr>
      <w:r>
        <w:t>(5)</w:t>
      </w:r>
      <w:r>
        <w:tab/>
      </w:r>
      <w:r>
        <w:rPr>
          <w:noProof/>
        </w:rPr>
        <w:t>On 30 October 2020, the Council adopted Council Recommendation (EU) 2020/1632</w:t>
      </w:r>
      <w:r>
        <w:rPr>
          <w:rStyle w:val="FootnoteReference"/>
          <w:noProof/>
        </w:rPr>
        <w:footnoteReference w:id="13"/>
      </w:r>
      <w:r>
        <w:rPr>
          <w:noProof/>
        </w:rPr>
        <w:t xml:space="preserve"> on a coordinated approach to the restriction of free m</w:t>
      </w:r>
      <w:r>
        <w:rPr>
          <w:noProof/>
        </w:rPr>
        <w:t xml:space="preserve">ovement in response to the COVID-19 pandemic in the Schengen area, in which it recommended Member States that are bound by the Schengen </w:t>
      </w:r>
      <w:r>
        <w:rPr>
          <w:i/>
          <w:noProof/>
        </w:rPr>
        <w:t>acquis</w:t>
      </w:r>
      <w:r>
        <w:rPr>
          <w:noProof/>
        </w:rPr>
        <w:t xml:space="preserve"> to apply the principles, common criteria, common thresholds and common framework of measures, set out in Council </w:t>
      </w:r>
      <w:r>
        <w:rPr>
          <w:noProof/>
        </w:rPr>
        <w:t>Recommendation (EU) 2020/1475.</w:t>
      </w:r>
    </w:p>
    <w:p w:rsidR="00D947B5" w:rsidRDefault="00454F48">
      <w:pPr>
        <w:pStyle w:val="ManualConsidrant"/>
        <w:rPr>
          <w:noProof/>
          <w:lang w:val="en-IE"/>
        </w:rPr>
      </w:pPr>
      <w:r>
        <w:t>(6)</w:t>
      </w:r>
      <w:r>
        <w:tab/>
      </w:r>
      <w:r>
        <w:rPr>
          <w:noProof/>
          <w:lang w:val="en-IE"/>
        </w:rPr>
        <w:t>Many Member States have launched or plan to launch initiatives to issue vaccination certificates. However, for these to be used effectively in connection with cross-border travel within the Union, such certificates need t</w:t>
      </w:r>
      <w:r>
        <w:rPr>
          <w:noProof/>
          <w:lang w:val="en-IE"/>
        </w:rPr>
        <w:t>o be fully interoperable, secure and verifiable. A commonly agreed approach is required among Member States on the content, format, principles and technical standards of such certificates.</w:t>
      </w:r>
    </w:p>
    <w:p w:rsidR="00D947B5" w:rsidRDefault="00454F48">
      <w:pPr>
        <w:pStyle w:val="ManualConsidrant"/>
        <w:rPr>
          <w:noProof/>
          <w:sz w:val="22"/>
        </w:rPr>
      </w:pPr>
      <w:r>
        <w:t>(7)</w:t>
      </w:r>
      <w:r>
        <w:tab/>
      </w:r>
      <w:r>
        <w:rPr>
          <w:noProof/>
        </w:rPr>
        <w:t>Already now, several Member States exempt vaccinated persons fr</w:t>
      </w:r>
      <w:r>
        <w:rPr>
          <w:noProof/>
        </w:rPr>
        <w:t>om certain travel restrictions. Where Member States accept proof of vaccination in order to waive travel restrictions put in place in compliance with Union law to limit the spread of COVID-19, such as requirements to undergo quarantine/self-isolation or be</w:t>
      </w:r>
      <w:r>
        <w:rPr>
          <w:noProof/>
        </w:rPr>
        <w:t xml:space="preserve"> tested for SARS-CoV-2 infection, they should be required to accept, under the same conditions, valid vaccination certificates issued by other Member States in compliance with the </w:t>
      </w:r>
      <w:r>
        <w:rPr>
          <w:rFonts w:eastAsia="Times New Roman"/>
          <w:noProof/>
        </w:rPr>
        <w:t>proposal for a Regulation on a Digital Green Certificate (COM(2021)/xxx)</w:t>
      </w:r>
      <w:r>
        <w:rPr>
          <w:noProof/>
        </w:rPr>
        <w:t>. Th</w:t>
      </w:r>
      <w:r>
        <w:rPr>
          <w:noProof/>
        </w:rPr>
        <w:t>is acceptance should take place under the same conditions, meaning that, for example, where a Member State considers a single dose of an administered vaccine to be sufficient, it should do so also for holders of a vaccination certificate indicating a singl</w:t>
      </w:r>
      <w:r>
        <w:rPr>
          <w:noProof/>
        </w:rPr>
        <w:t>e dose of the same vaccine. On grounds of public health, this obligation should be limited to persons having received COVID-19 vaccines having been granted marketing authorisation pursuant to Regulation (EC) No 726/2004 of the European Parliament and of th</w:t>
      </w:r>
      <w:r>
        <w:rPr>
          <w:noProof/>
        </w:rPr>
        <w:t>e Council</w:t>
      </w:r>
      <w:r>
        <w:rPr>
          <w:rStyle w:val="FootnoteReference"/>
          <w:noProof/>
        </w:rPr>
        <w:footnoteReference w:id="14"/>
      </w:r>
      <w:r>
        <w:rPr>
          <w:noProof/>
        </w:rPr>
        <w:t>. This should not prevent Member States from deciding to accept vaccination certificates issued for other COVID-19 vaccines, such as vaccines having been granted marketing authorisation by the competent authority of a Member State pursuant to Dir</w:t>
      </w:r>
      <w:r>
        <w:rPr>
          <w:noProof/>
        </w:rPr>
        <w:t>ective 2001/83/EC of the European Parliament and the Council</w:t>
      </w:r>
      <w:r>
        <w:rPr>
          <w:rStyle w:val="FootnoteReference"/>
          <w:noProof/>
        </w:rPr>
        <w:footnoteReference w:id="15"/>
      </w:r>
      <w:r>
        <w:rPr>
          <w:noProof/>
        </w:rPr>
        <w:t xml:space="preserve">, vaccines whose distribution has been temporarily authorised based on Article 5(2) of that Directive 2001/83/EC, or vaccines having received a WHO Emergency Use Listing. </w:t>
      </w:r>
      <w:r>
        <w:rPr>
          <w:noProof/>
          <w:lang w:val="en-US"/>
        </w:rPr>
        <w:t>Regulation (EU) No 2021/</w:t>
      </w:r>
      <w:r>
        <w:rPr>
          <w:noProof/>
          <w:lang w:val="en-US"/>
        </w:rPr>
        <w:t>xxxx of xx xx 2021 lays down a framework for the issuance, verification and acceptance of interoperable certificates on</w:t>
      </w:r>
      <w:r>
        <w:rPr>
          <w:noProof/>
          <w:color w:val="1F497D"/>
          <w:lang w:val="en-US"/>
        </w:rPr>
        <w:t xml:space="preserve"> </w:t>
      </w:r>
      <w:r>
        <w:rPr>
          <w:noProof/>
          <w:lang w:val="en-US"/>
        </w:rPr>
        <w:t>COVID-19 vaccination, testing and recovery to facilitate free movement during the COVID-19 pandemic. It</w:t>
      </w:r>
      <w:r>
        <w:rPr>
          <w:noProof/>
          <w:color w:val="1F497D"/>
          <w:lang w:val="en-US"/>
        </w:rPr>
        <w:t xml:space="preserve"> </w:t>
      </w:r>
      <w:r>
        <w:rPr>
          <w:noProof/>
          <w:lang w:val="en-US"/>
        </w:rPr>
        <w:t>applies to Union citizens and th</w:t>
      </w:r>
      <w:r>
        <w:rPr>
          <w:noProof/>
          <w:lang w:val="en-US"/>
        </w:rPr>
        <w:t xml:space="preserve">ird-country nationals who are family members of Union citizens. </w:t>
      </w:r>
    </w:p>
    <w:p w:rsidR="00D947B5" w:rsidRDefault="00454F48">
      <w:pPr>
        <w:pStyle w:val="ManualConsidrant"/>
        <w:rPr>
          <w:noProof/>
          <w:sz w:val="22"/>
        </w:rPr>
      </w:pPr>
      <w:r>
        <w:t>(8)</w:t>
      </w:r>
      <w:r>
        <w:tab/>
      </w:r>
      <w:r>
        <w:rPr>
          <w:noProof/>
          <w:lang w:val="en-US"/>
        </w:rPr>
        <w:t>In accordance with Articles 19, 20 and 21 of the Convention implementing the Schengen Agreement, the third-country nationals covered by these provisions may travel freely within the terri</w:t>
      </w:r>
      <w:r>
        <w:rPr>
          <w:noProof/>
          <w:lang w:val="en-US"/>
        </w:rPr>
        <w:t>tories of the other Member States.</w:t>
      </w:r>
    </w:p>
    <w:p w:rsidR="00D947B5" w:rsidRDefault="00454F48">
      <w:pPr>
        <w:pStyle w:val="ManualConsidrant"/>
        <w:rPr>
          <w:noProof/>
          <w:lang w:val="en-US"/>
        </w:rPr>
      </w:pPr>
      <w:r>
        <w:t>(9)</w:t>
      </w:r>
      <w:r>
        <w:tab/>
      </w:r>
      <w:r>
        <w:rPr>
          <w:noProof/>
          <w:lang w:val="en-US"/>
        </w:rPr>
        <w:t xml:space="preserve">To facilitate travel within the territories of the Member States by third country nationals who have the right to such travel, the framework for the issuance, verification and acceptance of interoperable certificates </w:t>
      </w:r>
      <w:r>
        <w:rPr>
          <w:noProof/>
          <w:lang w:val="en-US"/>
        </w:rPr>
        <w:t>on COVID-19 vaccination, testing and recovery established by Regulation (EU) No  2021/xxxx should also apply  to third-country nationals who are not already covered by that Regulation, provided that they are legally staying or legally residing in the terri</w:t>
      </w:r>
      <w:r>
        <w:rPr>
          <w:noProof/>
          <w:lang w:val="en-US"/>
        </w:rPr>
        <w:t xml:space="preserve">tory of a Member State </w:t>
      </w:r>
      <w:r>
        <w:rPr>
          <w:noProof/>
          <w:szCs w:val="24"/>
        </w:rPr>
        <w:t>and are entitled to travel to other Member States in accordance with Union law</w:t>
      </w:r>
      <w:r>
        <w:rPr>
          <w:noProof/>
          <w:lang w:val="en-US"/>
        </w:rPr>
        <w:t xml:space="preserve">. </w:t>
      </w:r>
    </w:p>
    <w:p w:rsidR="00D947B5" w:rsidRDefault="00454F48">
      <w:pPr>
        <w:pStyle w:val="ManualConsidrant"/>
        <w:rPr>
          <w:noProof/>
          <w:sz w:val="22"/>
        </w:rPr>
      </w:pPr>
      <w:r>
        <w:t>(10)</w:t>
      </w:r>
      <w:r>
        <w:tab/>
      </w:r>
      <w:r>
        <w:rPr>
          <w:noProof/>
          <w:lang w:val="en-IE"/>
        </w:rPr>
        <w:t xml:space="preserve">For certificates to be used effectively in connection with cross-border travel, such certificates need to be fully interoperable. </w:t>
      </w:r>
    </w:p>
    <w:p w:rsidR="00D947B5" w:rsidRDefault="00454F48">
      <w:pPr>
        <w:pStyle w:val="ManualConsidrant"/>
        <w:rPr>
          <w:noProof/>
          <w:szCs w:val="24"/>
          <w:lang w:val="en-US"/>
        </w:rPr>
      </w:pPr>
      <w:r>
        <w:t>(11)</w:t>
      </w:r>
      <w:r>
        <w:tab/>
      </w:r>
      <w:r>
        <w:rPr>
          <w:noProof/>
        </w:rPr>
        <w:t>This Regula</w:t>
      </w:r>
      <w:r>
        <w:rPr>
          <w:noProof/>
        </w:rPr>
        <w:t>tion should not be understood as facilitating or encouraging the adoption of travel restrictions to free movement, or other fundamental rights, in response to the pandemic. In addition, any need for verification of certificates established by Regulation (E</w:t>
      </w:r>
      <w:r>
        <w:rPr>
          <w:noProof/>
        </w:rPr>
        <w:t>U) 2021/xxx cannot as such justify the temporary reintroduction of border controls at internal borders. Checks at internal borders should remain a measure of last resort, subject to specific rules set out in Regulation (EU) 2016/399 (Schengen Borders Code)</w:t>
      </w:r>
      <w:r>
        <w:rPr>
          <w:rStyle w:val="FootnoteReference"/>
          <w:noProof/>
        </w:rPr>
        <w:footnoteReference w:id="16"/>
      </w:r>
      <w:r>
        <w:rPr>
          <w:noProof/>
        </w:rPr>
        <w:t>.</w:t>
      </w:r>
      <w:r>
        <w:rPr>
          <w:noProof/>
          <w:szCs w:val="24"/>
          <w:lang w:val="en-US"/>
        </w:rPr>
        <w:t xml:space="preserve"> </w:t>
      </w:r>
    </w:p>
    <w:p w:rsidR="00D947B5" w:rsidRDefault="00454F48">
      <w:pPr>
        <w:pStyle w:val="ManualConsidrant"/>
        <w:rPr>
          <w:noProof/>
        </w:rPr>
      </w:pPr>
      <w:r>
        <w:t>(12)</w:t>
      </w:r>
      <w:r>
        <w:tab/>
      </w:r>
      <w:r>
        <w:rPr>
          <w:noProof/>
        </w:rPr>
        <w:t>In accordance with Articles 1 and 2 of Protocol No 22 on the position of Denmark annexed to the Treaty on European Union and to the TFEU, Denmark is not taking part in the adoption of this Regulation and is not bound by it or subject to its applic</w:t>
      </w:r>
      <w:r>
        <w:rPr>
          <w:noProof/>
        </w:rPr>
        <w:t xml:space="preserve">ation. Given that this Regulation builds upon the Schengen acquis, Denmark shall, in accordance with Article 4 of the said Protocol, decide within a period of six months after the Council has decided on this Regulation whether it will implement it. </w:t>
      </w:r>
    </w:p>
    <w:p w:rsidR="00D947B5" w:rsidRDefault="00454F48">
      <w:pPr>
        <w:pStyle w:val="ManualConsidrant"/>
        <w:rPr>
          <w:noProof/>
        </w:rPr>
      </w:pPr>
      <w:r>
        <w:t>(13)</w:t>
      </w:r>
      <w:r>
        <w:tab/>
      </w:r>
      <w:r>
        <w:rPr>
          <w:noProof/>
        </w:rPr>
        <w:t>T</w:t>
      </w:r>
      <w:r>
        <w:rPr>
          <w:noProof/>
        </w:rPr>
        <w:t>his Regulation constitutes a development of the provisions of the Schengen acquis in which Ireland does not take part, in accordance with Council Decision 2002/192/EC</w:t>
      </w:r>
      <w:r>
        <w:rPr>
          <w:rStyle w:val="FootnoteReference"/>
          <w:noProof/>
        </w:rPr>
        <w:footnoteReference w:id="17"/>
      </w:r>
      <w:r>
        <w:rPr>
          <w:noProof/>
        </w:rPr>
        <w:t xml:space="preserve">; Ireland is therefore not taking part in its adoption and is not bound by it or subject </w:t>
      </w:r>
      <w:r>
        <w:rPr>
          <w:noProof/>
        </w:rPr>
        <w:t xml:space="preserve">to its application. </w:t>
      </w:r>
      <w:r>
        <w:rPr>
          <w:noProof/>
          <w:lang w:eastAsia="en-GB"/>
        </w:rPr>
        <w:t xml:space="preserve">Although Ireland is not subject to this Regulation, for the purposes of facilitating travel within the Union, Ireland could also issue certificates, which comply with the same requirements as those applicable to the Digital Green </w:t>
      </w:r>
      <w:r>
        <w:rPr>
          <w:noProof/>
          <w:lang w:eastAsia="en-GB"/>
        </w:rPr>
        <w:t>Certificate, to third-country nationals legally residing or legally staying in its territory and Member States could accept such certificates. Ireland could also accept certificates issued by Member States to third country nationals legally residing or leg</w:t>
      </w:r>
      <w:r>
        <w:rPr>
          <w:noProof/>
          <w:lang w:eastAsia="en-GB"/>
        </w:rPr>
        <w:t>ally staying in their territories.</w:t>
      </w:r>
    </w:p>
    <w:p w:rsidR="00D947B5" w:rsidRDefault="00454F48">
      <w:pPr>
        <w:pStyle w:val="ManualConsidrant"/>
        <w:rPr>
          <w:noProof/>
        </w:rPr>
      </w:pPr>
      <w:r>
        <w:t>(14)</w:t>
      </w:r>
      <w:r>
        <w:tab/>
      </w:r>
      <w:r>
        <w:rPr>
          <w:noProof/>
        </w:rPr>
        <w:t>As regards Bulgaria, Croatia, Cyprus and Romania, this Regulation constitutes a development of the Schengen acquis within, respectively, the meaning of Article 3(1) of the 2003 Act of Accession, Article 4(1) of the 2</w:t>
      </w:r>
      <w:r>
        <w:rPr>
          <w:noProof/>
        </w:rPr>
        <w:t>005 Act of Accession and Article 4(1) of the 2011 Act of Accession.</w:t>
      </w:r>
    </w:p>
    <w:p w:rsidR="00D947B5" w:rsidRDefault="00454F48">
      <w:pPr>
        <w:pStyle w:val="ManualConsidrant"/>
        <w:rPr>
          <w:noProof/>
        </w:rPr>
      </w:pPr>
      <w:r>
        <w:t>(15)</w:t>
      </w:r>
      <w:r>
        <w:tab/>
      </w:r>
      <w:r>
        <w:rPr>
          <w:noProof/>
        </w:rPr>
        <w:t>As regards Iceland and Norway, this Regulation constitutes a development of the provisions of the Schengen acquis within the meaning of the Agreement concluded by the Council of the E</w:t>
      </w:r>
      <w:r>
        <w:rPr>
          <w:noProof/>
        </w:rPr>
        <w:t>uropean Union and the Republic of Iceland and the Kingdom of Norway concerning the latter’s association with the implementation, application and development of the Schengen acquis which fall within the area referred to in Article 1, point C, of Council Dec</w:t>
      </w:r>
      <w:r>
        <w:rPr>
          <w:noProof/>
        </w:rPr>
        <w:t>ision 1999/437/EC</w:t>
      </w:r>
      <w:r>
        <w:rPr>
          <w:rStyle w:val="FootnoteReference"/>
          <w:noProof/>
        </w:rPr>
        <w:footnoteReference w:id="18"/>
      </w:r>
      <w:r>
        <w:rPr>
          <w:noProof/>
        </w:rPr>
        <w:t xml:space="preserve">. </w:t>
      </w:r>
    </w:p>
    <w:p w:rsidR="00D947B5" w:rsidRDefault="00454F48">
      <w:pPr>
        <w:pStyle w:val="ManualConsidrant"/>
        <w:rPr>
          <w:noProof/>
        </w:rPr>
      </w:pPr>
      <w:r>
        <w:t>(16)</w:t>
      </w:r>
      <w:r>
        <w:tab/>
      </w:r>
      <w:r>
        <w:rPr>
          <w:noProof/>
        </w:rPr>
        <w:t>As regards Switzerland, this Regulation constitutes a development of the provisions of the Schengen acquis within the meaning of the Agreement between the European Union, the European Community and the Swiss Confederation on the S</w:t>
      </w:r>
      <w:r>
        <w:rPr>
          <w:noProof/>
        </w:rPr>
        <w:t>wiss Confederation’s association with the implementation, application and development of the Schengen acquis which fall within the area referred to in Article 1, point C, of Decision 1999/437/EC read in conjunction with Article 3 of Council Decision 2008/1</w:t>
      </w:r>
      <w:r>
        <w:rPr>
          <w:noProof/>
        </w:rPr>
        <w:t>46/EC</w:t>
      </w:r>
      <w:r>
        <w:rPr>
          <w:rStyle w:val="FootnoteReference"/>
          <w:noProof/>
        </w:rPr>
        <w:footnoteReference w:id="19"/>
      </w:r>
      <w:r>
        <w:rPr>
          <w:noProof/>
        </w:rPr>
        <w:t>.</w:t>
      </w:r>
    </w:p>
    <w:p w:rsidR="00D947B5" w:rsidRDefault="00454F48">
      <w:pPr>
        <w:pStyle w:val="ManualConsidrant"/>
        <w:rPr>
          <w:noProof/>
        </w:rPr>
      </w:pPr>
      <w:r>
        <w:t>(17)</w:t>
      </w:r>
      <w:r>
        <w:tab/>
      </w:r>
      <w:r>
        <w:rPr>
          <w:noProof/>
        </w:rPr>
        <w:t>As regards Liechtenstein, this Regulation constitutes a development of provisions of the Schengen acquis within the meaning of the Protocol between the European Union, the European Community, the Swiss Confederation and the Principality of Lie</w:t>
      </w:r>
      <w:r>
        <w:rPr>
          <w:noProof/>
        </w:rPr>
        <w:t>chtenstein on the accession of the Principality of Liechtenstein to the Agreement between the European Union, the European Community and the Swiss Confederation on the Swiss Confederation’s association with the implementation, application and development o</w:t>
      </w:r>
      <w:r>
        <w:rPr>
          <w:noProof/>
        </w:rPr>
        <w:t>f the Schengen acquis which fall within the area referred to in Article 1 point C, of Decision 1999/437/EC read in conjunction with Article 3 of Decision 2011/350/EU</w:t>
      </w:r>
      <w:r>
        <w:rPr>
          <w:rStyle w:val="FootnoteReference"/>
          <w:noProof/>
        </w:rPr>
        <w:footnoteReference w:id="20"/>
      </w:r>
      <w:r>
        <w:rPr>
          <w:noProof/>
        </w:rPr>
        <w:t>.</w:t>
      </w:r>
    </w:p>
    <w:p w:rsidR="00D947B5" w:rsidRDefault="00454F48">
      <w:pPr>
        <w:pStyle w:val="ManualConsidrant"/>
        <w:rPr>
          <w:noProof/>
        </w:rPr>
      </w:pPr>
      <w:r>
        <w:t>(18)</w:t>
      </w:r>
      <w:r>
        <w:tab/>
      </w:r>
      <w:r>
        <w:rPr>
          <w:noProof/>
        </w:rPr>
        <w:t>The European Data Protection Supervisor and the European Data Protection Board have</w:t>
      </w:r>
      <w:r>
        <w:rPr>
          <w:noProof/>
        </w:rPr>
        <w:t xml:space="preserve"> been consulted in accordance with Article 42 of Regulation (EU) 2018/1725 of the European Parliament and of the Council</w:t>
      </w:r>
      <w:r>
        <w:rPr>
          <w:rStyle w:val="FootnoteReference"/>
          <w:noProof/>
        </w:rPr>
        <w:footnoteReference w:id="21"/>
      </w:r>
      <w:r>
        <w:rPr>
          <w:noProof/>
        </w:rPr>
        <w:t xml:space="preserve"> and delivered an opinion on […],</w:t>
      </w:r>
    </w:p>
    <w:p w:rsidR="00D947B5" w:rsidRDefault="00454F48">
      <w:pPr>
        <w:pStyle w:val="Formuledadoption"/>
        <w:rPr>
          <w:noProof/>
        </w:rPr>
      </w:pPr>
      <w:r>
        <w:rPr>
          <w:noProof/>
        </w:rPr>
        <w:t>HAVE ADOPTED THIS REGULATION:</w:t>
      </w:r>
    </w:p>
    <w:p w:rsidR="00D947B5" w:rsidRDefault="00454F48">
      <w:pPr>
        <w:pStyle w:val="Titrearticle"/>
        <w:rPr>
          <w:noProof/>
        </w:rPr>
      </w:pPr>
      <w:r>
        <w:rPr>
          <w:noProof/>
        </w:rPr>
        <w:t>Article 1</w:t>
      </w:r>
    </w:p>
    <w:p w:rsidR="00D947B5" w:rsidRDefault="00454F48">
      <w:pPr>
        <w:autoSpaceDE w:val="0"/>
        <w:autoSpaceDN w:val="0"/>
        <w:spacing w:before="40" w:after="40"/>
        <w:rPr>
          <w:noProof/>
          <w:szCs w:val="24"/>
        </w:rPr>
      </w:pPr>
      <w:r>
        <w:rPr>
          <w:noProof/>
          <w:szCs w:val="24"/>
        </w:rPr>
        <w:t>Member States shall apply the rules laid down in Regulation (</w:t>
      </w:r>
      <w:r>
        <w:rPr>
          <w:noProof/>
          <w:szCs w:val="24"/>
        </w:rPr>
        <w:t>EU) 2021/XXXX [Regulation on a Digital Green Certificate] to those third country nationals who do not fall within the scope of that Regulation but who reside or stay legally in their territory and are entitled to travel to other Member States in accordance</w:t>
      </w:r>
      <w:r>
        <w:rPr>
          <w:noProof/>
          <w:szCs w:val="24"/>
        </w:rPr>
        <w:t xml:space="preserve"> with Union law.</w:t>
      </w:r>
    </w:p>
    <w:p w:rsidR="00D947B5" w:rsidRDefault="00454F48">
      <w:pPr>
        <w:pStyle w:val="Titrearticle"/>
        <w:rPr>
          <w:noProof/>
        </w:rPr>
      </w:pPr>
      <w:r>
        <w:rPr>
          <w:noProof/>
        </w:rPr>
        <w:t>Article 2</w:t>
      </w:r>
    </w:p>
    <w:p w:rsidR="00D947B5" w:rsidRDefault="00454F48">
      <w:pPr>
        <w:rPr>
          <w:noProof/>
          <w:lang w:val="en-IE"/>
        </w:rPr>
      </w:pPr>
      <w:r>
        <w:rPr>
          <w:noProof/>
          <w:lang w:val="en-IE"/>
        </w:rPr>
        <w:t xml:space="preserve">This Regulation shall enter into force on the third day following that of its publication in the </w:t>
      </w:r>
      <w:r>
        <w:rPr>
          <w:i/>
          <w:noProof/>
          <w:lang w:val="en-IE"/>
        </w:rPr>
        <w:t>Official Journal of the European Union</w:t>
      </w:r>
      <w:r>
        <w:rPr>
          <w:noProof/>
          <w:lang w:val="en-IE"/>
        </w:rPr>
        <w:t>.</w:t>
      </w:r>
    </w:p>
    <w:p w:rsidR="00D947B5" w:rsidRDefault="00454F48">
      <w:pPr>
        <w:pStyle w:val="Applicationdirecte"/>
        <w:rPr>
          <w:noProof/>
        </w:rPr>
      </w:pPr>
      <w:r>
        <w:rPr>
          <w:noProof/>
        </w:rPr>
        <w:t>This Regulation shall be binding in its entirety and directly applicable in all Member State</w:t>
      </w:r>
      <w:r>
        <w:rPr>
          <w:noProof/>
        </w:rPr>
        <w:t>s.</w:t>
      </w:r>
    </w:p>
    <w:p w:rsidR="00D947B5" w:rsidRDefault="00454F48">
      <w:pPr>
        <w:pStyle w:val="Fait"/>
        <w:rPr>
          <w:noProof/>
        </w:rPr>
      </w:pPr>
      <w:r>
        <w:t>Done at Brussels,</w:t>
      </w:r>
    </w:p>
    <w:p w:rsidR="00D947B5" w:rsidRDefault="00454F48">
      <w:pPr>
        <w:pStyle w:val="Institutionquisigne"/>
        <w:rPr>
          <w:noProof/>
        </w:rPr>
      </w:pPr>
      <w:r>
        <w:rPr>
          <w:noProof/>
        </w:rPr>
        <w:t>For the European Parliament</w:t>
      </w:r>
      <w:r>
        <w:rPr>
          <w:noProof/>
        </w:rPr>
        <w:tab/>
        <w:t>For the Council</w:t>
      </w:r>
    </w:p>
    <w:p w:rsidR="00D947B5" w:rsidRDefault="00454F48">
      <w:pPr>
        <w:pStyle w:val="Personnequisigne"/>
        <w:rPr>
          <w:noProof/>
        </w:rPr>
      </w:pPr>
      <w:r>
        <w:rPr>
          <w:noProof/>
        </w:rPr>
        <w:t>The President</w:t>
      </w:r>
      <w:r>
        <w:rPr>
          <w:noProof/>
        </w:rPr>
        <w:tab/>
        <w:t>The President</w:t>
      </w:r>
    </w:p>
    <w:sectPr w:rsidR="00D947B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B5" w:rsidRDefault="00454F48">
      <w:pPr>
        <w:spacing w:before="0" w:after="0"/>
      </w:pPr>
      <w:r>
        <w:separator/>
      </w:r>
    </w:p>
  </w:endnote>
  <w:endnote w:type="continuationSeparator" w:id="0">
    <w:p w:rsidR="00D947B5" w:rsidRDefault="0045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B5" w:rsidRDefault="00454F48">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B5" w:rsidRDefault="00454F4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B5" w:rsidRDefault="00D94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B5" w:rsidRDefault="00454F48">
      <w:pPr>
        <w:spacing w:before="0" w:after="0"/>
      </w:pPr>
      <w:r>
        <w:separator/>
      </w:r>
    </w:p>
  </w:footnote>
  <w:footnote w:type="continuationSeparator" w:id="0">
    <w:p w:rsidR="00D947B5" w:rsidRDefault="00454F48">
      <w:pPr>
        <w:spacing w:before="0" w:after="0"/>
      </w:pPr>
      <w:r>
        <w:continuationSeparator/>
      </w:r>
    </w:p>
  </w:footnote>
  <w:footnote w:id="1">
    <w:p w:rsidR="00D947B5" w:rsidRDefault="00454F48">
      <w:pPr>
        <w:pStyle w:val="FootnoteText"/>
        <w:rPr>
          <w:lang w:val="pl-PL"/>
        </w:rPr>
      </w:pPr>
      <w:r>
        <w:rPr>
          <w:rStyle w:val="FootnoteReference"/>
        </w:rPr>
        <w:footnoteRef/>
      </w:r>
      <w:r>
        <w:rPr>
          <w:lang w:val="pl-PL"/>
        </w:rPr>
        <w:tab/>
        <w:t>OJ L 337, 14.10.2020, p. 3.</w:t>
      </w:r>
    </w:p>
  </w:footnote>
  <w:footnote w:id="2">
    <w:p w:rsidR="00D947B5" w:rsidRDefault="00454F48">
      <w:pPr>
        <w:pStyle w:val="FootnoteText"/>
        <w:rPr>
          <w:lang w:val="pl-PL"/>
        </w:rPr>
      </w:pPr>
      <w:r>
        <w:rPr>
          <w:rStyle w:val="FootnoteReference"/>
        </w:rPr>
        <w:footnoteRef/>
      </w:r>
      <w:r>
        <w:rPr>
          <w:lang w:val="pl-PL"/>
        </w:rPr>
        <w:tab/>
      </w:r>
      <w:hyperlink r:id="rId1" w:history="1">
        <w:r>
          <w:rPr>
            <w:rStyle w:val="Hyperlink"/>
            <w:lang w:val="pl-PL"/>
          </w:rPr>
          <w:t>https://www.europol.europa.eu/early-warning-notification-illicit-sales-of-false-negative-covid-19-test-certificates</w:t>
        </w:r>
      </w:hyperlink>
      <w:r>
        <w:rPr>
          <w:lang w:val="pl-PL"/>
        </w:rPr>
        <w:t xml:space="preserve"> </w:t>
      </w:r>
    </w:p>
  </w:footnote>
  <w:footnote w:id="3">
    <w:p w:rsidR="00D947B5" w:rsidRDefault="00454F48">
      <w:pPr>
        <w:pStyle w:val="FootnoteText"/>
        <w:rPr>
          <w:lang w:val="en-US"/>
        </w:rPr>
      </w:pPr>
      <w:r>
        <w:rPr>
          <w:rStyle w:val="FootnoteReference"/>
        </w:rPr>
        <w:footnoteRef/>
      </w:r>
      <w:r>
        <w:rPr>
          <w:lang w:val="en-US"/>
        </w:rPr>
        <w:tab/>
        <w:t>SN 2/21</w:t>
      </w:r>
      <w:r>
        <w:rPr>
          <w:lang w:val="en-US"/>
        </w:rPr>
        <w:t>.</w:t>
      </w:r>
    </w:p>
  </w:footnote>
  <w:footnote w:id="4">
    <w:p w:rsidR="00D947B5" w:rsidRDefault="00454F48">
      <w:pPr>
        <w:pStyle w:val="FootnoteText"/>
        <w:rPr>
          <w:lang w:val="en-US"/>
        </w:rPr>
      </w:pPr>
      <w:r>
        <w:rPr>
          <w:rStyle w:val="FootnoteReference"/>
        </w:rPr>
        <w:footnoteRef/>
      </w:r>
      <w:r>
        <w:rPr>
          <w:lang w:val="en-US"/>
        </w:rPr>
        <w:tab/>
      </w:r>
      <w:hyperlink r:id="rId2" w:history="1">
        <w:r>
          <w:rPr>
            <w:rStyle w:val="Hyperlink"/>
            <w:lang w:val="en-US"/>
          </w:rPr>
          <w:t>https://ec.europa.eu/health/sites/health/files/ehealth/docs/vaccination-proof_interoperability-guidelines_en.pdf</w:t>
        </w:r>
      </w:hyperlink>
      <w:r>
        <w:rPr>
          <w:lang w:val="en-US"/>
        </w:rPr>
        <w:t xml:space="preserve"> </w:t>
      </w:r>
    </w:p>
  </w:footnote>
  <w:footnote w:id="5">
    <w:p w:rsidR="00D947B5" w:rsidRDefault="00454F48">
      <w:pPr>
        <w:pStyle w:val="FootnoteText"/>
        <w:rPr>
          <w:lang w:val="en-IE"/>
        </w:rPr>
      </w:pPr>
      <w:r>
        <w:rPr>
          <w:rStyle w:val="FootnoteReference"/>
        </w:rPr>
        <w:footnoteRef/>
      </w:r>
      <w:r>
        <w:tab/>
      </w:r>
      <w:r>
        <w:rPr>
          <w:lang w:val="en-IE"/>
        </w:rPr>
        <w:t>Decision No 1082/2013/EU of the European Parliament and of the Council of 22 October 2013 on serious cross-border threats to health and repealing Decision No 2119/98/EC (OJ L 293, 5.11.2013, p. 1).</w:t>
      </w:r>
    </w:p>
  </w:footnote>
  <w:footnote w:id="6">
    <w:p w:rsidR="00D947B5" w:rsidRDefault="00454F48">
      <w:pPr>
        <w:pStyle w:val="FootnoteText"/>
        <w:rPr>
          <w:lang w:val="en-US"/>
        </w:rPr>
      </w:pPr>
      <w:r>
        <w:rPr>
          <w:rStyle w:val="FootnoteReference"/>
        </w:rPr>
        <w:footnoteRef/>
      </w:r>
      <w:r>
        <w:rPr>
          <w:lang w:val="en-US"/>
        </w:rPr>
        <w:tab/>
        <w:t xml:space="preserve">Available at: </w:t>
      </w:r>
      <w:hyperlink r:id="rId3" w:history="1">
        <w:r>
          <w:rPr>
            <w:rStyle w:val="Hyperlink"/>
            <w:lang w:val="en-US"/>
          </w:rPr>
          <w:t>https://ec.europa.eu/health/sites/health/files/preparedness_response/docs/covid-19_rat_common-list_en.pdf</w:t>
        </w:r>
      </w:hyperlink>
      <w:r>
        <w:rPr>
          <w:lang w:val="en-US"/>
        </w:rPr>
        <w:t xml:space="preserve"> </w:t>
      </w:r>
    </w:p>
  </w:footnote>
  <w:footnote w:id="7">
    <w:p w:rsidR="00D947B5" w:rsidRDefault="00454F48">
      <w:pPr>
        <w:pStyle w:val="FootnoteText"/>
        <w:rPr>
          <w:lang w:val="en-IE"/>
        </w:rPr>
      </w:pPr>
      <w:r>
        <w:rPr>
          <w:rStyle w:val="FootnoteReference"/>
        </w:rPr>
        <w:footnoteRef/>
      </w:r>
      <w:r>
        <w:tab/>
      </w:r>
      <w:r>
        <w:rPr>
          <w:lang w:val="en-IE"/>
        </w:rPr>
        <w:t xml:space="preserve">Available at: </w:t>
      </w:r>
      <w:hyperlink r:id="rId4" w:history="1">
        <w:r>
          <w:rPr>
            <w:rStyle w:val="Hyperlink"/>
            <w:lang w:val="en-IE"/>
          </w:rPr>
          <w:t>https://ec.europa.eu/health/sites/health/files/ehealth/docs/trust-framework_interoperability_certificates_en.pdf</w:t>
        </w:r>
      </w:hyperlink>
      <w:r>
        <w:rPr>
          <w:lang w:val="en-IE"/>
        </w:rPr>
        <w:t xml:space="preserve"> </w:t>
      </w:r>
    </w:p>
  </w:footnote>
  <w:footnote w:id="8">
    <w:p w:rsidR="00D947B5" w:rsidRDefault="00454F48">
      <w:pPr>
        <w:pStyle w:val="FootnoteText"/>
        <w:rPr>
          <w:lang w:val="en-IE"/>
        </w:rPr>
      </w:pPr>
      <w:r>
        <w:rPr>
          <w:rStyle w:val="FootnoteReference"/>
        </w:rPr>
        <w:footnoteRef/>
      </w:r>
      <w:r>
        <w:rPr>
          <w:lang w:val="en-IE"/>
        </w:rPr>
        <w:tab/>
      </w:r>
      <w:hyperlink r:id="rId5" w:history="1">
        <w:r>
          <w:rPr>
            <w:rStyle w:val="Hyperlink"/>
            <w:lang w:val="en-IE"/>
          </w:rPr>
          <w:t>https://www.ecdc.europa.eu/en/covid-19/situation-updates/weekly-maps-coordinated-restriction-free-movement</w:t>
        </w:r>
      </w:hyperlink>
      <w:r>
        <w:rPr>
          <w:lang w:val="en-IE"/>
        </w:rPr>
        <w:t xml:space="preserve"> </w:t>
      </w:r>
    </w:p>
  </w:footnote>
  <w:footnote w:id="9">
    <w:p w:rsidR="00D947B5" w:rsidRDefault="00454F48">
      <w:pPr>
        <w:pStyle w:val="FootnoteText"/>
      </w:pPr>
      <w:r>
        <w:rPr>
          <w:rStyle w:val="FootnoteReference"/>
        </w:rPr>
        <w:footnoteRef/>
      </w:r>
      <w:r>
        <w:tab/>
        <w:t xml:space="preserve">Regulation (EU) 2016/399 of the European Parliament and of the Council of 9 March 2016 </w:t>
      </w:r>
      <w:r>
        <w:t>on a Union Code on the rules governing the movement of persons across borders (OJ L 77, 23.3.2016, p.1).</w:t>
      </w:r>
    </w:p>
  </w:footnote>
  <w:footnote w:id="10">
    <w:p w:rsidR="00D947B5" w:rsidRDefault="00454F48">
      <w:pPr>
        <w:pStyle w:val="FootnoteText"/>
        <w:rPr>
          <w:lang w:val="en-US"/>
        </w:rPr>
      </w:pPr>
      <w:r>
        <w:rPr>
          <w:rStyle w:val="FootnoteReference"/>
        </w:rPr>
        <w:footnoteRef/>
      </w:r>
      <w:r>
        <w:rPr>
          <w:lang w:val="en-US"/>
        </w:rPr>
        <w:tab/>
        <w:t>Council Recommendation (EU) 2021/119 of 1 February 2021 amending Recommendation (EU) 2020/1475 on a coordinated approach to the restriction of free m</w:t>
      </w:r>
      <w:r>
        <w:rPr>
          <w:lang w:val="en-US"/>
        </w:rPr>
        <w:t>ovement in response to the COVID-19 pandemic (Text with EEA relevance), OJ L 36, 2.2.2021, p. 1–6, and Council Recommendation (EU) 2021/132 of 2 February 2021 amending Recommendation (EU) 2020/912 on the temporary restriction on non-essential travel into t</w:t>
      </w:r>
      <w:r>
        <w:rPr>
          <w:lang w:val="en-US"/>
        </w:rPr>
        <w:t>he EU and the possible lifting of such restriction OJ L 41, 4.2.2021, p. 1–5</w:t>
      </w:r>
    </w:p>
  </w:footnote>
  <w:footnote w:id="11">
    <w:p w:rsidR="00D947B5" w:rsidRDefault="00454F48">
      <w:pPr>
        <w:pStyle w:val="FootnoteText"/>
      </w:pPr>
      <w:r>
        <w:rPr>
          <w:rStyle w:val="FootnoteReference"/>
        </w:rPr>
        <w:footnoteRef/>
      </w:r>
      <w:r>
        <w:tab/>
        <w:t>Regulation (EU) 2016/679 of the European Parliament and of the Council of 27 April 2016 on the protection of natural persons with regard to the processing of personal data and o</w:t>
      </w:r>
      <w:r>
        <w:t>n the free movement of such data, and repealing Directive 95/46/EC (General Data Protection Regulation) (OJ L 119, 4.5.2016, p. 1).</w:t>
      </w:r>
    </w:p>
  </w:footnote>
  <w:footnote w:id="12">
    <w:p w:rsidR="00D947B5" w:rsidRDefault="00454F48">
      <w:pPr>
        <w:pStyle w:val="FootnoteText"/>
      </w:pPr>
      <w:r>
        <w:rPr>
          <w:rStyle w:val="FootnoteReference"/>
        </w:rPr>
        <w:footnoteRef/>
      </w:r>
      <w:r>
        <w:tab/>
        <w:t>OJ L 337, 14.10.2020, p. 3.</w:t>
      </w:r>
    </w:p>
  </w:footnote>
  <w:footnote w:id="13">
    <w:p w:rsidR="00D947B5" w:rsidRDefault="00454F48">
      <w:pPr>
        <w:pStyle w:val="FootnoteText"/>
      </w:pPr>
      <w:r>
        <w:rPr>
          <w:rStyle w:val="FootnoteReference"/>
        </w:rPr>
        <w:footnoteRef/>
      </w:r>
      <w:r>
        <w:tab/>
        <w:t>Council Recommendation (EU) 2020/1632 of 30 October 2020 on a coordinated approach to the re</w:t>
      </w:r>
      <w:r>
        <w:t>striction of free movement in response to the COVID-19 pandemic in the Schengen area (OJ L 366, 4.11.2020, p. 25).</w:t>
      </w:r>
    </w:p>
  </w:footnote>
  <w:footnote w:id="14">
    <w:p w:rsidR="00D947B5" w:rsidRDefault="00454F48">
      <w:pPr>
        <w:pStyle w:val="FootnoteText"/>
      </w:pPr>
      <w:r>
        <w:rPr>
          <w:rStyle w:val="FootnoteReference"/>
        </w:rPr>
        <w:footnoteRef/>
      </w:r>
      <w:r>
        <w:tab/>
        <w:t>Regulation (EC) No 726/2004 of the European Parliament and of the Council of 31 March 2004 laying down Community procedures for the authori</w:t>
      </w:r>
      <w:r>
        <w:t>sation and supervision of medicinal products for human and veterinary use and establishing a European Medicines Agency   (OJ L 136, 30.4.2004, p.1 ).</w:t>
      </w:r>
    </w:p>
  </w:footnote>
  <w:footnote w:id="15">
    <w:p w:rsidR="00D947B5" w:rsidRDefault="00454F48">
      <w:pPr>
        <w:pStyle w:val="FootnoteText"/>
      </w:pPr>
      <w:r>
        <w:rPr>
          <w:rStyle w:val="FootnoteReference"/>
        </w:rPr>
        <w:footnoteRef/>
      </w:r>
      <w:r>
        <w:tab/>
        <w:t>Directive 2001/83/EC of the European Parliament and of the Council of 6 November 2001 on the Community c</w:t>
      </w:r>
      <w:r>
        <w:t>ode relating to medicinal products for human use (OJ L 311, 28.11.2001, p. 67).</w:t>
      </w:r>
    </w:p>
  </w:footnote>
  <w:footnote w:id="16">
    <w:p w:rsidR="00D947B5" w:rsidRDefault="00454F48">
      <w:pPr>
        <w:pStyle w:val="FootnoteText"/>
        <w:rPr>
          <w:rFonts w:ascii="Calibri" w:eastAsia="Times New Roman" w:hAnsi="Calibri" w:cs="Calibri"/>
          <w:lang w:val="en-IE" w:eastAsia="en-GB"/>
        </w:rPr>
      </w:pPr>
      <w:r>
        <w:rPr>
          <w:rStyle w:val="FootnoteReference"/>
        </w:rPr>
        <w:footnoteRef/>
      </w:r>
      <w:r>
        <w:tab/>
        <w:t>Regulation (EU) 2016/399 of the European Parliament and of the Council of 9 March 2016  on a Union Code on the rules governing the movement of persons across borders (OJ L 77</w:t>
      </w:r>
      <w:r>
        <w:t>, 23.3.2016 p.1).</w:t>
      </w:r>
    </w:p>
  </w:footnote>
  <w:footnote w:id="17">
    <w:p w:rsidR="00D947B5" w:rsidRDefault="00454F48">
      <w:pPr>
        <w:pStyle w:val="FootnoteText"/>
        <w:rPr>
          <w:lang w:val="en-US"/>
        </w:rPr>
      </w:pPr>
      <w:r>
        <w:rPr>
          <w:rStyle w:val="FootnoteReference"/>
        </w:rPr>
        <w:footnoteRef/>
      </w:r>
      <w:r>
        <w:tab/>
        <w:t>Council Decision of 28 February 2002 concerning Ireland's request to take part in some of the provisions of the Schengen acquis (</w:t>
      </w:r>
      <w:r>
        <w:rPr>
          <w:iCs/>
        </w:rPr>
        <w:t>OJ L 64, 7.3.2002, p. 20).</w:t>
      </w:r>
    </w:p>
  </w:footnote>
  <w:footnote w:id="18">
    <w:p w:rsidR="00D947B5" w:rsidRDefault="00454F48">
      <w:pPr>
        <w:pStyle w:val="FootnoteText"/>
        <w:rPr>
          <w:lang w:val="en-US"/>
        </w:rPr>
      </w:pPr>
      <w:r>
        <w:rPr>
          <w:rStyle w:val="FootnoteReference"/>
        </w:rPr>
        <w:footnoteRef/>
      </w:r>
      <w:r>
        <w:rPr>
          <w:lang w:val="en-US"/>
        </w:rPr>
        <w:tab/>
      </w:r>
      <w:r>
        <w:t>Council Decision of 17 May 1999 on certain arrangements for the application of</w:t>
      </w:r>
      <w:r>
        <w:t xml:space="preserve"> the Agreement concluded by the Council of the European Union and the Republic of Iceland and the Kingdom of Norway concerning the association of those two States with the implementation, application and development of the Schengen acquis (</w:t>
      </w:r>
      <w:r>
        <w:rPr>
          <w:iCs/>
        </w:rPr>
        <w:t>OJ L 176, 10.7.1</w:t>
      </w:r>
      <w:r>
        <w:rPr>
          <w:iCs/>
        </w:rPr>
        <w:t>999, p. 31).</w:t>
      </w:r>
    </w:p>
  </w:footnote>
  <w:footnote w:id="19">
    <w:p w:rsidR="00D947B5" w:rsidRDefault="00454F48">
      <w:pPr>
        <w:pStyle w:val="FootnoteText"/>
        <w:rPr>
          <w:lang w:val="en-US"/>
        </w:rPr>
      </w:pPr>
      <w:r>
        <w:rPr>
          <w:rStyle w:val="FootnoteReference"/>
        </w:rPr>
        <w:footnoteRef/>
      </w:r>
      <w:r>
        <w:rPr>
          <w:lang w:val="en-US"/>
        </w:rPr>
        <w:tab/>
      </w:r>
      <w:r>
        <w:t>Council Decision of 28 January 2008 on the conclusion, on behalf of the European Community, of the Agreement between the European Union, the European Community and the Swiss Confederation on the Swiss Confederation's association with the imp</w:t>
      </w:r>
      <w:r>
        <w:t>lementation, application and development of the Schengen acquis (</w:t>
      </w:r>
      <w:r>
        <w:rPr>
          <w:iCs/>
        </w:rPr>
        <w:t>OJ L 53, 27.2.2008, p. 1).</w:t>
      </w:r>
    </w:p>
  </w:footnote>
  <w:footnote w:id="20">
    <w:p w:rsidR="00D947B5" w:rsidRDefault="00454F48">
      <w:pPr>
        <w:pStyle w:val="FootnoteText"/>
      </w:pPr>
      <w:r>
        <w:rPr>
          <w:rStyle w:val="FootnoteReference"/>
        </w:rPr>
        <w:footnoteRef/>
      </w:r>
      <w:r>
        <w:rPr>
          <w:lang w:val="en-US"/>
        </w:rPr>
        <w:tab/>
      </w:r>
      <w:r>
        <w:t>Council Decision of 7 March 2011 on the conclusion, on behalf of the European Union, of the Protocol between the European Union, the European Community, the Swiss</w:t>
      </w:r>
      <w:r>
        <w:t xml:space="preserve"> Confederation and the Principality of Liechtenstein on the accession of the Principality of Liechtenstein to the Agreement between the European Union, the European Community and the Swiss Confederation on the Swiss Confederation’s association with the imp</w:t>
      </w:r>
      <w:r>
        <w:t>lementation, application and development of the Schengen acquis, relating to the abolition of checks at internal borders and movement of persons (OJ L 160, 18.6.2011, p. 19).</w:t>
      </w:r>
    </w:p>
  </w:footnote>
  <w:footnote w:id="21">
    <w:p w:rsidR="00D947B5" w:rsidRDefault="00454F48">
      <w:pPr>
        <w:pStyle w:val="FootnoteText"/>
        <w:rPr>
          <w:lang w:val="en-IE"/>
        </w:rPr>
      </w:pPr>
      <w:r>
        <w:rPr>
          <w:rStyle w:val="FootnoteReference"/>
        </w:rPr>
        <w:footnoteRef/>
      </w:r>
      <w:r>
        <w:tab/>
        <w:t>Regulation (EU) 2018/1725 of the European Parliament and of the Council of 23 O</w:t>
      </w:r>
      <w:r>
        <w:t>ctober 2018 on the protection of natural persons with regard to the processing of personal data by the Union institutions, bodies, offices and agencies and on the free movement of such data, and repealing Regulation (EC) No 45/2001 and Decision No 1247/200</w:t>
      </w:r>
      <w:r>
        <w:t>2/EC (OJ L 295,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4687A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C204B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80257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8BE88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4B631A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9E02CF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6BA789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95251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15:restartNumberingAfterBreak="0">
    <w:nsid w:val="787F03AA"/>
    <w:multiLevelType w:val="singleLevel"/>
    <w:tmpl w:val="B900CFA8"/>
    <w:lvl w:ilvl="0">
      <w:start w:val="1"/>
      <w:numFmt w:val="bullet"/>
      <w:lvlRestart w:val="0"/>
      <w:lvlText w:val=""/>
      <w:lvlJc w:val="left"/>
      <w:pPr>
        <w:tabs>
          <w:tab w:val="num" w:pos="2551"/>
        </w:tabs>
        <w:ind w:left="2551" w:hanging="567"/>
      </w:pPr>
      <w:rPr>
        <w:rFonts w:ascii="Symbol" w:hAnsi="Symbol"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3"/>
  </w:num>
  <w:num w:numId="15">
    <w:abstractNumId w:val="22"/>
  </w:num>
  <w:num w:numId="16">
    <w:abstractNumId w:val="21"/>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23"/>
    <w:lvlOverride w:ilvl="0">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21:20: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C7B675A-3057-4B29-AB0C-2F8FE45F4570"/>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1"/>
    <w:docVar w:name="LW_REF.II.NEW.CP_YEAR" w:val="2021"/>
    <w:docVar w:name="LW_REF.INST.NEW" w:val="COM"/>
    <w:docVar w:name="LW_REF.INST.NEW_ADOPTED" w:val="final"/>
    <w:docVar w:name="LW_REF.INST.NEW_TEXT" w:val="(2021)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framework for the issuance, verification and acceptance of interoperable certificates on vaccination, testing and recovery to third-country nationals legally staying or legally residing in the territories of Member States during the COVID-19 pandemic (Digital Green Certificate)_x000b_"/>
    <w:docVar w:name="LW_TYPE.DOC.CP" w:val="REGULATION OF THE EUROPEAN PARLIAMENT AND OF THE COUNCIL"/>
  </w:docVars>
  <w:rsids>
    <w:rsidRoot w:val="00D947B5"/>
    <w:rsid w:val="00454F48"/>
    <w:rsid w:val="00D9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15:docId w15:val="{5F511A60-172D-4592-A585-81B28D68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character" w:customStyle="1" w:styleId="highlight">
    <w:name w:val="highlight"/>
    <w:basedOn w:val="DefaultParagraphFont"/>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0491">
      <w:bodyDiv w:val="1"/>
      <w:marLeft w:val="0"/>
      <w:marRight w:val="0"/>
      <w:marTop w:val="0"/>
      <w:marBottom w:val="0"/>
      <w:divBdr>
        <w:top w:val="none" w:sz="0" w:space="0" w:color="auto"/>
        <w:left w:val="none" w:sz="0" w:space="0" w:color="auto"/>
        <w:bottom w:val="none" w:sz="0" w:space="0" w:color="auto"/>
        <w:right w:val="none" w:sz="0" w:space="0" w:color="auto"/>
      </w:divBdr>
    </w:div>
    <w:div w:id="217280352">
      <w:bodyDiv w:val="1"/>
      <w:marLeft w:val="0"/>
      <w:marRight w:val="0"/>
      <w:marTop w:val="0"/>
      <w:marBottom w:val="0"/>
      <w:divBdr>
        <w:top w:val="none" w:sz="0" w:space="0" w:color="auto"/>
        <w:left w:val="none" w:sz="0" w:space="0" w:color="auto"/>
        <w:bottom w:val="none" w:sz="0" w:space="0" w:color="auto"/>
        <w:right w:val="none" w:sz="0" w:space="0" w:color="auto"/>
      </w:divBdr>
    </w:div>
    <w:div w:id="436291422">
      <w:bodyDiv w:val="1"/>
      <w:marLeft w:val="0"/>
      <w:marRight w:val="0"/>
      <w:marTop w:val="0"/>
      <w:marBottom w:val="0"/>
      <w:divBdr>
        <w:top w:val="none" w:sz="0" w:space="0" w:color="auto"/>
        <w:left w:val="none" w:sz="0" w:space="0" w:color="auto"/>
        <w:bottom w:val="none" w:sz="0" w:space="0" w:color="auto"/>
        <w:right w:val="none" w:sz="0" w:space="0" w:color="auto"/>
      </w:divBdr>
    </w:div>
    <w:div w:id="608204499">
      <w:bodyDiv w:val="1"/>
      <w:marLeft w:val="0"/>
      <w:marRight w:val="0"/>
      <w:marTop w:val="0"/>
      <w:marBottom w:val="0"/>
      <w:divBdr>
        <w:top w:val="none" w:sz="0" w:space="0" w:color="auto"/>
        <w:left w:val="none" w:sz="0" w:space="0" w:color="auto"/>
        <w:bottom w:val="none" w:sz="0" w:space="0" w:color="auto"/>
        <w:right w:val="none" w:sz="0" w:space="0" w:color="auto"/>
      </w:divBdr>
    </w:div>
    <w:div w:id="688719439">
      <w:bodyDiv w:val="1"/>
      <w:marLeft w:val="0"/>
      <w:marRight w:val="0"/>
      <w:marTop w:val="0"/>
      <w:marBottom w:val="0"/>
      <w:divBdr>
        <w:top w:val="none" w:sz="0" w:space="0" w:color="auto"/>
        <w:left w:val="none" w:sz="0" w:space="0" w:color="auto"/>
        <w:bottom w:val="none" w:sz="0" w:space="0" w:color="auto"/>
        <w:right w:val="none" w:sz="0" w:space="0" w:color="auto"/>
      </w:divBdr>
    </w:div>
    <w:div w:id="703480990">
      <w:bodyDiv w:val="1"/>
      <w:marLeft w:val="0"/>
      <w:marRight w:val="0"/>
      <w:marTop w:val="0"/>
      <w:marBottom w:val="0"/>
      <w:divBdr>
        <w:top w:val="none" w:sz="0" w:space="0" w:color="auto"/>
        <w:left w:val="none" w:sz="0" w:space="0" w:color="auto"/>
        <w:bottom w:val="none" w:sz="0" w:space="0" w:color="auto"/>
        <w:right w:val="none" w:sz="0" w:space="0" w:color="auto"/>
      </w:divBdr>
    </w:div>
    <w:div w:id="771170389">
      <w:bodyDiv w:val="1"/>
      <w:marLeft w:val="0"/>
      <w:marRight w:val="0"/>
      <w:marTop w:val="0"/>
      <w:marBottom w:val="0"/>
      <w:divBdr>
        <w:top w:val="none" w:sz="0" w:space="0" w:color="auto"/>
        <w:left w:val="none" w:sz="0" w:space="0" w:color="auto"/>
        <w:bottom w:val="none" w:sz="0" w:space="0" w:color="auto"/>
        <w:right w:val="none" w:sz="0" w:space="0" w:color="auto"/>
      </w:divBdr>
    </w:div>
    <w:div w:id="860432776">
      <w:bodyDiv w:val="1"/>
      <w:marLeft w:val="0"/>
      <w:marRight w:val="0"/>
      <w:marTop w:val="0"/>
      <w:marBottom w:val="0"/>
      <w:divBdr>
        <w:top w:val="none" w:sz="0" w:space="0" w:color="auto"/>
        <w:left w:val="none" w:sz="0" w:space="0" w:color="auto"/>
        <w:bottom w:val="none" w:sz="0" w:space="0" w:color="auto"/>
        <w:right w:val="none" w:sz="0" w:space="0" w:color="auto"/>
      </w:divBdr>
    </w:div>
    <w:div w:id="1066302122">
      <w:bodyDiv w:val="1"/>
      <w:marLeft w:val="0"/>
      <w:marRight w:val="0"/>
      <w:marTop w:val="0"/>
      <w:marBottom w:val="0"/>
      <w:divBdr>
        <w:top w:val="none" w:sz="0" w:space="0" w:color="auto"/>
        <w:left w:val="none" w:sz="0" w:space="0" w:color="auto"/>
        <w:bottom w:val="none" w:sz="0" w:space="0" w:color="auto"/>
        <w:right w:val="none" w:sz="0" w:space="0" w:color="auto"/>
      </w:divBdr>
    </w:div>
    <w:div w:id="1071461932">
      <w:bodyDiv w:val="1"/>
      <w:marLeft w:val="0"/>
      <w:marRight w:val="0"/>
      <w:marTop w:val="0"/>
      <w:marBottom w:val="0"/>
      <w:divBdr>
        <w:top w:val="none" w:sz="0" w:space="0" w:color="auto"/>
        <w:left w:val="none" w:sz="0" w:space="0" w:color="auto"/>
        <w:bottom w:val="none" w:sz="0" w:space="0" w:color="auto"/>
        <w:right w:val="none" w:sz="0" w:space="0" w:color="auto"/>
      </w:divBdr>
    </w:div>
    <w:div w:id="1072192515">
      <w:bodyDiv w:val="1"/>
      <w:marLeft w:val="0"/>
      <w:marRight w:val="0"/>
      <w:marTop w:val="0"/>
      <w:marBottom w:val="0"/>
      <w:divBdr>
        <w:top w:val="none" w:sz="0" w:space="0" w:color="auto"/>
        <w:left w:val="none" w:sz="0" w:space="0" w:color="auto"/>
        <w:bottom w:val="none" w:sz="0" w:space="0" w:color="auto"/>
        <w:right w:val="none" w:sz="0" w:space="0" w:color="auto"/>
      </w:divBdr>
    </w:div>
    <w:div w:id="1240293004">
      <w:bodyDiv w:val="1"/>
      <w:marLeft w:val="0"/>
      <w:marRight w:val="0"/>
      <w:marTop w:val="0"/>
      <w:marBottom w:val="0"/>
      <w:divBdr>
        <w:top w:val="none" w:sz="0" w:space="0" w:color="auto"/>
        <w:left w:val="none" w:sz="0" w:space="0" w:color="auto"/>
        <w:bottom w:val="none" w:sz="0" w:space="0" w:color="auto"/>
        <w:right w:val="none" w:sz="0" w:space="0" w:color="auto"/>
      </w:divBdr>
    </w:div>
    <w:div w:id="1380936219">
      <w:bodyDiv w:val="1"/>
      <w:marLeft w:val="0"/>
      <w:marRight w:val="0"/>
      <w:marTop w:val="0"/>
      <w:marBottom w:val="0"/>
      <w:divBdr>
        <w:top w:val="none" w:sz="0" w:space="0" w:color="auto"/>
        <w:left w:val="none" w:sz="0" w:space="0" w:color="auto"/>
        <w:bottom w:val="none" w:sz="0" w:space="0" w:color="auto"/>
        <w:right w:val="none" w:sz="0" w:space="0" w:color="auto"/>
      </w:divBdr>
    </w:div>
    <w:div w:id="1617641258">
      <w:bodyDiv w:val="1"/>
      <w:marLeft w:val="0"/>
      <w:marRight w:val="0"/>
      <w:marTop w:val="0"/>
      <w:marBottom w:val="0"/>
      <w:divBdr>
        <w:top w:val="none" w:sz="0" w:space="0" w:color="auto"/>
        <w:left w:val="none" w:sz="0" w:space="0" w:color="auto"/>
        <w:bottom w:val="none" w:sz="0" w:space="0" w:color="auto"/>
        <w:right w:val="none" w:sz="0" w:space="0" w:color="auto"/>
      </w:divBdr>
    </w:div>
    <w:div w:id="1619604054">
      <w:bodyDiv w:val="1"/>
      <w:marLeft w:val="0"/>
      <w:marRight w:val="0"/>
      <w:marTop w:val="0"/>
      <w:marBottom w:val="0"/>
      <w:divBdr>
        <w:top w:val="none" w:sz="0" w:space="0" w:color="auto"/>
        <w:left w:val="none" w:sz="0" w:space="0" w:color="auto"/>
        <w:bottom w:val="none" w:sz="0" w:space="0" w:color="auto"/>
        <w:right w:val="none" w:sz="0" w:space="0" w:color="auto"/>
      </w:divBdr>
    </w:div>
    <w:div w:id="1710956026">
      <w:bodyDiv w:val="1"/>
      <w:marLeft w:val="0"/>
      <w:marRight w:val="0"/>
      <w:marTop w:val="0"/>
      <w:marBottom w:val="0"/>
      <w:divBdr>
        <w:top w:val="none" w:sz="0" w:space="0" w:color="auto"/>
        <w:left w:val="none" w:sz="0" w:space="0" w:color="auto"/>
        <w:bottom w:val="none" w:sz="0" w:space="0" w:color="auto"/>
        <w:right w:val="none" w:sz="0" w:space="0" w:color="auto"/>
      </w:divBdr>
    </w:div>
    <w:div w:id="1930504316">
      <w:bodyDiv w:val="1"/>
      <w:marLeft w:val="0"/>
      <w:marRight w:val="0"/>
      <w:marTop w:val="0"/>
      <w:marBottom w:val="0"/>
      <w:divBdr>
        <w:top w:val="none" w:sz="0" w:space="0" w:color="auto"/>
        <w:left w:val="none" w:sz="0" w:space="0" w:color="auto"/>
        <w:bottom w:val="none" w:sz="0" w:space="0" w:color="auto"/>
        <w:right w:val="none" w:sz="0" w:space="0" w:color="auto"/>
      </w:divBdr>
    </w:div>
    <w:div w:id="20114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sites/health/files/preparedness_response/docs/covid-19_rat_common-list_en.pdf" TargetMode="External"/><Relationship Id="rId2" Type="http://schemas.openxmlformats.org/officeDocument/2006/relationships/hyperlink" Target="https://ec.europa.eu/health/sites/health/files/ehealth/docs/vaccination-proof_interoperability-guidelines_en.pdf" TargetMode="External"/><Relationship Id="rId1" Type="http://schemas.openxmlformats.org/officeDocument/2006/relationships/hyperlink" Target="https://www.europol.europa.eu/early-warning-notification-illicit-sales-of-false-negative-covid-19-test-certificates" TargetMode="External"/><Relationship Id="rId5" Type="http://schemas.openxmlformats.org/officeDocument/2006/relationships/hyperlink" Target="https://www.ecdc.europa.eu/en/covid-19/situation-updates/weekly-maps-coordinated-restriction-free-movement" TargetMode="External"/><Relationship Id="rId4" Type="http://schemas.openxmlformats.org/officeDocument/2006/relationships/hyperlink" Target="https://ec.europa.eu/health/sites/health/files/ehealth/docs/trust-framework_interoperability_certificat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22F0-8499-48CD-AE5F-4F710705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20</TotalTime>
  <Pages>11</Pages>
  <Words>4236</Words>
  <Characters>23982</Characters>
  <Application>Microsoft Office Word</Application>
  <DocSecurity>0</DocSecurity>
  <Lines>380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THERACE Christine (SG)</cp:lastModifiedBy>
  <cp:revision>22</cp:revision>
  <dcterms:created xsi:type="dcterms:W3CDTF">2021-03-16T09:11:00Z</dcterms:created>
  <dcterms:modified xsi:type="dcterms:W3CDTF">2021-03-17T00:53:00Z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