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B4383B6-5A7D-43AD-A847-62E516B7A9C7" style="width:450.45pt;height:445.8pt">
            <v:imagedata r:id="rId11" o:title=""/>
          </v:shape>
        </w:pict>
      </w:r>
    </w:p>
    <w:p>
      <w:pPr>
        <w:rPr>
          <w:noProof/>
        </w:rPr>
        <w:sectPr>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2018/0227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във връзка с приемането на Регламент на Европейския парламент и на Съвета относно програмата „Цифрова Европа“ за периода 2021—2027 г.</w:t>
      </w:r>
    </w:p>
    <w:p>
      <w:pPr>
        <w:pStyle w:val="IntrtEEE"/>
        <w:rPr>
          <w:noProof/>
        </w:rPr>
      </w:pPr>
      <w:r>
        <w:rPr>
          <w:noProof/>
        </w:rPr>
        <w:t>(текст от значение за ЕИП)</w:t>
      </w:r>
    </w:p>
    <w:p>
      <w:pPr>
        <w:pStyle w:val="ManualHeading1"/>
        <w:rPr>
          <w:noProof/>
          <w:sz w:val="22"/>
        </w:rPr>
      </w:pPr>
      <w:r>
        <w:rPr>
          <w:noProof/>
        </w:rPr>
        <w:t>1.</w:t>
      </w:r>
      <w:r>
        <w:rPr>
          <w:noProof/>
        </w:rPr>
        <w:tab/>
        <w:t xml:space="preserve">Контекст </w:t>
      </w:r>
    </w:p>
    <w:tbl>
      <w:tblPr>
        <w:tblW w:w="9330" w:type="dxa"/>
        <w:tblLayout w:type="fixed"/>
        <w:tblLook w:val="0000" w:firstRow="0" w:lastRow="0" w:firstColumn="0" w:lastColumn="0" w:noHBand="0" w:noVBand="0"/>
      </w:tblPr>
      <w:tblGrid>
        <w:gridCol w:w="6804"/>
        <w:gridCol w:w="2093"/>
        <w:gridCol w:w="433"/>
      </w:tblGrid>
      <w:tr>
        <w:tc>
          <w:tcPr>
            <w:tcW w:w="6804" w:type="dxa"/>
          </w:tcPr>
          <w:p>
            <w:pPr>
              <w:jc w:val="left"/>
              <w:rPr>
                <w:noProof/>
              </w:rPr>
            </w:pPr>
            <w:r>
              <w:rPr>
                <w:noProof/>
              </w:rPr>
              <w:t>Дата на предаване на предложението на Европейския парламент и на Съвета (документ COM(2018) 434 final — 2018/0227 COD)</w:t>
            </w:r>
          </w:p>
        </w:tc>
        <w:tc>
          <w:tcPr>
            <w:tcW w:w="2526" w:type="dxa"/>
            <w:gridSpan w:val="2"/>
          </w:tcPr>
          <w:p>
            <w:pPr>
              <w:jc w:val="left"/>
              <w:rPr>
                <w:noProof/>
              </w:rPr>
            </w:pPr>
            <w:r>
              <w:rPr>
                <w:noProof/>
              </w:rPr>
              <w:t>6 юни 2018 г.</w:t>
            </w:r>
          </w:p>
        </w:tc>
      </w:tr>
      <w:tr>
        <w:tc>
          <w:tcPr>
            <w:tcW w:w="6804" w:type="dxa"/>
          </w:tcPr>
          <w:p>
            <w:pPr>
              <w:jc w:val="left"/>
              <w:rPr>
                <w:noProof/>
              </w:rPr>
            </w:pPr>
            <w:r>
              <w:rPr>
                <w:noProof/>
              </w:rPr>
              <w:t>Дата на съгласието на Съвета относно частичен общ подход</w:t>
            </w:r>
          </w:p>
        </w:tc>
        <w:tc>
          <w:tcPr>
            <w:tcW w:w="2526" w:type="dxa"/>
            <w:gridSpan w:val="2"/>
          </w:tcPr>
          <w:p>
            <w:pPr>
              <w:jc w:val="left"/>
              <w:rPr>
                <w:noProof/>
              </w:rPr>
            </w:pPr>
            <w:r>
              <w:rPr>
                <w:noProof/>
              </w:rPr>
              <w:t>29 ноември 2018 г.</w:t>
            </w:r>
          </w:p>
        </w:tc>
      </w:tr>
      <w:tr>
        <w:trPr>
          <w:gridAfter w:val="1"/>
          <w:wAfter w:w="433" w:type="dxa"/>
        </w:trPr>
        <w:tc>
          <w:tcPr>
            <w:tcW w:w="6804" w:type="dxa"/>
          </w:tcPr>
          <w:p>
            <w:pPr>
              <w:rPr>
                <w:noProof/>
              </w:rPr>
            </w:pPr>
            <w:r>
              <w:rPr>
                <w:noProof/>
              </w:rPr>
              <w:t>Дата на първата тристранна среща</w:t>
            </w:r>
          </w:p>
        </w:tc>
        <w:tc>
          <w:tcPr>
            <w:tcW w:w="2093" w:type="dxa"/>
          </w:tcPr>
          <w:p>
            <w:pPr>
              <w:jc w:val="left"/>
              <w:rPr>
                <w:noProof/>
              </w:rPr>
            </w:pPr>
            <w:r>
              <w:rPr>
                <w:noProof/>
              </w:rPr>
              <w:t>13 февруари 2019 г.</w:t>
            </w:r>
          </w:p>
        </w:tc>
      </w:tr>
      <w:tr>
        <w:tc>
          <w:tcPr>
            <w:tcW w:w="6804" w:type="dxa"/>
          </w:tcPr>
          <w:p>
            <w:pPr>
              <w:rPr>
                <w:noProof/>
              </w:rPr>
            </w:pPr>
            <w:r>
              <w:rPr>
                <w:noProof/>
              </w:rPr>
              <w:t xml:space="preserve">Дата на одобреното от Корепер частично предварително компромисно споразумение (общо споразумение) </w:t>
            </w:r>
          </w:p>
        </w:tc>
        <w:tc>
          <w:tcPr>
            <w:tcW w:w="2526" w:type="dxa"/>
            <w:gridSpan w:val="2"/>
          </w:tcPr>
          <w:p>
            <w:pPr>
              <w:jc w:val="left"/>
              <w:rPr>
                <w:noProof/>
              </w:rPr>
            </w:pPr>
            <w:r>
              <w:rPr>
                <w:noProof/>
              </w:rPr>
              <w:t>13 март 2019 г.</w:t>
            </w:r>
          </w:p>
        </w:tc>
      </w:tr>
      <w:tr>
        <w:tc>
          <w:tcPr>
            <w:tcW w:w="6804" w:type="dxa"/>
          </w:tcPr>
          <w:p>
            <w:pPr>
              <w:rPr>
                <w:noProof/>
              </w:rPr>
            </w:pPr>
            <w:r>
              <w:rPr>
                <w:noProof/>
              </w:rPr>
              <w:t>Дата на позицията на Европейския парламент на първо четене (включваща общото споразумение)</w:t>
            </w:r>
          </w:p>
        </w:tc>
        <w:tc>
          <w:tcPr>
            <w:tcW w:w="2526" w:type="dxa"/>
            <w:gridSpan w:val="2"/>
          </w:tcPr>
          <w:p>
            <w:pPr>
              <w:jc w:val="left"/>
              <w:rPr>
                <w:noProof/>
              </w:rPr>
            </w:pPr>
            <w:r>
              <w:rPr>
                <w:noProof/>
              </w:rPr>
              <w:t>17 април 2019 г.</w:t>
            </w:r>
          </w:p>
        </w:tc>
      </w:tr>
      <w:tr>
        <w:tc>
          <w:tcPr>
            <w:tcW w:w="6804" w:type="dxa"/>
          </w:tcPr>
          <w:p>
            <w:pPr>
              <w:rPr>
                <w:noProof/>
              </w:rPr>
            </w:pPr>
            <w:r>
              <w:rPr>
                <w:noProof/>
              </w:rPr>
              <w:t>Дата на втората тристранна среща (последна)</w:t>
            </w:r>
          </w:p>
        </w:tc>
        <w:tc>
          <w:tcPr>
            <w:tcW w:w="2526" w:type="dxa"/>
            <w:gridSpan w:val="2"/>
          </w:tcPr>
          <w:p>
            <w:pPr>
              <w:jc w:val="left"/>
              <w:rPr>
                <w:noProof/>
              </w:rPr>
            </w:pPr>
            <w:r>
              <w:rPr>
                <w:noProof/>
              </w:rPr>
              <w:t>14 декември 2020 г.</w:t>
            </w:r>
          </w:p>
        </w:tc>
      </w:tr>
      <w:tr>
        <w:tc>
          <w:tcPr>
            <w:tcW w:w="6804" w:type="dxa"/>
          </w:tcPr>
          <w:p>
            <w:pPr>
              <w:rPr>
                <w:noProof/>
              </w:rPr>
            </w:pPr>
            <w:r>
              <w:rPr>
                <w:noProof/>
              </w:rPr>
              <w:t xml:space="preserve">Дата на политическото споразумение в Комитета на постоянните представители </w:t>
            </w:r>
          </w:p>
        </w:tc>
        <w:tc>
          <w:tcPr>
            <w:tcW w:w="2526" w:type="dxa"/>
            <w:gridSpan w:val="2"/>
          </w:tcPr>
          <w:p>
            <w:pPr>
              <w:jc w:val="left"/>
              <w:rPr>
                <w:noProof/>
              </w:rPr>
            </w:pPr>
            <w:r>
              <w:rPr>
                <w:noProof/>
              </w:rPr>
              <w:t xml:space="preserve">18 декември 2020 г. </w:t>
            </w:r>
          </w:p>
        </w:tc>
      </w:tr>
      <w:tr>
        <w:tc>
          <w:tcPr>
            <w:tcW w:w="6804" w:type="dxa"/>
          </w:tcPr>
          <w:p>
            <w:pPr>
              <w:rPr>
                <w:noProof/>
              </w:rPr>
            </w:pPr>
            <w:r>
              <w:rPr>
                <w:noProof/>
              </w:rPr>
              <w:t xml:space="preserve">Дата, на която комисията по промишленост, изследвания и енергетика на Европейския парламент е гласувала за одобряване на компромисното споразумение </w:t>
            </w:r>
          </w:p>
        </w:tc>
        <w:tc>
          <w:tcPr>
            <w:tcW w:w="2526" w:type="dxa"/>
            <w:gridSpan w:val="2"/>
          </w:tcPr>
          <w:p>
            <w:pPr>
              <w:jc w:val="left"/>
              <w:rPr>
                <w:noProof/>
              </w:rPr>
            </w:pPr>
            <w:r>
              <w:rPr>
                <w:noProof/>
              </w:rPr>
              <w:t>14 януари 2021 г.</w:t>
            </w:r>
          </w:p>
        </w:tc>
      </w:tr>
      <w:tr>
        <w:tc>
          <w:tcPr>
            <w:tcW w:w="6804" w:type="dxa"/>
          </w:tcPr>
          <w:p>
            <w:pPr>
              <w:rPr>
                <w:noProof/>
              </w:rPr>
            </w:pPr>
            <w:r>
              <w:rPr>
                <w:noProof/>
              </w:rPr>
              <w:t>Дата на приемане на позицията на Съвета на първо четене</w:t>
            </w:r>
          </w:p>
        </w:tc>
        <w:tc>
          <w:tcPr>
            <w:tcW w:w="2526" w:type="dxa"/>
            <w:gridSpan w:val="2"/>
          </w:tcPr>
          <w:p>
            <w:pPr>
              <w:jc w:val="left"/>
              <w:rPr>
                <w:noProof/>
              </w:rPr>
            </w:pPr>
            <w:r>
              <w:rPr>
                <w:noProof/>
              </w:rPr>
              <w:t>16 март 2021 г.</w:t>
            </w:r>
          </w:p>
        </w:tc>
      </w:tr>
    </w:tbl>
    <w:p>
      <w:pPr>
        <w:pStyle w:val="ManualHeading1"/>
        <w:rPr>
          <w:noProof/>
          <w:szCs w:val="24"/>
        </w:rPr>
      </w:pPr>
      <w:r>
        <w:rPr>
          <w:noProof/>
        </w:rPr>
        <w:t>2.</w:t>
      </w:r>
      <w:r>
        <w:rPr>
          <w:noProof/>
        </w:rPr>
        <w:tab/>
        <w:t>Цел на предложението на Комисията</w:t>
      </w:r>
    </w:p>
    <w:p>
      <w:pPr>
        <w:rPr>
          <w:noProof/>
          <w:szCs w:val="24"/>
        </w:rPr>
      </w:pPr>
      <w:r>
        <w:rPr>
          <w:noProof/>
        </w:rPr>
        <w:t xml:space="preserve">Програмата „Цифрова Европа“ е централен елемент от всеобхватния отговор на Комисията на предизвикателството на цифровата трансформация, част от предложението за многогодишна финансова рамка (МФР) за периода 2021—2027 г. </w:t>
      </w:r>
    </w:p>
    <w:p>
      <w:pPr>
        <w:rPr>
          <w:noProof/>
          <w:szCs w:val="24"/>
        </w:rPr>
      </w:pPr>
      <w:r>
        <w:rPr>
          <w:noProof/>
        </w:rPr>
        <w:t xml:space="preserve">Целта на предложението е да се създаде разходен инструмент, посредством който гражданите, предприятията и публичните администрации в ЕС да се възползват </w:t>
      </w:r>
      <w:r>
        <w:rPr>
          <w:noProof/>
        </w:rPr>
        <w:lastRenderedPageBreak/>
        <w:t xml:space="preserve">пълноценно от цифровата трансформация, по-специално чрез укрепване на цифровия капацитет на ЕС в пет ключови области (т. нар. „специфични цели“): високопроизводителни изчислителни технологии, изкуствен интелект, киберсигурност и доверие, задълбочени цифрови умения и внедряване, използване по най-добрия начин на цифровия капацитет и оперативна съвместимост. </w:t>
      </w:r>
    </w:p>
    <w:p>
      <w:pPr>
        <w:rPr>
          <w:noProof/>
        </w:rPr>
      </w:pPr>
      <w:r>
        <w:rPr>
          <w:noProof/>
        </w:rPr>
        <w:t>Програмата „Цифрова Европа“ представлява инвестиционна програма с ударение върху изграждането на стратегическия цифров капацитет на ЕС и съдействие за широкото внедряване на цифровите технологии, които да бъдат използвани от европейските граждани и предприятия. В нея са застъпени ключовите приоритети на Съюза, по-специално екологичният и цифровият преход и устойчивостта на единния пазар.  Тя ще бъде съсредоточена върху областите, в които нито една държава членка не може поотделно да гарантира оптималните условия за успех в областта на цифровите технологии. Вниманието ще бъде отправено към областите, в които публичните разходи носят най-съществени ползи. Договореният общ финансов пакет е 7,59 млрд. евро (по текущи цени)</w:t>
      </w:r>
    </w:p>
    <w:p>
      <w:pPr>
        <w:pStyle w:val="ManualHeading1"/>
        <w:rPr>
          <w:noProof/>
        </w:rPr>
      </w:pPr>
      <w:r>
        <w:rPr>
          <w:noProof/>
        </w:rPr>
        <w:t>3.</w:t>
      </w:r>
      <w:r>
        <w:rPr>
          <w:noProof/>
        </w:rPr>
        <w:tab/>
        <w:t>Коментари относно позицията на Съвета</w:t>
      </w:r>
    </w:p>
    <w:p>
      <w:pPr>
        <w:pStyle w:val="ManualHeading1"/>
        <w:tabs>
          <w:tab w:val="clear" w:pos="850"/>
        </w:tabs>
        <w:ind w:left="0" w:firstLine="0"/>
        <w:rPr>
          <w:b w:val="0"/>
          <w:smallCaps w:val="0"/>
          <w:noProof/>
        </w:rPr>
      </w:pPr>
      <w:r>
        <w:rPr>
          <w:b w:val="0"/>
          <w:smallCaps w:val="0"/>
          <w:noProof/>
        </w:rPr>
        <w:t xml:space="preserve">Позицията на Съвета изцяло отразява съгласието, постигнато по време на тристранните срещи. Най-важните промени, въведени в сравнение с предложението на Комисията, включват: </w:t>
      </w:r>
    </w:p>
    <w:p>
      <w:pPr>
        <w:pStyle w:val="Tiret0"/>
        <w:numPr>
          <w:ilvl w:val="0"/>
          <w:numId w:val="1"/>
        </w:numPr>
        <w:spacing w:before="240"/>
        <w:ind w:left="851" w:hanging="851"/>
        <w:rPr>
          <w:noProof/>
        </w:rPr>
      </w:pPr>
      <w:r>
        <w:rPr>
          <w:i/>
          <w:iCs/>
          <w:noProof/>
        </w:rPr>
        <w:t xml:space="preserve">Защита на финансовите интереси на Съюза. </w:t>
      </w:r>
      <w:r>
        <w:rPr>
          <w:noProof/>
        </w:rPr>
        <w:t xml:space="preserve">Съображението, което съдържа позоваване на общия режим на обвързаност с условия за защита на бюджета на Съюза срещу нарушения на принципите на правовата държава, накърняващи неговото добро финансово управление или защитата на финансовите интереси на Съюза, беше приведено в съответствие с договорената формулировка в механизма. Комисията подкрепи това привеждане в съответствие.  </w:t>
      </w:r>
    </w:p>
    <w:p>
      <w:pPr>
        <w:pStyle w:val="Tiret0"/>
        <w:numPr>
          <w:ilvl w:val="0"/>
          <w:numId w:val="1"/>
        </w:numPr>
        <w:tabs>
          <w:tab w:val="clear" w:pos="850"/>
        </w:tabs>
        <w:spacing w:before="240"/>
        <w:ind w:left="851" w:hanging="851"/>
        <w:rPr>
          <w:noProof/>
        </w:rPr>
      </w:pPr>
      <w:r>
        <w:rPr>
          <w:i/>
          <w:iCs/>
          <w:noProof/>
        </w:rPr>
        <w:t>Съгласуване на програмата „Цифрова Европа“ с продължителността на МФР за периода 2021—2027 г.</w:t>
      </w:r>
      <w:r>
        <w:rPr>
          <w:noProof/>
        </w:rPr>
        <w:t xml:space="preserve"> Комисията подкрепи идеята да се осигури приемственост в случай на забавяне на прехода към бъдещата многогодишна финансова рамка, без договорените разпоредби да се тълкуват като осигуряващи автоматично удължаване на програмата.</w:t>
      </w:r>
    </w:p>
    <w:p>
      <w:pPr>
        <w:pStyle w:val="Tiret0"/>
        <w:numPr>
          <w:ilvl w:val="0"/>
          <w:numId w:val="1"/>
        </w:numPr>
        <w:tabs>
          <w:tab w:val="clear" w:pos="850"/>
        </w:tabs>
        <w:spacing w:before="240"/>
        <w:ind w:left="851" w:hanging="851"/>
        <w:rPr>
          <w:noProof/>
        </w:rPr>
      </w:pPr>
      <w:r>
        <w:rPr>
          <w:i/>
          <w:iCs/>
          <w:noProof/>
        </w:rPr>
        <w:t xml:space="preserve">Клауза за обратно действие. </w:t>
      </w:r>
      <w:r>
        <w:rPr>
          <w:noProof/>
        </w:rPr>
        <w:t>Добавена беше формулировка за обратно действие, за да се осигури непрекъснатост на подкрепата за неприключили мерки, които понастоящем се подпомагат по линия на Механизма за свързване на Европа и на решенията за оперативна съвместимост за публичните администрации, предприятията и гражданите (ISA</w:t>
      </w:r>
      <w:r>
        <w:rPr>
          <w:noProof/>
          <w:vertAlign w:val="superscript"/>
        </w:rPr>
        <w:t>2</w:t>
      </w:r>
      <w:r>
        <w:rPr>
          <w:noProof/>
        </w:rPr>
        <w:t xml:space="preserve">), и за да се позволи изпълнението да започне от началото на МФР за периода 2021—2027 г. Комисията подкрепи добавената формулировка. </w:t>
      </w:r>
    </w:p>
    <w:p>
      <w:pPr>
        <w:pStyle w:val="Tiret0"/>
        <w:numPr>
          <w:ilvl w:val="0"/>
          <w:numId w:val="2"/>
        </w:numPr>
        <w:tabs>
          <w:tab w:val="clear" w:pos="850"/>
        </w:tabs>
        <w:spacing w:before="240" w:beforeAutospacing="1" w:after="0"/>
        <w:rPr>
          <w:noProof/>
        </w:rPr>
      </w:pPr>
      <w:r>
        <w:rPr>
          <w:i/>
          <w:iCs/>
          <w:noProof/>
        </w:rPr>
        <w:t>Климат.</w:t>
      </w:r>
      <w:r>
        <w:rPr>
          <w:noProof/>
        </w:rPr>
        <w:t xml:space="preserve"> Зададената обща цел за разходите в областта на климата за цялата МФР беше завишена на 30 % (спрямо първоначалните 25 %). </w:t>
      </w:r>
      <w:r>
        <w:rPr>
          <w:i/>
          <w:noProof/>
        </w:rPr>
        <w:t xml:space="preserve">Цел в областта на биологичното разнообразие </w:t>
      </w:r>
      <w:r>
        <w:rPr>
          <w:noProof/>
        </w:rPr>
        <w:t xml:space="preserve">Съдържанието на стандартното съображение относно биологичното разнообразие — относно приноса за постигането на целта за разходите в областта на биологично разнообразие — беше добавено в съображението, в което се предвижда цел по отношение на климата. Комисията </w:t>
      </w:r>
      <w:r>
        <w:rPr>
          <w:noProof/>
        </w:rPr>
        <w:lastRenderedPageBreak/>
        <w:t>се съгласи да актуализира целта за климата и да добави целта за биологичното разнообразие.</w:t>
      </w:r>
      <w:r>
        <w:rPr>
          <w:i/>
          <w:noProof/>
        </w:rPr>
        <w:t xml:space="preserve"> </w:t>
      </w:r>
    </w:p>
    <w:p>
      <w:pPr>
        <w:pStyle w:val="Tiret0"/>
        <w:numPr>
          <w:ilvl w:val="0"/>
          <w:numId w:val="2"/>
        </w:numPr>
        <w:tabs>
          <w:tab w:val="clear" w:pos="850"/>
        </w:tabs>
        <w:spacing w:before="240" w:beforeAutospacing="1" w:after="0"/>
        <w:rPr>
          <w:noProof/>
        </w:rPr>
      </w:pPr>
      <w:r>
        <w:rPr>
          <w:i/>
          <w:iCs/>
          <w:noProof/>
        </w:rPr>
        <w:t xml:space="preserve">Разпределение на бюджета между специфичните цели и финансовия пакет за „Оперативна съвместимост“. </w:t>
      </w:r>
      <w:r>
        <w:rPr>
          <w:noProof/>
        </w:rPr>
        <w:t xml:space="preserve">Сумите, отпуснати за специфични цели, бяха намалени съразмерно, за да се отразят пропорционалността и балансът от първоначалното предложение (линейно/пропорционално намаление за всички специфични цели), като същевременно се запази финансовият пакет за оперативна съвместимост. Комисията подкрепи запазването на пропорционалността и баланса от първоначалното предложение. </w:t>
      </w:r>
    </w:p>
    <w:p>
      <w:pPr>
        <w:pStyle w:val="Tiret0"/>
        <w:numPr>
          <w:ilvl w:val="0"/>
          <w:numId w:val="2"/>
        </w:numPr>
        <w:spacing w:before="240" w:beforeAutospacing="1" w:after="0"/>
        <w:rPr>
          <w:noProof/>
        </w:rPr>
      </w:pPr>
      <w:r>
        <w:rPr>
          <w:i/>
          <w:iCs/>
          <w:noProof/>
        </w:rPr>
        <w:t xml:space="preserve">Хоризонтално съгласуване на разпоредбите, свързани с връщането на неизползвани ресурси, прехвърлени към програмата „Цифрова Европа“ от средства в режим на споделено управление. </w:t>
      </w:r>
      <w:r>
        <w:rPr>
          <w:noProof/>
        </w:rPr>
        <w:t xml:space="preserve">Бяха въведени разпоредби, свързани с връщането на неизползваните ресурси, прехвърлени към програмата „Цифрова Европа“ от средства в режим на споделено управление, съгласно подхода, възприет в рамковата програма „Хоризонт Европа“.  На 8 март 2019 г. Комисията представи декларация, в която изрази възраженията си срещу договореното по отношение на разпоредбите за прехвърлянето на ресурси (член 9, параграф 5) и съфинансирането. </w:t>
      </w:r>
    </w:p>
    <w:p>
      <w:pPr>
        <w:pStyle w:val="Tiret0"/>
        <w:numPr>
          <w:ilvl w:val="0"/>
          <w:numId w:val="1"/>
        </w:numPr>
        <w:spacing w:before="240"/>
        <w:ind w:left="851" w:hanging="851"/>
        <w:rPr>
          <w:iCs/>
          <w:noProof/>
        </w:rPr>
      </w:pPr>
      <w:r>
        <w:rPr>
          <w:i/>
          <w:iCs/>
          <w:noProof/>
        </w:rPr>
        <w:t xml:space="preserve">Приемане на работни програми. </w:t>
      </w:r>
      <w:r>
        <w:rPr>
          <w:iCs/>
          <w:noProof/>
        </w:rPr>
        <w:t xml:space="preserve">Всички страни постигнаха съгласие работните програми да се приемат под формата на актове за изпълнение, като се използва процедурата по разглеждане (комитология). Беше договорено и използването на делегирани актове за изменение на приложение 1. </w:t>
      </w:r>
    </w:p>
    <w:p>
      <w:pPr>
        <w:pStyle w:val="Tiret0"/>
        <w:numPr>
          <w:ilvl w:val="0"/>
          <w:numId w:val="3"/>
        </w:numPr>
        <w:spacing w:before="0" w:beforeAutospacing="1" w:after="200" w:line="276" w:lineRule="auto"/>
        <w:ind w:left="851"/>
        <w:rPr>
          <w:noProof/>
        </w:rPr>
      </w:pPr>
      <w:r>
        <w:rPr>
          <w:i/>
          <w:iCs/>
          <w:noProof/>
        </w:rPr>
        <w:t xml:space="preserve">Киберсигурност. </w:t>
      </w:r>
      <w:r>
        <w:rPr>
          <w:noProof/>
        </w:rPr>
        <w:t xml:space="preserve">По изпълнението на действията по специфична цел № 3 „Киберсигурност и доверие“ бяха представени допълнителни пояснения. Тази специфична цел ще се изпълнява главно чрез предложения Европейски център за промишлени, технологични и изследователски експертни познания в областта на киберсигурността и Мрежата за компетентност в сферата на киберсигурността (CCCN). </w:t>
      </w:r>
    </w:p>
    <w:p>
      <w:pPr>
        <w:pStyle w:val="Tiret0"/>
        <w:numPr>
          <w:ilvl w:val="0"/>
          <w:numId w:val="3"/>
        </w:numPr>
        <w:spacing w:before="0" w:beforeAutospacing="1" w:after="200" w:line="276" w:lineRule="auto"/>
        <w:ind w:left="851"/>
        <w:rPr>
          <w:noProof/>
        </w:rPr>
      </w:pPr>
      <w:r>
        <w:rPr>
          <w:i/>
          <w:iCs/>
          <w:noProof/>
        </w:rPr>
        <w:t>Участие на трети държави.</w:t>
      </w:r>
      <w:r>
        <w:rPr>
          <w:noProof/>
        </w:rPr>
        <w:t xml:space="preserve"> Частичното асоцииране на трети държави към програмата на равнището на отделните специфични цели беше изрично посочено като възможно. </w:t>
      </w:r>
    </w:p>
    <w:p>
      <w:pPr>
        <w:pStyle w:val="Tiret0"/>
        <w:numPr>
          <w:ilvl w:val="0"/>
          <w:numId w:val="3"/>
        </w:numPr>
        <w:spacing w:before="100" w:beforeAutospacing="1" w:after="0" w:line="276" w:lineRule="auto"/>
        <w:ind w:left="851"/>
        <w:rPr>
          <w:noProof/>
        </w:rPr>
      </w:pPr>
      <w:r>
        <w:rPr>
          <w:i/>
          <w:iCs/>
          <w:noProof/>
        </w:rPr>
        <w:t xml:space="preserve">Печат за високи постижения. </w:t>
      </w:r>
      <w:r>
        <w:rPr>
          <w:noProof/>
        </w:rPr>
        <w:t>Разпоредбите, свързани с печата за високи постижения, бяха приравнени с еквивалентните разпоредби в рамките на програмата „Хоризонт Европа“, отчитайки особеностите на двете програми.</w:t>
      </w:r>
      <w:r>
        <w:rPr>
          <w:noProof/>
          <w:color w:val="000000" w:themeColor="text1"/>
        </w:rPr>
        <w:t xml:space="preserve"> </w:t>
      </w:r>
      <w:r>
        <w:rPr>
          <w:noProof/>
        </w:rPr>
        <w:t xml:space="preserve">В рамките на програмата „Цифрова Европа“ беше изменен обхватът на печата за високи постижения. Отпаднаха позоваванията на програми, чиито правни основания не позволяват сред използваните от тях критерии за възлагане на поръчки да присъства печатът за високи постижения по програмата „Цифрова Европа“. </w:t>
      </w:r>
    </w:p>
    <w:p>
      <w:pPr>
        <w:pStyle w:val="Text1"/>
        <w:spacing w:before="100" w:beforeAutospacing="1" w:after="0"/>
        <w:ind w:left="0"/>
        <w:rPr>
          <w:noProof/>
        </w:rPr>
      </w:pPr>
      <w:r>
        <w:rPr>
          <w:noProof/>
        </w:rPr>
        <w:t xml:space="preserve">Постигнатото споразумение запазва целите на първоначалното предложение на Комисията и тяхната амбициозност, но осигурява достатъчно гъвкавост при изпълнението на новите правила. </w:t>
      </w:r>
    </w:p>
    <w:p>
      <w:pPr>
        <w:pStyle w:val="ManualHeading1"/>
        <w:rPr>
          <w:noProof/>
        </w:rPr>
      </w:pPr>
      <w:r>
        <w:rPr>
          <w:noProof/>
        </w:rPr>
        <w:lastRenderedPageBreak/>
        <w:t>4. Заключение</w:t>
      </w:r>
    </w:p>
    <w:p>
      <w:pPr>
        <w:keepNext/>
        <w:rPr>
          <w:noProof/>
        </w:rPr>
      </w:pPr>
      <w:r>
        <w:rPr>
          <w:noProof/>
        </w:rPr>
        <w:t>Комисията подкрепя резултатите от междуинституционалните преговори и съответно приема позицията на Съвета.</w:t>
      </w:r>
    </w:p>
    <w:p>
      <w:pPr>
        <w:keepNext/>
        <w:rPr>
          <w:noProof/>
        </w:rPr>
      </w:pPr>
    </w:p>
    <w:sectPr>
      <w:footerReference w:type="default" r:id="rId18"/>
      <w:footerReference w:type="first" r:id="rId19"/>
      <w:pgSz w:w="11907" w:h="16839"/>
      <w:pgMar w:top="1134" w:right="1417" w:bottom="1134" w:left="1417"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504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24245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F60B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18C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3A0D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77077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6A04AD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8"/>
    <w:lvlOverride w:ilvl="0">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4:41:0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B4383B6-5A7D-43AD-A847-62E516B7A9C7"/>
    <w:docVar w:name="LW_COVERPAGE_TYPE" w:val="1"/>
    <w:docVar w:name="LW_CROSSREFERENCE" w:val="&lt;UNUSED&gt;"/>
    <w:docVar w:name="LW_DocType" w:val="COM"/>
    <w:docVar w:name="LW_EMISSION" w:val="19.3.2021"/>
    <w:docVar w:name="LW_EMISSION_ISODATE" w:val="2021-03-19"/>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7"/>
    <w:docVar w:name="LW_REF.II.NEW.CP_YEAR" w:val="2018"/>
    <w:docVar w:name="LW_REF.INST.NEW" w:val="COM"/>
    <w:docVar w:name="LW_REF.INST.NEW_ADOPTED" w:val="final"/>
    <w:docVar w:name="LW_REF.INST.NEW_TEXT" w:val="(2021)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7?\u1086?\u1079?\u1080?\u1094?\u1080?\u1103?\u1090?\u1072? \u1085?\u1072? \u1057?\u1098?\u1074?\u1077?\u1090?\u1072? \u1074?\u1098?\u1074? \u1074?\u1088?\u1098?\u1079?\u1082?\u1072? \u1089? \u1087?\u1088?\u1080?\u1077?\u1084?\u1072?\u1085?\u1077?\u1090?\u1086? \u1085?\u1072? \u1056?\u1077?\u1075?\u1083?\u1072?\u1084?\u1077?\u1085?\u1090? \u1085?\u1072? \u1045?\u1074?\u1088?\u1086?\u1087?\u1077?\u1081?\u1089?\u1082?\u1080?\u1103? \u1087?\u1072?\u1088?\u1083?\u1072?\u1084?\u1077?\u1085?\u1090? \u1080? \u1085?\u1072? \u1057?\u1098?\u1074?\u1077?\u1090?\u1072? \u1086?\u1090?\u1085?\u1086?\u1089?\u1085?\u1086? \u1087?\u1088?\u1086?\u1075?\u1088?\u1072?\u1084?\u1072?\u1090?\u1072? \u8222?\u1062?\u1080?\u1092?\u1088?\u1086?\u1074?\u1072? \u1045?\u1074?\u1088?\u1086?\u1087?\u1072?\u8220? \u1079?\u1072? \u1087?\u1077?\u1088?\u1080?\u1086?\u1076?\u1072? 2021\u8212?2027 \u1075?."/>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F437BAF5520574C902BF3CD2F286BF3" ma:contentTypeVersion="0" ma:contentTypeDescription="Create a new document in this library." ma:contentTypeScope="" ma:versionID="2a64aa7b0c28df38ad5e8c687a310cc6">
  <xsd:schema xmlns:xsd="http://www.w3.org/2001/XMLSchema" xmlns:xs="http://www.w3.org/2001/XMLSchema" xmlns:p="http://schemas.microsoft.com/office/2006/metadata/properties" xmlns:ns2="http://schemas.microsoft.com/sharepoint/v3/fields" xmlns:ns3="bc5d8744-706b-4353-99b8-b184e4a28094" targetNamespace="http://schemas.microsoft.com/office/2006/metadata/properties" ma:root="true" ma:fieldsID="19d4ecf5896ca5ee01d883b3b796ab91" ns2:_="" ns3:_="">
    <xsd:import namespace="http://schemas.microsoft.com/sharepoint/v3/fields"/>
    <xsd:import namespace="bc5d8744-706b-4353-99b8-b184e4a2809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c5d8744-706b-4353-99b8-b184e4a2809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bc5d8744-706b-4353-99b8-b184e4a28094" xsi:nil="true"/>
    <EC_Collab_Status xmlns="bc5d8744-706b-4353-99b8-b184e4a28094">Not Started</EC_Collab_Status>
    <EC_Collab_DocumentLanguage xmlns="bc5d8744-706b-4353-99b8-b184e4a28094">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8C41D-B5BC-43D8-A773-C17DC387B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c5d8744-706b-4353-99b8-b184e4a2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EE95E-E9E6-4B43-87FB-4D7647901E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5d8744-706b-4353-99b8-b184e4a28094"/>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FCEFE80-8C5F-4016-8EDA-2C61EAD63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Pages>
  <Words>1008</Words>
  <Characters>6383</Characters>
  <Application>Microsoft Office Word</Application>
  <DocSecurity>0</DocSecurity>
  <Lines>135</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2021-03-09T15:27:00Z</dcterms:created>
  <dcterms:modified xsi:type="dcterms:W3CDTF">2021-03-17T13:41:00Z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ContentTypeId">
    <vt:lpwstr>0x010100258AA79CEB83498886A3A08681123250001F437BAF5520574C902BF3CD2F286BF3</vt:lpwstr>
  </property>
  <property fmtid="{D5CDD505-2E9C-101B-9397-08002B2CF9AE}" pid="11" name="DQCStatus">
    <vt:lpwstr>Green (DQC version 03)</vt:lpwstr>
  </property>
</Properties>
</file>