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A8AEB4F5-E94B-4BC2-87A0-325084F946DD" style="width:450.75pt;height:520.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 I</w:t>
      </w:r>
    </w:p>
    <w:p>
      <w:pPr>
        <w:jc w:val="center"/>
        <w:rPr>
          <w:b/>
          <w:caps/>
          <w:noProof/>
        </w:rPr>
      </w:pPr>
      <w:r>
        <w:rPr>
          <w:b/>
          <w:caps/>
          <w:noProof/>
        </w:rPr>
        <w:t>Решение №…/2021 на Комитета за асоцииране в състав „Търговия“</w:t>
      </w:r>
    </w:p>
    <w:p>
      <w:pPr>
        <w:jc w:val="center"/>
        <w:rPr>
          <w:b/>
          <w:noProof/>
        </w:rPr>
      </w:pPr>
      <w:r>
        <w:rPr>
          <w:b/>
          <w:noProof/>
        </w:rPr>
        <w:t>от xx.xx.2021 година</w:t>
      </w:r>
    </w:p>
    <w:p>
      <w:pPr>
        <w:spacing w:after="240"/>
        <w:jc w:val="center"/>
        <w:rPr>
          <w:b/>
          <w:noProof/>
          <w:szCs w:val="24"/>
        </w:rPr>
      </w:pPr>
      <w:r>
        <w:rPr>
          <w:b/>
          <w:noProof/>
          <w:szCs w:val="24"/>
        </w:rPr>
        <w:t>относно положителната оценка на етап 1, посочен в приложение XVI-Б</w:t>
      </w:r>
      <w:r>
        <w:rPr>
          <w:b/>
          <w:noProof/>
        </w:rPr>
        <w:t xml:space="preserve"> към Споразумението за асоцииране между Европейския съюз и Европейската общност за атомна енергия и техните държави членки, от една страна, и Грузия, от</w:t>
      </w:r>
      <w:r>
        <w:rPr>
          <w:b/>
          <w:noProof/>
          <w:szCs w:val="24"/>
        </w:rPr>
        <w:t xml:space="preserve"> друга страна</w:t>
      </w:r>
    </w:p>
    <w:p>
      <w:pPr>
        <w:spacing w:line="276" w:lineRule="auto"/>
        <w:rPr>
          <w:noProof/>
        </w:rPr>
      </w:pPr>
      <w:r>
        <w:rPr>
          <w:noProof/>
        </w:rPr>
        <w:t>КОМИТЕТЪТ ЗА АСОЦИИРАНЕ В СЪСТАВ „ТЪРГОВИЯ“,</w:t>
      </w:r>
    </w:p>
    <w:p>
      <w:pPr>
        <w:rPr>
          <w:noProof/>
        </w:rPr>
      </w:pPr>
      <w:r>
        <w:rPr>
          <w:noProof/>
        </w:rPr>
        <w:t xml:space="preserve">като взе предвид </w:t>
      </w:r>
      <w:r>
        <w:rPr>
          <w:noProof/>
          <w:color w:val="000000"/>
          <w:szCs w:val="20"/>
        </w:rPr>
        <w:t xml:space="preserve">Споразумението за асоцииране между Европейския съюз </w:t>
      </w:r>
      <w:r>
        <w:rPr>
          <w:noProof/>
        </w:rPr>
        <w:t xml:space="preserve"> и Европейската общност за атомна енергия и техните държави членки, от една страна, и Грузия, от друга страна, и по-специално член 146 от него,</w:t>
      </w:r>
    </w:p>
    <w:p>
      <w:pPr>
        <w:rPr>
          <w:noProof/>
        </w:rPr>
      </w:pPr>
      <w:r>
        <w:rPr>
          <w:noProof/>
        </w:rPr>
        <w:t>като има предвид, че:</w:t>
      </w:r>
    </w:p>
    <w:p>
      <w:pPr>
        <w:pStyle w:val="Considrant"/>
        <w:numPr>
          <w:ilvl w:val="0"/>
          <w:numId w:val="4"/>
        </w:numPr>
        <w:rPr>
          <w:noProof/>
        </w:rPr>
      </w:pPr>
      <w:r>
        <w:rPr>
          <w:noProof/>
        </w:rPr>
        <w:t>Споразумението за асоцииране между Европейския съюз и Европейската общност за атомна енергия и техните държави членки, от една страна, и Грузия, от друга страна, („споразумението“) беше подписано на 27 юни 2014 г. и влезе в сила на 1 юли 2016 г.</w:t>
      </w:r>
    </w:p>
    <w:p>
      <w:pPr>
        <w:pStyle w:val="Considrant"/>
        <w:rPr>
          <w:noProof/>
        </w:rPr>
      </w:pPr>
      <w:r>
        <w:rPr>
          <w:noProof/>
        </w:rPr>
        <w:t>В преамбюла на споразумението се отчита ангажиментът на Грузия съгласно споразумението постепенно да сближи своето законодателство в съответните сектори с това на Съюза и да прилага споразумението ефективно, като по този начин допринася за по-тясно политическо асоцииране и икономическа интеграция на Грузия със Съюза за всички граждани на Грузия, включително в разделените от конфликти общности.</w:t>
      </w:r>
    </w:p>
    <w:p>
      <w:pPr>
        <w:pStyle w:val="Considrant"/>
        <w:rPr>
          <w:noProof/>
        </w:rPr>
      </w:pPr>
      <w:r>
        <w:rPr>
          <w:noProof/>
        </w:rPr>
        <w:t>В съответствие с член 147 от споразумението страните се споразумяват, че ефективното и реципрочно отваряне на техните съответни пазари се осъществява постепенно и едновременно.</w:t>
      </w:r>
    </w:p>
    <w:p>
      <w:pPr>
        <w:pStyle w:val="Considrant"/>
        <w:rPr>
          <w:noProof/>
        </w:rPr>
      </w:pPr>
      <w:r>
        <w:rPr>
          <w:noProof/>
        </w:rPr>
        <w:t>Съгласно член 146 от споразумението Грузия следва да гарантира, че нейното законодателство в областта на обществените поръчки постепенно се сближава с достиженията на правото на Съюза в областта на обществените поръчки и че сближаването с достиженията на правото на Съюза се осъществява на последователни етапи, както е посочено в графика в приложение XVI-Б към споразумението, изменено с Решение № 2/2019</w:t>
      </w:r>
      <w:r>
        <w:rPr>
          <w:rStyle w:val="FootnoteReference"/>
          <w:noProof/>
        </w:rPr>
        <w:footnoteReference w:id="1"/>
      </w:r>
      <w:r>
        <w:rPr>
          <w:noProof/>
        </w:rPr>
        <w:t xml:space="preserve"> на Комитета за асоцииране ЕС - Грузия в състав „Търговия“ от 18 октомври 2019 г.</w:t>
      </w:r>
    </w:p>
    <w:p>
      <w:pPr>
        <w:pStyle w:val="Considrant"/>
        <w:rPr>
          <w:noProof/>
        </w:rPr>
      </w:pPr>
      <w:r>
        <w:rPr>
          <w:noProof/>
        </w:rPr>
        <w:t>В съответствие с член 146 от споразумението Комитетът за асоцииране в състав „Търговия“ трябва да вземе решение за всеки от етапите, посочени в приложение XVI-Б към споразумението, въз основа на положителна оценка от същия комитет.</w:t>
      </w:r>
    </w:p>
    <w:p>
      <w:pPr>
        <w:pStyle w:val="Considrant"/>
        <w:rPr>
          <w:noProof/>
        </w:rPr>
      </w:pPr>
      <w:r>
        <w:rPr>
          <w:noProof/>
        </w:rPr>
        <w:t>В приложение XVI-Б към споразумението, изменено с Решение № 2/2019 на Комитета за асоцииране в състав „Търговия“ от 18 октомври 2019 г., се определят изискванията, които Грузия трябва да изпълни за приключването на етап 1,</w:t>
      </w:r>
    </w:p>
    <w:p>
      <w:pPr>
        <w:rPr>
          <w:noProof/>
        </w:rPr>
      </w:pPr>
      <w:r>
        <w:rPr>
          <w:noProof/>
        </w:rPr>
        <w:t>ПРИЕ НАСТОЯЩОТО РЕШЕНИЕ:</w:t>
      </w:r>
    </w:p>
    <w:p>
      <w:pPr>
        <w:pStyle w:val="Titrearticle"/>
        <w:rPr>
          <w:noProof/>
        </w:rPr>
      </w:pPr>
      <w:r>
        <w:rPr>
          <w:noProof/>
        </w:rPr>
        <w:t>Член 1</w:t>
      </w:r>
    </w:p>
    <w:p>
      <w:pPr>
        <w:rPr>
          <w:noProof/>
        </w:rPr>
      </w:pPr>
      <w:r>
        <w:rPr>
          <w:noProof/>
        </w:rPr>
        <w:t>Дава се положително становище за подробната пътна карта, одобрена от правителството на Грузия с Постановление № 536 от 31 март 2016 г. на правителството на Грузия „Относно планираните промени в областта на обществените поръчки, предвидени в съответствие със задълженията между Грузия и ЕС в рамките на Споразумението за задълбочена и всеобхватна зона за свободна търговия (ЗВЗСТ)“, изменено с Постановление № 154 от 22 януари 2018 г. и Постановление № 974 от 12 юни 2020 г. на правителството на Грузия.</w:t>
      </w:r>
    </w:p>
    <w:p>
      <w:pPr>
        <w:pStyle w:val="Titrearticle"/>
        <w:rPr>
          <w:i w:val="0"/>
          <w:noProof/>
        </w:rPr>
      </w:pPr>
      <w:r>
        <w:rPr>
          <w:noProof/>
        </w:rPr>
        <w:t>Член 2</w:t>
      </w:r>
    </w:p>
    <w:p>
      <w:pPr>
        <w:keepNext/>
        <w:spacing w:before="240"/>
        <w:rPr>
          <w:noProof/>
        </w:rPr>
      </w:pPr>
      <w:r>
        <w:rPr>
          <w:noProof/>
        </w:rPr>
        <w:t>Въз основа на мотивите, изложени в приложението към настоящото решение, се дава положителна оценка по отношение на приключването от Грузия на етап 1, както е посочено в приложение XVI-Б към споразумението.</w:t>
      </w:r>
    </w:p>
    <w:p>
      <w:pPr>
        <w:pStyle w:val="Titrearticle"/>
        <w:rPr>
          <w:i w:val="0"/>
          <w:noProof/>
        </w:rPr>
      </w:pPr>
      <w:r>
        <w:rPr>
          <w:noProof/>
        </w:rPr>
        <w:t>Член 3</w:t>
      </w:r>
    </w:p>
    <w:p>
      <w:pPr>
        <w:rPr>
          <w:noProof/>
        </w:rPr>
      </w:pPr>
      <w:r>
        <w:rPr>
          <w:noProof/>
        </w:rPr>
        <w:t>Настоящото решение е съставено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шведски и грузински език, като текстовете на всички езици са еднакво автентични.</w:t>
      </w:r>
    </w:p>
    <w:p>
      <w:pPr>
        <w:pStyle w:val="Titrearticle"/>
        <w:rPr>
          <w:noProof/>
        </w:rPr>
      </w:pPr>
      <w:r>
        <w:rPr>
          <w:noProof/>
        </w:rPr>
        <w:t>Член 4</w:t>
      </w:r>
    </w:p>
    <w:p>
      <w:pPr>
        <w:rPr>
          <w:noProof/>
        </w:rPr>
      </w:pPr>
      <w:r>
        <w:rPr>
          <w:noProof/>
        </w:rPr>
        <w:t>Настоящото решение влиза в сила в деня на приемането му.</w:t>
      </w:r>
    </w:p>
    <w:p>
      <w:pPr>
        <w:rPr>
          <w:noProof/>
        </w:rPr>
      </w:pPr>
      <w:r>
        <w:rPr>
          <w:noProof/>
        </w:rPr>
        <w:t>Съставено в [...] на [...] година.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7"/>
      </w:tblGrid>
      <w:tr>
        <w:tc>
          <w:tcPr>
            <w:tcW w:w="9213" w:type="dxa"/>
            <w:gridSpan w:val="2"/>
          </w:tcPr>
          <w:p>
            <w:pPr>
              <w:spacing w:before="0" w:after="0"/>
              <w:jc w:val="center"/>
              <w:rPr>
                <w:i/>
                <w:noProof/>
              </w:rPr>
            </w:pPr>
            <w:r>
              <w:rPr>
                <w:i/>
                <w:noProof/>
              </w:rPr>
              <w:t>За Комитета за асоцииране</w:t>
            </w:r>
          </w:p>
          <w:p>
            <w:pPr>
              <w:spacing w:before="0" w:after="0"/>
              <w:jc w:val="center"/>
              <w:rPr>
                <w:i/>
                <w:noProof/>
              </w:rPr>
            </w:pPr>
            <w:r>
              <w:rPr>
                <w:i/>
                <w:noProof/>
              </w:rPr>
              <w:t>в състав „Търговия“</w:t>
            </w:r>
          </w:p>
          <w:p>
            <w:pPr>
              <w:jc w:val="center"/>
              <w:rPr>
                <w:noProof/>
              </w:rPr>
            </w:pPr>
          </w:p>
        </w:tc>
      </w:tr>
      <w:tr>
        <w:tc>
          <w:tcPr>
            <w:tcW w:w="4606" w:type="dxa"/>
          </w:tcPr>
          <w:p>
            <w:pPr>
              <w:rPr>
                <w:noProof/>
              </w:rPr>
            </w:pPr>
            <w:r>
              <w:rPr>
                <w:i/>
                <w:noProof/>
              </w:rPr>
              <w:t>Председател</w:t>
            </w:r>
          </w:p>
        </w:tc>
        <w:tc>
          <w:tcPr>
            <w:tcW w:w="4607" w:type="dxa"/>
          </w:tcPr>
          <w:p>
            <w:pPr>
              <w:rPr>
                <w:noProof/>
              </w:rPr>
            </w:pPr>
            <w:r>
              <w:rPr>
                <w:i/>
                <w:noProof/>
              </w:rPr>
              <w:t>Секретари</w:t>
            </w:r>
          </w:p>
        </w:tc>
      </w:tr>
    </w:tbl>
    <w:p>
      <w:pPr>
        <w:spacing w:before="0" w:line="276" w:lineRule="auto"/>
        <w:jc w:val="left"/>
        <w:rPr>
          <w:noProof/>
        </w:rPr>
        <w:sectPr>
          <w:footerReference w:type="default" r:id="rId15"/>
          <w:footerReference w:type="first" r:id="rId16"/>
          <w:pgSz w:w="11907" w:h="16839"/>
          <w:pgMar w:top="1134" w:right="1417" w:bottom="1134" w:left="1417" w:header="709" w:footer="709" w:gutter="0"/>
          <w:cols w:space="720"/>
          <w:docGrid w:linePitch="360"/>
        </w:sectPr>
      </w:pPr>
    </w:p>
    <w:p>
      <w:pPr>
        <w:spacing w:after="240"/>
        <w:jc w:val="center"/>
        <w:rPr>
          <w:b/>
          <w:noProof/>
          <w:szCs w:val="24"/>
          <w:u w:val="single"/>
        </w:rPr>
      </w:pPr>
      <w:r>
        <w:rPr>
          <w:b/>
          <w:noProof/>
          <w:szCs w:val="24"/>
          <w:u w:val="single"/>
        </w:rPr>
        <w:t>ПРИЛОЖЕНИЕ</w:t>
      </w:r>
    </w:p>
    <w:p>
      <w:pPr>
        <w:spacing w:after="240"/>
        <w:rPr>
          <w:noProof/>
          <w:szCs w:val="24"/>
        </w:rPr>
      </w:pPr>
      <w:r>
        <w:rPr>
          <w:noProof/>
        </w:rPr>
        <w:t>В съответствие с приложение XVI-Б към споразумението за задълбочена и всеобхватна зона за свободна търговия (ЗВЗСТ), посочена в неговата глава 8 относно обществените поръчки, за приключването на етап 1 трябва да са изпълнени следните условия:</w:t>
      </w:r>
    </w:p>
    <w:p>
      <w:pPr>
        <w:pStyle w:val="Point0number"/>
        <w:numPr>
          <w:ilvl w:val="0"/>
          <w:numId w:val="1"/>
        </w:numPr>
        <w:rPr>
          <w:noProof/>
        </w:rPr>
      </w:pPr>
      <w:r>
        <w:rPr>
          <w:noProof/>
        </w:rPr>
        <w:t>Прилагане на член 143, параграф 2 и член 144 от споразумението;</w:t>
      </w:r>
    </w:p>
    <w:p>
      <w:pPr>
        <w:pStyle w:val="Point0number"/>
        <w:rPr>
          <w:noProof/>
        </w:rPr>
      </w:pPr>
      <w:r>
        <w:rPr>
          <w:noProof/>
        </w:rPr>
        <w:t>Споразумение относно стратегията за реформи, посочена в член 145 от споразумението.</w:t>
      </w:r>
    </w:p>
    <w:p>
      <w:pPr>
        <w:pStyle w:val="Text1"/>
        <w:rPr>
          <w:i/>
          <w:noProof/>
        </w:rPr>
      </w:pPr>
      <w:r>
        <w:rPr>
          <w:i/>
          <w:noProof/>
        </w:rPr>
        <w:t>Доп. 1 а) по отношение на първото изискване,</w:t>
      </w:r>
      <w:r>
        <w:rPr>
          <w:b/>
          <w:i/>
          <w:noProof/>
        </w:rPr>
        <w:t xml:space="preserve"> </w:t>
      </w:r>
      <w:r>
        <w:rPr>
          <w:i/>
          <w:noProof/>
        </w:rPr>
        <w:t xml:space="preserve">първа част, </w:t>
      </w:r>
      <w:r>
        <w:rPr>
          <w:b/>
          <w:i/>
          <w:noProof/>
        </w:rPr>
        <w:t>член 143, параграф 2</w:t>
      </w:r>
      <w:r>
        <w:rPr>
          <w:i/>
          <w:noProof/>
        </w:rPr>
        <w:t xml:space="preserve"> предвижда, че Грузия определя по-специално:</w:t>
      </w:r>
    </w:p>
    <w:p>
      <w:pPr>
        <w:pStyle w:val="Point1"/>
        <w:rPr>
          <w:i/>
          <w:noProof/>
        </w:rPr>
      </w:pPr>
      <w:r>
        <w:rPr>
          <w:i/>
          <w:noProof/>
        </w:rPr>
        <w:t>а)</w:t>
      </w:r>
      <w:r>
        <w:rPr>
          <w:i/>
          <w:noProof/>
        </w:rPr>
        <w:tab/>
        <w:t>изпълнителен орган на равнището на централната власт, който да отговаря за гарантиране на последователна политика и нейното изпълнение във всички области, свързани с обществените поръчки. Този орган способства и координира прилагането на посочената глава и ръководи процеса на постепенно сближаване с достиженията на правото на Съюза, както е посочено в приложение XVI-Б към споразумението;</w:t>
      </w:r>
    </w:p>
    <w:p>
      <w:pPr>
        <w:pStyle w:val="Point1"/>
        <w:rPr>
          <w:i/>
          <w:noProof/>
        </w:rPr>
      </w:pPr>
      <w:r>
        <w:rPr>
          <w:i/>
          <w:noProof/>
        </w:rPr>
        <w:t>б)</w:t>
      </w:r>
      <w:r>
        <w:rPr>
          <w:i/>
          <w:noProof/>
        </w:rPr>
        <w:tab/>
        <w:t>безпристрастен и независим орган, чиято задача е да осъществява контрол върху решенията, взети от възлагащите органи или от възложителите при възлагането на поръчките. В този контекст „независим“ означава, че този орган е публичен орган, който е разграничен от всички възложители и икономически оператори. Трябва да се осигури възможност взетите от този орган решения да подлежат на съдебен контрол.</w:t>
      </w:r>
    </w:p>
    <w:p>
      <w:pPr>
        <w:rPr>
          <w:b/>
          <w:noProof/>
        </w:rPr>
      </w:pPr>
      <w:r>
        <w:rPr>
          <w:b/>
          <w:noProof/>
        </w:rPr>
        <w:t>Изискването за член 143, параграф 2, буква а) беше изпълнено на 23 април 2014 г. с Постановление № 306 на правителството.</w:t>
      </w:r>
    </w:p>
    <w:p>
      <w:pPr>
        <w:rPr>
          <w:noProof/>
        </w:rPr>
      </w:pPr>
      <w:r>
        <w:rPr>
          <w:noProof/>
        </w:rPr>
        <w:t>Централният изпълнителен орган на равнището на централната власт в Грузия, натоварен със задачата да гарантира последователна политика и нейното прилагане във всички области, свързани с обществените поръчки, е Държавната агенция за обществени поръчки (ДАОП) на Грузия. ДАОП е независим публичноправен субект, който е оправомощен да гарантира спазването и изпълнението на разпоредбите на Закона за обществените поръчки (ЗОП).</w:t>
      </w:r>
    </w:p>
    <w:p>
      <w:pPr>
        <w:rPr>
          <w:noProof/>
        </w:rPr>
      </w:pPr>
      <w:r>
        <w:rPr>
          <w:noProof/>
        </w:rPr>
        <w:t>Държавната агенция по обществените поръчки е създадена с Постановление № 223 от 5 юни 2001 г. на президента на Грузия, което се основава на ЗОП, приет на 9 декември 1998 г. от Парламента на Грузия. По-късно ДАОП се слива с грузинската Агенция за защита на конкуренцията (ГАЗК). След подписването на Споразумението за асоцииране с цел да се изпълнят изцяло изискванията за ЗВЗСТ, ДАОП и ГАЗК са разделени на две отделни институции. Съответно настоящият статут на ДАОП е определен с Постановление № 306 от 23 април 2014 г. на правителството на Грузия.</w:t>
      </w:r>
    </w:p>
    <w:p>
      <w:pPr>
        <w:rPr>
          <w:noProof/>
        </w:rPr>
      </w:pPr>
      <w:r>
        <w:rPr>
          <w:noProof/>
        </w:rPr>
        <w:t xml:space="preserve">Дейностите на ДАОП се уреждат от Конституцията на Грузия, </w:t>
      </w:r>
      <w:r>
        <w:rPr>
          <w:b/>
          <w:noProof/>
        </w:rPr>
        <w:t xml:space="preserve"> </w:t>
      </w:r>
      <w:r>
        <w:rPr>
          <w:noProof/>
        </w:rPr>
        <w:t>международните споразумения, включително Споразумението за асоцииране/споразумението за ЗВЗСТ, закона за ДАОП и устава на агенцията. Държавният контрол върху дейностите на ДАОП се осъществява от правителството на Грузия. Правителството на Грузия също така одобрява структурата и устава на ДАОП.</w:t>
      </w:r>
    </w:p>
    <w:p>
      <w:pPr>
        <w:rPr>
          <w:noProof/>
        </w:rPr>
      </w:pPr>
      <w:r>
        <w:rPr>
          <w:noProof/>
        </w:rPr>
        <w:t>Председателят на ДАОП се назначава и отстранява от министър-председателя.</w:t>
      </w:r>
    </w:p>
    <w:p>
      <w:pPr>
        <w:rPr>
          <w:noProof/>
        </w:rPr>
      </w:pPr>
      <w:r>
        <w:rPr>
          <w:noProof/>
        </w:rPr>
        <w:t xml:space="preserve">Служителите на ДАОП се назначават и повишават в съответствие с Кодекса на труда. Понастоящем общият брой на постоянните служители е 123, а 22 служители са наети със срочен договор, което изглежда подходящо предвид изпълняваните от тях функции към момента. </w:t>
      </w:r>
    </w:p>
    <w:p>
      <w:pPr>
        <w:rPr>
          <w:noProof/>
        </w:rPr>
      </w:pPr>
      <w:r>
        <w:rPr>
          <w:noProof/>
        </w:rPr>
        <w:t xml:space="preserve">ДАОП си е изградила силна репутация в рамките на грузинската държавна администрация, както и сред международните финансови институции (МФИ), донорската общност и международните заинтересовани страни, тъй като изпълнява своите задължения и отговорности по ефективен и ефикасен начин. ДАОП играе централна роля за способстване и координиране на прилагането на задълженията съгласно споразумението за ЗВЗСТ и ръководи процеса на постепенно сближаване с достиженията на правото на Съюза, както е посочено в приложение XVI-Б към споразумението за ЗВЗСТ. ДАОП е в състояние ефикасно да подпомага развитието на системата за възлагане на обществени поръчки (включително правната уредба и цялата правна система) в Грузия. </w:t>
      </w:r>
    </w:p>
    <w:p>
      <w:pPr>
        <w:rPr>
          <w:noProof/>
        </w:rPr>
      </w:pPr>
      <w:r>
        <w:rPr>
          <w:noProof/>
        </w:rPr>
        <w:t>Наборът от функции, предоставени на ДАОП от закона, обхваща общите изисквания, които международната практика препоръчва за подобни институции с цел да се подпомогне подобряването на правната рамка и да се укрепи оперативният капацитет на равнище възлагащи органи и икономически оператори. ДАОП изпълнява по подходящия начин функциите по регулиране, наблюдение, бюро за помощ (help-desk) и обучение.</w:t>
      </w:r>
    </w:p>
    <w:p>
      <w:pPr>
        <w:rPr>
          <w:noProof/>
        </w:rPr>
      </w:pPr>
      <w:r>
        <w:rPr>
          <w:noProof/>
        </w:rPr>
        <w:t>Допълнителните функции на ДАОП са следните:</w:t>
      </w:r>
    </w:p>
    <w:p>
      <w:pPr>
        <w:pStyle w:val="Bullet0"/>
        <w:numPr>
          <w:ilvl w:val="0"/>
          <w:numId w:val="3"/>
        </w:numPr>
        <w:rPr>
          <w:noProof/>
        </w:rPr>
      </w:pPr>
      <w:r>
        <w:rPr>
          <w:noProof/>
        </w:rPr>
        <w:t>Да наблюдава процеса на възлагане на обществени поръчки;</w:t>
      </w:r>
    </w:p>
    <w:p>
      <w:pPr>
        <w:pStyle w:val="Bullet0"/>
        <w:rPr>
          <w:noProof/>
        </w:rPr>
      </w:pPr>
      <w:r>
        <w:rPr>
          <w:noProof/>
        </w:rPr>
        <w:t>Да изготвя и издава подзаконови нормативни актове във връзка с управлението на процедурите за възлагане на обществени поръчки;</w:t>
      </w:r>
    </w:p>
    <w:p>
      <w:pPr>
        <w:pStyle w:val="Bullet0"/>
        <w:rPr>
          <w:noProof/>
        </w:rPr>
      </w:pPr>
      <w:r>
        <w:rPr>
          <w:noProof/>
        </w:rPr>
        <w:t>Да проучва и анализира ситуацията в системата за възлагане на обществени поръчки въз основа на докладите, получени от възлагащите органи, и да представя на правителството на Грузия предложения за вземане на съответни решения;</w:t>
      </w:r>
    </w:p>
    <w:p>
      <w:pPr>
        <w:pStyle w:val="Bullet0"/>
        <w:rPr>
          <w:noProof/>
        </w:rPr>
      </w:pPr>
      <w:r>
        <w:rPr>
          <w:noProof/>
        </w:rPr>
        <w:t>Да подготвя стандартни и специализирани програми за обучение и методологични инструменти, да провежда семинари и обучения за централните и местните органи на самоуправление, представители на средствата за масово осведомяване и други заинтересовани лица;</w:t>
      </w:r>
    </w:p>
    <w:p>
      <w:pPr>
        <w:pStyle w:val="Bullet0"/>
        <w:rPr>
          <w:noProof/>
        </w:rPr>
      </w:pPr>
      <w:r>
        <w:rPr>
          <w:noProof/>
        </w:rPr>
        <w:t>Да създава, актуализира и упражнява надзор върху единна база данни за обществените поръчки;</w:t>
      </w:r>
    </w:p>
    <w:p>
      <w:pPr>
        <w:pStyle w:val="Bullet0"/>
        <w:rPr>
          <w:noProof/>
        </w:rPr>
      </w:pPr>
      <w:r>
        <w:rPr>
          <w:noProof/>
        </w:rPr>
        <w:t>Да предоставя консултантски услуги на възлагащите органи;</w:t>
      </w:r>
    </w:p>
    <w:p>
      <w:pPr>
        <w:pStyle w:val="Bullet0"/>
        <w:rPr>
          <w:noProof/>
        </w:rPr>
      </w:pPr>
      <w:r>
        <w:rPr>
          <w:noProof/>
        </w:rPr>
        <w:t>Да обезпечава въвеждането на съвременни информационни и комуникационни технологии в системата за обществени поръчки;</w:t>
      </w:r>
    </w:p>
    <w:p>
      <w:pPr>
        <w:pStyle w:val="Bullet0"/>
        <w:rPr>
          <w:noProof/>
        </w:rPr>
      </w:pPr>
      <w:r>
        <w:rPr>
          <w:noProof/>
        </w:rPr>
        <w:t>Да обезпечава функционирането на Единната електронна система за обществени поръчки и да осигурява поток от електронни документи в хода на процедурите за възлагане на обществени поръчки;</w:t>
      </w:r>
    </w:p>
    <w:p>
      <w:pPr>
        <w:pStyle w:val="Bullet0"/>
        <w:rPr>
          <w:noProof/>
        </w:rPr>
      </w:pPr>
      <w:r>
        <w:rPr>
          <w:noProof/>
        </w:rPr>
        <w:t>Да разглежда спорове, възникнали в хода на обществени поръчки;</w:t>
      </w:r>
    </w:p>
    <w:p>
      <w:pPr>
        <w:pStyle w:val="Bullet0"/>
        <w:rPr>
          <w:noProof/>
        </w:rPr>
      </w:pPr>
      <w:r>
        <w:rPr>
          <w:noProof/>
        </w:rPr>
        <w:t>Да контролира законосъобразността на процедурите за възлагане на обществени поръчки и да определя политиката за регулиране на процедурите за възлагане на обществени поръчки;</w:t>
      </w:r>
    </w:p>
    <w:p>
      <w:pPr>
        <w:pStyle w:val="Bullet0"/>
        <w:rPr>
          <w:noProof/>
        </w:rPr>
      </w:pPr>
      <w:r>
        <w:rPr>
          <w:noProof/>
        </w:rPr>
        <w:t>Да поддържа черния списък и белия списък;</w:t>
      </w:r>
    </w:p>
    <w:p>
      <w:pPr>
        <w:pStyle w:val="Bullet0"/>
        <w:rPr>
          <w:noProof/>
        </w:rPr>
      </w:pPr>
      <w:r>
        <w:rPr>
          <w:noProof/>
        </w:rPr>
        <w:t>Да идентифицира и/или интегрира даден предмет на обществена поръчка в системата за класификация;</w:t>
      </w:r>
    </w:p>
    <w:p>
      <w:pPr>
        <w:pStyle w:val="Bullet0"/>
        <w:rPr>
          <w:noProof/>
        </w:rPr>
      </w:pPr>
      <w:r>
        <w:rPr>
          <w:noProof/>
        </w:rPr>
        <w:t xml:space="preserve">Да провежда консолидирани процедури за възлагане на обществени поръчки при поръчки с определен предмет; </w:t>
      </w:r>
    </w:p>
    <w:p>
      <w:pPr>
        <w:pStyle w:val="Bullet0"/>
        <w:rPr>
          <w:noProof/>
        </w:rPr>
      </w:pPr>
      <w:r>
        <w:rPr>
          <w:noProof/>
        </w:rPr>
        <w:t>Да изготвя годишен доклад за дейността си и да го представя на правителството на Грузия до 15 май всяка година, както и да публикува доклада на уебсайта на ДАОП.</w:t>
      </w:r>
    </w:p>
    <w:p>
      <w:pPr>
        <w:rPr>
          <w:b/>
          <w:noProof/>
        </w:rPr>
      </w:pPr>
      <w:r>
        <w:rPr>
          <w:b/>
          <w:noProof/>
        </w:rPr>
        <w:t>Изискването за член 143, параграф 2, буква б) бе изпълнено на 2 юли 2020 г. със Закон на Грузия № 6730.</w:t>
      </w:r>
    </w:p>
    <w:p>
      <w:pPr>
        <w:rPr>
          <w:noProof/>
        </w:rPr>
      </w:pPr>
      <w:r>
        <w:rPr>
          <w:noProof/>
        </w:rPr>
        <w:t xml:space="preserve">С този закон беше премахнат бившият разглеждащ орган „Съвет за разрешаване на спорове“ (официален превод от грузинския) и се създаде нов независим и безпристрастен публичен орган. Новосъздаденият административен орган ще функционира като разглеждащ орган във връзка с жалби относно обществени поръчки, публично-частни партньорства и концесионни дейности. Измененията засегнаха и въпроси, свързани с възлагането на договори чрез „опростени“ (преки, с един източник) обществени поръчки, например по отношение на процедурата за получаване на одобрение от Държавната агенция за обществени поръчки за извършване на сделки по обществени поръчки чрез „опростена“ процедура за възлагане на обществени поръчки при „спешна необходимост“. </w:t>
      </w:r>
    </w:p>
    <w:p>
      <w:pPr>
        <w:rPr>
          <w:noProof/>
        </w:rPr>
      </w:pPr>
      <w:r>
        <w:rPr>
          <w:noProof/>
        </w:rPr>
        <w:t>Разпоредбите на грузинския закон № 6730 от 2 юли 2020 г. предвиждат подходящи гаранции, свързани с независимостта и безпристрастността, както се изисква в член 143, параграф 2, буква б) от споразумението.</w:t>
      </w:r>
    </w:p>
    <w:p>
      <w:pPr>
        <w:pStyle w:val="Text1"/>
        <w:rPr>
          <w:i/>
          <w:noProof/>
        </w:rPr>
      </w:pPr>
      <w:r>
        <w:rPr>
          <w:i/>
          <w:noProof/>
        </w:rPr>
        <w:t xml:space="preserve">Доп. 1) б) По отношение на първото изискване, втората част, съгласно </w:t>
      </w:r>
      <w:r>
        <w:rPr>
          <w:b/>
          <w:i/>
          <w:noProof/>
        </w:rPr>
        <w:t>член 144</w:t>
      </w:r>
      <w:r>
        <w:rPr>
          <w:i/>
          <w:noProof/>
        </w:rPr>
        <w:t xml:space="preserve"> страните спазват набор от основни стандарти за възлагането на всички поръчки, както е предвидено в параграфи 2—15 от същия член, относно публикуването, възлагането на поръчки и съдебната защита. Тези основни стандарти произтичат пряко от правилата и принципите за обществените поръчки, уредени с достиженията на правото на Съюза в областта на обществените поръчки, включително принципите на недискриминация, равнопоставеност, прозрачност и пропорционалност. </w:t>
      </w:r>
    </w:p>
    <w:p>
      <w:pPr>
        <w:rPr>
          <w:b/>
          <w:noProof/>
        </w:rPr>
      </w:pPr>
      <w:r>
        <w:rPr>
          <w:b/>
          <w:noProof/>
        </w:rPr>
        <w:t xml:space="preserve">Тези принципи бяха включени в грузинските правила за обществените поръчки чрез въвеждането на система за електронни обществени поръчки през 2010 г. и с приемането със Закон на Грузия № 617 от 6 април 2017 г. на изменението на Закона за обществените поръчки. </w:t>
      </w:r>
    </w:p>
    <w:p>
      <w:pPr>
        <w:rPr>
          <w:noProof/>
        </w:rPr>
      </w:pPr>
      <w:r>
        <w:rPr>
          <w:noProof/>
        </w:rPr>
        <w:t xml:space="preserve">През 2010 г. Грузия въведе система за електронни обществени поръчки, като създаде т.нар. „GE-GP“ — грузинска „Единна електронна система за обществени поръчки“. След въвеждането на системата за електронни обществени поръчки 100 % от обществените поръчки в Грузия се осъществяват чрез системата за електронни обществени поръчки, което гарантира прозрачност и стимулира конкуренцията. Прозрачността на системата за електронни обществени поръчки е в пълно съответствие с изискванията на ЕС за принципите на публикуване, тъй като цялата информация във връзка с обявленията за процедури за обществени поръчки и възлагането на поръчките е напълно прозрачна без никакви ограничения. </w:t>
      </w:r>
    </w:p>
    <w:p>
      <w:pPr>
        <w:rPr>
          <w:noProof/>
        </w:rPr>
      </w:pPr>
      <w:r>
        <w:rPr>
          <w:noProof/>
        </w:rPr>
        <w:t xml:space="preserve">За да отговори на някои от другите основни стандарти на член 144 от споразумението и за да се справи с несъответствието на ЗОП, ДАОП изготви проект за изменения на ЗОП. Правителството на Грузия одобри предложените изменения още през декември 2016 г. и впоследствие ги препрати на парламента на Грузия. Тези изменения бяха приети от парламента на Грузия на 6 април 2017 г. със Закон № 617 на Грузия. Измененията се отнасяха до следните основни аспекти: а) основни принципи; б) технически спецификации; и в) срокове. </w:t>
      </w:r>
    </w:p>
    <w:p>
      <w:pPr>
        <w:pStyle w:val="Point0"/>
        <w:rPr>
          <w:noProof/>
        </w:rPr>
      </w:pPr>
      <w:r>
        <w:rPr>
          <w:noProof/>
        </w:rPr>
        <w:t>а)</w:t>
      </w:r>
      <w:r>
        <w:rPr>
          <w:noProof/>
        </w:rPr>
        <w:tab/>
        <w:t xml:space="preserve">Изменението на ЗОП се отнасяше до член 2, буква в) и член 13 от ЗОП с цел да се въведат принципите за равнопоставеност и пропорционалност, които не бяха изрично посочени в този закон. </w:t>
      </w:r>
    </w:p>
    <w:p>
      <w:pPr>
        <w:pStyle w:val="Point0"/>
        <w:rPr>
          <w:noProof/>
        </w:rPr>
      </w:pPr>
      <w:r>
        <w:rPr>
          <w:noProof/>
        </w:rPr>
        <w:t>б)</w:t>
      </w:r>
      <w:r>
        <w:rPr>
          <w:noProof/>
        </w:rPr>
        <w:tab/>
        <w:t xml:space="preserve">Изменението на ЗОП се отнасяше до член 12-1, параграф 6 от ЗОП, за да се въведе използването на общо описание на критерии за изпълнение, технически и/или функционални критерии за определяне на характеристиките на изискваното строителство, доставки или услуги. Съгласно новата разпоредба възлагащите органи ще могат да изготвят спецификации въз основа на критерии за изпълнение, технически и/или функционални критерии, което ще позволи подаването на оферти, отразяващи разнообразието от технически решения на пазара. Беше уточнено, че при изготвянето на тръжните изисквания се отдава предпочитание на критериите за изпълнение и функционалните критерии; </w:t>
      </w:r>
    </w:p>
    <w:p>
      <w:pPr>
        <w:pStyle w:val="Point0"/>
        <w:rPr>
          <w:noProof/>
        </w:rPr>
      </w:pPr>
      <w:r>
        <w:rPr>
          <w:noProof/>
        </w:rPr>
        <w:t>в)</w:t>
      </w:r>
      <w:r>
        <w:rPr>
          <w:noProof/>
        </w:rPr>
        <w:tab/>
        <w:t xml:space="preserve">С изменението бяха въведени разумни срокове за поканата за представяне на оферти и за запознаване с условията на процедурата за обществена поръчка. </w:t>
      </w:r>
    </w:p>
    <w:p>
      <w:pPr>
        <w:pStyle w:val="Text1"/>
        <w:rPr>
          <w:noProof/>
        </w:rPr>
      </w:pPr>
      <w:r>
        <w:rPr>
          <w:noProof/>
        </w:rPr>
        <w:t xml:space="preserve">Изменението на ЗОП влезе в сила на 19 юли 2017 г. С новите изменения бяха удължени също и сроковете за подаване на оферти със стойност под праговете на Съюза. Понастоящем сроковете за всеки вид процедури под и над праговете на Съюза са следните: </w:t>
      </w:r>
    </w:p>
    <w:tbl>
      <w:tblPr>
        <w:tblW w:w="90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0" w:type="dxa"/>
          <w:right w:w="0" w:type="dxa"/>
        </w:tblCellMar>
        <w:tblLook w:val="0600" w:firstRow="0" w:lastRow="0" w:firstColumn="0" w:lastColumn="0" w:noHBand="1" w:noVBand="1"/>
      </w:tblPr>
      <w:tblGrid>
        <w:gridCol w:w="1251"/>
        <w:gridCol w:w="2317"/>
        <w:gridCol w:w="3317"/>
        <w:gridCol w:w="2115"/>
      </w:tblGrid>
      <w:tr>
        <w:trPr>
          <w:trHeight w:val="409"/>
          <w:jc w:val="center"/>
        </w:trPr>
        <w:tc>
          <w:tcPr>
            <w:tcW w:w="1106" w:type="dxa"/>
            <w:shd w:val="clear" w:color="auto" w:fill="FFFFFF" w:themeFill="background1"/>
            <w:tcMar>
              <w:top w:w="19" w:type="dxa"/>
              <w:left w:w="19" w:type="dxa"/>
              <w:bottom w:w="0" w:type="dxa"/>
              <w:right w:w="19" w:type="dxa"/>
            </w:tcMar>
            <w:vAlign w:val="center"/>
            <w:hideMark/>
          </w:tcPr>
          <w:p>
            <w:pPr>
              <w:ind w:left="113"/>
              <w:jc w:val="left"/>
              <w:rPr>
                <w:b/>
                <w:noProof/>
                <w:sz w:val="22"/>
              </w:rPr>
            </w:pPr>
            <w:r>
              <w:rPr>
                <w:b/>
                <w:noProof/>
                <w:sz w:val="22"/>
              </w:rPr>
              <w:t xml:space="preserve">Вид процедура </w:t>
            </w:r>
          </w:p>
        </w:tc>
        <w:tc>
          <w:tcPr>
            <w:tcW w:w="2346" w:type="dxa"/>
            <w:shd w:val="clear" w:color="auto" w:fill="FFFFFF" w:themeFill="background1"/>
            <w:tcMar>
              <w:top w:w="19" w:type="dxa"/>
              <w:left w:w="19" w:type="dxa"/>
              <w:bottom w:w="0" w:type="dxa"/>
              <w:right w:w="19" w:type="dxa"/>
            </w:tcMar>
            <w:vAlign w:val="center"/>
            <w:hideMark/>
          </w:tcPr>
          <w:p>
            <w:pPr>
              <w:ind w:left="113"/>
              <w:jc w:val="left"/>
              <w:rPr>
                <w:noProof/>
                <w:sz w:val="22"/>
              </w:rPr>
            </w:pPr>
            <w:r>
              <w:rPr>
                <w:b/>
                <w:bCs/>
                <w:noProof/>
                <w:sz w:val="22"/>
              </w:rPr>
              <w:t xml:space="preserve">Предмет </w:t>
            </w:r>
          </w:p>
        </w:tc>
        <w:tc>
          <w:tcPr>
            <w:tcW w:w="3394" w:type="dxa"/>
            <w:shd w:val="clear" w:color="auto" w:fill="FFFFFF" w:themeFill="background1"/>
            <w:tcMar>
              <w:top w:w="19" w:type="dxa"/>
              <w:left w:w="19" w:type="dxa"/>
              <w:bottom w:w="0" w:type="dxa"/>
              <w:right w:w="19" w:type="dxa"/>
            </w:tcMar>
            <w:vAlign w:val="center"/>
            <w:hideMark/>
          </w:tcPr>
          <w:p>
            <w:pPr>
              <w:ind w:left="113"/>
              <w:jc w:val="left"/>
              <w:rPr>
                <w:noProof/>
                <w:sz w:val="22"/>
              </w:rPr>
            </w:pPr>
            <w:r>
              <w:rPr>
                <w:b/>
                <w:bCs/>
                <w:noProof/>
                <w:sz w:val="22"/>
              </w:rPr>
              <w:t>Паричен праг</w:t>
            </w:r>
          </w:p>
        </w:tc>
        <w:tc>
          <w:tcPr>
            <w:tcW w:w="2154" w:type="dxa"/>
            <w:shd w:val="clear" w:color="auto" w:fill="FFFFFF" w:themeFill="background1"/>
            <w:tcMar>
              <w:top w:w="19" w:type="dxa"/>
              <w:left w:w="19" w:type="dxa"/>
              <w:bottom w:w="0" w:type="dxa"/>
              <w:right w:w="19" w:type="dxa"/>
            </w:tcMar>
            <w:vAlign w:val="center"/>
            <w:hideMark/>
          </w:tcPr>
          <w:p>
            <w:pPr>
              <w:ind w:left="113"/>
              <w:jc w:val="left"/>
              <w:rPr>
                <w:noProof/>
                <w:sz w:val="22"/>
              </w:rPr>
            </w:pPr>
            <w:r>
              <w:rPr>
                <w:b/>
                <w:bCs/>
                <w:noProof/>
                <w:sz w:val="22"/>
              </w:rPr>
              <w:t>Срокове</w:t>
            </w:r>
          </w:p>
        </w:tc>
      </w:tr>
      <w:tr>
        <w:trPr>
          <w:trHeight w:val="1191"/>
          <w:jc w:val="center"/>
        </w:trPr>
        <w:tc>
          <w:tcPr>
            <w:tcW w:w="1106" w:type="dxa"/>
            <w:vMerge w:val="restart"/>
            <w:shd w:val="clear" w:color="auto" w:fill="FFFFFF" w:themeFill="background1"/>
            <w:tcMar>
              <w:top w:w="19" w:type="dxa"/>
              <w:left w:w="19" w:type="dxa"/>
              <w:bottom w:w="0" w:type="dxa"/>
              <w:right w:w="19" w:type="dxa"/>
            </w:tcMar>
            <w:vAlign w:val="center"/>
            <w:hideMark/>
          </w:tcPr>
          <w:p>
            <w:pPr>
              <w:ind w:left="113"/>
              <w:jc w:val="left"/>
              <w:rPr>
                <w:noProof/>
                <w:sz w:val="22"/>
              </w:rPr>
            </w:pPr>
            <w:r>
              <w:rPr>
                <w:noProof/>
                <w:sz w:val="22"/>
              </w:rPr>
              <w:t xml:space="preserve">Електронна процедура за обществена поръчка </w:t>
            </w:r>
          </w:p>
        </w:tc>
        <w:tc>
          <w:tcPr>
            <w:tcW w:w="2346" w:type="dxa"/>
            <w:vMerge w:val="restart"/>
            <w:shd w:val="clear" w:color="auto" w:fill="FFFFFF" w:themeFill="background1"/>
            <w:tcMar>
              <w:top w:w="19" w:type="dxa"/>
              <w:left w:w="19" w:type="dxa"/>
              <w:bottom w:w="0" w:type="dxa"/>
              <w:right w:w="19" w:type="dxa"/>
            </w:tcMar>
            <w:vAlign w:val="center"/>
            <w:hideMark/>
          </w:tcPr>
          <w:p>
            <w:pPr>
              <w:ind w:left="113"/>
              <w:jc w:val="left"/>
              <w:rPr>
                <w:noProof/>
                <w:sz w:val="22"/>
              </w:rPr>
            </w:pPr>
            <w:r>
              <w:rPr>
                <w:noProof/>
                <w:sz w:val="22"/>
              </w:rPr>
              <w:t xml:space="preserve">Поръчки за доставки и услуги </w:t>
            </w:r>
          </w:p>
        </w:tc>
        <w:tc>
          <w:tcPr>
            <w:tcW w:w="3394" w:type="dxa"/>
            <w:shd w:val="clear" w:color="auto" w:fill="FFFFFF" w:themeFill="background1"/>
            <w:tcMar>
              <w:top w:w="19" w:type="dxa"/>
              <w:left w:w="19" w:type="dxa"/>
              <w:bottom w:w="0" w:type="dxa"/>
              <w:right w:w="19" w:type="dxa"/>
            </w:tcMar>
            <w:vAlign w:val="center"/>
            <w:hideMark/>
          </w:tcPr>
          <w:p>
            <w:pPr>
              <w:ind w:left="113"/>
              <w:jc w:val="left"/>
              <w:rPr>
                <w:noProof/>
                <w:sz w:val="22"/>
              </w:rPr>
            </w:pPr>
            <w:r>
              <w:rPr>
                <w:noProof/>
                <w:sz w:val="22"/>
              </w:rPr>
              <w:t>От 5 000 грузински лари (GEL) до 150 000 грузински лари</w:t>
            </w:r>
          </w:p>
        </w:tc>
        <w:tc>
          <w:tcPr>
            <w:tcW w:w="2154" w:type="dxa"/>
            <w:shd w:val="clear" w:color="auto" w:fill="FFFFFF" w:themeFill="background1"/>
            <w:tcMar>
              <w:top w:w="19" w:type="dxa"/>
              <w:left w:w="19" w:type="dxa"/>
              <w:bottom w:w="0" w:type="dxa"/>
              <w:right w:w="19" w:type="dxa"/>
            </w:tcMar>
            <w:vAlign w:val="center"/>
            <w:hideMark/>
          </w:tcPr>
          <w:p>
            <w:pPr>
              <w:ind w:left="113"/>
              <w:jc w:val="left"/>
              <w:rPr>
                <w:noProof/>
                <w:sz w:val="22"/>
              </w:rPr>
            </w:pPr>
            <w:r>
              <w:rPr>
                <w:noProof/>
                <w:sz w:val="22"/>
              </w:rPr>
              <w:t xml:space="preserve">7 дни </w:t>
            </w:r>
          </w:p>
        </w:tc>
      </w:tr>
      <w:tr>
        <w:trPr>
          <w:trHeight w:val="1191"/>
          <w:jc w:val="center"/>
        </w:trPr>
        <w:tc>
          <w:tcPr>
            <w:tcW w:w="1106" w:type="dxa"/>
            <w:vMerge/>
            <w:shd w:val="clear" w:color="auto" w:fill="FFFFFF" w:themeFill="background1"/>
            <w:vAlign w:val="center"/>
            <w:hideMark/>
          </w:tcPr>
          <w:p>
            <w:pPr>
              <w:ind w:left="113"/>
              <w:jc w:val="left"/>
              <w:rPr>
                <w:noProof/>
                <w:sz w:val="22"/>
              </w:rPr>
            </w:pPr>
          </w:p>
        </w:tc>
        <w:tc>
          <w:tcPr>
            <w:tcW w:w="0" w:type="auto"/>
            <w:vMerge/>
            <w:shd w:val="clear" w:color="auto" w:fill="FFFFFF" w:themeFill="background1"/>
            <w:vAlign w:val="center"/>
            <w:hideMark/>
          </w:tcPr>
          <w:p>
            <w:pPr>
              <w:ind w:left="113"/>
              <w:jc w:val="left"/>
              <w:rPr>
                <w:noProof/>
                <w:sz w:val="22"/>
              </w:rPr>
            </w:pPr>
          </w:p>
        </w:tc>
        <w:tc>
          <w:tcPr>
            <w:tcW w:w="3394" w:type="dxa"/>
            <w:shd w:val="clear" w:color="auto" w:fill="FFFFFF" w:themeFill="background1"/>
            <w:tcMar>
              <w:top w:w="19" w:type="dxa"/>
              <w:left w:w="19" w:type="dxa"/>
              <w:bottom w:w="0" w:type="dxa"/>
              <w:right w:w="19" w:type="dxa"/>
            </w:tcMar>
            <w:vAlign w:val="center"/>
            <w:hideMark/>
          </w:tcPr>
          <w:p>
            <w:pPr>
              <w:ind w:left="113"/>
              <w:jc w:val="left"/>
              <w:rPr>
                <w:noProof/>
                <w:sz w:val="22"/>
              </w:rPr>
            </w:pPr>
            <w:r>
              <w:rPr>
                <w:noProof/>
                <w:sz w:val="22"/>
              </w:rPr>
              <w:t>150 000 грузински лари и повече</w:t>
            </w:r>
          </w:p>
        </w:tc>
        <w:tc>
          <w:tcPr>
            <w:tcW w:w="2154" w:type="dxa"/>
            <w:shd w:val="clear" w:color="auto" w:fill="FFFFFF" w:themeFill="background1"/>
            <w:tcMar>
              <w:top w:w="19" w:type="dxa"/>
              <w:left w:w="19" w:type="dxa"/>
              <w:bottom w:w="0" w:type="dxa"/>
              <w:right w:w="19" w:type="dxa"/>
            </w:tcMar>
            <w:vAlign w:val="center"/>
            <w:hideMark/>
          </w:tcPr>
          <w:p>
            <w:pPr>
              <w:ind w:left="113"/>
              <w:jc w:val="left"/>
              <w:rPr>
                <w:noProof/>
                <w:sz w:val="22"/>
              </w:rPr>
            </w:pPr>
            <w:r>
              <w:rPr>
                <w:noProof/>
                <w:sz w:val="22"/>
              </w:rPr>
              <w:t>10 дни</w:t>
            </w:r>
          </w:p>
        </w:tc>
      </w:tr>
      <w:tr>
        <w:trPr>
          <w:trHeight w:val="1191"/>
          <w:jc w:val="center"/>
        </w:trPr>
        <w:tc>
          <w:tcPr>
            <w:tcW w:w="1106" w:type="dxa"/>
            <w:vMerge/>
            <w:shd w:val="clear" w:color="auto" w:fill="FFFFFF" w:themeFill="background1"/>
            <w:vAlign w:val="center"/>
            <w:hideMark/>
          </w:tcPr>
          <w:p>
            <w:pPr>
              <w:ind w:left="113"/>
              <w:jc w:val="left"/>
              <w:rPr>
                <w:noProof/>
                <w:sz w:val="22"/>
              </w:rPr>
            </w:pPr>
          </w:p>
        </w:tc>
        <w:tc>
          <w:tcPr>
            <w:tcW w:w="2346" w:type="dxa"/>
            <w:vMerge w:val="restart"/>
            <w:shd w:val="clear" w:color="auto" w:fill="FFFFFF" w:themeFill="background1"/>
            <w:tcMar>
              <w:top w:w="19" w:type="dxa"/>
              <w:left w:w="19" w:type="dxa"/>
              <w:bottom w:w="0" w:type="dxa"/>
              <w:right w:w="19" w:type="dxa"/>
            </w:tcMar>
            <w:vAlign w:val="center"/>
            <w:hideMark/>
          </w:tcPr>
          <w:p>
            <w:pPr>
              <w:ind w:left="113"/>
              <w:jc w:val="left"/>
              <w:rPr>
                <w:noProof/>
                <w:sz w:val="22"/>
              </w:rPr>
            </w:pPr>
            <w:r>
              <w:rPr>
                <w:noProof/>
                <w:sz w:val="22"/>
              </w:rPr>
              <w:t xml:space="preserve">Поръчки за строителство </w:t>
            </w:r>
          </w:p>
        </w:tc>
        <w:tc>
          <w:tcPr>
            <w:tcW w:w="3394" w:type="dxa"/>
            <w:shd w:val="clear" w:color="auto" w:fill="FFFFFF" w:themeFill="background1"/>
            <w:tcMar>
              <w:top w:w="19" w:type="dxa"/>
              <w:left w:w="19" w:type="dxa"/>
              <w:bottom w:w="0" w:type="dxa"/>
              <w:right w:w="19" w:type="dxa"/>
            </w:tcMar>
            <w:vAlign w:val="center"/>
            <w:hideMark/>
          </w:tcPr>
          <w:p>
            <w:pPr>
              <w:ind w:left="113"/>
              <w:jc w:val="left"/>
              <w:rPr>
                <w:noProof/>
                <w:sz w:val="22"/>
              </w:rPr>
            </w:pPr>
            <w:r>
              <w:rPr>
                <w:noProof/>
                <w:sz w:val="22"/>
              </w:rPr>
              <w:t>От 5 000 грузински лари до 300 000 грузински лари</w:t>
            </w:r>
          </w:p>
        </w:tc>
        <w:tc>
          <w:tcPr>
            <w:tcW w:w="2154" w:type="dxa"/>
            <w:shd w:val="clear" w:color="auto" w:fill="FFFFFF" w:themeFill="background1"/>
            <w:tcMar>
              <w:top w:w="19" w:type="dxa"/>
              <w:left w:w="19" w:type="dxa"/>
              <w:bottom w:w="0" w:type="dxa"/>
              <w:right w:w="19" w:type="dxa"/>
            </w:tcMar>
            <w:vAlign w:val="center"/>
            <w:hideMark/>
          </w:tcPr>
          <w:p>
            <w:pPr>
              <w:ind w:left="113"/>
              <w:jc w:val="left"/>
              <w:rPr>
                <w:noProof/>
                <w:sz w:val="22"/>
              </w:rPr>
            </w:pPr>
            <w:r>
              <w:rPr>
                <w:noProof/>
                <w:sz w:val="22"/>
              </w:rPr>
              <w:t xml:space="preserve">10 дни </w:t>
            </w:r>
          </w:p>
        </w:tc>
      </w:tr>
      <w:tr>
        <w:trPr>
          <w:trHeight w:val="1191"/>
          <w:jc w:val="center"/>
        </w:trPr>
        <w:tc>
          <w:tcPr>
            <w:tcW w:w="1106" w:type="dxa"/>
            <w:vMerge/>
            <w:shd w:val="clear" w:color="auto" w:fill="FFFFFF" w:themeFill="background1"/>
            <w:vAlign w:val="center"/>
            <w:hideMark/>
          </w:tcPr>
          <w:p>
            <w:pPr>
              <w:ind w:left="113"/>
              <w:jc w:val="left"/>
              <w:rPr>
                <w:noProof/>
                <w:sz w:val="22"/>
              </w:rPr>
            </w:pPr>
          </w:p>
        </w:tc>
        <w:tc>
          <w:tcPr>
            <w:tcW w:w="0" w:type="auto"/>
            <w:vMerge/>
            <w:shd w:val="clear" w:color="auto" w:fill="FFFFFF" w:themeFill="background1"/>
            <w:vAlign w:val="center"/>
            <w:hideMark/>
          </w:tcPr>
          <w:p>
            <w:pPr>
              <w:ind w:left="113"/>
              <w:jc w:val="left"/>
              <w:rPr>
                <w:noProof/>
                <w:sz w:val="22"/>
              </w:rPr>
            </w:pPr>
          </w:p>
        </w:tc>
        <w:tc>
          <w:tcPr>
            <w:tcW w:w="3394" w:type="dxa"/>
            <w:shd w:val="clear" w:color="auto" w:fill="FFFFFF" w:themeFill="background1"/>
            <w:tcMar>
              <w:top w:w="19" w:type="dxa"/>
              <w:left w:w="19" w:type="dxa"/>
              <w:bottom w:w="0" w:type="dxa"/>
              <w:right w:w="19" w:type="dxa"/>
            </w:tcMar>
            <w:vAlign w:val="center"/>
            <w:hideMark/>
          </w:tcPr>
          <w:p>
            <w:pPr>
              <w:ind w:left="113"/>
              <w:jc w:val="left"/>
              <w:rPr>
                <w:noProof/>
                <w:sz w:val="22"/>
              </w:rPr>
            </w:pPr>
            <w:r>
              <w:rPr>
                <w:noProof/>
                <w:sz w:val="22"/>
              </w:rPr>
              <w:t>300 000 грузински лари и повече</w:t>
            </w:r>
          </w:p>
        </w:tc>
        <w:tc>
          <w:tcPr>
            <w:tcW w:w="2154" w:type="dxa"/>
            <w:shd w:val="clear" w:color="auto" w:fill="FFFFFF" w:themeFill="background1"/>
            <w:tcMar>
              <w:top w:w="19" w:type="dxa"/>
              <w:left w:w="19" w:type="dxa"/>
              <w:bottom w:w="0" w:type="dxa"/>
              <w:right w:w="19" w:type="dxa"/>
            </w:tcMar>
            <w:vAlign w:val="center"/>
            <w:hideMark/>
          </w:tcPr>
          <w:p>
            <w:pPr>
              <w:ind w:left="113"/>
              <w:jc w:val="left"/>
              <w:rPr>
                <w:noProof/>
                <w:sz w:val="22"/>
              </w:rPr>
            </w:pPr>
            <w:r>
              <w:rPr>
                <w:noProof/>
                <w:sz w:val="22"/>
              </w:rPr>
              <w:t xml:space="preserve">20 дни </w:t>
            </w:r>
          </w:p>
        </w:tc>
      </w:tr>
      <w:tr>
        <w:trPr>
          <w:trHeight w:val="800"/>
          <w:jc w:val="center"/>
        </w:trPr>
        <w:tc>
          <w:tcPr>
            <w:tcW w:w="1106" w:type="dxa"/>
            <w:vMerge w:val="restart"/>
            <w:shd w:val="clear" w:color="auto" w:fill="FFFFFF" w:themeFill="background1"/>
            <w:tcMar>
              <w:top w:w="19" w:type="dxa"/>
              <w:left w:w="19" w:type="dxa"/>
              <w:bottom w:w="0" w:type="dxa"/>
              <w:right w:w="19" w:type="dxa"/>
            </w:tcMar>
            <w:vAlign w:val="center"/>
            <w:hideMark/>
          </w:tcPr>
          <w:p>
            <w:pPr>
              <w:ind w:left="113"/>
              <w:jc w:val="left"/>
              <w:rPr>
                <w:noProof/>
                <w:sz w:val="22"/>
              </w:rPr>
            </w:pPr>
            <w:r>
              <w:rPr>
                <w:noProof/>
                <w:sz w:val="22"/>
              </w:rPr>
              <w:t>Над праговете на ЕС</w:t>
            </w:r>
          </w:p>
        </w:tc>
        <w:tc>
          <w:tcPr>
            <w:tcW w:w="2346" w:type="dxa"/>
            <w:shd w:val="clear" w:color="auto" w:fill="FFFFFF" w:themeFill="background1"/>
            <w:tcMar>
              <w:top w:w="19" w:type="dxa"/>
              <w:left w:w="19" w:type="dxa"/>
              <w:bottom w:w="0" w:type="dxa"/>
              <w:right w:w="19" w:type="dxa"/>
            </w:tcMar>
            <w:vAlign w:val="center"/>
            <w:hideMark/>
          </w:tcPr>
          <w:p>
            <w:pPr>
              <w:ind w:left="113"/>
              <w:jc w:val="left"/>
              <w:rPr>
                <w:noProof/>
                <w:sz w:val="22"/>
              </w:rPr>
            </w:pPr>
            <w:r>
              <w:rPr>
                <w:noProof/>
                <w:sz w:val="22"/>
              </w:rPr>
              <w:t xml:space="preserve">Поръчки за доставки и услуги </w:t>
            </w:r>
          </w:p>
        </w:tc>
        <w:tc>
          <w:tcPr>
            <w:tcW w:w="3394" w:type="dxa"/>
            <w:shd w:val="clear" w:color="auto" w:fill="FFFFFF" w:themeFill="background1"/>
            <w:tcMar>
              <w:top w:w="19" w:type="dxa"/>
              <w:left w:w="19" w:type="dxa"/>
              <w:bottom w:w="0" w:type="dxa"/>
              <w:right w:w="19" w:type="dxa"/>
            </w:tcMar>
            <w:vAlign w:val="center"/>
            <w:hideMark/>
          </w:tcPr>
          <w:p>
            <w:pPr>
              <w:ind w:left="113"/>
              <w:jc w:val="left"/>
              <w:rPr>
                <w:noProof/>
                <w:sz w:val="22"/>
              </w:rPr>
            </w:pPr>
            <w:r>
              <w:rPr>
                <w:noProof/>
                <w:sz w:val="22"/>
              </w:rPr>
              <w:t>135 000 евро и повече</w:t>
            </w:r>
          </w:p>
        </w:tc>
        <w:tc>
          <w:tcPr>
            <w:tcW w:w="2154" w:type="dxa"/>
            <w:vMerge w:val="restart"/>
            <w:shd w:val="clear" w:color="auto" w:fill="FFFFFF" w:themeFill="background1"/>
            <w:tcMar>
              <w:top w:w="19" w:type="dxa"/>
              <w:left w:w="19" w:type="dxa"/>
              <w:bottom w:w="0" w:type="dxa"/>
              <w:right w:w="19" w:type="dxa"/>
            </w:tcMar>
            <w:vAlign w:val="center"/>
            <w:hideMark/>
          </w:tcPr>
          <w:p>
            <w:pPr>
              <w:ind w:left="113"/>
              <w:jc w:val="left"/>
              <w:rPr>
                <w:noProof/>
                <w:sz w:val="22"/>
              </w:rPr>
            </w:pPr>
            <w:r>
              <w:rPr>
                <w:noProof/>
                <w:sz w:val="22"/>
              </w:rPr>
              <w:t xml:space="preserve">30 дни </w:t>
            </w:r>
          </w:p>
        </w:tc>
      </w:tr>
      <w:tr>
        <w:trPr>
          <w:trHeight w:val="651"/>
          <w:jc w:val="center"/>
        </w:trPr>
        <w:tc>
          <w:tcPr>
            <w:tcW w:w="1106" w:type="dxa"/>
            <w:vMerge/>
            <w:shd w:val="clear" w:color="auto" w:fill="FFFFFF" w:themeFill="background1"/>
            <w:vAlign w:val="center"/>
            <w:hideMark/>
          </w:tcPr>
          <w:p>
            <w:pPr>
              <w:ind w:left="113"/>
              <w:rPr>
                <w:noProof/>
              </w:rPr>
            </w:pPr>
          </w:p>
        </w:tc>
        <w:tc>
          <w:tcPr>
            <w:tcW w:w="2346" w:type="dxa"/>
            <w:shd w:val="clear" w:color="auto" w:fill="FFFFFF" w:themeFill="background1"/>
            <w:tcMar>
              <w:top w:w="19" w:type="dxa"/>
              <w:left w:w="19" w:type="dxa"/>
              <w:bottom w:w="0" w:type="dxa"/>
              <w:right w:w="19" w:type="dxa"/>
            </w:tcMar>
            <w:vAlign w:val="center"/>
            <w:hideMark/>
          </w:tcPr>
          <w:p>
            <w:pPr>
              <w:ind w:left="113"/>
              <w:rPr>
                <w:noProof/>
              </w:rPr>
            </w:pPr>
            <w:r>
              <w:rPr>
                <w:noProof/>
              </w:rPr>
              <w:t xml:space="preserve">Поръчки за строителство </w:t>
            </w:r>
          </w:p>
        </w:tc>
        <w:tc>
          <w:tcPr>
            <w:tcW w:w="3394" w:type="dxa"/>
            <w:shd w:val="clear" w:color="auto" w:fill="FFFFFF" w:themeFill="background1"/>
            <w:tcMar>
              <w:top w:w="19" w:type="dxa"/>
              <w:left w:w="19" w:type="dxa"/>
              <w:bottom w:w="0" w:type="dxa"/>
              <w:right w:w="19" w:type="dxa"/>
            </w:tcMar>
            <w:vAlign w:val="center"/>
            <w:hideMark/>
          </w:tcPr>
          <w:p>
            <w:pPr>
              <w:ind w:left="113"/>
              <w:rPr>
                <w:noProof/>
              </w:rPr>
            </w:pPr>
            <w:r>
              <w:rPr>
                <w:noProof/>
              </w:rPr>
              <w:t>5 225 000 евро и повече</w:t>
            </w:r>
          </w:p>
        </w:tc>
        <w:tc>
          <w:tcPr>
            <w:tcW w:w="2154" w:type="dxa"/>
            <w:vMerge/>
            <w:shd w:val="clear" w:color="auto" w:fill="FFFFFF" w:themeFill="background1"/>
            <w:vAlign w:val="center"/>
            <w:hideMark/>
          </w:tcPr>
          <w:p>
            <w:pPr>
              <w:ind w:left="113"/>
              <w:rPr>
                <w:noProof/>
              </w:rPr>
            </w:pPr>
          </w:p>
        </w:tc>
      </w:tr>
    </w:tbl>
    <w:p>
      <w:pPr>
        <w:pStyle w:val="Text1"/>
        <w:rPr>
          <w:i/>
          <w:noProof/>
        </w:rPr>
      </w:pPr>
      <w:r>
        <w:rPr>
          <w:i/>
          <w:noProof/>
        </w:rPr>
        <w:t xml:space="preserve">Доп. 2) По отношение на второто изискване за етап 1, посочен в приложение XVI-Б към споразумението, е необходимо да се одобри пътна карта съгласно посоченото в </w:t>
      </w:r>
      <w:r>
        <w:rPr>
          <w:b/>
          <w:i/>
          <w:noProof/>
        </w:rPr>
        <w:t>член 145</w:t>
      </w:r>
      <w:r>
        <w:rPr>
          <w:i/>
          <w:noProof/>
        </w:rPr>
        <w:t xml:space="preserve"> от споразумението. В член 145, параграф 1 от споразумението се предвижда, че преди да започне постепенното сближаване, Грузия представя на Комитета за асоцииране в състав „Търговия“ подробна пътна карта за прилагането на дял IV, глава 8 от споразумението с графици и основни етапи. Този документ, който съгласно споразумението трябва да е в съответствие с етапите и графиците, посочени в приложение XVI-Б, трябва да включва всички реформи по отношение на сближаването с достиженията на правото на Съюза и изграждането на институционален капацитет. </w:t>
      </w:r>
    </w:p>
    <w:p>
      <w:pPr>
        <w:spacing w:after="240"/>
        <w:rPr>
          <w:b/>
          <w:noProof/>
        </w:rPr>
      </w:pPr>
      <w:r>
        <w:rPr>
          <w:b/>
          <w:noProof/>
        </w:rPr>
        <w:t>На 31 март 2016 г. правителството на Грузия одобри Постановление № 536 за одобряване на пътната карта „Относно планираните промени в областта на обществените поръчки, предвидени в съответствие със задълженията между Грузия и ЕС в рамките на споразумението за задълбочена и всеобхватна зона за свободна търговия(ЗВЗСТ)“. Това постановление е изменено с Правителствени постановления № 154 от 22 януари 2018 г. и № 974 от 12 юни 2020 г.</w:t>
      </w:r>
    </w:p>
    <w:p>
      <w:pPr>
        <w:spacing w:after="240"/>
        <w:rPr>
          <w:b/>
          <w:noProof/>
          <w:szCs w:val="24"/>
        </w:rPr>
      </w:pPr>
      <w:r>
        <w:rPr>
          <w:noProof/>
          <w:color w:val="000000"/>
          <w:szCs w:val="24"/>
        </w:rPr>
        <w:t>Пътната карта включва всички реформи по отношение на сближаването с достиженията на правото на Съюза и изграждането на институционален капацитет и е съобразена с етапите и графиците, посочени в приложение XVI-Б към споразумението в съответствие с член 145 от споразумението.</w:t>
      </w:r>
      <w:r>
        <w:rPr>
          <w:noProof/>
        </w:rPr>
        <w:t xml:space="preserve"> </w:t>
      </w:r>
    </w:p>
    <w:p>
      <w:pPr>
        <w:spacing w:before="0" w:after="200" w:line="276" w:lineRule="auto"/>
        <w:jc w:val="left"/>
        <w:rPr>
          <w:b/>
          <w:noProof/>
          <w:u w:val="single"/>
        </w:rPr>
        <w:sectPr>
          <w:pgSz w:w="11907" w:h="16839"/>
          <w:pgMar w:top="1134" w:right="1417" w:bottom="1134" w:left="1417" w:header="709" w:footer="709" w:gutter="0"/>
          <w:cols w:space="720"/>
          <w:docGrid w:linePitch="360"/>
        </w:sectPr>
      </w:pPr>
    </w:p>
    <w:p>
      <w:pPr>
        <w:pStyle w:val="Annexetitre"/>
        <w:rPr>
          <w:noProof/>
        </w:rPr>
      </w:pPr>
      <w:r>
        <w:rPr>
          <w:noProof/>
        </w:rPr>
        <w:t>ПРИЛОЖЕНИЕ II</w:t>
      </w:r>
    </w:p>
    <w:p>
      <w:pPr>
        <w:jc w:val="center"/>
        <w:rPr>
          <w:b/>
          <w:caps/>
          <w:noProof/>
        </w:rPr>
      </w:pPr>
      <w:r>
        <w:rPr>
          <w:b/>
          <w:caps/>
          <w:noProof/>
        </w:rPr>
        <w:t>Решение № .../2021 на Съвета за асоцииране ЕС—Грузия</w:t>
      </w:r>
    </w:p>
    <w:p>
      <w:pPr>
        <w:jc w:val="center"/>
        <w:rPr>
          <w:b/>
          <w:noProof/>
        </w:rPr>
      </w:pPr>
      <w:r>
        <w:rPr>
          <w:b/>
          <w:noProof/>
        </w:rPr>
        <w:t>от xx.xx.2021 година</w:t>
      </w:r>
    </w:p>
    <w:p>
      <w:pPr>
        <w:spacing w:after="240"/>
        <w:jc w:val="center"/>
        <w:rPr>
          <w:b/>
          <w:noProof/>
          <w:szCs w:val="24"/>
        </w:rPr>
      </w:pPr>
      <w:r>
        <w:rPr>
          <w:b/>
          <w:noProof/>
          <w:szCs w:val="24"/>
        </w:rPr>
        <w:t>за предоставяне на реципрочен достъп до пазара за доставки за централните органи на изпълнителната власт в съответствие с приложение XVI-Б</w:t>
      </w:r>
      <w:r>
        <w:rPr>
          <w:b/>
          <w:noProof/>
        </w:rPr>
        <w:t xml:space="preserve"> към Споразумението за асоцииране между Европейския съюз и Европейската общност за атомна енергия и техните държави членки, от една страна, и Грузия, от </w:t>
      </w:r>
      <w:r>
        <w:rPr>
          <w:b/>
          <w:noProof/>
          <w:szCs w:val="24"/>
        </w:rPr>
        <w:t>друга страна</w:t>
      </w:r>
    </w:p>
    <w:p>
      <w:pPr>
        <w:rPr>
          <w:noProof/>
        </w:rPr>
      </w:pPr>
      <w:r>
        <w:rPr>
          <w:noProof/>
        </w:rPr>
        <w:t>СЪВЕТЪТ ЗА АСОЦИИРАНЕ,</w:t>
      </w:r>
    </w:p>
    <w:p>
      <w:pPr>
        <w:rPr>
          <w:noProof/>
        </w:rPr>
      </w:pPr>
      <w:r>
        <w:rPr>
          <w:noProof/>
        </w:rPr>
        <w:t xml:space="preserve">като взе предвид </w:t>
      </w:r>
      <w:r>
        <w:rPr>
          <w:noProof/>
          <w:color w:val="000000"/>
          <w:szCs w:val="20"/>
        </w:rPr>
        <w:t>Споразумението за асоцииране между Европейския съюз</w:t>
      </w:r>
      <w:r>
        <w:rPr>
          <w:noProof/>
        </w:rPr>
        <w:t xml:space="preserve"> и Европейската общност за атомна енергия и техните държави членки, от една страна, и Грузия, от друга страна, и по-специално член 146, член 406 и член 419, параграф 5 от него, </w:t>
      </w:r>
    </w:p>
    <w:p>
      <w:pPr>
        <w:rPr>
          <w:noProof/>
        </w:rPr>
      </w:pPr>
      <w:r>
        <w:rPr>
          <w:noProof/>
        </w:rPr>
        <w:t>като има предвид, че:</w:t>
      </w:r>
    </w:p>
    <w:p>
      <w:pPr>
        <w:pStyle w:val="Considrant"/>
        <w:numPr>
          <w:ilvl w:val="0"/>
          <w:numId w:val="2"/>
        </w:numPr>
        <w:rPr>
          <w:noProof/>
        </w:rPr>
      </w:pPr>
      <w:r>
        <w:rPr>
          <w:noProof/>
        </w:rPr>
        <w:t>Споразумението за асоцииране между Европейския съюз и Европейската общност за атомна енергия и техните държави членки, от една страна, и Грузия, от друга страна, („споразумението“) беше подписано на 27 юни 2014 г. и влезе в сила на 1 юли 2016 г.</w:t>
      </w:r>
    </w:p>
    <w:p>
      <w:pPr>
        <w:pStyle w:val="Considrant"/>
        <w:rPr>
          <w:noProof/>
        </w:rPr>
      </w:pPr>
      <w:r>
        <w:rPr>
          <w:noProof/>
        </w:rPr>
        <w:t>В преамбюла на споразумението се отчита ангажиментът на Грузия съгласно споразумението постепенно да сближи своето законодателство в съответните сектори с това на Съюза и да прилага споразумението ефективно, като по този начин допринася за по-тясно политическо асоцииране и икономическа интеграция на Грузия със Съюза за всички граждани на Грузия, включително в разделените от конфликти общности.</w:t>
      </w:r>
    </w:p>
    <w:p>
      <w:pPr>
        <w:pStyle w:val="Considrant"/>
        <w:rPr>
          <w:noProof/>
        </w:rPr>
      </w:pPr>
      <w:r>
        <w:rPr>
          <w:noProof/>
        </w:rPr>
        <w:t>В съответствие с член 147 от споразумението страните се споразумяват, че ефективното и реципрочно отваряне на техните съответни пазари трябва да се постигне постепенно и едновременно.</w:t>
      </w:r>
    </w:p>
    <w:p>
      <w:pPr>
        <w:pStyle w:val="Considrant"/>
        <w:rPr>
          <w:noProof/>
        </w:rPr>
      </w:pPr>
      <w:r>
        <w:rPr>
          <w:noProof/>
        </w:rPr>
        <w:t xml:space="preserve">Съгласно член 146 от споразумението Грузия следва да гарантира, че нейното законодателство в областта на обществените поръчки постепенно се сближава с достиженията на правото на Съюза в областта на обществените поръчки и че сближаването с достиженията на правото на Съюза се осъществява на последователни етапи, както е посочено в графика в приложение XVI-Б към споразумението, изменено с Решение № 2/2019 от 18 октомври 2019 г. на Комитета за асоцииране ЕС—Грузия в състав „Търговия“ </w:t>
      </w:r>
      <w:r>
        <w:rPr>
          <w:rStyle w:val="FootnoteReference"/>
          <w:noProof/>
        </w:rPr>
        <w:footnoteReference w:id="2"/>
      </w:r>
      <w:r>
        <w:rPr>
          <w:noProof/>
        </w:rPr>
        <w:t>. В съответствие с Решение [</w:t>
      </w:r>
      <w:r>
        <w:rPr>
          <w:i/>
          <w:noProof/>
        </w:rPr>
        <w:t>1/2021</w:t>
      </w:r>
      <w:r>
        <w:rPr>
          <w:noProof/>
        </w:rPr>
        <w:t xml:space="preserve">] </w:t>
      </w:r>
      <w:r>
        <w:rPr>
          <w:i/>
          <w:noProof/>
        </w:rPr>
        <w:t>очаква се потвърждение</w:t>
      </w:r>
      <w:r>
        <w:rPr>
          <w:noProof/>
        </w:rPr>
        <w:t>] на Комитета за асоцииране в състав „Търговия“ от [</w:t>
      </w:r>
      <w:r>
        <w:rPr>
          <w:i/>
          <w:noProof/>
        </w:rPr>
        <w:t>дата</w:t>
      </w:r>
      <w:r>
        <w:rPr>
          <w:noProof/>
        </w:rPr>
        <w:t>] Комитетът за асоцииране в състав „Търговия“ даде положителна оценка относно приключването от Грузия на етап 1, както е посочено в приложение XVI-Б към споразумението</w:t>
      </w:r>
    </w:p>
    <w:p>
      <w:pPr>
        <w:pStyle w:val="Considrant"/>
        <w:tabs>
          <w:tab w:val="left" w:pos="709"/>
        </w:tabs>
        <w:rPr>
          <w:noProof/>
        </w:rPr>
      </w:pPr>
      <w:r>
        <w:rPr>
          <w:noProof/>
        </w:rPr>
        <w:t>В съответствие с член 419, параграф 5 от споразумението Съветът за асоцииране, съгласно правомощията, предоставени му по членове 406 и 408 от споразумението, следва да вземе решение за по-нататъшно отваряне на пазара, както е предвидено в дял IV (Търговия и свързани с търговията въпроси) от споразумението,</w:t>
      </w:r>
    </w:p>
    <w:p>
      <w:pPr>
        <w:rPr>
          <w:noProof/>
        </w:rPr>
      </w:pPr>
      <w:r>
        <w:rPr>
          <w:noProof/>
        </w:rPr>
        <w:t>ПРИЕ НАСТОЯЩОТО РЕШЕНИЕ:</w:t>
      </w:r>
    </w:p>
    <w:p>
      <w:pPr>
        <w:pStyle w:val="Titrearticle"/>
        <w:rPr>
          <w:noProof/>
        </w:rPr>
      </w:pPr>
      <w:r>
        <w:rPr>
          <w:noProof/>
        </w:rPr>
        <w:t>Член 1</w:t>
      </w:r>
    </w:p>
    <w:p>
      <w:pPr>
        <w:rPr>
          <w:noProof/>
        </w:rPr>
      </w:pPr>
      <w:r>
        <w:rPr>
          <w:noProof/>
        </w:rPr>
        <w:t xml:space="preserve">С настоящото се предоставя реципрочен достъп до пазара за обществени поръчки за доставки от централните органи на изпълнителната власт в Европейския съюз за Грузия и за обществени поръчки за доставки от централните органи на изпълнителната власт в Грузия за Европейския съюз на териториите, посочени в член 429 от споразумението. </w:t>
      </w:r>
    </w:p>
    <w:p>
      <w:pPr>
        <w:pStyle w:val="Titrearticle"/>
        <w:rPr>
          <w:i w:val="0"/>
          <w:noProof/>
        </w:rPr>
      </w:pPr>
      <w:r>
        <w:rPr>
          <w:noProof/>
        </w:rPr>
        <w:t>Член 2</w:t>
      </w:r>
    </w:p>
    <w:p>
      <w:pPr>
        <w:rPr>
          <w:noProof/>
        </w:rPr>
      </w:pPr>
      <w:r>
        <w:rPr>
          <w:noProof/>
        </w:rPr>
        <w:t xml:space="preserve">Настоящото решение е съставено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шведски и грузински език, като текстовете на всички езици са автентични. </w:t>
      </w:r>
    </w:p>
    <w:p>
      <w:pPr>
        <w:pStyle w:val="Titrearticle"/>
        <w:rPr>
          <w:noProof/>
        </w:rPr>
      </w:pPr>
      <w:r>
        <w:rPr>
          <w:noProof/>
        </w:rPr>
        <w:t>Член 3</w:t>
      </w:r>
    </w:p>
    <w:p>
      <w:pPr>
        <w:rPr>
          <w:noProof/>
        </w:rPr>
      </w:pPr>
      <w:r>
        <w:rPr>
          <w:noProof/>
        </w:rPr>
        <w:t>Настоящото решение влиза в сила в деня на приемането му.</w:t>
      </w:r>
    </w:p>
    <w:p>
      <w:pPr>
        <w:rPr>
          <w:noProof/>
        </w:rPr>
      </w:pPr>
      <w:r>
        <w:rPr>
          <w:noProof/>
        </w:rPr>
        <w:t>Съставено в [...] на [...] година.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7"/>
      </w:tblGrid>
      <w:tr>
        <w:tc>
          <w:tcPr>
            <w:tcW w:w="9213" w:type="dxa"/>
            <w:gridSpan w:val="2"/>
          </w:tcPr>
          <w:p>
            <w:pPr>
              <w:spacing w:before="0" w:after="0"/>
              <w:jc w:val="center"/>
              <w:rPr>
                <w:i/>
                <w:noProof/>
              </w:rPr>
            </w:pPr>
            <w:r>
              <w:rPr>
                <w:i/>
                <w:noProof/>
              </w:rPr>
              <w:t>За Съвета за асоцииране</w:t>
            </w:r>
          </w:p>
          <w:p>
            <w:pPr>
              <w:jc w:val="center"/>
              <w:rPr>
                <w:noProof/>
              </w:rPr>
            </w:pPr>
          </w:p>
        </w:tc>
      </w:tr>
      <w:tr>
        <w:tc>
          <w:tcPr>
            <w:tcW w:w="4606" w:type="dxa"/>
          </w:tcPr>
          <w:p>
            <w:pPr>
              <w:rPr>
                <w:noProof/>
              </w:rPr>
            </w:pPr>
            <w:r>
              <w:rPr>
                <w:i/>
                <w:noProof/>
              </w:rPr>
              <w:t>Председател</w:t>
            </w:r>
          </w:p>
        </w:tc>
        <w:tc>
          <w:tcPr>
            <w:tcW w:w="4607" w:type="dxa"/>
          </w:tcPr>
          <w:p>
            <w:pPr>
              <w:rPr>
                <w:noProof/>
              </w:rPr>
            </w:pPr>
            <w:r>
              <w:rPr>
                <w:i/>
                <w:noProof/>
              </w:rPr>
              <w:t>Секретари</w:t>
            </w:r>
          </w:p>
        </w:tc>
      </w:tr>
    </w:tbl>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296, 15.11.2019 г., стр. 33.</w:t>
      </w:r>
    </w:p>
  </w:footnote>
  <w:footnote w:id="2">
    <w:p>
      <w:pPr>
        <w:pStyle w:val="FootnoteText"/>
      </w:pPr>
      <w:r>
        <w:rPr>
          <w:rStyle w:val="FootnoteReference"/>
        </w:rPr>
        <w:footnoteRef/>
      </w:r>
      <w:r>
        <w:tab/>
        <w:t>ОВ L 296, 15.11.2019 г., стр. 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4084E2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0614C6"/>
    <w:lvl w:ilvl="0">
      <w:start w:val="1"/>
      <w:numFmt w:val="decimal"/>
      <w:pStyle w:val="ListNumber3"/>
      <w:lvlText w:val="%1."/>
      <w:lvlJc w:val="left"/>
      <w:pPr>
        <w:tabs>
          <w:tab w:val="num" w:pos="926"/>
        </w:tabs>
        <w:ind w:left="926" w:hanging="360"/>
      </w:pPr>
    </w:lvl>
  </w:abstractNum>
  <w:abstractNum w:abstractNumId="2">
    <w:nsid w:val="FFFFFF7F"/>
    <w:multiLevelType w:val="singleLevel"/>
    <w:tmpl w:val="D7FC5DB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80552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19AFD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5F08B7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B8E42F2"/>
    <w:lvl w:ilvl="0">
      <w:start w:val="1"/>
      <w:numFmt w:val="decimal"/>
      <w:pStyle w:val="ListNumber"/>
      <w:lvlText w:val="%1."/>
      <w:lvlJc w:val="left"/>
      <w:pPr>
        <w:tabs>
          <w:tab w:val="num" w:pos="360"/>
        </w:tabs>
        <w:ind w:left="360" w:hanging="360"/>
      </w:pPr>
    </w:lvl>
  </w:abstractNum>
  <w:abstractNum w:abstractNumId="7">
    <w:nsid w:val="FFFFFF89"/>
    <w:multiLevelType w:val="singleLevel"/>
    <w:tmpl w:val="AD44981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14"/>
    <w:lvlOverride w:ilvl="0">
      <w:startOverride w:val="1"/>
    </w:lvlOverride>
  </w:num>
  <w:num w:numId="4">
    <w:abstractNumId w:val="21"/>
    <w:lvlOverride w:ilvl="0">
      <w:startOverride w:val="1"/>
    </w:lvlOverride>
  </w:num>
  <w:num w:numId="5">
    <w:abstractNumId w:val="7"/>
  </w:num>
  <w:num w:numId="6">
    <w:abstractNumId w:val="5"/>
  </w:num>
  <w:num w:numId="7">
    <w:abstractNumId w:val="4"/>
  </w:num>
  <w:num w:numId="8">
    <w:abstractNumId w:val="3"/>
  </w:num>
  <w:num w:numId="9">
    <w:abstractNumId w:val="6"/>
  </w:num>
  <w:num w:numId="10">
    <w:abstractNumId w:val="2"/>
  </w:num>
  <w:num w:numId="11">
    <w:abstractNumId w:val="1"/>
  </w:num>
  <w:num w:numId="12">
    <w:abstractNumId w:val="0"/>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15 08:54:1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2"/>
    <w:docVar w:name="LW_ANNEX_UNIQUE" w:val="0"/>
    <w:docVar w:name="LW_CORRIGENDUM" w:val="&lt;UNUSED&gt;"/>
    <w:docVar w:name="LW_COVERPAGE_EXISTS" w:val="True"/>
    <w:docVar w:name="LW_COVERPAGE_GUID" w:val="A8AEB4F5-E94B-4BC2-87A0-325084F946DD"/>
    <w:docVar w:name="LW_COVERPAGE_TYPE" w:val="1"/>
    <w:docVar w:name="LW_CROSSREFERENCE" w:val="&lt;UNUSED&gt;"/>
    <w:docVar w:name="LW_DocType" w:val="ANNEX"/>
    <w:docVar w:name="LW_EMISSION" w:val="22.3.2021"/>
    <w:docVar w:name="LW_EMISSION_ISODATE" w:val="2021-03-22"/>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lt;FMT:Font=Calibri Cyr&gt;\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79?\u1072? \u1072?\u1089?\u1086?\u1094?\u1080?\u1080?\u1088?\u1072?\u1085?\u1077? \u1074? \u1089?\u1098?\u1089?\u1090?\u1072?\u1074? \u8222?\u1058?\u1098?\u1088?\u1075?\u1086?\u1074?\u1080?\u1103?\u8220? \u1080? \u1085?\u1072? \u1057?\u1098?\u1074?\u1077?\u1090?\u1072? \u1079?\u1072? \u1072?\u1089?\u1086?\u1094?\u1080?\u1080?\u1088?\u1072?\u1085?\u1077?, \u1089?\u1098?\u1079?\u1076?\u1072?\u1076?\u1077?\u1085?\u1080? \u1089?\u1098?\u1089? \u1057?\u1087?\u1086?\u1088?\u1072?\u1079?\u1091?\u1084?\u1077?\u1085?\u1080?\u1077?\u1090?\u1086? \u1079?\u1072? \u1072?\u1089?\u1086?\u1094?\u1080?\u1080?\u1088?\u1072?\u1085?\u1077? \u1084?\u1077?\u1078?\u1076?\u1091? \u1045?\u1074?\u1088?\u1086?\u1087?\u1077?\u1081?\u1089?\u1082?\u1080?\u1103? \u1089?\u1098?\u1102?\u1079? \u1080? \u1045?\u1074?\u1088?\u1086?\u1087?\u1077?\u1081?\u1089?\u1082?\u1072?\u1090?\u1072? \u1086?\u1073?\u1097?\u1085?\u1086?\u1089?\u1090? \u1079?\u1072? \u1072?\u1090?\u1086?\u1084?\u1085?\u1072? \u1077?\u1085?\u1077?\u1088?\u1075?\u1080?\u1103? \u1080? \u1090?\u1077?\u1093?\u1085?\u1080?\u1090?\u1077? \u1076?\u1098?\u1088?\u1078?\u1072?\u1074?\u1080? \u1095?\u1083?\u1077?\u1085?\u1082?\u1080?, \u1086?\u1090? \u1077?\u1076?\u1085?\u1072? \u1089?\u1090?\u1088?\u1072?\u1085?\u1072?, \u1080? \u1043?\u1088?\u1091?\u1079?\u1080?\u1103?, \u1086?\u1090? \u1076?\u1088?\u1091?\u1075?\u1072? \u1089?\u1090?\u1088?\u1072?\u1085?\u1072?, \u1074?\u1098?\u1074? \u1074?\u1088?\u1098?\u1079?\u1082?\u1072? \u1089? \u1087?\u1086?\u1083?\u1086?\u1078?\u1080?\u1090?\u1077?\u1083?\u1085?\u1086? \u1089?\u1090?\u1072?\u1085?\u1086?\u1074?\u1080?\u1097?\u1077? \u1086?\u1090?\u1085?\u1086?\u1089?\u1085?\u1086? \u1086?\u1076?\u1086?\u1073?\u1088?\u1077?\u1085?\u1072?\u1090?\u1072? \u1086?\u1090? \u1087?\u1088?\u1072?\u1074?\u1080?\u1090?\u1077?\u1083?\u1089?\u1090?\u1074?\u1086?\u1090?\u1086? \u1085?\u1072? \u1043?\u1088?\u1091?\u1079?\u1080?\u1103? \u1087?\u1086?\u1076?\u1088?\u1086?\u1073?\u1085?\u1072? \u1087?\u1098?\u1090?\u1085?\u1072? \u1082?\u1072?\u1088?\u1090?\u1072? \u1079?\u1072? \u1087?\u1088?\u1080?\u1083?\u1072?\u1075?\u1072?\u1085?\u1077?\u1090?\u1086? \u1085?\u1072? \u1079?\u1072?\u1082?\u1086?\u1085?\u1086?\u1076?\u1072?\u1090?\u1077?\u1083?\u1089?\u1090?\u1074?\u1086?\u1090?\u1086? \u1074? \u1086?\u1073?\u1083?\u1072?\u1089?\u1090?\u1090?\u1072? \u1085?\u1072? \u1086?\u1073?\u1097?\u1077?\u1089?\u1090?\u1074?\u1077?\u1085?\u1080?\u1090?\u1077? \u1087?\u1086?\u1088?\u1098?\u1095?\u1082?\u1080? \u1080? \u1079?\u1072? \u1087?\u1088?\u1080?\u1079?\u1085?\u1072?\u1074?\u1072?\u1085?\u1077? \u1085?\u1072? \u1087?\u1088?\u1080?\u1082?\u1083?\u1102?\u1095?\u1074?\u1072?\u1085?\u1077?\u1090?\u1086? \u1085?\u1072? \u1077?\u1090?\u1072?\u1087? 1 \u1086?\u1090? \u1087?\u1088?\u1080?\u1083?\u1086?\u1078?\u1077?\u1085?\u1080?\u1077? XVI-\u1041? \u1082?\u1098?\u1084? \u1057?\u1087?\u1086?\u1088?\u1072?\u1079?\u1091?\u1084?\u1077?\u1085?\u1080?\u1077?\u1090?\u1086? \u1079?\u1072? \u1072?\u1089?\u1086?\u1094?\u1080?\u1080?\u1088?\u1072?\u1085?\u1077?&lt;/FMT&gt;_x000b__x000b_"/>
    <w:docVar w:name="LW_OBJETACTEPRINCIPAL.CP" w:val="&lt;FMT:Font=Calibri Cyr&gt;\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79?\u1072? \u1072?\u1089?\u1086?\u1094?\u1080?\u1080?\u1088?\u1072?\u1085?\u1077? \u1074? \u1089?\u1098?\u1089?\u1090?\u1072?\u1074? \u8222?\u1058?\u1098?\u1088?\u1075?\u1086?\u1074?\u1080?\u1103?\u8220? \u1080? \u1085?\u1072? \u1057?\u1098?\u1074?\u1077?\u1090?\u1072? \u1079?\u1072? \u1072?\u1089?\u1086?\u1094?\u1080?\u1080?\u1088?\u1072?\u1085?\u1077?, \u1089?\u1098?\u1079?\u1076?\u1072?\u1076?\u1077?\u1085?\u1080? \u1089?\u1098?\u1089? \u1057?\u1087?\u1086?\u1088?\u1072?\u1079?\u1091?\u1084?\u1077?\u1085?\u1080?\u1077?\u1090?\u1086? \u1079?\u1072? \u1072?\u1089?\u1086?\u1094?\u1080?\u1080?\u1088?\u1072?\u1085?\u1077? \u1084?\u1077?\u1078?\u1076?\u1091? \u1045?\u1074?\u1088?\u1086?\u1087?\u1077?\u1081?\u1089?\u1082?\u1080?\u1103? \u1089?\u1098?\u1102?\u1079? \u1080? \u1045?\u1074?\u1088?\u1086?\u1087?\u1077?\u1081?\u1089?\u1082?\u1072?\u1090?\u1072? \u1086?\u1073?\u1097?\u1085?\u1086?\u1089?\u1090? \u1079?\u1072? \u1072?\u1090?\u1086?\u1084?\u1085?\u1072? \u1077?\u1085?\u1077?\u1088?\u1075?\u1080?\u1103? \u1080? \u1090?\u1077?\u1093?\u1085?\u1080?\u1090?\u1077? \u1076?\u1098?\u1088?\u1078?\u1072?\u1074?\u1080? \u1095?\u1083?\u1077?\u1085?\u1082?\u1080?, \u1086?\u1090? \u1077?\u1076?\u1085?\u1072? \u1089?\u1090?\u1088?\u1072?\u1085?\u1072?, \u1080? \u1043?\u1088?\u1091?\u1079?\u1080?\u1103?, \u1086?\u1090? \u1076?\u1088?\u1091?\u1075?\u1072? \u1089?\u1090?\u1088?\u1072?\u1085?\u1072?, \u1074?\u1098?\u1074? \u1074?\u1088?\u1098?\u1079?\u1082?\u1072? \u1089? \u1087?\u1086?\u1083?\u1086?\u1078?\u1080?\u1090?\u1077?\u1083?\u1085?\u1086? \u1089?\u1090?\u1072?\u1085?\u1086?\u1074?\u1080?\u1097?\u1077? \u1086?\u1090?\u1085?\u1086?\u1089?\u1085?\u1086? \u1086?\u1076?\u1086?\u1073?\u1088?\u1077?\u1085?\u1072?\u1090?\u1072? \u1086?\u1090? \u1087?\u1088?\u1072?\u1074?\u1080?\u1090?\u1077?\u1083?\u1089?\u1090?\u1074?\u1086?\u1090?\u1086? \u1085?\u1072? \u1043?\u1088?\u1091?\u1079?\u1080?\u1103? \u1087?\u1086?\u1076?\u1088?\u1086?\u1073?\u1085?\u1072? \u1087?\u1098?\u1090?\u1085?\u1072? \u1082?\u1072?\u1088?\u1090?\u1072? \u1079?\u1072? \u1087?\u1088?\u1080?\u1083?\u1072?\u1075?\u1072?\u1085?\u1077?\u1090?\u1086? \u1085?\u1072? \u1079?\u1072?\u1082?\u1086?\u1085?\u1086?\u1076?\u1072?\u1090?\u1077?\u1083?\u1089?\u1090?\u1074?\u1086?\u1090?\u1086? \u1074? \u1086?\u1073?\u1083?\u1072?\u1089?\u1090?\u1090?\u1072? \u1085?\u1072? \u1086?\u1073?\u1097?\u1077?\u1089?\u1090?\u1074?\u1077?\u1085?\u1080?\u1090?\u1077? \u1087?\u1086?\u1088?\u1098?\u1095?\u1082?\u1080? \u1080? \u1079?\u1072? \u1087?\u1088?\u1080?\u1079?\u1085?\u1072?\u1074?\u1072?\u1085?\u1077? \u1085?\u1072? \u1087?\u1088?\u1080?\u1082?\u1083?\u1102?\u1095?\u1074?\u1072?\u1085?\u1077?\u1090?\u1086? \u1085?\u1072? \u1077?\u1090?\u1072?\u1087? 1 \u1086?\u1090? \u1087?\u1088?\u1080?\u1083?\u1086?\u1078?\u1077?\u1085?\u1080?\u1077? XVI-\u1041? \u1082?\u1098?\u1084? \u1057?\u1087?\u1086?\u1088?\u1072?\u1079?\u1091?\u1084?\u1077?\u1085?\u1080?\u1077?\u1090?\u1086? \u1079?\u1072? \u1072?\u1089?\u1086?\u1094?\u1080?\u1080?\u1088?\u1072?\u1085?\u1077?&lt;/FMT&gt;_x000b__x000b_"/>
    <w:docVar w:name="LW_PART_NBR" w:val="&lt;UNUSED&gt;"/>
    <w:docVar w:name="LW_PART_NBR_TOTAL" w:val="&lt;UNUSED&gt;"/>
    <w:docVar w:name="LW_REF.INST.NEW" w:val="COM"/>
    <w:docVar w:name="LW_REF.INST.NEW_ADOPTED" w:val="final"/>
    <w:docVar w:name="LW_REF.INST.NEW_TEXT" w:val="(2021) 1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5?\u1088?\u1077?\u1076?\u1083?\u1086?\u1078?\u1077?\u1085?\u1080?\u1077? \u1079?\u1072? \u1056?\u1077?\u1096?\u1077?\u1085?\u1080?\u1077? \u1085?\u1072? \u1057?\u1098?\u1074?\u1077?\u1090?\u1072?_x000b_"/>
    <w:docVar w:name="LW_TYPEACTEPRINCIPAL.CP" w:val="\u1055?\u1088?\u1077?\u1076?\u1083?\u1086?\u1078?\u1077?\u1085?\u1080?\u1077? \u1079?\u1072? \u1056?\u1077?\u1096?\u1077?\u1085?\u1080?\u1077? \u1085?\u1072? \u1057?\u1098?\u1074?\u1077?\u1090?\u1072?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10</Pages>
  <Words>2855</Words>
  <Characters>16420</Characters>
  <Application>Microsoft Office Word</Application>
  <DocSecurity>0</DocSecurity>
  <Lines>356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WES PDFC Administrator</cp:lastModifiedBy>
  <cp:revision>9</cp:revision>
  <dcterms:created xsi:type="dcterms:W3CDTF">2021-03-05T15:52:00Z</dcterms:created>
  <dcterms:modified xsi:type="dcterms:W3CDTF">2021-03-15T07:54:00Z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