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5712B557-6F9F-4CE4-926E-652D9E5A32AD" style="width:450.45pt;height:447.5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Комитета за асоцииране ЕС—Грузия в състав „Търговия“ във връзка с предвиденото приемане на решение за даване на положително становище относно подробната пътна карта, одобрена от правителството на Грузия, за прилагането на законодателството в областта на обществените поръчки и за признаване на приключването на етап 1 от приложение XVI-Б към Споразумението за асоцииране.</w:t>
      </w:r>
    </w:p>
    <w:p>
      <w:pPr>
        <w:rPr>
          <w:noProof/>
        </w:rPr>
      </w:pPr>
      <w:r>
        <w:rPr>
          <w:noProof/>
        </w:rPr>
        <w:t xml:space="preserve">Освен това настоящото предложение се отнася до решението за установяване на позицията, която трябва да се заеме от името на Съюза в рамките на Съвета за асоцииране ЕС—Грузия, с което на страните се предоставя допълнителен достъп до пазара съгласно предвиденото в дял IV от Споразумението за асоцииране.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Споразумението за асоцииране</w:t>
      </w:r>
    </w:p>
    <w:p>
      <w:pPr>
        <w:rPr>
          <w:noProof/>
        </w:rPr>
      </w:pPr>
      <w:r>
        <w:rPr>
          <w:noProof/>
        </w:rPr>
        <w:t>Със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(„споразумението“), се създава задълбочена и всеобхватна зона за свободна търговия (ЗВЗСТ), с която се цели да се създадат условия за задълбочени икономически и търговски отношения. Това включва постепенното сближаване на законодателството в областта на обществените поръчки. Споразумението влезе изцяло в сила на 1 юли 2016 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Комитетът за асоцииране в състав „Търговия“</w:t>
      </w:r>
    </w:p>
    <w:p>
      <w:pPr>
        <w:rPr>
          <w:noProof/>
        </w:rPr>
      </w:pPr>
      <w:r>
        <w:rPr>
          <w:noProof/>
        </w:rPr>
        <w:t xml:space="preserve">Комитетът за асоцииране в състав „Търговия“ беше създаден по силата на член 408, параграф 4 от споразумението и изпълнява задачите, които са му възложени съгласно дял IV от споразумението, т.е. задачи в областта на търговията и свързани с търговията въпроси. </w:t>
      </w:r>
    </w:p>
    <w:p>
      <w:pPr>
        <w:rPr>
          <w:noProof/>
        </w:rPr>
      </w:pPr>
      <w:r>
        <w:rPr>
          <w:noProof/>
        </w:rPr>
        <w:t>Съгласно член 408, параграф 3 Комитетът за асоцииране разполага с правомощието да приема решения в случаите, предвидени в споразумението. Решенията на Комитета за асоцииране имат задължителна сила и страните предприемат необходимите мерки за изпълнението им. Комитетът за асоцииране приема своите решения въз основа на съгласие между страните, като взема под внимание съответните вътрешни процедури.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Съветът за асоцииране</w:t>
      </w:r>
    </w:p>
    <w:p>
      <w:pPr>
        <w:rPr>
          <w:noProof/>
        </w:rPr>
      </w:pPr>
      <w:r>
        <w:rPr>
          <w:noProof/>
        </w:rPr>
        <w:t xml:space="preserve">Съветът за асоцииране е създаден с член 404 от споразумението. Той упражнява надзор и контрол над прилагането и изпълнението на споразумението и периодично прави преглед на функционирането на споразумението в светлината на неговите цели. Освен че упражнява надзор и контрол над прилагането и изпълнението на споразумението, Съветът за асоцииране разглежда всички важни въпроси, които възникват в рамките на споразумението, а също и всички други двустранни или международни въпроси от взаимен интерес. </w:t>
      </w:r>
    </w:p>
    <w:p>
      <w:pPr>
        <w:rPr>
          <w:noProof/>
        </w:rPr>
      </w:pPr>
      <w:r>
        <w:rPr>
          <w:noProof/>
        </w:rPr>
        <w:t xml:space="preserve">Съгласно член 406 от споразумението Съветът за асоцииране разполага с правомощието да взема решения в рамките на споразумението, които са задължителни за страните. По-специално, съгласно член 419, параграф 5 ако страните се договорят, че </w:t>
      </w:r>
      <w:r>
        <w:rPr>
          <w:noProof/>
        </w:rPr>
        <w:lastRenderedPageBreak/>
        <w:t>необходимите мерки, попадащи в приложното поле на дял IV (Търговия и свързани с търговията въпроси) от споразумението са приложени и се изпълняват, Съветът за асоцииране, по силата на предоставените му правомощия по членове 406 и 408 от споразумението, взема решение относно по-нататъшното отваряне на пазара, когато това е предвидено в дял IV.</w:t>
      </w:r>
    </w:p>
    <w:p>
      <w:pPr>
        <w:rPr>
          <w:noProof/>
        </w:rPr>
      </w:pPr>
      <w:r>
        <w:rPr>
          <w:noProof/>
        </w:rPr>
        <w:t>Решенията на Съвета за асоцииране са задължителни и страните предприемат необходимите мерки за изпълнението им. Той приема своите решения и препоръки въз основа на съгласие между страните след приключване на съответните им вътрешни процедури.</w:t>
      </w:r>
    </w:p>
    <w:p>
      <w:pPr>
        <w:pStyle w:val="ManualHeading2"/>
        <w:rPr>
          <w:noProof/>
        </w:rPr>
      </w:pPr>
      <w:r>
        <w:t>2.4.</w:t>
      </w:r>
      <w:r>
        <w:tab/>
      </w:r>
      <w:r>
        <w:rPr>
          <w:noProof/>
        </w:rPr>
        <w:t>Предвиден акт на Комитета за асоцииране в състав „Търговия“</w:t>
      </w:r>
    </w:p>
    <w:p>
      <w:pPr>
        <w:rPr>
          <w:noProof/>
        </w:rPr>
      </w:pPr>
      <w:r>
        <w:rPr>
          <w:noProof/>
        </w:rPr>
        <w:t>Целта на предвидения акт е да се даде положително становище относно неотдавнашната подробна пътна карта за реформи в областта на обществените поръчки, одобрена от грузинското правителство, и да се признае приключването на етап 1 от приложение XVI-Б към споразумението (Ориентировъчен график за институционалната реформа, сближаването на законодателствата и достъпа до пазара).</w:t>
      </w:r>
    </w:p>
    <w:p>
      <w:pPr>
        <w:rPr>
          <w:noProof/>
        </w:rPr>
      </w:pPr>
      <w:r>
        <w:rPr>
          <w:noProof/>
        </w:rPr>
        <w:t>Приложение XVI-Б към споразумението за ЗВЗСТ между ЕС и Грузия предвижда следните изисквания за приключването на етап 1:</w:t>
      </w:r>
    </w:p>
    <w:p>
      <w:pPr>
        <w:pStyle w:val="Bullet0"/>
        <w:numPr>
          <w:ilvl w:val="0"/>
          <w:numId w:val="2"/>
        </w:numPr>
        <w:rPr>
          <w:noProof/>
        </w:rPr>
      </w:pPr>
      <w:r>
        <w:rPr>
          <w:noProof/>
        </w:rPr>
        <w:t xml:space="preserve">Прилагане на член 143, параграф 2 и член 144 от споразумението </w:t>
      </w:r>
    </w:p>
    <w:p>
      <w:pPr>
        <w:pStyle w:val="Bullet0"/>
        <w:rPr>
          <w:noProof/>
        </w:rPr>
      </w:pPr>
      <w:r>
        <w:rPr>
          <w:noProof/>
        </w:rPr>
        <w:t>Споразумение относно стратегията за реформи, определена в член 145 от споразумението.</w:t>
      </w:r>
    </w:p>
    <w:p>
      <w:pPr>
        <w:rPr>
          <w:noProof/>
        </w:rPr>
      </w:pPr>
      <w:r>
        <w:rPr>
          <w:noProof/>
        </w:rPr>
        <w:t>Що се отнася до първото изискване, в член 143, параграф 2 се посочва, че Грузия определя по-специално:</w:t>
      </w:r>
    </w:p>
    <w:p>
      <w:pPr>
        <w:pStyle w:val="Bullet1"/>
        <w:numPr>
          <w:ilvl w:val="0"/>
          <w:numId w:val="12"/>
        </w:numPr>
        <w:rPr>
          <w:noProof/>
        </w:rPr>
      </w:pPr>
      <w:r>
        <w:rPr>
          <w:noProof/>
        </w:rPr>
        <w:t>изпълнителен орган на равнището на централната власт, който да отговаря за гарантиране на последователна политика и нейното изпълнение във всички области, свързани с обществените поръчки. Този орган способства и координира прилагането на посочената глава и ръководи процеса на постепенно сближаване с достиженията на правото на Съюза, както е посочено в приложение XVI-Б към споразумението;</w:t>
      </w:r>
    </w:p>
    <w:p>
      <w:pPr>
        <w:pStyle w:val="Bullet1"/>
        <w:rPr>
          <w:noProof/>
        </w:rPr>
      </w:pPr>
      <w:r>
        <w:rPr>
          <w:noProof/>
        </w:rPr>
        <w:t>безпристрастен и независим орган, чиято задача е да осъществява контрол върху решенията, взети от възлагащите органи или от възложителите при възлагането на поръчките. В този контекст „независим“ означава, че този орган е публичен орган, който е разграничен от всички възложители и икономически оператори. Трябва да се осигури възможност взетите от този орган решения да подлежат на съдебен контрол.</w:t>
      </w:r>
    </w:p>
    <w:p>
      <w:pPr>
        <w:rPr>
          <w:noProof/>
        </w:rPr>
      </w:pPr>
      <w:r>
        <w:rPr>
          <w:noProof/>
        </w:rPr>
        <w:t>Тези мерки бяха приключени съответно на 23 април 2014 г. с Постановление № 306 на Правителството на Грузия и на 2 юли 2020 г. със Закон № 6730 на Грузия.</w:t>
      </w:r>
    </w:p>
    <w:p>
      <w:pPr>
        <w:rPr>
          <w:noProof/>
        </w:rPr>
      </w:pPr>
      <w:r>
        <w:rPr>
          <w:noProof/>
        </w:rPr>
        <w:t xml:space="preserve">Съгласно член 144 страните спазват набор от основни стандарти за възлагането на всички обществени поръчки, както е предвидено в параграфи 2—15 от посочения член, по отношение на публикуването, възлагането на поръчки и съдебната защита. Тези основни стандарти произтичат пряко от правилата и принципите за обществените поръчки, уредени с достиженията на правото на Съюза в областта на обществените поръчки, включително принципите на недискриминация, равнопоставеност, прозрачност и пропорционалност. </w:t>
      </w:r>
    </w:p>
    <w:p>
      <w:pPr>
        <w:rPr>
          <w:noProof/>
        </w:rPr>
      </w:pPr>
      <w:r>
        <w:rPr>
          <w:noProof/>
        </w:rPr>
        <w:t xml:space="preserve">Тези принципи бяха включени в грузинските правила за обществените поръчки с въвеждането на система за електронни обществени поръчки през 2010 г. и приемането </w:t>
      </w:r>
      <w:r>
        <w:rPr>
          <w:noProof/>
        </w:rPr>
        <w:lastRenderedPageBreak/>
        <w:t xml:space="preserve">на Закон 617 на Грузия от 6 април 2017 г. за изменение на Закона за държавните поръчки. </w:t>
      </w:r>
    </w:p>
    <w:p>
      <w:pPr>
        <w:rPr>
          <w:noProof/>
        </w:rPr>
      </w:pPr>
      <w:r>
        <w:rPr>
          <w:noProof/>
        </w:rPr>
        <w:t xml:space="preserve">По отношение на второто изискване за етап 1 от приложение XVI-Б е необходимо да се одобри пътна карта, както е посочено в член 145 от споразумението. В член 145, параграф 1 от Споразумението за асоцииране се предвижда, че преди да започне процесът на постепенно сближаване, Грузия представя на Комитета за асоцииране в състав „Търговия“ подробна пътна карта за прилагането на дял IV, глава 8 от споразумението с графици и основни етапи. Този документ, който съгласно Споразумението за асоцииране трябва да е в съответствие с етапите и графиците, посочени в приложение XVI-Б, трябва да включва всички реформи по отношение на сближаването с достиженията на правото на Съюза и изграждането на институционален капацитет. </w:t>
      </w:r>
    </w:p>
    <w:p>
      <w:pPr>
        <w:rPr>
          <w:noProof/>
        </w:rPr>
      </w:pPr>
      <w:r>
        <w:rPr>
          <w:noProof/>
        </w:rPr>
        <w:t>На 31 март 2016 г. правителството на Грузия одобри свое Постановление № 536 за одобряване на пътната карта „Относно планираните промени в областта на обществените поръчки, предвидени в съответствие със задълженията между Грузия и ЕС в рамките на споразумението за задълбочена и всеобхватна зона за свободна търговия (ЗВЗСТ)“. Това постановление е изменено с правителствени постановления № 154 от 22 януари 2018 г. и № 974 от 12 юни 2020 г. Пътната карта отговаря на изискванията на член 145, параграф 1.</w:t>
      </w:r>
    </w:p>
    <w:p>
      <w:pPr>
        <w:rPr>
          <w:noProof/>
        </w:rPr>
      </w:pPr>
      <w:r>
        <w:rPr>
          <w:noProof/>
        </w:rPr>
        <w:t xml:space="preserve">Предвиденият акт ще стане задължителен за страните в съответствие с член 145, параграф 2 от споразумението, където се предвижда, че „след като получи положително становище от Комитета за асоцииране в състав „Търговия“, пътната карта се счита за референтния документ за прилагането на настоящата глава. Съюзът полага всички усилия да подпомогне Грузия при изпълнението на пътната карта.“ Съгласно член 146, параграф 3 потвърждаването на приключването на етап 1 от приложение XVI-Б ще даде възможност на Комитета за асоцииране в състав „Търговия“ да премине към оценка на следващия етап. </w:t>
      </w:r>
    </w:p>
    <w:p>
      <w:pPr>
        <w:pStyle w:val="ManualHeading2"/>
        <w:rPr>
          <w:noProof/>
        </w:rPr>
      </w:pPr>
      <w:r>
        <w:t>2.5.</w:t>
      </w:r>
      <w:r>
        <w:tab/>
      </w:r>
      <w:r>
        <w:rPr>
          <w:noProof/>
        </w:rPr>
        <w:t>Предвиденото решение на Съвета за асоцииране относно достъпа до пазара</w:t>
      </w:r>
    </w:p>
    <w:p>
      <w:pPr>
        <w:rPr>
          <w:noProof/>
        </w:rPr>
      </w:pPr>
      <w:r>
        <w:rPr>
          <w:noProof/>
        </w:rPr>
        <w:t>След като се потвърди приключването на етап 1, Съветът за асоцииране, в съответствие с член 146, параграф 2 и член 419, параграф 5 и графика за институционалната реформа, сближаването на законодателството и достъпа до пазара, съдържащ се в приложение XVI-Б, взема решение да предостави реципрочен достъп до пазара за доставки за централните органи на изпълнителната власт.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  <w:highlight w:val="yellow"/>
        </w:rPr>
      </w:pPr>
      <w:r>
        <w:rPr>
          <w:noProof/>
        </w:rPr>
        <w:t xml:space="preserve">Позицията, която Комитетът за асоцииране в състав „Търговия“ трябва да заеме от името на Съюза, има за цел да даде положително становище по одобрената от правителството на Грузия пътна карта за прилагането на законодателството в областта на обществените поръчки. </w:t>
      </w:r>
    </w:p>
    <w:p>
      <w:pPr>
        <w:rPr>
          <w:noProof/>
        </w:rPr>
      </w:pPr>
      <w:r>
        <w:rPr>
          <w:noProof/>
        </w:rPr>
        <w:t xml:space="preserve">Тя цели също така да се признае, че с одобряването на всеобхватната стратегия за реформи в съответствие с член 145 и признаването на прилагането на член 143, параграф 2 и член 144 от Споразумението Грузия е приключил етап 1 от приложение XVI-Б към Споразумението за асоцииране (Ориентировъчен график за институционалната реформа, сближаването на законодателствата и достъпа до пазара). </w:t>
      </w:r>
    </w:p>
    <w:p>
      <w:pPr>
        <w:rPr>
          <w:noProof/>
        </w:rPr>
      </w:pPr>
      <w:r>
        <w:rPr>
          <w:noProof/>
        </w:rPr>
        <w:t xml:space="preserve">В член 145, параграф 2 от споразумението се предвижда, че след получаване на положително становище от Комитета за асоцииране в състав „Търговия“ пътната карта </w:t>
      </w:r>
      <w:r>
        <w:rPr>
          <w:noProof/>
        </w:rPr>
        <w:lastRenderedPageBreak/>
        <w:t xml:space="preserve">приема ролята на референтен документ за прилагането на дял IV, глава 8 от Споразумението за асоцииране. </w:t>
      </w:r>
    </w:p>
    <w:p>
      <w:pPr>
        <w:rPr>
          <w:noProof/>
        </w:rPr>
      </w:pPr>
      <w:r>
        <w:rPr>
          <w:noProof/>
        </w:rPr>
        <w:t>Позицията, която Съветът за асоцииране трябва да заеме от името на Съюза, има за цел да се вземе решение за предоставяне на страните на допълнителен достъп до пазара, както е предвидено в дял IV от споразумението.</w:t>
      </w:r>
    </w:p>
    <w:p>
      <w:pPr>
        <w:rPr>
          <w:noProof/>
        </w:rPr>
      </w:pPr>
      <w:r>
        <w:rPr>
          <w:noProof/>
        </w:rPr>
        <w:t>Тези решения следва да се разглеждат в по-широкия контекст на усилията, предприети от ЕС и Грузия за сближаване на законодателствата им, включително в областта на обществените поръчки, с цел да се създадат условия за подобряване на икономическите и търговските отношения.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уредба“.</w:t>
      </w:r>
      <w:r>
        <w:rPr>
          <w:rStyle w:val="FootnoteReference"/>
          <w:noProof/>
        </w:rPr>
        <w:footnoteReference w:id="2"/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Комитетът за асоцииране в състав „Търговия“ е орган, създаден със споразумение, а именно със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страна. </w:t>
      </w:r>
    </w:p>
    <w:p>
      <w:pPr>
        <w:rPr>
          <w:noProof/>
        </w:rPr>
      </w:pPr>
      <w:r>
        <w:rPr>
          <w:noProof/>
        </w:rPr>
        <w:t xml:space="preserve">Актът, който Комитетът за асоцииране в състав „Търговия“ има за задача да приеме, представлява акт с правно действие. Предвиденият акт ще бъде обвързващ съгласно международното право в съответствие с член 408, параграф 3 от споразумението. </w:t>
      </w:r>
    </w:p>
    <w:p>
      <w:pPr>
        <w:rPr>
          <w:noProof/>
        </w:rPr>
      </w:pPr>
      <w:r>
        <w:rPr>
          <w:noProof/>
        </w:rPr>
        <w:t>Решението на Съвета за асоцииране относно предоставяне на реципрочен достъп до пазара ще произвежда правно действие на териториите на страните, подписали споразумението, в съответствие с член 406, параграф 1 от споразумението,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lastRenderedPageBreak/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Основната цел и съдържание на предвидения акт се отнасят до това да се гарантира прилагането на общата търговска политика на Съюза. </w:t>
      </w:r>
    </w:p>
    <w:p>
      <w:pPr>
        <w:rPr>
          <w:noProof/>
        </w:rPr>
      </w:pPr>
      <w:r>
        <w:rPr>
          <w:noProof/>
        </w:rPr>
        <w:t xml:space="preserve">Поради това материалноправното основание за предложеното решение е член 207, параграф 4, първа алинея от ДФЕС. 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207, параграф 4, първа алинея от ДФЕС във връзка с член 218, параграф 9 от него.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предвидените актове</w:t>
      </w:r>
    </w:p>
    <w:p>
      <w:pPr>
        <w:rPr>
          <w:noProof/>
        </w:rPr>
      </w:pPr>
      <w:r>
        <w:rPr>
          <w:noProof/>
        </w:rPr>
        <w:t xml:space="preserve">Съгласно член 145, параграф 2 актът на Комитета за асоцииране в състав „Търговия“ ще включва пътната карта, одобрена от грузинските органи като референтен документ за дял IV, глава 8 от Споразумението, и ще потвърди приключването на етап 1 от приложение XVI-Б (Ориентировъчен график за институционалната реформа, сближаването на законодателствата и достъпа до пазара). Решението на Съвета за асоцииране за предоставяне на реципрочен достъп до пазара ще породи права и задължения. Поради това е целесъобразно след приемането им актовете да бъдат публикувани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 xml:space="preserve">. 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2021/0067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Комитета за асоцииране в състав „Търговия“ и на Съвета за асоцииране, създадени със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във връзка с положително становище относно одобрената от правителството на Грузия подробна пътна карта за прилагането на законодателството в областта на обществените поръчки и за признаване на приключването на етап 1 от приложение XVI-Б към Споразумението за асоцииране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(„споразумението“) беше сключено от Съюза с Решение (ЕС) 2016/838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влезе в сила на 1 юли 2016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член 145, параграф 1 от споразумението се предвижда, че Грузия представя на Комитета за асоцииране в състав „Търговия“ подробна пътна карта за прилагането на законодателството относно обществените поръчки с графици и основни етапи, в която са включени всички реформи с оглед на законодателното сближаване с достиженията на правото на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 145, параграф 2 е необходимо положително становище от Комитета за асоцииране в състав „Търговия“, за да може подробната пътна карта да се превърне в референтен документ за процеса на прилагане, по-специално за законодателното сближаване на съответното законодателство в областта на обществените поръчки с достиженията на правото на Съюза.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В съответствие с член 146, параграф 2 от споразумението сближаването с достиженията на правото на Съюза трябва да се осъществи на последователни етапи, както е посочено в графика в приложение XVI-Б към споразумението. Изпълнението на всеки етап следва да се оценява от Комитета за асоцииране в състав „Търговия“, посочен в член 408, параграф 4 от споразумението, и след </w:t>
      </w:r>
      <w:r>
        <w:rPr>
          <w:noProof/>
        </w:rPr>
        <w:lastRenderedPageBreak/>
        <w:t>като получи положителна оценка от него, да се обвързва с предоставяне на реципрочен достъп до пазара, както е определено в приложение XVI-Б към споразумението.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Комитетът за асоцииране в състав „Търговия“ трябва да приеме решение в съответствие с член 11, параграф 2 от приложение II към Решение № 1/2014 на Съвета за асоцииране ЕС—Грузия от 17 ноември 2014 г. относно процедурния правилник, с което да даде становище относно пътната карта, одобрена от грузинските органи, както и оценка на сближаването на грузинското законодателство с правото на Съюза до момента при приключването на етап 1, както е посочено в приложение XVI-Б към Споразумението. Пътната карта беше одобрена от правителството на Грузия с негово Постановление № 536 от 31 март 2016 г. за одобряване на пътната карта „Относно планираните промени в областта на обществените поръчки, предвидени в съответствие със задълженията между Грузия и ЕС в рамките на споразумението за задълбочена и всеобхватна зона за свободна търговия (ЗВЗСТ)“, изменено с Постановление № 154 от 22 януари 2018 г. и Постановление № 974 от 12 юни 2020 г. на правителството на Грузия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След като потвърди приключването на етап 1, Съветът за асоцииране следва да вземе решение в съответствие с член 11, параграф 2 от приложение I към Решение № 1/2014 на Съвета за асоцииране ЕС—Грузия от 17 ноември 2014 г. относно процедурния правилник, за предоставяне на реципрочен достъп до пазара в съответствие с приложение XVI-Б към споразумението за доставки за централните органи на изпълнителната власт.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рамките на Комитета за асоцииране в състав „Търговия“, както и в рамките на Съвета за асоцииране, тъй като предвидените решения ще бъдат обвързващи за Съюза,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Комитета за асоцииране в състав „Търговия по отношение на подробната пътна карта, одобрена от правителството на Грузия, и приключването на етап 1, както е посочено в приложение XVI-Б към споразумението за задълбочена и всеобхватна зона за свободна търговия (ЗВЗСТ), се основава на проекта на решение на Комитета за асоцииране в състав „Търговия“, поместен в приложение I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Съвета за асоцииране по отношение на предоставянето на реципрочен достъп до пазара в съответствие с приложение XVI-Б към споразумението, се основава на проекта на решение на Съвета за асоцииране, приложен към настоящото решение в приложение II.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След приемането им решението на Комитета за асоцииране в състав „Търговия“, посочено в член 1, и решението на Съвета за асоцииране, посочено в член 2, се публикуват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4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 261, 30.8.2014 г., стр. 744.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61—64.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 261, 30.8.2014 г., стр. 4.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2016/838 на Съвета от 23 май 2016 г. за сключването от името на Европейския съюз на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(ОВ L 141, 28.5.2016 г., стр. 26).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5B290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CBA24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5369B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B803C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9820F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83AF3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AF4A7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8C2BD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6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5 08:52:0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712B557-6F9F-4CE4-926E-652D9E5A32AD"/>
    <w:docVar w:name="LW_COVERPAGE_TYPE" w:val="1"/>
    <w:docVar w:name="LW_CROSSREFERENCE" w:val="&lt;UNUSED&gt;"/>
    <w:docVar w:name="LW_DocType" w:val="COM"/>
    <w:docVar w:name="LW_EMISSION" w:val="22.3.2021"/>
    <w:docVar w:name="LW_EMISSION_ISODATE" w:val="2021-03-22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67"/>
    <w:docVar w:name="LW_REF.II.NEW.CP_YEAR" w:val="2021"/>
    <w:docVar w:name="LW_REF.INST.NEW" w:val="COM"/>
    <w:docVar w:name="LW_REF.INST.NEW_ADOPTED" w:val="final"/>
    <w:docVar w:name="LW_REF.INST.NEW_TEXT" w:val="(2021) 13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 \u1080? \u1085?\u1072? \u1057?\u1098?\u1074?\u1077?\u1090?\u1072? \u1079?\u1072? \u1072?\u1089?\u1086?\u1094?\u1080?\u1080?\u1088?\u1072?\u1085?\u1077?, \u1089?\u1098?\u1079?\u1076?\u1072?\u1076?\u1077?\u1085?\u1080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, \u1074?\u1098?\u1074? \u1074?\u1088?\u1098?\u1079?\u1082?\u1072? \u1089? \u1087?\u1086?\u1083?\u1086?\u1078?\u1080?\u1090?\u1077?\u1083?\u1085?\u1086? \u1089?\u1090?\u1072?\u1085?\u1086?\u1074?\u1080?\u1097?\u1077? \u1086?\u1090?\u1085?\u1086?\u1089?\u1085?\u1086? \u1086?\u1076?\u1086?\u1073?\u1088?\u1077?\u1085?\u1072?\u1090?\u1072? \u1086?\u1090? \u1087?\u1088?\u1072?\u1074?\u1080?\u1090?\u1077?\u1083?\u1089?\u1090?\u1074?\u1086?\u1090?\u1086? \u1085?\u1072? \u1043?\u1088?\u1091?\u1079?\u1080?\u1103? \u1087?\u1086?\u1076?\u1088?\u1086?\u1073?\u1085?\u1072? \u1087?\u1098?\u1090?\u1085?\u1072? \u1082?\u1072?\u1088?\u1090?\u1072? \u1079?\u1072? \u1087?\u1088?\u1080?\u1083?\u1072?\u1075?\u1072?\u1085?\u1077?\u1090?\u1086? \u1085?\u1072? \u1079?\u1072?\u1082?\u1086?\u1085?\u1086?\u1076?\u1072?\u1090?\u1077?\u1083?\u1089?\u1090?\u1074?\u1086?\u1090?\u1086? \u1074? \u1086?\u1073?\u1083?\u1072?\u1089?\u1090?\u1090?\u1072? \u1085?\u1072? \u1086?\u1073?\u1097?\u1077?\u1089?\u1090?\u1074?\u1077?\u1085?\u1080?\u1090?\u1077? \u1087?\u1086?\u1088?\u1098?\u1095?\u1082?\u1080? \u1080? \u1079?\u1072? \u1087?\u1088?\u1080?\u1079?\u1085?\u1072?\u1074?\u1072?\u1085?\u1077? \u1085?\u1072? \u1087?\u1088?\u1080?\u1082?\u1083?\u1102?\u1095?\u1074?\u1072?\u1085?\u1077?\u1090?\u1086? \u1085?\u1072? \u1077?\u1090?\u1072?\u1087? 1 \u1086?\u1090? \u1087?\u1088?\u1080?\u1083?\u1086?\u1078?\u1077?\u1085?\u1080?\u1077? XVI-\u1041? \u1082?\u1098?\u1084? \u1057?\u1087?\u1086?\u1088?\u1072?\u1079?\u1091?\u1084?\u1077?\u1085?\u1080?\u1077?\u1090?\u1086? \u1079?\u1072? \u1072?\u1089?\u1086?\u1094?\u1080?\u1080?\u1088?\u1072?\u1085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="Times New Roman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="Times New Roman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3FAF-156E-4CC5-A443-5930BC6B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9</Pages>
  <Words>2762</Words>
  <Characters>15611</Characters>
  <Application>Microsoft Office Word</Application>
  <DocSecurity>0</DocSecurity>
  <Lines>289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dcterms:created xsi:type="dcterms:W3CDTF">2021-03-05T15:40:00Z</dcterms:created>
  <dcterms:modified xsi:type="dcterms:W3CDTF">2021-03-15T07:52:00Z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