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02297A0A-6730-4F9F-8D49-2C45EF176543" style="width:450.75pt;height:6in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426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Rfrenceinterinstitutionnelle"/>
        <w:rPr>
          <w:noProof/>
        </w:rPr>
      </w:pPr>
      <w:bookmarkStart w:id="0" w:name="_GoBack"/>
      <w:bookmarkEnd w:id="0"/>
      <w:r>
        <w:rPr>
          <w:noProof/>
        </w:rPr>
        <w:lastRenderedPageBreak/>
        <w:t>2018/0211 (COD)</w:t>
      </w:r>
    </w:p>
    <w:p>
      <w:pPr>
        <w:pStyle w:val="Typedudocument"/>
        <w:rPr>
          <w:noProof/>
        </w:rPr>
      </w:pPr>
      <w:r>
        <w:rPr>
          <w:noProof/>
        </w:rPr>
        <w:t>СЪОБЩЕНИЕ НА КОМИСИЯТА ДО ЕВРОПЕЙСКИЯ ПАРЛАМЕНТ</w:t>
      </w:r>
      <w:r>
        <w:rPr>
          <w:noProof/>
        </w:rPr>
        <w:br/>
      </w:r>
      <w:r>
        <w:rPr>
          <w:noProof/>
        </w:rPr>
        <w:br/>
        <w:t>съгласно член 294, параграф 6 от Договора за функционирането на Европейския съюз</w:t>
      </w:r>
      <w:r>
        <w:rPr>
          <w:noProof/>
        </w:rPr>
        <w:br/>
      </w:r>
      <w:r>
        <w:rPr>
          <w:noProof/>
        </w:rPr>
        <w:br/>
        <w:t>относно</w:t>
      </w:r>
    </w:p>
    <w:p>
      <w:pPr>
        <w:pStyle w:val="Titreobjet"/>
        <w:rPr>
          <w:noProof/>
        </w:rPr>
      </w:pPr>
      <w:r>
        <w:rPr>
          <w:noProof/>
        </w:rPr>
        <w:t>позицията на Съвета във връзка с приемането на регламент на Европейския парламент и на Съвета за създаване на Програмата на ЕС за борба с измамите</w:t>
      </w:r>
    </w:p>
    <w:p>
      <w:pPr>
        <w:pStyle w:val="IntrtEEE"/>
        <w:rPr>
          <w:noProof/>
        </w:rPr>
      </w:pPr>
      <w:r>
        <w:rPr>
          <w:noProof/>
        </w:rPr>
        <w:t>(текст от значение за ЕИП)</w:t>
      </w:r>
    </w:p>
    <w:p>
      <w:pPr>
        <w:pStyle w:val="ManualHeading1"/>
        <w:rPr>
          <w:noProof/>
          <w:sz w:val="22"/>
        </w:rPr>
      </w:pPr>
      <w:r>
        <w:rPr>
          <w:noProof/>
        </w:rPr>
        <w:t>1.</w:t>
      </w:r>
      <w:r>
        <w:rPr>
          <w:noProof/>
        </w:rPr>
        <w:tab/>
        <w:t>Хронология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804"/>
        <w:gridCol w:w="2483"/>
      </w:tblGrid>
      <w:tr>
        <w:tc>
          <w:tcPr>
            <w:tcW w:w="6804" w:type="dxa"/>
          </w:tcPr>
          <w:p>
            <w:pPr>
              <w:ind w:left="851"/>
              <w:jc w:val="left"/>
              <w:rPr>
                <w:noProof/>
              </w:rPr>
            </w:pPr>
            <w:r>
              <w:rPr>
                <w:noProof/>
              </w:rPr>
              <w:t>Дата на предаване на предложението на Европейския парламент и на Съвета (документ COM(2018) 386 final — 2018/0211 COD):</w:t>
            </w:r>
          </w:p>
        </w:tc>
        <w:tc>
          <w:tcPr>
            <w:tcW w:w="2483" w:type="dxa"/>
          </w:tcPr>
          <w:p>
            <w:pPr>
              <w:ind w:left="284"/>
              <w:jc w:val="left"/>
              <w:rPr>
                <w:noProof/>
              </w:rPr>
            </w:pPr>
            <w:r>
              <w:rPr>
                <w:noProof/>
              </w:rPr>
              <w:t>30 май 2018 г.</w:t>
            </w:r>
          </w:p>
        </w:tc>
      </w:tr>
      <w:tr>
        <w:tc>
          <w:tcPr>
            <w:tcW w:w="6804" w:type="dxa"/>
          </w:tcPr>
          <w:p>
            <w:pPr>
              <w:ind w:left="851"/>
              <w:rPr>
                <w:noProof/>
              </w:rPr>
            </w:pPr>
            <w:r>
              <w:rPr>
                <w:noProof/>
              </w:rPr>
              <w:t>Дата на становището на Икономическия и социален комитет:</w:t>
            </w:r>
          </w:p>
          <w:p>
            <w:pPr>
              <w:ind w:left="851"/>
              <w:rPr>
                <w:noProof/>
              </w:rPr>
            </w:pPr>
            <w:r>
              <w:rPr>
                <w:noProof/>
              </w:rPr>
              <w:t>Дата на становището на Сметната палата:</w:t>
            </w:r>
          </w:p>
        </w:tc>
        <w:tc>
          <w:tcPr>
            <w:tcW w:w="2483" w:type="dxa"/>
          </w:tcPr>
          <w:p>
            <w:pPr>
              <w:spacing w:before="0"/>
              <w:ind w:left="284"/>
              <w:jc w:val="left"/>
              <w:rPr>
                <w:noProof/>
                <w:spacing w:val="-4"/>
              </w:rPr>
            </w:pPr>
            <w:r>
              <w:rPr>
                <w:noProof/>
                <w:spacing w:val="-4"/>
              </w:rPr>
              <w:t>17 октомври 2018 г.</w:t>
            </w:r>
          </w:p>
          <w:p>
            <w:pPr>
              <w:spacing w:before="0"/>
              <w:ind w:left="284"/>
              <w:jc w:val="left"/>
              <w:rPr>
                <w:noProof/>
              </w:rPr>
            </w:pPr>
          </w:p>
          <w:p>
            <w:pPr>
              <w:spacing w:before="0"/>
              <w:ind w:left="284"/>
              <w:jc w:val="left"/>
              <w:rPr>
                <w:noProof/>
              </w:rPr>
            </w:pPr>
            <w:r>
              <w:rPr>
                <w:noProof/>
              </w:rPr>
              <w:t>15 ноември 2018 г.</w:t>
            </w:r>
          </w:p>
        </w:tc>
      </w:tr>
      <w:tr>
        <w:tc>
          <w:tcPr>
            <w:tcW w:w="6804" w:type="dxa"/>
          </w:tcPr>
          <w:p>
            <w:pPr>
              <w:ind w:left="851"/>
              <w:rPr>
                <w:noProof/>
              </w:rPr>
            </w:pPr>
            <w:r>
              <w:rPr>
                <w:noProof/>
              </w:rPr>
              <w:t>Дата на позицията на Европейския парламент на първо четене:</w:t>
            </w:r>
          </w:p>
          <w:p>
            <w:pPr>
              <w:ind w:left="851"/>
              <w:rPr>
                <w:noProof/>
              </w:rPr>
            </w:pPr>
            <w:r>
              <w:rPr>
                <w:noProof/>
              </w:rPr>
              <w:t>Дата на приемане на позицията на Съвета:</w:t>
            </w:r>
          </w:p>
        </w:tc>
        <w:tc>
          <w:tcPr>
            <w:tcW w:w="2483" w:type="dxa"/>
          </w:tcPr>
          <w:p>
            <w:pPr>
              <w:ind w:left="284"/>
              <w:jc w:val="left"/>
              <w:rPr>
                <w:noProof/>
                <w:spacing w:val="-4"/>
              </w:rPr>
            </w:pPr>
            <w:r>
              <w:rPr>
                <w:noProof/>
                <w:spacing w:val="-4"/>
              </w:rPr>
              <w:t>12 февруари 2019 г.</w:t>
            </w:r>
          </w:p>
          <w:p>
            <w:pPr>
              <w:ind w:left="284"/>
              <w:jc w:val="left"/>
              <w:rPr>
                <w:noProof/>
              </w:rPr>
            </w:pPr>
            <w:r>
              <w:rPr>
                <w:noProof/>
              </w:rPr>
              <w:t xml:space="preserve">                                  16 март 2021 г.</w:t>
            </w:r>
          </w:p>
        </w:tc>
      </w:tr>
    </w:tbl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Цел на предложението на Комисията</w:t>
      </w:r>
    </w:p>
    <w:p>
      <w:pPr>
        <w:pStyle w:val="ManualHeading1"/>
        <w:ind w:left="851" w:firstLine="0"/>
        <w:rPr>
          <w:b w:val="0"/>
          <w:smallCaps w:val="0"/>
          <w:noProof/>
        </w:rPr>
      </w:pPr>
      <w:r>
        <w:rPr>
          <w:b w:val="0"/>
          <w:smallCaps w:val="0"/>
          <w:noProof/>
        </w:rPr>
        <w:t>В контекста на подготовката на следващата многогодишна финансова рамка (МФР, 2021—2027 г.) Комисията предложи да се създаде програма за борба с измамите. Програмата има две общи цели:</w:t>
      </w:r>
    </w:p>
    <w:p>
      <w:pPr>
        <w:pStyle w:val="Point2"/>
        <w:rPr>
          <w:noProof/>
        </w:rPr>
      </w:pPr>
      <w:r>
        <w:rPr>
          <w:noProof/>
        </w:rPr>
        <w:t>(1)</w:t>
      </w:r>
      <w:r>
        <w:rPr>
          <w:noProof/>
        </w:rPr>
        <w:tab/>
        <w:t>Защита на финансовите интереси на Европейския съюз;</w:t>
      </w:r>
    </w:p>
    <w:p>
      <w:pPr>
        <w:pStyle w:val="Point2"/>
        <w:rPr>
          <w:noProof/>
        </w:rPr>
      </w:pPr>
      <w:r>
        <w:rPr>
          <w:noProof/>
        </w:rPr>
        <w:t>(2)</w:t>
      </w:r>
      <w:r>
        <w:rPr>
          <w:noProof/>
        </w:rPr>
        <w:tab/>
        <w:t>Подпомагане на взаимопомощта между административните органи на държавите членки и сътрудничеството между тях и Комисията, за да се гарантира правилното прилагане на законодателството в областта на митническите и земеделските въпроси.</w:t>
      </w:r>
    </w:p>
    <w:p>
      <w:pPr>
        <w:pStyle w:val="ManualHeading1"/>
        <w:ind w:left="851" w:firstLine="0"/>
        <w:rPr>
          <w:b w:val="0"/>
          <w:smallCaps w:val="0"/>
          <w:noProof/>
        </w:rPr>
      </w:pPr>
      <w:r>
        <w:rPr>
          <w:b w:val="0"/>
          <w:smallCaps w:val="0"/>
          <w:noProof/>
        </w:rPr>
        <w:t xml:space="preserve">Произтичайки директно от общите цели, специфичните цели на програмата ще бъдат три: </w:t>
      </w:r>
    </w:p>
    <w:p>
      <w:pPr>
        <w:pStyle w:val="Point2"/>
        <w:rPr>
          <w:noProof/>
        </w:rPr>
      </w:pPr>
      <w:r>
        <w:rPr>
          <w:noProof/>
        </w:rPr>
        <w:t>(1)</w:t>
      </w:r>
      <w:r>
        <w:rPr>
          <w:noProof/>
        </w:rPr>
        <w:tab/>
        <w:t>Предотвратяване на измамите и всички други незаконни дейности, засягащи финансовите интереси на Съюза, и борба с тях;</w:t>
      </w:r>
    </w:p>
    <w:p>
      <w:pPr>
        <w:pStyle w:val="Point2"/>
        <w:rPr>
          <w:noProof/>
        </w:rPr>
      </w:pPr>
      <w:r>
        <w:rPr>
          <w:noProof/>
        </w:rPr>
        <w:t>(2)</w:t>
      </w:r>
      <w:r>
        <w:rPr>
          <w:noProof/>
        </w:rPr>
        <w:tab/>
        <w:t>Подкрепа на докладването на нередности, включително измами, по отношение на споделеното управление и средствата за предприсъединителна помощ от бюджета на Съюза;</w:t>
      </w:r>
    </w:p>
    <w:p>
      <w:pPr>
        <w:pStyle w:val="Point2"/>
        <w:rPr>
          <w:noProof/>
        </w:rPr>
      </w:pPr>
      <w:r>
        <w:rPr>
          <w:noProof/>
        </w:rPr>
        <w:lastRenderedPageBreak/>
        <w:t>(3)</w:t>
      </w:r>
      <w:r>
        <w:rPr>
          <w:noProof/>
        </w:rPr>
        <w:tab/>
        <w:t>Предоставяне на инструменти за обмен на информация и подкрепа на оперативните дейности в областта на административната взаимопомощ по митническите и земеделските въпроси.</w:t>
      </w:r>
    </w:p>
    <w:p>
      <w:pPr>
        <w:pStyle w:val="ManualHeading4"/>
        <w:tabs>
          <w:tab w:val="clear" w:pos="850"/>
          <w:tab w:val="left" w:pos="851"/>
        </w:tabs>
        <w:ind w:left="851" w:firstLine="0"/>
        <w:rPr>
          <w:noProof/>
        </w:rPr>
      </w:pPr>
      <w:r>
        <w:rPr>
          <w:noProof/>
        </w:rPr>
        <w:t xml:space="preserve">Програмата за борба с измамите до голяма степен ще продължи текущата разходна програма „Херкулес III“ в подкрепа на дейностите за борба с измамите и с всякакви други незаконни дейности, засягащи финансовите интереси на Съюза, като ще я съчетае с финансовата основа за две оперативни дейности: </w:t>
      </w:r>
    </w:p>
    <w:p>
      <w:pPr>
        <w:pStyle w:val="Point2"/>
        <w:rPr>
          <w:noProof/>
        </w:rPr>
      </w:pPr>
      <w:r>
        <w:rPr>
          <w:noProof/>
        </w:rPr>
        <w:t>(1)</w:t>
      </w:r>
      <w:r>
        <w:rPr>
          <w:noProof/>
        </w:rPr>
        <w:tab/>
        <w:t>Информационната система за борба с измамите (AFIS), която представлява оперативна дейност, състояща се от набор от митнически ИТ приложения, управлявани от Комисията в изпълнение на задачите, възложени ѝ с Регламент (ЕО) № 515/97 относно административната взаимопомощ в областта на митническите и земеделските въпроси, и</w:t>
      </w:r>
    </w:p>
    <w:p>
      <w:pPr>
        <w:pStyle w:val="Point2"/>
        <w:rPr>
          <w:noProof/>
        </w:rPr>
      </w:pPr>
      <w:r>
        <w:rPr>
          <w:noProof/>
        </w:rPr>
        <w:t>(2)</w:t>
      </w:r>
      <w:r>
        <w:rPr>
          <w:noProof/>
        </w:rPr>
        <w:tab/>
        <w:t>Системата за управление на нередностите (IMS), предназначена за докладване от страна на държавите членки на откритите измами и нередности и тяхното управление и анализ от страна на Комисията.</w:t>
      </w:r>
    </w:p>
    <w:p>
      <w:pPr>
        <w:pStyle w:val="ManualHeading4"/>
        <w:tabs>
          <w:tab w:val="clear" w:pos="850"/>
          <w:tab w:val="left" w:pos="851"/>
        </w:tabs>
        <w:rPr>
          <w:b/>
          <w:smallCaps/>
          <w:noProof/>
        </w:rPr>
      </w:pPr>
      <w:r>
        <w:rPr>
          <w:noProof/>
        </w:rPr>
        <w:t>3.</w:t>
      </w:r>
      <w:r>
        <w:rPr>
          <w:noProof/>
        </w:rPr>
        <w:tab/>
      </w:r>
      <w:r>
        <w:rPr>
          <w:b/>
          <w:smallCaps/>
          <w:noProof/>
        </w:rPr>
        <w:t>Коментари относно позицията на Съвета</w:t>
      </w:r>
    </w:p>
    <w:p>
      <w:pPr>
        <w:widowControl w:val="0"/>
        <w:ind w:left="851"/>
        <w:rPr>
          <w:noProof/>
        </w:rPr>
      </w:pPr>
      <w:r>
        <w:rPr>
          <w:noProof/>
        </w:rPr>
        <w:t>Позицията на Съвета, приета на първо четене, отразява напълно споразумението, постигнато на тристранната среща между Европейския парламент, Съвета и Комисията, сключено на 8 декември 2020 г. Основните елементи на това споразумение са следните:</w:t>
      </w:r>
    </w:p>
    <w:p>
      <w:pPr>
        <w:pStyle w:val="Tiret1"/>
        <w:numPr>
          <w:ilvl w:val="0"/>
          <w:numId w:val="14"/>
        </w:numPr>
        <w:rPr>
          <w:noProof/>
        </w:rPr>
      </w:pPr>
      <w:r>
        <w:rPr>
          <w:noProof/>
        </w:rPr>
        <w:t>финансовият пакет за Програмата възлиза на 181 207 000 EUR по текущи цени;</w:t>
      </w:r>
    </w:p>
    <w:p>
      <w:pPr>
        <w:pStyle w:val="Tiret1"/>
        <w:numPr>
          <w:ilvl w:val="0"/>
          <w:numId w:val="14"/>
        </w:numPr>
        <w:rPr>
          <w:noProof/>
        </w:rPr>
      </w:pPr>
      <w:r>
        <w:rPr>
          <w:noProof/>
        </w:rPr>
        <w:t>Програмата следва да бъде създадена за срока на многогодишната финансова рамка за периода 2021—2027 г., установена в Регламент (ЕС, Евратом) 2020/2093 на Съвета;</w:t>
      </w:r>
    </w:p>
    <w:p>
      <w:pPr>
        <w:pStyle w:val="Tiret1"/>
        <w:numPr>
          <w:ilvl w:val="0"/>
          <w:numId w:val="14"/>
        </w:numPr>
        <w:rPr>
          <w:noProof/>
        </w:rPr>
      </w:pPr>
      <w:r>
        <w:rPr>
          <w:noProof/>
        </w:rPr>
        <w:t>предвижда се работните програми да се приемат чрез актове за изпълнение без процедура на комитет, с което се постига точният баланс между процедурните изисквания и размера на програмата;</w:t>
      </w:r>
    </w:p>
    <w:p>
      <w:pPr>
        <w:pStyle w:val="Tiret1"/>
        <w:rPr>
          <w:noProof/>
        </w:rPr>
      </w:pPr>
      <w:r>
        <w:rPr>
          <w:noProof/>
        </w:rPr>
        <w:t>предвижда се индикативна разбивка на финансовия пакет между трите компонента на програмата и възможност за преразпределяне на суми между трите компонента на Програмата, ако е необходимо;</w:t>
      </w:r>
    </w:p>
    <w:p>
      <w:pPr>
        <w:pStyle w:val="Tiret1"/>
        <w:rPr>
          <w:noProof/>
        </w:rPr>
      </w:pPr>
      <w:r>
        <w:rPr>
          <w:noProof/>
        </w:rPr>
        <w:t>предвижда се таван от 2 % за разходите за техническа и административна помощ при изпълнението на програмата, като например подготвителни, мониторингови, контролни и одитни дейности и дейности за оценка, включително корпоративни ИТ системи.</w:t>
      </w:r>
    </w:p>
    <w:p>
      <w:pPr>
        <w:pStyle w:val="Tiret1"/>
        <w:rPr>
          <w:noProof/>
        </w:rPr>
      </w:pPr>
      <w:r>
        <w:rPr>
          <w:noProof/>
        </w:rPr>
        <w:t>посочва се неизчерпателен списък на действията, за които могат да се отпускат безвъзмездни средства, и се установяват максимални ставки на съфинансиране за безвъзмездни средства в размер на 80 % от допустимите разходи, които в изключителни случаи могат да се увеличат до максимум 90 % от допустимите разходи;</w:t>
      </w:r>
    </w:p>
    <w:p>
      <w:pPr>
        <w:pStyle w:val="Tiret1"/>
        <w:rPr>
          <w:noProof/>
        </w:rPr>
      </w:pPr>
      <w:r>
        <w:rPr>
          <w:noProof/>
        </w:rPr>
        <w:t>предвижда се делегиране на правомощия на Комисията за разработването на рамка за мониторинг и оценка на Програмата и за изменение на приложение II, което съдържа списък с показатели за мониторинг;</w:t>
      </w:r>
    </w:p>
    <w:p>
      <w:pPr>
        <w:pStyle w:val="Tiret1"/>
        <w:rPr>
          <w:noProof/>
        </w:rPr>
      </w:pPr>
      <w:r>
        <w:rPr>
          <w:noProof/>
        </w:rPr>
        <w:lastRenderedPageBreak/>
        <w:t>въвежда се изискването Комисията да докладва ежегодно на Европейския парламент и на Съвета относно изпълнението на Програмата в рамките на доклада относно защитата на финансовите интереси на Съюза. Комисията следва надлежно да вземе предвид препоръките на Европейския парламент, отправени в този контекст;</w:t>
      </w:r>
    </w:p>
    <w:p>
      <w:pPr>
        <w:pStyle w:val="Tiret1"/>
        <w:rPr>
          <w:noProof/>
        </w:rPr>
      </w:pPr>
      <w:r>
        <w:rPr>
          <w:noProof/>
        </w:rPr>
        <w:t>въвеждат се разпоредби относно прилагането със задна дата на Програмата от 1 януари 2021 г., за да се осигури непрекъснатост на дейностите, финансирани по Програмата.</w:t>
      </w:r>
    </w:p>
    <w:p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Заключение</w:t>
      </w:r>
    </w:p>
    <w:p>
      <w:pPr>
        <w:keepNext/>
        <w:ind w:left="851"/>
        <w:rPr>
          <w:noProof/>
        </w:rPr>
      </w:pPr>
      <w:r>
        <w:rPr>
          <w:noProof/>
        </w:rPr>
        <w:t>Комисията изразява съгласие с позицията на Съвета.</w:t>
      </w:r>
    </w:p>
    <w:p>
      <w:pPr>
        <w:ind w:left="851"/>
        <w:rPr>
          <w:noProof/>
        </w:rPr>
      </w:pPr>
    </w:p>
    <w:sectPr>
      <w:footerReference w:type="default" r:id="rId11"/>
      <w:footerReference w:type="first" r:id="rId12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90648C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1A8022C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B642A3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999EDF5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93049A3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EC844A0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9E34CCA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5A12C9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1507F6E"/>
    <w:multiLevelType w:val="hybridMultilevel"/>
    <w:tmpl w:val="E1B8E904"/>
    <w:styleLink w:val="ImportedStyle2"/>
    <w:lvl w:ilvl="0" w:tplc="02CA3A9E">
      <w:start w:val="1"/>
      <w:numFmt w:val="bullet"/>
      <w:lvlText w:val="·"/>
      <w:lvlJc w:val="left"/>
      <w:pPr>
        <w:ind w:left="851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EC546C">
      <w:start w:val="1"/>
      <w:numFmt w:val="bullet"/>
      <w:lvlText w:val="o"/>
      <w:lvlJc w:val="left"/>
      <w:pPr>
        <w:ind w:left="157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88DDBA">
      <w:start w:val="1"/>
      <w:numFmt w:val="bullet"/>
      <w:lvlText w:val="▪"/>
      <w:lvlJc w:val="left"/>
      <w:pPr>
        <w:ind w:left="229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D8E7F0">
      <w:start w:val="1"/>
      <w:numFmt w:val="bullet"/>
      <w:lvlText w:val="·"/>
      <w:lvlJc w:val="left"/>
      <w:pPr>
        <w:ind w:left="3011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3C40EC">
      <w:start w:val="1"/>
      <w:numFmt w:val="bullet"/>
      <w:lvlText w:val="o"/>
      <w:lvlJc w:val="left"/>
      <w:pPr>
        <w:ind w:left="373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F6E3E6">
      <w:start w:val="1"/>
      <w:numFmt w:val="bullet"/>
      <w:lvlText w:val="▪"/>
      <w:lvlJc w:val="left"/>
      <w:pPr>
        <w:ind w:left="445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9271F6">
      <w:start w:val="1"/>
      <w:numFmt w:val="bullet"/>
      <w:lvlText w:val="·"/>
      <w:lvlJc w:val="left"/>
      <w:pPr>
        <w:ind w:left="5171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9ED0EC">
      <w:start w:val="1"/>
      <w:numFmt w:val="bullet"/>
      <w:lvlText w:val="o"/>
      <w:lvlJc w:val="left"/>
      <w:pPr>
        <w:ind w:left="589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3883FC">
      <w:start w:val="1"/>
      <w:numFmt w:val="bullet"/>
      <w:lvlText w:val="▪"/>
      <w:lvlJc w:val="left"/>
      <w:pPr>
        <w:ind w:left="661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3FD5B1E"/>
    <w:multiLevelType w:val="hybridMultilevel"/>
    <w:tmpl w:val="C3D8B91E"/>
    <w:styleLink w:val="ImportedStyle18"/>
    <w:lvl w:ilvl="0" w:tplc="51B066D4">
      <w:start w:val="1"/>
      <w:numFmt w:val="bullet"/>
      <w:lvlText w:val="·"/>
      <w:lvlJc w:val="left"/>
      <w:pPr>
        <w:ind w:left="39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083D8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E09AE0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C2601E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441102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F2FDD0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E6A6DA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26C466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244FCC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3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6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7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8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9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3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</w:num>
  <w:num w:numId="15">
    <w:abstractNumId w:val="20"/>
  </w:num>
  <w:num w:numId="16">
    <w:abstractNumId w:val="14"/>
  </w:num>
  <w:num w:numId="17">
    <w:abstractNumId w:val="22"/>
  </w:num>
  <w:num w:numId="18">
    <w:abstractNumId w:val="13"/>
  </w:num>
  <w:num w:numId="19">
    <w:abstractNumId w:val="15"/>
  </w:num>
  <w:num w:numId="20">
    <w:abstractNumId w:val="10"/>
  </w:num>
  <w:num w:numId="21">
    <w:abstractNumId w:val="21"/>
  </w:num>
  <w:num w:numId="22">
    <w:abstractNumId w:val="9"/>
  </w:num>
  <w:num w:numId="23">
    <w:abstractNumId w:val="16"/>
  </w:num>
  <w:num w:numId="24">
    <w:abstractNumId w:val="18"/>
  </w:num>
  <w:num w:numId="25">
    <w:abstractNumId w:val="19"/>
  </w:num>
  <w:num w:numId="26">
    <w:abstractNumId w:val="12"/>
  </w:num>
  <w:num w:numId="27">
    <w:abstractNumId w:val="17"/>
  </w:num>
  <w:num w:numId="28">
    <w:abstractNumId w:val="2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1-03-19 16:37:09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5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02297A0A-6730-4F9F-8D49-2C45EF176543"/>
    <w:docVar w:name="LW_COVERPAGE_TYPE" w:val="1"/>
    <w:docVar w:name="LW_CROSSREFERENCE" w:val="&lt;UNUSED&gt;"/>
    <w:docVar w:name="LW_DocType" w:val="COM"/>
    <w:docVar w:name="LW_EMISSION" w:val="22.3.2021"/>
    <w:docVar w:name="LW_EMISSION_ISODATE" w:val="2021-03-22"/>
    <w:docVar w:name="LW_EMISSION_LOCATION" w:val="BRX"/>
    <w:docVar w:name="LW_EMISSION_PREFIX" w:val="\u1041?\u1088?\u1102?\u1082?\u1089?\u1077?\u1083?, "/>
    <w:docVar w:name="LW_EMISSION_SUFFIX" w:val=" \u1075?."/>
    <w:docVar w:name="LW_ID_DOCMODEL" w:val="SJ-028"/>
    <w:docVar w:name="LW_ID_DOCSTRUCTURE" w:val="COM/PL/CODEC"/>
    <w:docVar w:name="LW_ID_DOCTYPE" w:val="SJ-028"/>
    <w:docVar w:name="LW_INTERETEEE.CP" w:val="(\u1090?\u1077?\u1082?\u1089?\u1090? \u1086?\u1090? \u1079?\u1085?\u1072?\u1095?\u1077?\u1085?\u1080?\u1077? \u1079?\u1072? \u1045?\u1048?\u1055?)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COD"/>
    <w:docVar w:name="LW_REF.II.NEW.CP_NUMBER" w:val="0211"/>
    <w:docVar w:name="LW_REF.II.NEW.CP_YEAR" w:val="2018"/>
    <w:docVar w:name="LW_REF.INST.NEW" w:val="COM"/>
    <w:docVar w:name="LW_REF.INST.NEW_ADOPTED" w:val="final"/>
    <w:docVar w:name="LW_REF.INST.NEW_TEXT" w:val="(2021) 14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ITRE.OBJ.CP" w:val="\u1087?\u1086?\u1079?\u1080?\u1094?\u1080?\u1103?\u1090?\u1072? \u1085?\u1072? \u1057?\u1098?\u1074?\u1077?\u1090?\u1072? \u1074?\u1098?\u1074? \u1074?\u1088?\u1098?\u1079?\u1082?\u1072? \u1089? \u1087?\u1088?\u1080?\u1077?\u1084?\u1072?\u1085?\u1077?\u1090?\u1086? \u1085?\u1072? \u1088?\u1077?\u1075?\u1083?\u1072?\u1084?\u1077?\u1085?\u1090? \u1085?\u1072? \u1045?\u1074?\u1088?\u1086?\u1087?\u1077?\u1081?\u1089?\u1082?\u1080?\u1103? \u1087?\u1072?\u1088?\u1083?\u1072?\u1084?\u1077?\u1085?\u1090? \u1080? \u1085?\u1072? \u1057?\u1098?\u1074?\u1077?\u1090?\u1072? \u1079?\u1072? \u1089?\u1098?\u1079?\u1076?\u1072?\u1074?\u1072?\u1085?\u1077? \u1085?\u1072? \u1055?\u1088?\u1086?\u1075?\u1088?\u1072?\u1084?\u1072?\u1090?\u1072? \u1085?\u1072? \u1045?\u1057? \u1079?\u1072? \u1073?\u1086?\u1088?\u1073?\u1072? \u1089? \u1080?\u1079?\u1084?\u1072?\u1084?\u1080?\u1090?\u1077?"/>
    <w:docVar w:name="LW_TYPE.DOC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_x000b__x000b_\u1089?\u1098?\u1075?\u1083?\u1072?\u1089?\u1085?\u1086? \u1095?\u1083?\u1077?\u1085? 294, \u1087?\u1072?\u1088?\u1072?\u1075?\u1088?\u1072?\u1092? 6 \u1086?\u1090? \u1044?\u1086?\u1075?\u1086?\u1074?\u1086?\u1088?\u1072? \u1079?\u1072? \u1092?\u1091?\u1085?\u1082?\u1094?\u1080?\u1086?\u1085?\u1080?\u1088?\u1072?\u1085?\u1077?\u1090?\u1086? \u1085?\u1072? \u1045?\u1074?\u1088?\u1086?\u1087?\u1077?\u1081?\u1089?\u1082?\u1080?\u1103? \u1089?\u1098?\u1102?\u1079?_x000b__x000b_\u1086?\u1090?\u1085?\u1086?\u1089?\u1085?\u1086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pPr>
      <w:numPr>
        <w:numId w:val="11"/>
      </w:numPr>
    </w:pPr>
  </w:style>
  <w:style w:type="numbering" w:customStyle="1" w:styleId="ImportedStyle18">
    <w:name w:val="Imported Style 18"/>
    <w:pPr>
      <w:numPr>
        <w:numId w:val="12"/>
      </w:numPr>
    </w:pPr>
  </w:style>
  <w:style w:type="paragraph" w:customStyle="1" w:styleId="Heading">
    <w:name w:val="Heading"/>
    <w:next w:val="Text1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1614"/>
      </w:tabs>
      <w:spacing w:before="240" w:after="240" w:line="240" w:lineRule="auto"/>
      <w:jc w:val="both"/>
      <w:outlineLvl w:val="0"/>
    </w:pPr>
    <w:rPr>
      <w:rFonts w:ascii="Times New Roman" w:eastAsia="Arial Unicode MS" w:hAnsi="Times New Roman" w:cs="Arial Unicode MS"/>
      <w:b/>
      <w:bCs/>
      <w:smallCaps/>
      <w:color w:val="000000"/>
      <w:sz w:val="24"/>
      <w:szCs w:val="24"/>
      <w:u w:color="000000"/>
      <w:bdr w:val="nil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5"/>
      </w:numPr>
    </w:pPr>
  </w:style>
  <w:style w:type="paragraph" w:customStyle="1" w:styleId="Tiret1">
    <w:name w:val="Tiret 1"/>
    <w:basedOn w:val="Point1"/>
    <w:pPr>
      <w:numPr>
        <w:numId w:val="16"/>
      </w:numPr>
    </w:pPr>
  </w:style>
  <w:style w:type="paragraph" w:customStyle="1" w:styleId="Tiret2">
    <w:name w:val="Tiret 2"/>
    <w:basedOn w:val="Point2"/>
    <w:pPr>
      <w:numPr>
        <w:numId w:val="17"/>
      </w:numPr>
    </w:pPr>
  </w:style>
  <w:style w:type="paragraph" w:customStyle="1" w:styleId="Tiret3">
    <w:name w:val="Tiret 3"/>
    <w:basedOn w:val="Point3"/>
    <w:pPr>
      <w:numPr>
        <w:numId w:val="18"/>
      </w:numPr>
    </w:pPr>
  </w:style>
  <w:style w:type="paragraph" w:customStyle="1" w:styleId="Tiret4">
    <w:name w:val="Tiret 4"/>
    <w:basedOn w:val="Point4"/>
    <w:pPr>
      <w:numPr>
        <w:numId w:val="1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2"/>
      </w:numPr>
    </w:pPr>
  </w:style>
  <w:style w:type="paragraph" w:customStyle="1" w:styleId="Point1number">
    <w:name w:val="Point 1 (number)"/>
    <w:basedOn w:val="Normal"/>
    <w:pPr>
      <w:numPr>
        <w:ilvl w:val="2"/>
        <w:numId w:val="22"/>
      </w:numPr>
    </w:pPr>
  </w:style>
  <w:style w:type="paragraph" w:customStyle="1" w:styleId="Point2number">
    <w:name w:val="Point 2 (number)"/>
    <w:basedOn w:val="Normal"/>
    <w:pPr>
      <w:numPr>
        <w:ilvl w:val="4"/>
        <w:numId w:val="22"/>
      </w:numPr>
    </w:pPr>
  </w:style>
  <w:style w:type="paragraph" w:customStyle="1" w:styleId="Point3number">
    <w:name w:val="Point 3 (number)"/>
    <w:basedOn w:val="Normal"/>
    <w:pPr>
      <w:numPr>
        <w:ilvl w:val="6"/>
        <w:numId w:val="22"/>
      </w:numPr>
    </w:pPr>
  </w:style>
  <w:style w:type="paragraph" w:customStyle="1" w:styleId="Point0letter">
    <w:name w:val="Point 0 (letter)"/>
    <w:basedOn w:val="Normal"/>
    <w:pPr>
      <w:numPr>
        <w:ilvl w:val="1"/>
        <w:numId w:val="22"/>
      </w:numPr>
    </w:pPr>
  </w:style>
  <w:style w:type="paragraph" w:customStyle="1" w:styleId="Point1letter">
    <w:name w:val="Point 1 (letter)"/>
    <w:basedOn w:val="Normal"/>
    <w:pPr>
      <w:numPr>
        <w:ilvl w:val="3"/>
        <w:numId w:val="22"/>
      </w:numPr>
    </w:pPr>
  </w:style>
  <w:style w:type="paragraph" w:customStyle="1" w:styleId="Point2letter">
    <w:name w:val="Point 2 (letter)"/>
    <w:basedOn w:val="Normal"/>
    <w:pPr>
      <w:numPr>
        <w:ilvl w:val="5"/>
        <w:numId w:val="22"/>
      </w:numPr>
    </w:pPr>
  </w:style>
  <w:style w:type="paragraph" w:customStyle="1" w:styleId="Point3letter">
    <w:name w:val="Point 3 (letter)"/>
    <w:basedOn w:val="Normal"/>
    <w:pPr>
      <w:numPr>
        <w:ilvl w:val="7"/>
        <w:numId w:val="22"/>
      </w:numPr>
    </w:pPr>
  </w:style>
  <w:style w:type="paragraph" w:customStyle="1" w:styleId="Point4letter">
    <w:name w:val="Point 4 (letter)"/>
    <w:basedOn w:val="Normal"/>
    <w:pPr>
      <w:numPr>
        <w:ilvl w:val="8"/>
        <w:numId w:val="22"/>
      </w:numPr>
    </w:pPr>
  </w:style>
  <w:style w:type="paragraph" w:customStyle="1" w:styleId="Bullet0">
    <w:name w:val="Bullet 0"/>
    <w:basedOn w:val="Normal"/>
    <w:pPr>
      <w:numPr>
        <w:numId w:val="23"/>
      </w:numPr>
    </w:pPr>
  </w:style>
  <w:style w:type="paragraph" w:customStyle="1" w:styleId="Bullet1">
    <w:name w:val="Bullet 1"/>
    <w:basedOn w:val="Normal"/>
    <w:pPr>
      <w:numPr>
        <w:numId w:val="24"/>
      </w:numPr>
    </w:pPr>
  </w:style>
  <w:style w:type="paragraph" w:customStyle="1" w:styleId="Bullet2">
    <w:name w:val="Bullet 2"/>
    <w:basedOn w:val="Normal"/>
    <w:pPr>
      <w:numPr>
        <w:numId w:val="25"/>
      </w:numPr>
    </w:pPr>
  </w:style>
  <w:style w:type="paragraph" w:customStyle="1" w:styleId="Bullet3">
    <w:name w:val="Bullet 3"/>
    <w:basedOn w:val="Normal"/>
    <w:pPr>
      <w:numPr>
        <w:numId w:val="26"/>
      </w:numPr>
    </w:pPr>
  </w:style>
  <w:style w:type="paragraph" w:customStyle="1" w:styleId="Bullet4">
    <w:name w:val="Bullet 4"/>
    <w:basedOn w:val="Normal"/>
    <w:pPr>
      <w:numPr>
        <w:numId w:val="2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pPr>
      <w:numPr>
        <w:numId w:val="11"/>
      </w:numPr>
    </w:pPr>
  </w:style>
  <w:style w:type="numbering" w:customStyle="1" w:styleId="ImportedStyle18">
    <w:name w:val="Imported Style 18"/>
    <w:pPr>
      <w:numPr>
        <w:numId w:val="12"/>
      </w:numPr>
    </w:pPr>
  </w:style>
  <w:style w:type="paragraph" w:customStyle="1" w:styleId="Heading">
    <w:name w:val="Heading"/>
    <w:next w:val="Text1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1614"/>
      </w:tabs>
      <w:spacing w:before="240" w:after="240" w:line="240" w:lineRule="auto"/>
      <w:jc w:val="both"/>
      <w:outlineLvl w:val="0"/>
    </w:pPr>
    <w:rPr>
      <w:rFonts w:ascii="Times New Roman" w:eastAsia="Arial Unicode MS" w:hAnsi="Times New Roman" w:cs="Arial Unicode MS"/>
      <w:b/>
      <w:bCs/>
      <w:smallCaps/>
      <w:color w:val="000000"/>
      <w:sz w:val="24"/>
      <w:szCs w:val="24"/>
      <w:u w:color="000000"/>
      <w:bdr w:val="nil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5"/>
      </w:numPr>
    </w:pPr>
  </w:style>
  <w:style w:type="paragraph" w:customStyle="1" w:styleId="Tiret1">
    <w:name w:val="Tiret 1"/>
    <w:basedOn w:val="Point1"/>
    <w:pPr>
      <w:numPr>
        <w:numId w:val="16"/>
      </w:numPr>
    </w:pPr>
  </w:style>
  <w:style w:type="paragraph" w:customStyle="1" w:styleId="Tiret2">
    <w:name w:val="Tiret 2"/>
    <w:basedOn w:val="Point2"/>
    <w:pPr>
      <w:numPr>
        <w:numId w:val="17"/>
      </w:numPr>
    </w:pPr>
  </w:style>
  <w:style w:type="paragraph" w:customStyle="1" w:styleId="Tiret3">
    <w:name w:val="Tiret 3"/>
    <w:basedOn w:val="Point3"/>
    <w:pPr>
      <w:numPr>
        <w:numId w:val="18"/>
      </w:numPr>
    </w:pPr>
  </w:style>
  <w:style w:type="paragraph" w:customStyle="1" w:styleId="Tiret4">
    <w:name w:val="Tiret 4"/>
    <w:basedOn w:val="Point4"/>
    <w:pPr>
      <w:numPr>
        <w:numId w:val="1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2"/>
      </w:numPr>
    </w:pPr>
  </w:style>
  <w:style w:type="paragraph" w:customStyle="1" w:styleId="Point1number">
    <w:name w:val="Point 1 (number)"/>
    <w:basedOn w:val="Normal"/>
    <w:pPr>
      <w:numPr>
        <w:ilvl w:val="2"/>
        <w:numId w:val="22"/>
      </w:numPr>
    </w:pPr>
  </w:style>
  <w:style w:type="paragraph" w:customStyle="1" w:styleId="Point2number">
    <w:name w:val="Point 2 (number)"/>
    <w:basedOn w:val="Normal"/>
    <w:pPr>
      <w:numPr>
        <w:ilvl w:val="4"/>
        <w:numId w:val="22"/>
      </w:numPr>
    </w:pPr>
  </w:style>
  <w:style w:type="paragraph" w:customStyle="1" w:styleId="Point3number">
    <w:name w:val="Point 3 (number)"/>
    <w:basedOn w:val="Normal"/>
    <w:pPr>
      <w:numPr>
        <w:ilvl w:val="6"/>
        <w:numId w:val="22"/>
      </w:numPr>
    </w:pPr>
  </w:style>
  <w:style w:type="paragraph" w:customStyle="1" w:styleId="Point0letter">
    <w:name w:val="Point 0 (letter)"/>
    <w:basedOn w:val="Normal"/>
    <w:pPr>
      <w:numPr>
        <w:ilvl w:val="1"/>
        <w:numId w:val="22"/>
      </w:numPr>
    </w:pPr>
  </w:style>
  <w:style w:type="paragraph" w:customStyle="1" w:styleId="Point1letter">
    <w:name w:val="Point 1 (letter)"/>
    <w:basedOn w:val="Normal"/>
    <w:pPr>
      <w:numPr>
        <w:ilvl w:val="3"/>
        <w:numId w:val="22"/>
      </w:numPr>
    </w:pPr>
  </w:style>
  <w:style w:type="paragraph" w:customStyle="1" w:styleId="Point2letter">
    <w:name w:val="Point 2 (letter)"/>
    <w:basedOn w:val="Normal"/>
    <w:pPr>
      <w:numPr>
        <w:ilvl w:val="5"/>
        <w:numId w:val="22"/>
      </w:numPr>
    </w:pPr>
  </w:style>
  <w:style w:type="paragraph" w:customStyle="1" w:styleId="Point3letter">
    <w:name w:val="Point 3 (letter)"/>
    <w:basedOn w:val="Normal"/>
    <w:pPr>
      <w:numPr>
        <w:ilvl w:val="7"/>
        <w:numId w:val="22"/>
      </w:numPr>
    </w:pPr>
  </w:style>
  <w:style w:type="paragraph" w:customStyle="1" w:styleId="Point4letter">
    <w:name w:val="Point 4 (letter)"/>
    <w:basedOn w:val="Normal"/>
    <w:pPr>
      <w:numPr>
        <w:ilvl w:val="8"/>
        <w:numId w:val="22"/>
      </w:numPr>
    </w:pPr>
  </w:style>
  <w:style w:type="paragraph" w:customStyle="1" w:styleId="Bullet0">
    <w:name w:val="Bullet 0"/>
    <w:basedOn w:val="Normal"/>
    <w:pPr>
      <w:numPr>
        <w:numId w:val="23"/>
      </w:numPr>
    </w:pPr>
  </w:style>
  <w:style w:type="paragraph" w:customStyle="1" w:styleId="Bullet1">
    <w:name w:val="Bullet 1"/>
    <w:basedOn w:val="Normal"/>
    <w:pPr>
      <w:numPr>
        <w:numId w:val="24"/>
      </w:numPr>
    </w:pPr>
  </w:style>
  <w:style w:type="paragraph" w:customStyle="1" w:styleId="Bullet2">
    <w:name w:val="Bullet 2"/>
    <w:basedOn w:val="Normal"/>
    <w:pPr>
      <w:numPr>
        <w:numId w:val="25"/>
      </w:numPr>
    </w:pPr>
  </w:style>
  <w:style w:type="paragraph" w:customStyle="1" w:styleId="Bullet3">
    <w:name w:val="Bullet 3"/>
    <w:basedOn w:val="Normal"/>
    <w:pPr>
      <w:numPr>
        <w:numId w:val="26"/>
      </w:numPr>
    </w:pPr>
  </w:style>
  <w:style w:type="paragraph" w:customStyle="1" w:styleId="Bullet4">
    <w:name w:val="Bullet 4"/>
    <w:basedOn w:val="Normal"/>
    <w:pPr>
      <w:numPr>
        <w:numId w:val="2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D9E23-B1C2-455B-AF76-E063CB427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3</TotalTime>
  <Pages>4</Pages>
  <Words>709</Words>
  <Characters>4142</Characters>
  <Application>Microsoft Office Word</Application>
  <DocSecurity>0</DocSecurity>
  <Lines>101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WES PDFC Administrator</cp:lastModifiedBy>
  <cp:revision>18</cp:revision>
  <dcterms:created xsi:type="dcterms:W3CDTF">2021-03-19T08:21:00Z</dcterms:created>
  <dcterms:modified xsi:type="dcterms:W3CDTF">2021-03-19T15:37:00Z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COM/PL/CODEC</vt:lpwstr>
  </property>
  <property fmtid="{D5CDD505-2E9C-101B-9397-08002B2CF9AE}" pid="3" name="Version">
    <vt:lpwstr>7.0.8.0</vt:lpwstr>
  </property>
  <property fmtid="{D5CDD505-2E9C-101B-9397-08002B2CF9AE}" pid="4" name="Last edited using">
    <vt:lpwstr>LW 7.0.1, Build 20190916</vt:lpwstr>
  </property>
  <property fmtid="{D5CDD505-2E9C-101B-9397-08002B2CF9AE}" pid="5" name="Created using">
    <vt:lpwstr>LW 7.0, Build 20190717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SJ-028</vt:lpwstr>
  </property>
  <property fmtid="{D5CDD505-2E9C-101B-9397-08002B2CF9AE}" pid="10" name="DQCStatus">
    <vt:lpwstr>Green (DQC version 03)</vt:lpwstr>
  </property>
</Properties>
</file>