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6DDE9E7-3BB5-46E6-AE56-0536ED5CC7B8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pStyle w:val="IntrtEEE"/>
        <w:rPr>
          <w:b/>
          <w:noProof/>
          <w:u w:val="single"/>
        </w:rPr>
      </w:pPr>
      <w:r>
        <w:rPr>
          <w:b/>
          <w:noProof/>
          <w:u w:val="single"/>
        </w:rPr>
        <w:t>Указания за водене на преговори за изменения на Конвенцията за опазване на дивата европейска флора и фауна и природните местообитания (Бернската конвенция)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Комисията следва да се стреми да гарантира, че всяко споразумение, водещо до преразглеждане на Конвенцията за опазване на дивата европейска флора и фауна и природните местообитания (Бернската конвенция) и нейното прилагане, е в съответствие със съответното законодателство и политики на Европейския съюз, и по-специално със законодателството на Съюза в областта на природата и биологичното разнообразие</w:t>
      </w:r>
      <w:r>
        <w:rPr>
          <w:rStyle w:val="FootnoteReference"/>
          <w:noProof/>
        </w:rPr>
        <w:footnoteReference w:id="1"/>
      </w:r>
      <w:r>
        <w:rPr>
          <w:noProof/>
        </w:rPr>
        <w:t>, както и с ангажиментите на Съюза по силата на други съответни многостранни споразумения в областта на околната среда.</w:t>
      </w:r>
    </w:p>
    <w:p>
      <w:pPr>
        <w:pStyle w:val="Point0number"/>
        <w:rPr>
          <w:noProof/>
        </w:rPr>
      </w:pPr>
      <w:r>
        <w:rPr>
          <w:noProof/>
        </w:rPr>
        <w:t>По отношение на предложенията за изменение на Конвенцията за опазване на дивата европейска флора и фауна и природните местообитания (Бернската конвенция) с цел въвеждане на задължителна финансова вноска, Комисията следва да започне преговори за това как най-добре да се реши въпросът за създаването на сигурна и предвидима финансова основа за конвенцията и следва да се стреми да гарантира, в съответствие с позицията на Съюза, че изменението: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не налага задължителна вноска по отношение на програмния бюджет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не води до вноска на Съюза в размер на повече от 2,5 % от общия размер на вноските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не засяга съществуващите задължения на страните по конвенцията.</w:t>
      </w:r>
    </w:p>
    <w:p>
      <w:pPr>
        <w:pStyle w:val="ListParagraph"/>
        <w:rPr>
          <w:noProof/>
        </w:rPr>
      </w:pPr>
    </w:p>
    <w:p>
      <w:pPr>
        <w:pStyle w:val="Point0number"/>
        <w:rPr>
          <w:noProof/>
        </w:rPr>
      </w:pPr>
      <w:r>
        <w:rPr>
          <w:noProof/>
        </w:rPr>
        <w:t>Комисията следва да води преговорите съгласно съответното действащо законодателство на Европейския съюз или съгласно договорените позиции на Съюза, установени специално за целите на тези преговори в рамките на специалния комитет на представителите на държавите членки, посочен в член 1, параграф 2 от настоящото решение на Съвета, или в рамките на Съвета.</w:t>
      </w:r>
    </w:p>
    <w:p>
      <w:pPr>
        <w:pStyle w:val="Point0number"/>
        <w:rPr>
          <w:noProof/>
        </w:rPr>
      </w:pPr>
      <w:r>
        <w:rPr>
          <w:noProof/>
        </w:rPr>
        <w:t xml:space="preserve">Комисията следва да докладва на Съвета за резултата от преговорите, а когато е целесъобразно — и за всеки евентуално възникнал проблем в хода на преговорите. 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По-специално Директива 2009/147/ЕО на Европейския парламент и на Съвета от 30 ноември 2009 г. относно опазването на дивите птици, Директива 92/43/ЕИО на Съвета от 21 май 1992 г. за опазване на естествените местообитания и на дивата флора и фауна и Регламент (ЕС) № 1143/2014 на Европейския парламент и на Съвета от 22 октомври 2014 г. относно предотвратяването и управлението на въвеждането и разпространението на инвазивни чужди видове.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0782E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CEE72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408DF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8F648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D967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96E33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5CA4B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0BC4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17 08:55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6DDE9E7-3BB5-46E6-AE56-0536ED5CC7B8"/>
    <w:docVar w:name="LW_COVERPAGE_TYPE" w:val="1"/>
    <w:docVar w:name="LW_CROSSREFERENCE" w:val="&lt;UNUSED&gt;"/>
    <w:docVar w:name="LW_DocType" w:val="ANNEX"/>
    <w:docVar w:name="LW_EMISSION" w:val="24.3.2021"/>
    <w:docVar w:name="LW_EMISSION_ISODATE" w:val="2021-03-2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7?\u1098?\u1083?\u1085?\u1086?\u1084?\u1086?\u1097?\u1072?\u1074?\u1072?\u1085?\u1077? \u1085?\u1072? \u1050?\u1086?\u1084?\u1080?\u1089?\u1080?\u1103?\u1090?\u1072? \u1076?\u1072? \u1074?\u1086?\u1076?\u1080? \u1087?\u1088?\u1077?\u1075?\u1086?\u1074?\u1086?\u1088?\u1080? \u1086?\u1090? \u1080?\u1084?\u1077?\u1090?\u1086? \u1085?\u1072? \u1057?\u1098?\u1102?\u1079?\u1072? \u1079?\u1072? \u1080?\u1079?\u1084?\u1077?\u1085?\u1077?\u1085?\u1080?\u1103? \u1085?\u1072? \u1050?\u1086?\u1085?\u1074?\u1077?\u1085?\u1094?\u1080?\u1103?\u1090?\u1072? \u1079?\u1072? \u1086?\u1087?\u1072?\u1079?\u1074?\u1072?\u1085?\u1077? \u1085?\u1072? \u1076?\u1080?\u1074?\u1072?\u1090?\u1072? \u1077?\u1074?\u1088?\u1086?\u1087?\u1077?\u1081?\u1089?\u1082?\u1072? \u1092?\u1083?\u1086?\u1088?\u1072? \u1080? \u1092?\u1072?\u1091?\u1085?\u1072? \u1080? \u1087?\u1088?\u1080?\u1088?\u1086?\u1076?\u1085?\u1080?\u1090?\u1077? \u1084?\u1077?\u1089?\u1090?\u1086?\u1086?\u1073?\u1080?\u1090?\u1072?\u1085?\u1080?\u1103? (\u1041?\u1077?\u1088?\u1085?\u1089?\u1082?\u1072?\u1090?\u1072? \u1082?\u1086?\u1085?\u1074?\u1077?\u1085?\u1094?\u1080?\u1103?)"/>
    <w:docVar w:name="LW_OBJETACTEPRINCIPAL.CP" w:val="\u1079?\u1072? \u1091?\u1087?\u1098?\u1083?\u1085?\u1086?\u1084?\u1086?\u1097?\u1072?\u1074?\u1072?\u1085?\u1077? \u1085?\u1072? \u1050?\u1086?\u1084?\u1080?\u1089?\u1080?\u1103?\u1090?\u1072? \u1076?\u1072? \u1074?\u1086?\u1076?\u1080? \u1087?\u1088?\u1077?\u1075?\u1086?\u1074?\u1086?\u1088?\u1080? \u1086?\u1090? \u1080?\u1084?\u1077?\u1090?\u1086? \u1085?\u1072? \u1057?\u1098?\u1102?\u1079?\u1072? \u1079?\u1072? \u1080?\u1079?\u1084?\u1077?\u1085?\u1077?\u1085?\u1080?\u1103? \u1085?\u1072? \u1050?\u1086?\u1085?\u1074?\u1077?\u1085?\u1094?\u1080?\u1103?\u1090?\u1072? \u1079?\u1072? \u1086?\u1087?\u1072?\u1079?\u1074?\u1072?\u1085?\u1077? \u1085?\u1072? \u1076?\u1080?\u1074?\u1072?\u1090?\u1072? \u1077?\u1074?\u1088?\u1086?\u1087?\u1077?\u1081?\u1089?\u1082?\u1072? \u1092?\u1083?\u1086?\u1088?\u1072? \u1080? \u1092?\u1072?\u1091?\u1085?\u1072? \u1080? \u1087?\u1088?\u1080?\u1088?\u1086?\u1076?\u1085?\u1080?\u1090?\u1077? \u1084?\u1077?\u1089?\u1090?\u1086?\u1086?\u1073?\u1080?\u1090?\u1072?\u1085?\u1080?\u1103? (\u1041?\u1077?\u1088?\u1085?\u1089?\u1082?\u1072?\u1090?\u1072? \u1082?\u1086?\u1085?\u1074?\u1077?\u1085?\u1094?\u1080?\u1103?)"/>
    <w:docVar w:name="LW_PART_NBR" w:val="1"/>
    <w:docVar w:name="LW_PART_NBR_TOTAL" w:val="1"/>
    <w:docVar w:name="LW_REF.INST.NEW" w:val="COM"/>
    <w:docVar w:name="LW_REF.INST.NEW_ADOPTED" w:val="final"/>
    <w:docVar w:name="LW_REF.INST.NEW_TEXT" w:val="(2021) 13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77?\u1096?\u1077?\u1085?\u1080?\u1077? \u1085?\u1072? \u1057?\u1098?\u1074?\u1077?\u1090?\u1072?"/>
    <w:docVar w:name="LW_TYPEACTEPRINCIPAL.CP" w:val="\u1055?\u1088?\u1077?\u1087?\u1086?\u1088?\u1098?\u1082?\u1072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4A3C-4FB0-45A6-BCCC-1FE57363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279</Words>
  <Characters>1596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BURRILL Anne (ENV)</dc:creator>
  <cp:keywords/>
  <dc:description/>
  <cp:lastModifiedBy>DIGIT/C6</cp:lastModifiedBy>
  <cp:revision>9</cp:revision>
  <dcterms:created xsi:type="dcterms:W3CDTF">2021-03-10T15:20:00Z</dcterms:created>
  <dcterms:modified xsi:type="dcterms:W3CDTF">2021-03-17T07:55:00Z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