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FB" w:rsidRDefault="00CD358F" w:rsidP="00CD358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DB814B5-109E-4383-8BA2-FFACD7C6D847" style="width:450.75pt;height:348pt">
            <v:imagedata r:id="rId8" o:title=""/>
          </v:shape>
        </w:pict>
      </w:r>
    </w:p>
    <w:bookmarkEnd w:id="0"/>
    <w:p w:rsidR="008928FB" w:rsidRDefault="008928FB">
      <w:pPr>
        <w:rPr>
          <w:noProof/>
        </w:rPr>
        <w:sectPr w:rsidR="008928FB" w:rsidSect="00CD358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928FB" w:rsidRDefault="00CD358F">
      <w:pPr>
        <w:pStyle w:val="ListParagraph"/>
        <w:numPr>
          <w:ilvl w:val="0"/>
          <w:numId w:val="9"/>
        </w:numPr>
        <w:ind w:left="0" w:firstLine="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INTRODUCTION </w:t>
      </w:r>
    </w:p>
    <w:p w:rsidR="008928FB" w:rsidRDefault="00CD358F">
      <w:pPr>
        <w:autoSpaceDE w:val="0"/>
        <w:autoSpaceDN w:val="0"/>
        <w:jc w:val="both"/>
        <w:rPr>
          <w:rFonts w:ascii="Times New Roman" w:hAnsi="Times New Roman" w:cs="Times New Roman"/>
          <w:noProof/>
          <w:sz w:val="24"/>
          <w:szCs w:val="24"/>
          <w:lang w:val="fr-FR"/>
        </w:rPr>
      </w:pPr>
      <w:r>
        <w:rPr>
          <w:rFonts w:ascii="Times New Roman" w:hAnsi="Times New Roman"/>
          <w:noProof/>
          <w:sz w:val="24"/>
          <w:szCs w:val="24"/>
          <w:lang w:val="fr-FR"/>
        </w:rPr>
        <w:t>Le Conseil européen de décembre 2020</w:t>
      </w:r>
      <w:r>
        <w:rPr>
          <w:rStyle w:val="FootnoteReference"/>
          <w:rFonts w:ascii="Times New Roman" w:hAnsi="Times New Roman" w:cs="Times New Roman"/>
          <w:noProof/>
          <w:sz w:val="24"/>
          <w:szCs w:val="24"/>
          <w:lang w:val="en-IE"/>
        </w:rPr>
        <w:footnoteReference w:id="1"/>
      </w:r>
      <w:r>
        <w:rPr>
          <w:rFonts w:ascii="Times New Roman" w:hAnsi="Times New Roman"/>
          <w:noProof/>
          <w:sz w:val="24"/>
          <w:szCs w:val="24"/>
          <w:lang w:val="fr-FR"/>
        </w:rPr>
        <w:t xml:space="preserve"> a constaté que la Turquie s'était livrée à des actions unilatérales et à des provocations et avait durci ses propos à l’encontre de l’Union européenne, des États membres de celle-ci et des dirigeants européens. Il a réaffirmé qu’il était dans l’intérêt st</w:t>
      </w:r>
      <w:r>
        <w:rPr>
          <w:rFonts w:ascii="Times New Roman" w:hAnsi="Times New Roman"/>
          <w:noProof/>
          <w:sz w:val="24"/>
          <w:szCs w:val="24"/>
          <w:lang w:val="fr-FR"/>
        </w:rPr>
        <w:t>ratégique de l’Union européenne de développer avec la Turquie une relation de coopération mutuellement avantageuse. Il a souligné que la proposition d’un programme constructif entre l’UE et la Turquie restait valable, pour autant que la Turquie se montre d</w:t>
      </w:r>
      <w:r>
        <w:rPr>
          <w:rFonts w:ascii="Times New Roman" w:hAnsi="Times New Roman"/>
          <w:noProof/>
          <w:sz w:val="24"/>
          <w:szCs w:val="24"/>
          <w:lang w:val="fr-FR"/>
        </w:rPr>
        <w:t>isposée à promouvoir un véritable partenariat avec l’Union et ses États membres et à régler les divergences par le dialogue et dans le respect du droit international. Il a également insisté sur le fait que l’Union européenne restait déterminée à défendre s</w:t>
      </w:r>
      <w:r>
        <w:rPr>
          <w:rFonts w:ascii="Times New Roman" w:hAnsi="Times New Roman"/>
          <w:noProof/>
          <w:sz w:val="24"/>
          <w:szCs w:val="24"/>
          <w:lang w:val="fr-FR"/>
        </w:rPr>
        <w:t>es intérêts et ceux de ses États membres ainsi qu’à préserver la stabilité régionale.</w:t>
      </w:r>
    </w:p>
    <w:p w:rsidR="008928FB" w:rsidRDefault="00CD358F">
      <w:pPr>
        <w:autoSpaceDE w:val="0"/>
        <w:autoSpaceDN w:val="0"/>
        <w:jc w:val="both"/>
        <w:rPr>
          <w:rFonts w:ascii="Times New Roman" w:hAnsi="Times New Roman" w:cs="Times New Roman"/>
          <w:noProof/>
          <w:sz w:val="24"/>
          <w:szCs w:val="24"/>
          <w:lang w:val="fr-FR"/>
        </w:rPr>
      </w:pPr>
      <w:r>
        <w:rPr>
          <w:rFonts w:ascii="Times New Roman" w:hAnsi="Times New Roman"/>
          <w:noProof/>
          <w:sz w:val="24"/>
          <w:szCs w:val="24"/>
          <w:lang w:val="fr-FR"/>
        </w:rPr>
        <w:t>À cet égard, le Conseil européen a invité le haut représentant et la Commission à présenter un rapport sur l’état des lieux en ce qui concerne les relations politiques, é</w:t>
      </w:r>
      <w:r>
        <w:rPr>
          <w:rFonts w:ascii="Times New Roman" w:hAnsi="Times New Roman"/>
          <w:noProof/>
          <w:sz w:val="24"/>
          <w:szCs w:val="24"/>
          <w:lang w:val="fr-FR"/>
        </w:rPr>
        <w:t>conomiques et commerciales entre l’UE et la Turquie, et sur les instruments et options quant à la marche à suivre, y compris en ce qui concerne l’extension du champ d’application de la décision du Conseil du 11 novembre 2019</w:t>
      </w:r>
      <w:r>
        <w:rPr>
          <w:rFonts w:ascii="Times New Roman" w:hAnsi="Times New Roman" w:cs="Times New Roman"/>
          <w:noProof/>
          <w:sz w:val="24"/>
          <w:szCs w:val="24"/>
          <w:vertAlign w:val="superscript"/>
        </w:rPr>
        <w:footnoteReference w:id="2"/>
      </w:r>
      <w:r>
        <w:rPr>
          <w:rFonts w:ascii="Times New Roman" w:hAnsi="Times New Roman"/>
          <w:noProof/>
          <w:sz w:val="24"/>
          <w:szCs w:val="24"/>
          <w:lang w:val="fr-FR"/>
        </w:rPr>
        <w:t>, pour examen au plus tard lors</w:t>
      </w:r>
      <w:r>
        <w:rPr>
          <w:rFonts w:ascii="Times New Roman" w:hAnsi="Times New Roman"/>
          <w:noProof/>
          <w:sz w:val="24"/>
          <w:szCs w:val="24"/>
          <w:lang w:val="fr-FR"/>
        </w:rPr>
        <w:t xml:space="preserve"> du Conseil européen de mars 2021. La présente communication conjointe constitue la réponse à cette invitation. Elle ne se substitue pas au prochain paquet «Élargissement» de la Commission, et notamment au rapport sur la Turquie, et n’en préjuge pas.</w:t>
      </w:r>
    </w:p>
    <w:p w:rsidR="008928FB" w:rsidRDefault="00CD358F">
      <w:pPr>
        <w:autoSpaceDE w:val="0"/>
        <w:autoSpaceDN w:val="0"/>
        <w:jc w:val="both"/>
        <w:rPr>
          <w:rFonts w:ascii="Times New Roman" w:hAnsi="Times New Roman" w:cs="Times New Roman"/>
          <w:b/>
          <w:noProof/>
          <w:sz w:val="24"/>
          <w:szCs w:val="24"/>
          <w:lang w:val="fr-FR"/>
        </w:rPr>
      </w:pPr>
      <w:r>
        <w:rPr>
          <w:rFonts w:ascii="Times New Roman" w:hAnsi="Times New Roman"/>
          <w:b/>
          <w:noProof/>
          <w:sz w:val="24"/>
          <w:szCs w:val="24"/>
          <w:lang w:val="fr-FR"/>
        </w:rPr>
        <w:t>II.</w:t>
      </w:r>
      <w:r>
        <w:rPr>
          <w:noProof/>
          <w:lang w:val="fr-FR"/>
        </w:rPr>
        <w:tab/>
      </w:r>
      <w:r>
        <w:rPr>
          <w:rFonts w:ascii="Times New Roman" w:hAnsi="Times New Roman"/>
          <w:b/>
          <w:noProof/>
          <w:sz w:val="24"/>
          <w:szCs w:val="24"/>
          <w:lang w:val="fr-FR"/>
        </w:rPr>
        <w:t>RELATIONS POLITIQUES</w:t>
      </w:r>
    </w:p>
    <w:p w:rsidR="008928FB" w:rsidRDefault="00CD358F">
      <w:pPr>
        <w:pStyle w:val="Default"/>
        <w:spacing w:after="160" w:line="259" w:lineRule="auto"/>
        <w:jc w:val="both"/>
        <w:rPr>
          <w:rFonts w:eastAsia="Times New Roman"/>
          <w:i/>
          <w:noProof/>
          <w:lang w:val="fr-FR"/>
        </w:rPr>
      </w:pPr>
      <w:r>
        <w:rPr>
          <w:noProof/>
          <w:lang w:val="fr-FR"/>
        </w:rPr>
        <w:t>Le contexte politique des relations entre l’UE et la Turquie s’est progressivement dégradé ces dernières années, ce qui a pratiquement mis à l’arrêt les divers instruments et processus en matière de relations et de coopération bilatéra</w:t>
      </w:r>
      <w:r>
        <w:rPr>
          <w:noProof/>
          <w:lang w:val="fr-FR"/>
        </w:rPr>
        <w:t xml:space="preserve">les. Cette situation est principalement le résultat des actions de la Turquie dans la </w:t>
      </w:r>
      <w:r>
        <w:rPr>
          <w:b/>
          <w:noProof/>
          <w:lang w:val="fr-FR"/>
        </w:rPr>
        <w:t>Méditerranée orientale</w:t>
      </w:r>
      <w:r>
        <w:rPr>
          <w:noProof/>
          <w:lang w:val="fr-FR"/>
        </w:rPr>
        <w:t xml:space="preserve">, qui constituent une remise en cause directe des droits de la République de </w:t>
      </w:r>
      <w:r>
        <w:rPr>
          <w:b/>
          <w:noProof/>
          <w:lang w:val="fr-FR"/>
        </w:rPr>
        <w:t>Chypre</w:t>
      </w:r>
      <w:r>
        <w:rPr>
          <w:noProof/>
          <w:lang w:val="fr-FR"/>
        </w:rPr>
        <w:t xml:space="preserve"> dans les zones maritimes de celle-ci, et d’une nette intensifica</w:t>
      </w:r>
      <w:r>
        <w:rPr>
          <w:noProof/>
          <w:lang w:val="fr-FR"/>
        </w:rPr>
        <w:t xml:space="preserve">tion des actes de provocation de la Turquie à l’égard de la </w:t>
      </w:r>
      <w:r>
        <w:rPr>
          <w:b/>
          <w:noProof/>
          <w:lang w:val="fr-FR"/>
        </w:rPr>
        <w:t>Grèce</w:t>
      </w:r>
      <w:r>
        <w:rPr>
          <w:noProof/>
          <w:lang w:val="fr-FR"/>
        </w:rPr>
        <w:t xml:space="preserve">, de l’absence de tout progrès dans le processus de </w:t>
      </w:r>
      <w:r>
        <w:rPr>
          <w:b/>
          <w:noProof/>
          <w:lang w:val="fr-FR"/>
        </w:rPr>
        <w:t>règlement de la question chypriote</w:t>
      </w:r>
      <w:r>
        <w:rPr>
          <w:noProof/>
          <w:lang w:val="fr-FR"/>
        </w:rPr>
        <w:t>, associée aux actes d’intimidation et aux déclarations désobligeantes de la Turquie, et des intervention</w:t>
      </w:r>
      <w:r>
        <w:rPr>
          <w:noProof/>
          <w:lang w:val="fr-FR"/>
        </w:rPr>
        <w:t xml:space="preserve">s incisives de la Turquie dans la plupart des </w:t>
      </w:r>
      <w:r>
        <w:rPr>
          <w:b/>
          <w:noProof/>
          <w:lang w:val="fr-FR"/>
        </w:rPr>
        <w:t>conflits régionaux</w:t>
      </w:r>
      <w:r>
        <w:rPr>
          <w:noProof/>
          <w:lang w:val="fr-FR"/>
        </w:rPr>
        <w:t xml:space="preserve"> de la zone, selon des modalités qui ont souvent été en porte-à-faux par rapport aux intérêts plus larges de l’UE. De surcroît, la </w:t>
      </w:r>
      <w:r>
        <w:rPr>
          <w:b/>
          <w:noProof/>
          <w:lang w:val="fr-FR"/>
        </w:rPr>
        <w:t>situation intérieure</w:t>
      </w:r>
      <w:r>
        <w:rPr>
          <w:noProof/>
          <w:lang w:val="fr-FR"/>
        </w:rPr>
        <w:t xml:space="preserve"> qui continue de se dégrader en Turquie, </w:t>
      </w:r>
      <w:r>
        <w:rPr>
          <w:noProof/>
          <w:lang w:val="fr-FR"/>
        </w:rPr>
        <w:t>notamment dans le domaine des droits fondamentaux et de la gouvernance économique, a eu des répercussions négatives évidentes sur les relations entre la Turquie et les États membres de l’UE, ainsi que sur le programme d’action bilatéral UE</w:t>
      </w:r>
      <w:r>
        <w:rPr>
          <w:noProof/>
          <w:lang w:val="fr-FR"/>
        </w:rPr>
        <w:noBreakHyphen/>
        <w:t xml:space="preserve">Turquie. </w:t>
      </w:r>
      <w:r>
        <w:rPr>
          <w:i/>
          <w:noProof/>
          <w:lang w:val="fr-FR"/>
        </w:rPr>
        <w:t xml:space="preserve"> </w:t>
      </w:r>
    </w:p>
    <w:p w:rsidR="008928FB" w:rsidRDefault="00CD358F">
      <w:pPr>
        <w:ind w:left="360" w:hanging="360"/>
        <w:jc w:val="both"/>
        <w:rPr>
          <w:rFonts w:ascii="Times New Roman" w:eastAsia="Times New Roman" w:hAnsi="Times New Roman" w:cs="Times New Roman"/>
          <w:b/>
          <w:i/>
          <w:noProof/>
          <w:sz w:val="24"/>
          <w:szCs w:val="24"/>
          <w:lang w:val="fr-FR"/>
        </w:rPr>
      </w:pPr>
      <w:r>
        <w:rPr>
          <w:rFonts w:ascii="Times New Roman" w:hAnsi="Times New Roman"/>
          <w:b/>
          <w:i/>
          <w:noProof/>
          <w:sz w:val="24"/>
          <w:szCs w:val="24"/>
          <w:lang w:val="fr-FR"/>
        </w:rPr>
        <w:t xml:space="preserve">1. </w:t>
      </w:r>
      <w:r>
        <w:rPr>
          <w:noProof/>
          <w:lang w:val="fr-FR"/>
        </w:rPr>
        <w:tab/>
      </w:r>
      <w:r>
        <w:rPr>
          <w:rFonts w:ascii="Times New Roman" w:hAnsi="Times New Roman"/>
          <w:b/>
          <w:i/>
          <w:noProof/>
          <w:sz w:val="24"/>
          <w:szCs w:val="24"/>
          <w:lang w:val="fr-FR"/>
        </w:rPr>
        <w:t>M</w:t>
      </w:r>
      <w:r>
        <w:rPr>
          <w:rFonts w:ascii="Times New Roman" w:hAnsi="Times New Roman"/>
          <w:b/>
          <w:i/>
          <w:noProof/>
          <w:sz w:val="24"/>
          <w:szCs w:val="24"/>
          <w:lang w:val="fr-FR"/>
        </w:rPr>
        <w:t>éditerranée orientale</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Les tensions en Méditerranée orientale se sont accrues au cours des dernières années. Elles ont atteint un point culminant à la fin du mois de février 2020, lorsque la Turquie, en violation de la déclaration UE</w:t>
      </w:r>
      <w:r>
        <w:rPr>
          <w:rFonts w:ascii="Times New Roman" w:hAnsi="Times New Roman"/>
          <w:noProof/>
          <w:sz w:val="24"/>
          <w:szCs w:val="24"/>
          <w:lang w:val="fr-FR"/>
        </w:rPr>
        <w:noBreakHyphen/>
      </w:r>
      <w:r>
        <w:rPr>
          <w:rFonts w:ascii="Times New Roman" w:hAnsi="Times New Roman"/>
          <w:noProof/>
          <w:sz w:val="24"/>
          <w:szCs w:val="24"/>
          <w:lang w:val="fr-FR"/>
        </w:rPr>
        <w:t xml:space="preserve">Turquie de mars 2016, a activement encouragé des migrants et des réfugiés à entrer illégalement dans l’UE. Il en est résulté des situations de violence aux frontières terrestres et maritimes de la </w:t>
      </w:r>
      <w:r>
        <w:rPr>
          <w:rFonts w:ascii="Times New Roman" w:hAnsi="Times New Roman"/>
          <w:b/>
          <w:noProof/>
          <w:sz w:val="24"/>
          <w:szCs w:val="24"/>
          <w:lang w:val="fr-FR"/>
        </w:rPr>
        <w:t>Grèce</w:t>
      </w:r>
      <w:r>
        <w:rPr>
          <w:rFonts w:ascii="Times New Roman" w:hAnsi="Times New Roman"/>
          <w:noProof/>
          <w:sz w:val="24"/>
          <w:szCs w:val="24"/>
          <w:lang w:val="fr-FR"/>
        </w:rPr>
        <w:t>. Une crise majeure a été évitée grâce à une action di</w:t>
      </w:r>
      <w:r>
        <w:rPr>
          <w:rFonts w:ascii="Times New Roman" w:hAnsi="Times New Roman"/>
          <w:noProof/>
          <w:sz w:val="24"/>
          <w:szCs w:val="24"/>
          <w:lang w:val="fr-FR"/>
        </w:rPr>
        <w:t>plomatique forte, notamment la visite à Ankara du président du Conseil européen et du haut représentant/vice-président, et un déplacement conjoint des présidents du Parlement européen, du Conseil européen et de la Commission européenne à la frontière grecq</w:t>
      </w:r>
      <w:r>
        <w:rPr>
          <w:rFonts w:ascii="Times New Roman" w:hAnsi="Times New Roman"/>
          <w:noProof/>
          <w:sz w:val="24"/>
          <w:szCs w:val="24"/>
          <w:lang w:val="fr-FR"/>
        </w:rPr>
        <w:t xml:space="preserve">ue. Le président Erdogan a ensuite fait le déplacement jusqu’à Bruxelles au début du mois de mars. </w:t>
      </w:r>
    </w:p>
    <w:p w:rsidR="008928FB" w:rsidRDefault="00CD358F">
      <w:pPr>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Toute l’année, les autorités turques ont poursuivi le déploiement non autorisé de navires de forage ou d’exploration dans les zones maritimes de la Républiq</w:t>
      </w:r>
      <w:r>
        <w:rPr>
          <w:rFonts w:ascii="Times New Roman" w:hAnsi="Times New Roman"/>
          <w:noProof/>
          <w:sz w:val="24"/>
          <w:szCs w:val="24"/>
          <w:lang w:val="fr-FR"/>
        </w:rPr>
        <w:t xml:space="preserve">ue de </w:t>
      </w:r>
      <w:r>
        <w:rPr>
          <w:rFonts w:ascii="Times New Roman" w:hAnsi="Times New Roman"/>
          <w:b/>
          <w:noProof/>
          <w:sz w:val="24"/>
          <w:szCs w:val="24"/>
          <w:lang w:val="fr-FR"/>
        </w:rPr>
        <w:t>Chypre</w:t>
      </w:r>
      <w:r>
        <w:rPr>
          <w:rFonts w:ascii="Times New Roman" w:hAnsi="Times New Roman"/>
          <w:noProof/>
          <w:sz w:val="24"/>
          <w:szCs w:val="24"/>
          <w:lang w:val="fr-FR"/>
        </w:rPr>
        <w:t xml:space="preserve">. </w:t>
      </w:r>
    </w:p>
    <w:p w:rsidR="008928FB" w:rsidRDefault="00CD358F">
      <w:pPr>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 xml:space="preserve">La contestation par la Turquie de frontières maritimes avec la </w:t>
      </w:r>
      <w:r>
        <w:rPr>
          <w:rFonts w:ascii="Times New Roman" w:hAnsi="Times New Roman"/>
          <w:b/>
          <w:noProof/>
          <w:sz w:val="24"/>
          <w:szCs w:val="24"/>
          <w:lang w:val="fr-FR"/>
        </w:rPr>
        <w:t>Grèce</w:t>
      </w:r>
      <w:r>
        <w:rPr>
          <w:rFonts w:ascii="Times New Roman" w:hAnsi="Times New Roman"/>
          <w:noProof/>
          <w:sz w:val="24"/>
          <w:szCs w:val="24"/>
          <w:lang w:val="fr-FR"/>
        </w:rPr>
        <w:t xml:space="preserve"> en mer Égée et dans la Méditerranée orientale est restée une source de nervosité majeure. En août et en octobre, la Turquie a déployé un navire de recherche sismique près d</w:t>
      </w:r>
      <w:r>
        <w:rPr>
          <w:rFonts w:ascii="Times New Roman" w:hAnsi="Times New Roman"/>
          <w:noProof/>
          <w:sz w:val="24"/>
          <w:szCs w:val="24"/>
          <w:lang w:val="fr-FR"/>
        </w:rPr>
        <w:t xml:space="preserve">e l’île grecque de Kastellorizo, ce qui a fait grimper la tension au point que les deux alliés au sein de l’OTAN ont été proches d’un possible affrontement. Ces actions se sont accompagnées de nombreuses déclarations hostiles remettant en cause les droits </w:t>
      </w:r>
      <w:r>
        <w:rPr>
          <w:rFonts w:ascii="Times New Roman" w:hAnsi="Times New Roman"/>
          <w:noProof/>
          <w:sz w:val="24"/>
          <w:szCs w:val="24"/>
          <w:lang w:val="fr-FR"/>
        </w:rPr>
        <w:t xml:space="preserve">tant de la République de Chypre que de la Grèce. La marine turque a escorté les navires de forage au cours de leurs opérations. Les actions en mer comprenaient des manœuvres militaires et ont conduit à des incidents avec des États membres.  </w:t>
      </w:r>
    </w:p>
    <w:p w:rsidR="008928FB" w:rsidRDefault="00CD358F">
      <w:pPr>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En ce qui conc</w:t>
      </w:r>
      <w:r>
        <w:rPr>
          <w:rFonts w:ascii="Times New Roman" w:hAnsi="Times New Roman"/>
          <w:noProof/>
          <w:sz w:val="24"/>
          <w:szCs w:val="24"/>
          <w:lang w:val="fr-FR"/>
        </w:rPr>
        <w:t xml:space="preserve">erne la </w:t>
      </w:r>
      <w:r>
        <w:rPr>
          <w:rFonts w:ascii="Times New Roman" w:hAnsi="Times New Roman"/>
          <w:b/>
          <w:noProof/>
          <w:sz w:val="24"/>
          <w:szCs w:val="24"/>
          <w:lang w:val="fr-FR"/>
        </w:rPr>
        <w:t>Grèce</w:t>
      </w:r>
      <w:r>
        <w:rPr>
          <w:rFonts w:ascii="Times New Roman" w:hAnsi="Times New Roman"/>
          <w:noProof/>
          <w:sz w:val="24"/>
          <w:szCs w:val="24"/>
          <w:lang w:val="fr-FR"/>
        </w:rPr>
        <w:t>, la signature d’un protocole d’accord bilatéral relatif à la délimitation des juridictions maritimes en mer Méditerranée entre la Turquie et le gouvernement d’entente nationale libyen en novembre 2019 a encore accru les tensions. Ledit protoc</w:t>
      </w:r>
      <w:r>
        <w:rPr>
          <w:rFonts w:ascii="Times New Roman" w:hAnsi="Times New Roman"/>
          <w:noProof/>
          <w:sz w:val="24"/>
          <w:szCs w:val="24"/>
          <w:lang w:val="fr-FR"/>
        </w:rPr>
        <w:t xml:space="preserve">ole ne tenait pas compte des droits des îles grecques situées dans les zones concernées. On a assisté, tout au long de l’année, à une nouvelle escalade d’autres actions de provocation de la Turquie vis-à-vis de la Grèce, notamment le survol par des avions </w:t>
      </w:r>
      <w:r>
        <w:rPr>
          <w:rFonts w:ascii="Times New Roman" w:hAnsi="Times New Roman"/>
          <w:noProof/>
          <w:sz w:val="24"/>
          <w:szCs w:val="24"/>
          <w:lang w:val="fr-FR"/>
        </w:rPr>
        <w:t>turcs de zones d’habitation grecques et des exercices navals menaçants, avec des déclarations d’intimidation. Les différends maritimes entre la Grèce et la Turquie ne sont pas nouveaux, mais le dialogue visant à les résoudre a été interrompu en 2016, et 20</w:t>
      </w:r>
      <w:r>
        <w:rPr>
          <w:rFonts w:ascii="Times New Roman" w:hAnsi="Times New Roman"/>
          <w:noProof/>
          <w:sz w:val="24"/>
          <w:szCs w:val="24"/>
          <w:lang w:val="fr-FR"/>
        </w:rPr>
        <w:t xml:space="preserve">20 a été une année d’altercations constantes et de tension permanente qui ont incité l’OTAN à mener des pourparlers de désescalade entre la Grèce et la Turquie. </w:t>
      </w:r>
    </w:p>
    <w:p w:rsidR="008928FB" w:rsidRDefault="00CD358F">
      <w:pPr>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Le Conseil européen de décembre 2020, tout en condamnant à nouveau les actes provocateurs anté</w:t>
      </w:r>
      <w:r>
        <w:rPr>
          <w:rFonts w:ascii="Times New Roman" w:hAnsi="Times New Roman"/>
          <w:noProof/>
          <w:sz w:val="24"/>
          <w:szCs w:val="24"/>
          <w:lang w:val="fr-FR"/>
        </w:rPr>
        <w:t xml:space="preserve">rieurs de la Turquie, a souligné l’importance des relations entre ce pays et l’UE et a proposé une </w:t>
      </w:r>
      <w:r>
        <w:rPr>
          <w:rFonts w:ascii="Times New Roman" w:hAnsi="Times New Roman"/>
          <w:b/>
          <w:noProof/>
          <w:sz w:val="24"/>
          <w:szCs w:val="24"/>
          <w:lang w:val="fr-FR"/>
        </w:rPr>
        <w:t>perspective pour la reprise du dialogue</w:t>
      </w:r>
      <w:r>
        <w:rPr>
          <w:rFonts w:ascii="Times New Roman" w:hAnsi="Times New Roman"/>
          <w:noProof/>
          <w:sz w:val="24"/>
          <w:szCs w:val="24"/>
          <w:lang w:val="fr-FR"/>
        </w:rPr>
        <w:t xml:space="preserve"> si la Turquie renonçait à la logique inamicale dans laquelle elle s’était engagée. Il a également indiqué que dans le</w:t>
      </w:r>
      <w:r>
        <w:rPr>
          <w:rFonts w:ascii="Times New Roman" w:hAnsi="Times New Roman"/>
          <w:noProof/>
          <w:sz w:val="24"/>
          <w:szCs w:val="24"/>
          <w:lang w:val="fr-FR"/>
        </w:rPr>
        <w:t xml:space="preserve"> cas contraire, </w:t>
      </w:r>
      <w:r>
        <w:rPr>
          <w:rFonts w:ascii="Times New Roman" w:hAnsi="Times New Roman"/>
          <w:b/>
          <w:noProof/>
          <w:sz w:val="24"/>
          <w:szCs w:val="24"/>
          <w:lang w:val="fr-FR"/>
        </w:rPr>
        <w:t>d’autres voies</w:t>
      </w:r>
      <w:r>
        <w:rPr>
          <w:rFonts w:ascii="Times New Roman" w:hAnsi="Times New Roman"/>
          <w:noProof/>
          <w:sz w:val="24"/>
          <w:szCs w:val="24"/>
          <w:lang w:val="fr-FR"/>
        </w:rPr>
        <w:t xml:space="preserve"> seraient envisagées. </w:t>
      </w:r>
    </w:p>
    <w:p w:rsidR="008928FB" w:rsidRDefault="00CD358F">
      <w:pPr>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 xml:space="preserve">La situation a commencé à changer vers la fin de l’année. La Turquie a globalement bien accueilli les conclusions du Conseil européen de décembre et a commencé à manifester son attachement à la relation </w:t>
      </w:r>
      <w:r>
        <w:rPr>
          <w:rFonts w:ascii="Times New Roman" w:hAnsi="Times New Roman"/>
          <w:noProof/>
          <w:sz w:val="24"/>
          <w:szCs w:val="24"/>
          <w:lang w:val="fr-FR"/>
        </w:rPr>
        <w:t xml:space="preserve">avec l’Union européenne et ses États membres. À ce jour, les déploiements conflictuels de navires turcs ont cessé et des signaux de reprise du dialogue ont continué d’être envoyés. Une dynamique positive en vue d’un dialogue et de négociations a été créée </w:t>
      </w:r>
      <w:r>
        <w:rPr>
          <w:rFonts w:ascii="Times New Roman" w:hAnsi="Times New Roman"/>
          <w:noProof/>
          <w:sz w:val="24"/>
          <w:szCs w:val="24"/>
          <w:lang w:val="fr-FR"/>
        </w:rPr>
        <w:t>et les premières étapes des deux processus de négociation principaux ont été relancées: la reprise des pourparlers exploratoires sur les différends maritimes entre la Grèce et la Turquie le 25 janvier, et le dialogue sur une reprise du processus de règleme</w:t>
      </w:r>
      <w:r>
        <w:rPr>
          <w:rFonts w:ascii="Times New Roman" w:hAnsi="Times New Roman"/>
          <w:noProof/>
          <w:sz w:val="24"/>
          <w:szCs w:val="24"/>
          <w:lang w:val="fr-FR"/>
        </w:rPr>
        <w:t xml:space="preserve">nt de la question chypriote, pour lequel des entretiens informels ont été programmés (ils se dérouleront du 27 au 29 avril à Genève). </w:t>
      </w:r>
    </w:p>
    <w:p w:rsidR="008928FB" w:rsidRDefault="00CD358F">
      <w:pPr>
        <w:pStyle w:val="ListParagraph"/>
        <w:ind w:left="0"/>
        <w:contextualSpacing w:val="0"/>
        <w:jc w:val="both"/>
        <w:rPr>
          <w:rFonts w:ascii="Times New Roman" w:hAnsi="Times New Roman" w:cs="Times New Roman"/>
          <w:noProof/>
          <w:sz w:val="24"/>
          <w:szCs w:val="24"/>
          <w:shd w:val="clear" w:color="000000" w:fill="FFFFFF"/>
          <w:lang w:val="fr-FR"/>
        </w:rPr>
      </w:pPr>
      <w:r>
        <w:rPr>
          <w:rFonts w:ascii="Times New Roman" w:hAnsi="Times New Roman"/>
          <w:noProof/>
          <w:sz w:val="24"/>
          <w:szCs w:val="24"/>
          <w:lang w:val="fr-FR"/>
        </w:rPr>
        <w:t xml:space="preserve">La délimitation du plateau continental et des zones économiques exclusives devrait faire l’objet d’un dialogue et de </w:t>
      </w:r>
      <w:r>
        <w:rPr>
          <w:rFonts w:ascii="Times New Roman" w:hAnsi="Times New Roman"/>
          <w:noProof/>
          <w:sz w:val="24"/>
          <w:szCs w:val="24"/>
          <w:lang w:val="fr-FR"/>
        </w:rPr>
        <w:t>négociations de bonne foi, dans le respect du droit international, notamment la CNUDM,</w:t>
      </w:r>
      <w:r>
        <w:rPr>
          <w:rFonts w:ascii="Times New Roman" w:hAnsi="Times New Roman"/>
          <w:noProof/>
          <w:sz w:val="24"/>
          <w:szCs w:val="24"/>
          <w:shd w:val="clear" w:color="000000" w:fill="FFFFFF"/>
          <w:lang w:val="fr-FR"/>
        </w:rPr>
        <w:t xml:space="preserve"> la Cour internationale de justice étant sollicitée si nécessaire.</w:t>
      </w:r>
      <w:r>
        <w:rPr>
          <w:rFonts w:ascii="Times New Roman" w:hAnsi="Times New Roman"/>
          <w:noProof/>
          <w:sz w:val="24"/>
          <w:szCs w:val="24"/>
          <w:lang w:val="fr-FR"/>
        </w:rPr>
        <w:t xml:space="preserve"> Dans le contexte décrit ci-dessus, un engagement univoque en faveur des relations de bon voisinage et d</w:t>
      </w:r>
      <w:r>
        <w:rPr>
          <w:rFonts w:ascii="Times New Roman" w:hAnsi="Times New Roman"/>
          <w:noProof/>
          <w:sz w:val="24"/>
          <w:szCs w:val="24"/>
          <w:lang w:val="fr-FR"/>
        </w:rPr>
        <w:t xml:space="preserve">u règlement pacifique des différends </w:t>
      </w:r>
      <w:r>
        <w:rPr>
          <w:rFonts w:ascii="Times New Roman" w:hAnsi="Times New Roman"/>
          <w:noProof/>
          <w:sz w:val="24"/>
          <w:szCs w:val="24"/>
          <w:shd w:val="clear" w:color="000000" w:fill="FFFFFF"/>
          <w:lang w:val="fr-FR"/>
        </w:rPr>
        <w:t>demeure essentiel</w:t>
      </w:r>
      <w:r>
        <w:rPr>
          <w:rFonts w:ascii="Times New Roman" w:hAnsi="Times New Roman"/>
          <w:noProof/>
          <w:sz w:val="24"/>
          <w:szCs w:val="24"/>
          <w:lang w:val="fr-FR"/>
        </w:rPr>
        <w:t>.</w:t>
      </w:r>
      <w:r>
        <w:rPr>
          <w:rFonts w:ascii="Times New Roman" w:hAnsi="Times New Roman"/>
          <w:noProof/>
          <w:sz w:val="24"/>
          <w:szCs w:val="24"/>
          <w:shd w:val="clear" w:color="000000" w:fill="FFFFFF"/>
          <w:lang w:val="fr-FR"/>
        </w:rPr>
        <w:t xml:space="preserve"> </w:t>
      </w:r>
    </w:p>
    <w:p w:rsidR="008928FB" w:rsidRDefault="00CD358F">
      <w:pPr>
        <w:pStyle w:val="ListParagraph"/>
        <w:ind w:left="0"/>
        <w:contextualSpacing w:val="0"/>
        <w:jc w:val="both"/>
        <w:rPr>
          <w:rFonts w:ascii="Times New Roman" w:eastAsia="Arial" w:hAnsi="Times New Roman" w:cs="Times New Roman"/>
          <w:noProof/>
          <w:sz w:val="24"/>
          <w:szCs w:val="24"/>
          <w:bdr w:val="nil"/>
          <w:lang w:val="fr-FR"/>
          <w14:textOutline w14:w="12700" w14:cap="flat" w14:cmpd="sng" w14:algn="ctr">
            <w14:noFill/>
            <w14:prstDash w14:val="solid"/>
            <w14:bevel/>
          </w14:textOutline>
        </w:rPr>
      </w:pPr>
      <w:r>
        <w:rPr>
          <w:rFonts w:ascii="Times New Roman" w:hAnsi="Times New Roman"/>
          <w:noProof/>
          <w:sz w:val="24"/>
          <w:szCs w:val="24"/>
          <w:lang w:val="fr-FR"/>
        </w:rPr>
        <w:t>Le haut représentant déploie des efforts constants en vue de créer un environnement permettant d’aboutir à une dé</w:t>
      </w:r>
      <w:r>
        <w:rPr>
          <w:rFonts w:ascii="Times New Roman" w:hAnsi="Times New Roman"/>
          <w:noProof/>
          <w:sz w:val="24"/>
          <w:szCs w:val="24"/>
          <w:lang w:val="fr-FR"/>
        </w:rPr>
        <w:t>sescalade durable dans la région. Le retrait du navire de recherche sismique turc «Oruç Reis» a permis la reprise des pourparlers exploratoires directs entre la Grèce et la Turquie le 25 janvier 2021. Le dernier cycle de pourparlers (le 62</w:t>
      </w:r>
      <w:r>
        <w:rPr>
          <w:rFonts w:ascii="Times New Roman" w:hAnsi="Times New Roman"/>
          <w:noProof/>
          <w:sz w:val="24"/>
          <w:szCs w:val="24"/>
          <w:vertAlign w:val="superscript"/>
          <w:lang w:val="fr-FR"/>
        </w:rPr>
        <w:t>e</w:t>
      </w:r>
      <w:r>
        <w:rPr>
          <w:rFonts w:ascii="Times New Roman" w:hAnsi="Times New Roman"/>
          <w:noProof/>
          <w:sz w:val="24"/>
          <w:szCs w:val="24"/>
          <w:lang w:val="fr-FR"/>
        </w:rPr>
        <w:t>) a eu lieu le 1</w:t>
      </w:r>
      <w:r>
        <w:rPr>
          <w:rFonts w:ascii="Times New Roman" w:hAnsi="Times New Roman"/>
          <w:noProof/>
          <w:sz w:val="24"/>
          <w:szCs w:val="24"/>
          <w:lang w:val="fr-FR"/>
        </w:rPr>
        <w:t xml:space="preserve">6 mars 2021 à Athènes, immédiatement suivi de consultations politiques (le 17 mars) au niveau des hauts fonctionnaires. La Turquie doit démontrer que sa position en Méditerranée orientale suit une logique crédible, sans retours en arrière, afin de prouver </w:t>
      </w:r>
      <w:r>
        <w:rPr>
          <w:rFonts w:ascii="Times New Roman" w:hAnsi="Times New Roman"/>
          <w:noProof/>
          <w:sz w:val="24"/>
          <w:szCs w:val="24"/>
          <w:lang w:val="fr-FR"/>
        </w:rPr>
        <w:t>que les intentions qu’elle exprime sont sincères, et de faire en sorte que la désescalade plus large dans la région soit permanente.</w:t>
      </w:r>
      <w:r>
        <w:rPr>
          <w:rFonts w:ascii="Times New Roman" w:hAnsi="Times New Roman"/>
          <w:noProof/>
          <w:sz w:val="24"/>
          <w:szCs w:val="24"/>
          <w:bdr w:val="nil"/>
          <w:lang w:val="fr-FR"/>
          <w14:textOutline w14:w="12700" w14:cap="flat" w14:cmpd="sng" w14:algn="ctr">
            <w14:noFill/>
            <w14:prstDash w14:val="solid"/>
            <w14:bevel/>
          </w14:textOutline>
        </w:rPr>
        <w:t xml:space="preserve"> Des incidents mineurs survenus récemment nous rappellent que la désescalade reste précaire et doit être affermie</w:t>
      </w:r>
      <w:r>
        <w:rPr>
          <w:rFonts w:ascii="Times New Roman" w:eastAsia="Arial" w:hAnsi="Times New Roman" w:cs="Times New Roman"/>
          <w:noProof/>
          <w:sz w:val="24"/>
          <w:szCs w:val="24"/>
          <w:bdr w:val="nil"/>
          <w:lang w:val="fr-FR"/>
          <w14:textOutline w14:w="12700" w14:cap="flat" w14:cmpd="sng" w14:algn="ctr">
            <w14:noFill/>
            <w14:prstDash w14:val="solid"/>
            <w14:bevel/>
          </w14:textOutline>
        </w:rPr>
        <w:t>.</w:t>
      </w:r>
    </w:p>
    <w:p w:rsidR="008928FB" w:rsidRDefault="00CD358F">
      <w:pPr>
        <w:ind w:left="426" w:hanging="426"/>
        <w:jc w:val="both"/>
        <w:rPr>
          <w:rFonts w:ascii="Times New Roman" w:eastAsia="Times New Roman" w:hAnsi="Times New Roman" w:cs="Times New Roman"/>
          <w:b/>
          <w:i/>
          <w:noProof/>
          <w:sz w:val="24"/>
          <w:szCs w:val="24"/>
          <w:lang w:val="fr-FR"/>
        </w:rPr>
      </w:pPr>
      <w:r>
        <w:rPr>
          <w:rFonts w:ascii="Times New Roman" w:eastAsia="Times New Roman" w:hAnsi="Times New Roman" w:cs="Times New Roman"/>
          <w:b/>
          <w:i/>
          <w:noProof/>
          <w:sz w:val="24"/>
          <w:szCs w:val="24"/>
          <w:lang w:val="fr-FR" w:eastAsia="en-GB"/>
        </w:rPr>
        <w:t xml:space="preserve">2. </w:t>
      </w:r>
      <w:r>
        <w:rPr>
          <w:rFonts w:ascii="Times New Roman" w:eastAsia="Times New Roman" w:hAnsi="Times New Roman" w:cs="Times New Roman"/>
          <w:b/>
          <w:i/>
          <w:noProof/>
          <w:sz w:val="24"/>
          <w:szCs w:val="24"/>
          <w:lang w:val="fr-FR" w:eastAsia="en-GB"/>
        </w:rPr>
        <w:tab/>
      </w:r>
      <w:r>
        <w:rPr>
          <w:rFonts w:ascii="Times New Roman" w:hAnsi="Times New Roman"/>
          <w:b/>
          <w:i/>
          <w:noProof/>
          <w:sz w:val="24"/>
          <w:szCs w:val="24"/>
          <w:lang w:val="fr-FR"/>
        </w:rPr>
        <w:t>Question chypriote</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Le règlement de la question chypriote est au cœur des désaccords importants entre la Turquie e</w:t>
      </w:r>
      <w:r>
        <w:rPr>
          <w:rFonts w:ascii="Times New Roman" w:hAnsi="Times New Roman"/>
          <w:noProof/>
          <w:sz w:val="24"/>
          <w:szCs w:val="24"/>
          <w:lang w:val="fr-FR"/>
        </w:rPr>
        <w:t>t l’UE en Méditerranée orientale. En 2020, les espoirs de voir le processus de règlement de cette question progresser ont dû être mis en attente jusqu’à l’issue des élections de la communauté chypriote turque, en octobre/novembre. Le contexte électoral a e</w:t>
      </w:r>
      <w:r>
        <w:rPr>
          <w:rFonts w:ascii="Times New Roman" w:hAnsi="Times New Roman"/>
          <w:noProof/>
          <w:sz w:val="24"/>
          <w:szCs w:val="24"/>
          <w:lang w:val="fr-FR"/>
        </w:rPr>
        <w:t>ntraîné une multiplication des discours clivants et des provocations, ce qui a suscité de vives réactions de la part de l’UE, comme en témoignent les conclusions du Conseil et du Conseil européen</w:t>
      </w:r>
      <w:r>
        <w:rPr>
          <w:rFonts w:ascii="Times New Roman" w:hAnsi="Times New Roman" w:cs="Times New Roman"/>
          <w:noProof/>
          <w:sz w:val="24"/>
          <w:szCs w:val="24"/>
          <w:lang w:val="fr-FR"/>
        </w:rPr>
        <w:t>.</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Depuis le début de son mandat, et en particulier lors de se</w:t>
      </w:r>
      <w:r>
        <w:rPr>
          <w:rFonts w:ascii="Times New Roman" w:hAnsi="Times New Roman"/>
          <w:noProof/>
          <w:sz w:val="24"/>
          <w:szCs w:val="24"/>
          <w:lang w:val="fr-FR"/>
        </w:rPr>
        <w:t xml:space="preserve">s visites à Chypre en juin 2020 et en mars 2021, le haut représentant/vice-président a exprimé son soutien sans réserve au secrétaire général de l’Organisation des Nations unies (ONU) en vue de la reprise rapide des </w:t>
      </w:r>
      <w:r>
        <w:rPr>
          <w:rFonts w:ascii="Times New Roman" w:hAnsi="Times New Roman"/>
          <w:b/>
          <w:noProof/>
          <w:sz w:val="24"/>
          <w:szCs w:val="24"/>
          <w:lang w:val="fr-FR"/>
        </w:rPr>
        <w:t xml:space="preserve">pourparlers visant à régler la question </w:t>
      </w:r>
      <w:r>
        <w:rPr>
          <w:rFonts w:ascii="Times New Roman" w:hAnsi="Times New Roman"/>
          <w:b/>
          <w:noProof/>
          <w:sz w:val="24"/>
          <w:szCs w:val="24"/>
          <w:lang w:val="fr-FR"/>
        </w:rPr>
        <w:t>chypriote</w:t>
      </w:r>
      <w:r>
        <w:rPr>
          <w:rFonts w:ascii="Times New Roman" w:hAnsi="Times New Roman"/>
          <w:noProof/>
          <w:sz w:val="24"/>
          <w:szCs w:val="24"/>
          <w:lang w:val="fr-FR"/>
        </w:rPr>
        <w:t xml:space="preserve">. L’équipe du secrétaire général de l’ONU a continué d’œuvrer sans relâche, malgré les mesures unilatérales prises dans la zone clôturée de </w:t>
      </w:r>
      <w:r>
        <w:rPr>
          <w:rFonts w:ascii="Times New Roman" w:hAnsi="Times New Roman"/>
          <w:b/>
          <w:noProof/>
          <w:sz w:val="24"/>
          <w:szCs w:val="24"/>
          <w:lang w:val="fr-FR"/>
        </w:rPr>
        <w:t>Varosha</w:t>
      </w:r>
      <w:r>
        <w:rPr>
          <w:rFonts w:ascii="Times New Roman" w:hAnsi="Times New Roman"/>
          <w:noProof/>
          <w:sz w:val="24"/>
          <w:szCs w:val="24"/>
          <w:lang w:val="fr-FR"/>
        </w:rPr>
        <w:t xml:space="preserve"> et les déclarations répétées remettant directement en cause la base convenue de la solution au problème chypriote, telle que figurant dans les résolutions du Conseil de sécurité de l’ONU à ce sujet, dont la dernière (la résolution 2561) a été adoptée le 2</w:t>
      </w:r>
      <w:r>
        <w:rPr>
          <w:rFonts w:ascii="Times New Roman" w:hAnsi="Times New Roman"/>
          <w:noProof/>
          <w:sz w:val="24"/>
          <w:szCs w:val="24"/>
          <w:lang w:val="fr-FR"/>
        </w:rPr>
        <w:t>9 janvier 2021. Tant l’UE que l’ONU ont demandé à la Turquie de revenir sur les mesures unilatérales prises à Varosha en novembre 2020 (c’est-à-dire sur l’ouverture de la zone clôturée de la plage).</w:t>
      </w:r>
    </w:p>
    <w:p w:rsidR="008928FB" w:rsidRDefault="00CD358F">
      <w:pPr>
        <w:pStyle w:val="Default"/>
        <w:spacing w:after="160" w:line="259" w:lineRule="auto"/>
        <w:jc w:val="both"/>
        <w:rPr>
          <w:noProof/>
          <w:lang w:val="fr-FR"/>
        </w:rPr>
      </w:pPr>
      <w:r>
        <w:rPr>
          <w:noProof/>
          <w:lang w:val="fr-FR"/>
        </w:rPr>
        <w:t xml:space="preserve">Depuis les pourparlers de paix de Crans-Montana en 2017, </w:t>
      </w:r>
      <w:r>
        <w:rPr>
          <w:noProof/>
          <w:lang w:val="fr-FR"/>
        </w:rPr>
        <w:t>l’Organisation des Nations unies a continué de dialoguer avec l’Union européenne en sa qualité d’observatrice à la conférence sur Chypre, et l’UE a maintenu des contacts très étroits avec les représentants des «5+1». L’UE est attachée à un règlement équita</w:t>
      </w:r>
      <w:r>
        <w:rPr>
          <w:noProof/>
          <w:lang w:val="fr-FR"/>
        </w:rPr>
        <w:t xml:space="preserve">ble, global et viable de la question chypriote, y compris de ses aspects extérieurs, dans le cadre de l’ONU et conformément aux résolutions du Conseil de sécurité de cette dernière à ce sujet, dans le respect des principes sur lesquels l’UE est fondée. Il </w:t>
      </w:r>
      <w:r>
        <w:rPr>
          <w:noProof/>
          <w:lang w:val="fr-FR"/>
        </w:rPr>
        <w:t xml:space="preserve">est essentiel que des pourparlers aient lieu entre les deux communautés et qu’ils débouchent finalement sur un accord pour apaiser les tensions en Méditerranée orientale. Les parties ont échangé un certain nombre de propositions portant sur des </w:t>
      </w:r>
      <w:r>
        <w:rPr>
          <w:b/>
          <w:noProof/>
          <w:lang w:val="fr-FR"/>
        </w:rPr>
        <w:t>mesures vis</w:t>
      </w:r>
      <w:r>
        <w:rPr>
          <w:b/>
          <w:noProof/>
          <w:lang w:val="fr-FR"/>
        </w:rPr>
        <w:t>ant à instaurer un climat de confiance</w:t>
      </w:r>
      <w:r>
        <w:rPr>
          <w:noProof/>
          <w:lang w:val="fr-FR"/>
        </w:rPr>
        <w:t xml:space="preserve">, et notamment sur le </w:t>
      </w:r>
      <w:r>
        <w:rPr>
          <w:b/>
          <w:noProof/>
          <w:lang w:val="fr-FR"/>
        </w:rPr>
        <w:t>partage des recettes provenant de l’exploitation des hydrocarbures</w:t>
      </w:r>
      <w:r>
        <w:rPr>
          <w:noProof/>
          <w:lang w:val="fr-FR"/>
        </w:rPr>
        <w:t xml:space="preserve">, et l’UE reste prête à faciliter les travaux techniques nécessaires à cet égard. Des résultats positifs concernant des questions </w:t>
      </w:r>
      <w:r>
        <w:rPr>
          <w:noProof/>
          <w:lang w:val="fr-FR"/>
        </w:rPr>
        <w:t>pratiques et vitales pour la communauté chypriote turque, telles que la facilitation des exportations de fromage Halloumi/Hellim et la distribution de vaccins contre la COVID-19, pourraient créer un environnement propice à une plus grande confiance</w:t>
      </w:r>
      <w:r>
        <w:rPr>
          <w:rStyle w:val="FootnoteReference"/>
          <w:noProof/>
        </w:rPr>
        <w:footnoteReference w:id="3"/>
      </w:r>
      <w:r>
        <w:rPr>
          <w:noProof/>
          <w:lang w:val="fr-FR"/>
        </w:rPr>
        <w:t>. La mo</w:t>
      </w:r>
      <w:r>
        <w:rPr>
          <w:noProof/>
          <w:lang w:val="fr-FR"/>
        </w:rPr>
        <w:t>bilisation et le soutien de l’UE en faveur du règlement de la question chypriote sont indispensables pour réduire les tensions dans la région. Il est évident que la non-reconnaissance de la République de Chypre par la Turquie continue d’entraîner le blocag</w:t>
      </w:r>
      <w:r>
        <w:rPr>
          <w:noProof/>
          <w:lang w:val="fr-FR"/>
        </w:rPr>
        <w:t xml:space="preserve">e de différentes voies de coopération. La normalisation des relations entre l’UE et la Turquie restera extrêmement difficile en l’absence de solution au problème chypriote. </w:t>
      </w:r>
    </w:p>
    <w:p w:rsidR="008928FB" w:rsidRDefault="00CD358F">
      <w:pPr>
        <w:pStyle w:val="Default"/>
        <w:numPr>
          <w:ilvl w:val="0"/>
          <w:numId w:val="10"/>
        </w:numPr>
        <w:spacing w:after="160" w:line="259" w:lineRule="auto"/>
        <w:ind w:left="426" w:hanging="426"/>
        <w:jc w:val="both"/>
        <w:rPr>
          <w:i/>
          <w:noProof/>
          <w:lang w:val="fr-FR"/>
        </w:rPr>
      </w:pPr>
      <w:r>
        <w:rPr>
          <w:b/>
          <w:i/>
          <w:noProof/>
          <w:lang w:val="fr-FR"/>
        </w:rPr>
        <w:t>Conférence sur la Méditerranée orientale</w:t>
      </w:r>
    </w:p>
    <w:p w:rsidR="008928FB" w:rsidRDefault="00CD358F">
      <w:pPr>
        <w:pStyle w:val="Default"/>
        <w:spacing w:after="160" w:line="259" w:lineRule="auto"/>
        <w:jc w:val="both"/>
        <w:rPr>
          <w:noProof/>
          <w:lang w:val="fr-FR"/>
        </w:rPr>
      </w:pPr>
      <w:r>
        <w:rPr>
          <w:noProof/>
          <w:lang w:val="fr-FR"/>
        </w:rPr>
        <w:t>Le Conseil européen a également chargé le</w:t>
      </w:r>
      <w:r>
        <w:rPr>
          <w:noProof/>
          <w:lang w:val="fr-FR"/>
        </w:rPr>
        <w:t xml:space="preserve"> haut représentant/vice-président d’organiser une conférence régionale multilatérale, à laquelle la Turquie serait associée, dans le cadre d’une action plus vaste visant à instaurer un climat de confiance. Le haut représentant/vice-président a poursuivi le</w:t>
      </w:r>
      <w:r>
        <w:rPr>
          <w:noProof/>
          <w:lang w:val="fr-FR"/>
        </w:rPr>
        <w:t xml:space="preserve">s travaux préparatoires en vue d’une </w:t>
      </w:r>
      <w:r>
        <w:rPr>
          <w:b/>
          <w:noProof/>
          <w:lang w:val="fr-FR"/>
        </w:rPr>
        <w:t>conférence sur la Méditerranée orientale</w:t>
      </w:r>
      <w:r>
        <w:rPr>
          <w:noProof/>
          <w:lang w:val="fr-FR"/>
        </w:rPr>
        <w:t>, en tenant des discussions initiales afin d’en examiner les modalités (portée, participation, processus et calendrier) et les sujets potentiels, sans préjuger d’une éventuelle dé</w:t>
      </w:r>
      <w:r>
        <w:rPr>
          <w:noProof/>
          <w:lang w:val="fr-FR"/>
        </w:rPr>
        <w:t>cision de l’UE quant à la possibilité d’organiser la conférence ou non. Rien n’est encore décidé. Au vu des réactions univoques d’autres participants potentiels, il est peu probable, à moins que la situation dans la région ne change radicalement, qu’une te</w:t>
      </w:r>
      <w:r>
        <w:rPr>
          <w:noProof/>
          <w:lang w:val="fr-FR"/>
        </w:rPr>
        <w:t xml:space="preserve">lle conférence puisse avoir lieu dans un avenir proche. </w:t>
      </w:r>
    </w:p>
    <w:p w:rsidR="008928FB" w:rsidRDefault="00CD358F">
      <w:pPr>
        <w:ind w:left="426" w:hanging="426"/>
        <w:rPr>
          <w:rFonts w:ascii="Times New Roman" w:hAnsi="Times New Roman" w:cs="Times New Roman"/>
          <w:b/>
          <w:i/>
          <w:noProof/>
          <w:sz w:val="24"/>
          <w:szCs w:val="24"/>
          <w:lang w:val="fr-FR"/>
        </w:rPr>
      </w:pPr>
      <w:r>
        <w:rPr>
          <w:rFonts w:ascii="Times New Roman" w:hAnsi="Times New Roman"/>
          <w:b/>
          <w:i/>
          <w:noProof/>
          <w:sz w:val="24"/>
          <w:szCs w:val="24"/>
          <w:lang w:val="fr-FR"/>
        </w:rPr>
        <w:t xml:space="preserve">4. </w:t>
      </w:r>
      <w:r>
        <w:rPr>
          <w:noProof/>
          <w:lang w:val="fr-FR"/>
        </w:rPr>
        <w:tab/>
      </w:r>
      <w:r>
        <w:rPr>
          <w:rFonts w:ascii="Times New Roman" w:hAnsi="Times New Roman"/>
          <w:b/>
          <w:i/>
          <w:noProof/>
          <w:sz w:val="24"/>
          <w:szCs w:val="24"/>
          <w:lang w:val="fr-FR"/>
        </w:rPr>
        <w:t>La région au sens large</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La politique étrangère de plus en plus affirmée de la Turquie s’est heurtée aux priorités de l’UE relevant de sa politique étrangère et de sécurité commune (PESC). Si le c</w:t>
      </w:r>
      <w:r>
        <w:rPr>
          <w:rFonts w:ascii="Times New Roman" w:hAnsi="Times New Roman"/>
          <w:noProof/>
          <w:sz w:val="24"/>
          <w:szCs w:val="24"/>
          <w:lang w:val="fr-FR"/>
        </w:rPr>
        <w:t>adre institutionnel permettant la participation de la Turquie à la PESC et à la politique de sécurité et de défense commune (PSDC) est en place, le taux d'alignement sur ce cadre enregistré pour la Turquie en 2020 se situait aux alentours de 11 %, un nivea</w:t>
      </w:r>
      <w:r>
        <w:rPr>
          <w:rFonts w:ascii="Times New Roman" w:hAnsi="Times New Roman"/>
          <w:noProof/>
          <w:sz w:val="24"/>
          <w:szCs w:val="24"/>
          <w:lang w:val="fr-FR"/>
        </w:rPr>
        <w:t>u particulièrement bas. La Turquie a continué à ne pas s’aligner sur la plupart des décisions du Conseil (mesures restrictives), notamment à l’égard de la Russie, du Venezuela, de la Syrie et de la Libye, ni sur les déclarations de l’UE, telles que celle s</w:t>
      </w:r>
      <w:r>
        <w:rPr>
          <w:rFonts w:ascii="Times New Roman" w:hAnsi="Times New Roman"/>
          <w:noProof/>
          <w:sz w:val="24"/>
          <w:szCs w:val="24"/>
          <w:lang w:val="fr-FR"/>
        </w:rPr>
        <w:t xml:space="preserve">ur le Haut-Karabakh. </w:t>
      </w:r>
    </w:p>
    <w:p w:rsidR="008928FB" w:rsidRDefault="00CD358F">
      <w:pPr>
        <w:jc w:val="both"/>
        <w:rPr>
          <w:rFonts w:ascii="Times New Roman" w:hAnsi="Times New Roman" w:cs="Times New Roman"/>
          <w:b/>
          <w:noProof/>
          <w:sz w:val="24"/>
          <w:szCs w:val="24"/>
          <w:lang w:val="fr-FR"/>
        </w:rPr>
      </w:pPr>
      <w:r>
        <w:rPr>
          <w:rFonts w:ascii="Times New Roman" w:hAnsi="Times New Roman"/>
          <w:noProof/>
          <w:sz w:val="24"/>
          <w:szCs w:val="24"/>
          <w:lang w:val="fr-FR"/>
        </w:rPr>
        <w:t>Le dernier dialogue à haut niveau entre l'UE et la Turquie, portant notamment sur la PESC/PSDC, s’est tenu à Ankara en novembre 2018 et le dernier dialogue au niveau des directeurs politiques en septembre 2019.</w:t>
      </w:r>
      <w:r>
        <w:rPr>
          <w:rFonts w:ascii="Times New Roman" w:hAnsi="Times New Roman"/>
          <w:b/>
          <w:noProof/>
          <w:sz w:val="24"/>
          <w:szCs w:val="24"/>
          <w:lang w:val="fr-FR"/>
        </w:rPr>
        <w:t xml:space="preserve"> </w:t>
      </w:r>
      <w:r>
        <w:rPr>
          <w:rFonts w:ascii="Times New Roman" w:hAnsi="Times New Roman"/>
          <w:noProof/>
          <w:sz w:val="24"/>
          <w:szCs w:val="24"/>
          <w:lang w:val="fr-FR"/>
        </w:rPr>
        <w:t>De nombreux États membr</w:t>
      </w:r>
      <w:r>
        <w:rPr>
          <w:rFonts w:ascii="Times New Roman" w:hAnsi="Times New Roman"/>
          <w:noProof/>
          <w:sz w:val="24"/>
          <w:szCs w:val="24"/>
          <w:lang w:val="fr-FR"/>
        </w:rPr>
        <w:t>es ont tissé des liens bilatéraux étroits avec la Turquie en matière de politique étrangère, de sécurité et de défense.</w:t>
      </w:r>
      <w:r>
        <w:rPr>
          <w:rFonts w:ascii="Times New Roman" w:hAnsi="Times New Roman"/>
          <w:b/>
          <w:noProof/>
          <w:sz w:val="24"/>
          <w:szCs w:val="24"/>
          <w:lang w:val="fr-FR"/>
        </w:rPr>
        <w:t xml:space="preserve"> </w:t>
      </w:r>
      <w:r>
        <w:rPr>
          <w:rFonts w:ascii="Times New Roman" w:hAnsi="Times New Roman"/>
          <w:noProof/>
          <w:sz w:val="24"/>
          <w:szCs w:val="24"/>
          <w:lang w:val="fr-FR"/>
        </w:rPr>
        <w:t>Compte tenu</w:t>
      </w:r>
      <w:r>
        <w:rPr>
          <w:rFonts w:ascii="Times New Roman" w:hAnsi="Times New Roman"/>
          <w:b/>
          <w:noProof/>
          <w:sz w:val="24"/>
          <w:szCs w:val="24"/>
          <w:lang w:val="fr-FR"/>
        </w:rPr>
        <w:t xml:space="preserve"> </w:t>
      </w:r>
      <w:r>
        <w:rPr>
          <w:rFonts w:ascii="Times New Roman" w:hAnsi="Times New Roman"/>
          <w:noProof/>
          <w:sz w:val="24"/>
          <w:szCs w:val="24"/>
          <w:lang w:val="fr-FR"/>
        </w:rPr>
        <w:t xml:space="preserve">de la politique étrangère de plus en plus active et affirmée de la Turquie, il y a lieu de poursuivre une importante action </w:t>
      </w:r>
      <w:r>
        <w:rPr>
          <w:rFonts w:ascii="Times New Roman" w:hAnsi="Times New Roman"/>
          <w:noProof/>
          <w:sz w:val="24"/>
          <w:szCs w:val="24"/>
          <w:lang w:val="fr-FR"/>
        </w:rPr>
        <w:t xml:space="preserve">conjointe destinée à désamorcer toute tension supplémentaire et à introduire des mesures de nature à instaurer la confiance dans </w:t>
      </w:r>
      <w:r>
        <w:rPr>
          <w:rFonts w:ascii="Times New Roman" w:hAnsi="Times New Roman"/>
          <w:b/>
          <w:noProof/>
          <w:sz w:val="24"/>
          <w:szCs w:val="24"/>
          <w:lang w:val="fr-FR"/>
        </w:rPr>
        <w:t>l’ensemble de la région</w:t>
      </w:r>
      <w:r>
        <w:rPr>
          <w:rFonts w:ascii="Times New Roman" w:hAnsi="Times New Roman"/>
          <w:noProof/>
          <w:sz w:val="24"/>
          <w:szCs w:val="24"/>
          <w:lang w:val="fr-FR"/>
        </w:rPr>
        <w:t>.</w:t>
      </w:r>
      <w:r>
        <w:rPr>
          <w:rFonts w:ascii="Times New Roman" w:hAnsi="Times New Roman"/>
          <w:b/>
          <w:noProof/>
          <w:sz w:val="24"/>
          <w:szCs w:val="24"/>
          <w:lang w:val="fr-FR"/>
        </w:rPr>
        <w:t xml:space="preserve"> </w:t>
      </w:r>
      <w:r>
        <w:rPr>
          <w:rFonts w:ascii="Times New Roman" w:hAnsi="Times New Roman"/>
          <w:noProof/>
          <w:sz w:val="24"/>
          <w:szCs w:val="24"/>
          <w:lang w:val="fr-FR"/>
        </w:rPr>
        <w:t>Entre janvier et mars 2021, l’UE et la Turquie ont entamé un dialogue diplomatique en vue de mieux com</w:t>
      </w:r>
      <w:r>
        <w:rPr>
          <w:rFonts w:ascii="Times New Roman" w:hAnsi="Times New Roman"/>
          <w:noProof/>
          <w:sz w:val="24"/>
          <w:szCs w:val="24"/>
          <w:lang w:val="fr-FR"/>
        </w:rPr>
        <w:t>prendre leurs intérêts respectifs et de trouver des solutions durables et mutuellement profitables, en particulier pour deux régions dans lesquelles les intérêts directs de l’UE sont en jeu, à savoir la Libye et la Syrie.</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Il apparaît clairement que depuis </w:t>
      </w:r>
      <w:r>
        <w:rPr>
          <w:rFonts w:ascii="Times New Roman" w:hAnsi="Times New Roman"/>
          <w:noProof/>
          <w:sz w:val="24"/>
          <w:szCs w:val="24"/>
          <w:lang w:val="fr-FR"/>
        </w:rPr>
        <w:t xml:space="preserve">son intervention </w:t>
      </w:r>
      <w:r>
        <w:rPr>
          <w:rFonts w:ascii="Times New Roman" w:hAnsi="Times New Roman"/>
          <w:b/>
          <w:noProof/>
          <w:sz w:val="24"/>
          <w:szCs w:val="24"/>
          <w:lang w:val="fr-FR"/>
        </w:rPr>
        <w:t>militaire</w:t>
      </w:r>
      <w:r>
        <w:rPr>
          <w:rFonts w:ascii="Times New Roman" w:hAnsi="Times New Roman"/>
          <w:noProof/>
          <w:sz w:val="24"/>
          <w:szCs w:val="24"/>
          <w:lang w:val="fr-FR"/>
        </w:rPr>
        <w:t xml:space="preserve"> active en Syrie et en Libye, la Turquie poursuit sa propre politique étrangère sans tenir compte des intérêts plus larges de l’Union européenne, et notamment des préoccupations de celle-ci en matière de sécurité.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L’appui militaire turc en </w:t>
      </w:r>
      <w:r>
        <w:rPr>
          <w:rFonts w:ascii="Times New Roman" w:hAnsi="Times New Roman"/>
          <w:b/>
          <w:noProof/>
          <w:sz w:val="24"/>
          <w:szCs w:val="24"/>
          <w:lang w:val="fr-FR"/>
        </w:rPr>
        <w:t>Libye</w:t>
      </w:r>
      <w:r>
        <w:rPr>
          <w:rFonts w:ascii="Times New Roman" w:hAnsi="Times New Roman"/>
          <w:noProof/>
          <w:sz w:val="24"/>
          <w:szCs w:val="24"/>
          <w:lang w:val="fr-FR"/>
        </w:rPr>
        <w:t>, comprenant notamment le déploiement de combattants étrangers sur le terrain, ainsi que les critiques persistantes et le manque de coopération de la Turquie à l’égard de l’opération IRINI, portent préjudice à l’efficacité de</w:t>
      </w:r>
      <w:r>
        <w:rPr>
          <w:rFonts w:ascii="Times New Roman" w:hAnsi="Times New Roman"/>
          <w:noProof/>
          <w:sz w:val="24"/>
          <w:szCs w:val="24"/>
          <w:lang w:val="fr-FR"/>
        </w:rPr>
        <w:t xml:space="preserve"> la contribution de l’UE à la mise en œuvre de l’embargo sur les armes imposé par les Nations unies, et ont donné lieu à des approches conflictuelles en Libye. À la suite de la formation d’un nouveau gouvernement inclusif, qui a obtenu la confiance de la C</w:t>
      </w:r>
      <w:r>
        <w:rPr>
          <w:rFonts w:ascii="Times New Roman" w:hAnsi="Times New Roman"/>
          <w:noProof/>
          <w:sz w:val="24"/>
          <w:szCs w:val="24"/>
          <w:lang w:val="fr-FR"/>
        </w:rPr>
        <w:t>hambre des représentants le 10 mars 2021 et a prêté serment le 15 mars, il y a lieu de nouer le dialogue avec les nouvelles autorités et d’apporter un soutien constructif aux nouvelles étapes. Cela suppose, notamment, de transférer rapidement le pouvoir au</w:t>
      </w:r>
      <w:r>
        <w:rPr>
          <w:rFonts w:ascii="Times New Roman" w:hAnsi="Times New Roman"/>
          <w:noProof/>
          <w:sz w:val="24"/>
          <w:szCs w:val="24"/>
          <w:lang w:val="fr-FR"/>
        </w:rPr>
        <w:t>x nouvelles autorités, de réunifier les institutions, de préparer les élections qui devraient se tenir le 24 décembre 2021, de mettre pleinement en œuvre l’accord de cessez-le-feu d’octobre 2020 et de mettre en place un processus de réconciliation national</w:t>
      </w:r>
      <w:r>
        <w:rPr>
          <w:rFonts w:ascii="Times New Roman" w:hAnsi="Times New Roman"/>
          <w:noProof/>
          <w:sz w:val="24"/>
          <w:szCs w:val="24"/>
          <w:lang w:val="fr-FR"/>
        </w:rPr>
        <w:t>e véritable. La Turquie étant un acteur influent en Libye, sa coopération avec les Nations unies et les autres acteurs régionaux et internationaux pour aller de l’avant sera capitale pour tous les aspects de ce délicat processus, en particulier sur les pla</w:t>
      </w:r>
      <w:r>
        <w:rPr>
          <w:rFonts w:ascii="Times New Roman" w:hAnsi="Times New Roman"/>
          <w:noProof/>
          <w:sz w:val="24"/>
          <w:szCs w:val="24"/>
          <w:lang w:val="fr-FR"/>
        </w:rPr>
        <w:t>ns politique, économique et de la sécurité.</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tant que voisin direct, la Turquie appelle de ses vœux une </w:t>
      </w:r>
      <w:r>
        <w:rPr>
          <w:rFonts w:ascii="Times New Roman" w:hAnsi="Times New Roman"/>
          <w:b/>
          <w:noProof/>
          <w:sz w:val="24"/>
          <w:szCs w:val="24"/>
          <w:lang w:val="fr-FR"/>
        </w:rPr>
        <w:t>Syrie</w:t>
      </w:r>
      <w:r>
        <w:rPr>
          <w:rFonts w:ascii="Times New Roman" w:hAnsi="Times New Roman"/>
          <w:noProof/>
          <w:sz w:val="24"/>
          <w:szCs w:val="24"/>
          <w:lang w:val="fr-FR"/>
        </w:rPr>
        <w:t xml:space="preserve"> stable et prospère, un objective qu’elle partage avec l’UE. Il est fondamental de maintenir l’intégrité territoriale de la Syrie et de promouvoi</w:t>
      </w:r>
      <w:r>
        <w:rPr>
          <w:rFonts w:ascii="Times New Roman" w:hAnsi="Times New Roman"/>
          <w:noProof/>
          <w:sz w:val="24"/>
          <w:szCs w:val="24"/>
          <w:lang w:val="fr-FR"/>
        </w:rPr>
        <w:t xml:space="preserve">r une résolution pacifique du conflit dans le cadre d’un processus politique mené par les Nations unies.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L’UE et la Turquie s’accordent sur la nécessité d’accélérer les travaux du comité constitutionnel et d’autres éléments de la résolution 2254 du Consei</w:t>
      </w:r>
      <w:r>
        <w:rPr>
          <w:rFonts w:ascii="Times New Roman" w:hAnsi="Times New Roman"/>
          <w:noProof/>
          <w:sz w:val="24"/>
          <w:szCs w:val="24"/>
          <w:lang w:val="fr-FR"/>
        </w:rPr>
        <w:t>l de sécurité des Nations unies, tels que la mise en liberté des prisonniers et les efforts déployés pour promouvoir l'établissement des responsabilités pour les crimes de guerre commis en Syrie. L’UE encourage la Turquie à faire en sorte que le parti syri</w:t>
      </w:r>
      <w:r>
        <w:rPr>
          <w:rFonts w:ascii="Times New Roman" w:hAnsi="Times New Roman"/>
          <w:noProof/>
          <w:sz w:val="24"/>
          <w:szCs w:val="24"/>
          <w:lang w:val="fr-FR"/>
        </w:rPr>
        <w:t>en d’opposition CSN (commission syrienne pour les négociations) soit ouvert à tous. La Turquie a consenti d’importants efforts pour faire respecter le cessez-le-feu dans le nord-ouest de la Syrie (Idlib) et faciliter l’aide humanitaire transfrontières de g</w:t>
      </w:r>
      <w:r>
        <w:rPr>
          <w:rFonts w:ascii="Times New Roman" w:hAnsi="Times New Roman"/>
          <w:noProof/>
          <w:sz w:val="24"/>
          <w:szCs w:val="24"/>
          <w:lang w:val="fr-FR"/>
        </w:rPr>
        <w:t>rande ampleur transitant par la Turquie à destination de cette région. Elle héberge toujours au moins 3,6 millions de réfugiés venus de Syrie.</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Toutefois, les opérations militaires turques, y compris au moyen de milices soutenues par la Turquie, dans le </w:t>
      </w:r>
      <w:r>
        <w:rPr>
          <w:rFonts w:ascii="Times New Roman" w:hAnsi="Times New Roman"/>
          <w:noProof/>
          <w:sz w:val="24"/>
          <w:szCs w:val="24"/>
          <w:lang w:val="fr-FR"/>
        </w:rPr>
        <w:t>nord et surtout dans le nord-est de la Syrie, ont entraîné de vastes déplacements de populations, tandis que des atteintes aux droits de l'homme à l’encontre de la population civile ont été rapportées. L’accès aux organisations d’aide internationales demeu</w:t>
      </w:r>
      <w:r>
        <w:rPr>
          <w:rFonts w:ascii="Times New Roman" w:hAnsi="Times New Roman"/>
          <w:noProof/>
          <w:sz w:val="24"/>
          <w:szCs w:val="24"/>
          <w:lang w:val="fr-FR"/>
        </w:rPr>
        <w:t>re restreint, alors que le Croissant-Rouge turc continue de jouer un rôle prépondérant.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La réinstallation des réfugiés syriens dans les régions autrefois peuplées de Kurdes demeure problématique. Tout retour de réfugiés dans le pays doit se faire en toute</w:t>
      </w:r>
      <w:r>
        <w:rPr>
          <w:rFonts w:ascii="Times New Roman" w:hAnsi="Times New Roman"/>
          <w:noProof/>
          <w:sz w:val="24"/>
          <w:szCs w:val="24"/>
          <w:lang w:val="fr-FR"/>
        </w:rPr>
        <w:t xml:space="preserve"> sécurité, volontairement et dignement, en concertation avec le HCR et conformément aux paramètres et principes énoncés par ce dernier.</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La Turquie joue également un rôle actif sur le plan militaire dans le nord de l’</w:t>
      </w:r>
      <w:r>
        <w:rPr>
          <w:rFonts w:ascii="Times New Roman" w:hAnsi="Times New Roman"/>
          <w:b/>
          <w:noProof/>
          <w:sz w:val="24"/>
          <w:szCs w:val="24"/>
          <w:lang w:val="fr-FR"/>
        </w:rPr>
        <w:t>Iraq</w:t>
      </w:r>
      <w:r>
        <w:rPr>
          <w:rFonts w:ascii="Times New Roman" w:hAnsi="Times New Roman"/>
          <w:noProof/>
          <w:sz w:val="24"/>
          <w:szCs w:val="24"/>
          <w:lang w:val="fr-FR"/>
        </w:rPr>
        <w:t>, effectuant des frappes contre le P</w:t>
      </w:r>
      <w:r>
        <w:rPr>
          <w:rFonts w:ascii="Times New Roman" w:hAnsi="Times New Roman"/>
          <w:noProof/>
          <w:sz w:val="24"/>
          <w:szCs w:val="24"/>
          <w:lang w:val="fr-FR"/>
        </w:rPr>
        <w:t xml:space="preserve">arti des travailleurs du Kurdistan (PKK).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Alors que l’UE considère le PKK comme une organisation terroriste, les pays de la région sont encouragés à coordonner des activités bilatérales et antiterroristes, ainsi qu’à agir de manière proportionnée et dans </w:t>
      </w:r>
      <w:r>
        <w:rPr>
          <w:rFonts w:ascii="Times New Roman" w:hAnsi="Times New Roman"/>
          <w:noProof/>
          <w:sz w:val="24"/>
          <w:szCs w:val="24"/>
          <w:lang w:val="fr-FR"/>
        </w:rPr>
        <w:t>le plein respect de l’état de droit.</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L’appui apporté tout récemment par la Turquie aux actions militaires dans le Caucase lors des hostilités liées au </w:t>
      </w:r>
      <w:r>
        <w:rPr>
          <w:rFonts w:ascii="Times New Roman" w:hAnsi="Times New Roman"/>
          <w:b/>
          <w:noProof/>
          <w:sz w:val="24"/>
          <w:szCs w:val="24"/>
          <w:lang w:val="fr-FR"/>
        </w:rPr>
        <w:t>Haut-Karabakh</w:t>
      </w:r>
      <w:r>
        <w:rPr>
          <w:rFonts w:ascii="Times New Roman" w:hAnsi="Times New Roman"/>
          <w:noProof/>
          <w:sz w:val="24"/>
          <w:szCs w:val="24"/>
          <w:lang w:val="fr-FR"/>
        </w:rPr>
        <w:t xml:space="preserve"> a suscité de nouvelles interrogations quant au rôle joué par la Turquie dans la région. Pre</w:t>
      </w:r>
      <w:r>
        <w:rPr>
          <w:rFonts w:ascii="Times New Roman" w:hAnsi="Times New Roman"/>
          <w:noProof/>
          <w:sz w:val="24"/>
          <w:szCs w:val="24"/>
          <w:lang w:val="fr-FR"/>
        </w:rPr>
        <w:t>nant ses distances avec la promotion d’un règlement pacifique, la Turquie s’est ralliée aux visées bellicistes de l’Azerbaïdjan. La frontière entre la Turquie et l’Arménie est fermée depuis avril 1993. L’UE encourage la Turquie à ouvrir sa frontière avec l</w:t>
      </w:r>
      <w:r>
        <w:rPr>
          <w:rFonts w:ascii="Times New Roman" w:hAnsi="Times New Roman"/>
          <w:noProof/>
          <w:sz w:val="24"/>
          <w:szCs w:val="24"/>
          <w:lang w:val="fr-FR"/>
        </w:rPr>
        <w:t xml:space="preserve">’Arménie.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décembre 2020, la Turquie a proposé la création d’un groupe de coopération régionale qui engloberait l’Arménie, l’Azerbaïdjan, la Géorgie, l’Iran, la Russie et la Turquie. L’UE continue d’apporter un soutien sans réserve aux efforts déployés </w:t>
      </w:r>
      <w:r>
        <w:rPr>
          <w:rFonts w:ascii="Times New Roman" w:hAnsi="Times New Roman"/>
          <w:noProof/>
          <w:sz w:val="24"/>
          <w:szCs w:val="24"/>
          <w:lang w:val="fr-FR"/>
        </w:rPr>
        <w:t>par le format international du groupe de Minsk de l’OSCE dirigé par ses coprésidents et attend de la Turquie qu’elle s’aligne sur l’UE à cet égard.</w:t>
      </w:r>
    </w:p>
    <w:p w:rsidR="008928FB" w:rsidRDefault="00CD358F">
      <w:pPr>
        <w:pStyle w:val="ListParagraph"/>
        <w:numPr>
          <w:ilvl w:val="0"/>
          <w:numId w:val="12"/>
        </w:numPr>
        <w:rPr>
          <w:rFonts w:ascii="Times New Roman" w:hAnsi="Times New Roman" w:cs="Times New Roman"/>
          <w:b/>
          <w:i/>
          <w:noProof/>
          <w:sz w:val="24"/>
          <w:szCs w:val="24"/>
          <w:lang w:val="fr-FR"/>
        </w:rPr>
      </w:pPr>
      <w:r>
        <w:rPr>
          <w:rFonts w:ascii="Times New Roman" w:hAnsi="Times New Roman"/>
          <w:b/>
          <w:i/>
          <w:noProof/>
          <w:sz w:val="24"/>
          <w:szCs w:val="24"/>
          <w:lang w:val="fr-FR"/>
        </w:rPr>
        <w:t>Coopération en matière de politique de sécurité et de défense commune et de lutte contre le terrorisme</w:t>
      </w:r>
      <w:r>
        <w:rPr>
          <w:rFonts w:ascii="Times New Roman" w:hAnsi="Times New Roman"/>
          <w:i/>
          <w:noProof/>
          <w:sz w:val="24"/>
          <w:szCs w:val="24"/>
          <w:lang w:val="fr-FR"/>
        </w:rPr>
        <w:t xml:space="preserve"> </w:t>
      </w:r>
    </w:p>
    <w:p w:rsidR="008928FB" w:rsidRDefault="008928FB">
      <w:pPr>
        <w:pStyle w:val="ListParagraph"/>
        <w:rPr>
          <w:rFonts w:ascii="Times New Roman" w:hAnsi="Times New Roman" w:cs="Times New Roman"/>
          <w:b/>
          <w:i/>
          <w:noProof/>
          <w:sz w:val="24"/>
          <w:szCs w:val="24"/>
          <w:lang w:val="fr-FR"/>
        </w:rPr>
      </w:pPr>
    </w:p>
    <w:p w:rsidR="008928FB" w:rsidRDefault="00CD358F">
      <w:pPr>
        <w:pStyle w:val="ListParagraph"/>
        <w:ind w:left="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noProof/>
          <w:sz w:val="24"/>
          <w:szCs w:val="24"/>
          <w:lang w:val="fr-FR"/>
        </w:rPr>
        <w:t>Turquie joue un rôle de premier plan dans le domaine de la sécurité et de la défense. Toutefois, la non-reconnaissance de la République de Chypre par la Turquie, la large interprétation par cette dernière du cadre convenu en 2003 (arrangements «Berlin plus</w:t>
      </w:r>
      <w:r>
        <w:rPr>
          <w:rFonts w:ascii="Times New Roman" w:hAnsi="Times New Roman"/>
          <w:noProof/>
          <w:sz w:val="24"/>
          <w:szCs w:val="24"/>
          <w:lang w:val="fr-FR"/>
        </w:rPr>
        <w:t>») et son interprétation étroite du cadre de coopération UE-OTAN sont source de difficultés pratiques et opérationnelles, y compris pour l’instauration d’une véritable relation d’organisation à organisation entre l’UE et l’OTAN. La Turquie continue de dema</w:t>
      </w:r>
      <w:r>
        <w:rPr>
          <w:rFonts w:ascii="Times New Roman" w:hAnsi="Times New Roman"/>
          <w:noProof/>
          <w:sz w:val="24"/>
          <w:szCs w:val="24"/>
          <w:lang w:val="fr-FR"/>
        </w:rPr>
        <w:t>nder à participer aux initiatives de défense de l’UE [coopération structurée permanente (CSP), Fonds européen de la défense (FED)]. En matière de lutte contre le terrorisme, la coopération bilatérale entre la Turquie et les services de sécurité des États m</w:t>
      </w:r>
      <w:r>
        <w:rPr>
          <w:rFonts w:ascii="Times New Roman" w:hAnsi="Times New Roman"/>
          <w:noProof/>
          <w:sz w:val="24"/>
          <w:szCs w:val="24"/>
          <w:lang w:val="fr-FR"/>
        </w:rPr>
        <w:t>embres de l’UE fonctionne bien. À l’automne 2019, toutefois, la Turquie a demandé à reporter le dialogue régulier sur la lutte contre le terrorisme avec l’UE après la condamnation de son opération militaire dans le nord-est de la Syrie et l’adoption d’un c</w:t>
      </w:r>
      <w:r>
        <w:rPr>
          <w:rFonts w:ascii="Times New Roman" w:hAnsi="Times New Roman"/>
          <w:noProof/>
          <w:sz w:val="24"/>
          <w:szCs w:val="24"/>
          <w:lang w:val="fr-FR"/>
        </w:rPr>
        <w:t xml:space="preserve">adre de mesures restrictives liées à la Méditerranée orientale. </w:t>
      </w:r>
    </w:p>
    <w:p w:rsidR="008928FB" w:rsidRDefault="00CD358F">
      <w:pPr>
        <w:rPr>
          <w:rFonts w:ascii="Times New Roman" w:hAnsi="Times New Roman" w:cs="Times New Roman"/>
          <w:b/>
          <w:caps/>
          <w:noProof/>
          <w:sz w:val="24"/>
          <w:szCs w:val="24"/>
          <w:lang w:val="fr-FR"/>
        </w:rPr>
      </w:pPr>
      <w:r>
        <w:rPr>
          <w:rFonts w:ascii="Times New Roman" w:hAnsi="Times New Roman" w:cs="Times New Roman"/>
          <w:b/>
          <w:caps/>
          <w:noProof/>
          <w:sz w:val="24"/>
          <w:szCs w:val="24"/>
          <w:lang w:val="fr-FR"/>
        </w:rPr>
        <w:br w:type="page"/>
      </w:r>
    </w:p>
    <w:p w:rsidR="008928FB" w:rsidRDefault="00CD358F">
      <w:pPr>
        <w:autoSpaceDE w:val="0"/>
        <w:autoSpaceDN w:val="0"/>
        <w:jc w:val="both"/>
        <w:rPr>
          <w:rFonts w:ascii="Times New Roman" w:hAnsi="Times New Roman" w:cs="Times New Roman"/>
          <w:caps/>
          <w:noProof/>
          <w:sz w:val="24"/>
          <w:szCs w:val="24"/>
          <w:lang w:val="fr-FR"/>
        </w:rPr>
      </w:pPr>
      <w:r>
        <w:rPr>
          <w:rFonts w:ascii="Times New Roman" w:hAnsi="Times New Roman" w:cs="Times New Roman"/>
          <w:b/>
          <w:caps/>
          <w:noProof/>
          <w:sz w:val="24"/>
          <w:szCs w:val="24"/>
          <w:lang w:val="fr-FR"/>
        </w:rPr>
        <w:t xml:space="preserve">III. </w:t>
      </w:r>
      <w:r>
        <w:rPr>
          <w:rFonts w:ascii="Times New Roman" w:hAnsi="Times New Roman"/>
          <w:b/>
          <w:caps/>
          <w:noProof/>
          <w:sz w:val="24"/>
          <w:szCs w:val="24"/>
          <w:lang w:val="fr-FR"/>
        </w:rPr>
        <w:t>Relations bilatérales entre l’UE et la Turquie</w:t>
      </w:r>
    </w:p>
    <w:p w:rsidR="008928FB" w:rsidRDefault="00CD358F">
      <w:pPr>
        <w:jc w:val="both"/>
        <w:rPr>
          <w:rFonts w:ascii="Times New Roman" w:hAnsi="Times New Roman" w:cs="Times New Roman"/>
          <w:b/>
          <w:i/>
          <w:noProof/>
          <w:sz w:val="24"/>
          <w:szCs w:val="24"/>
          <w:lang w:val="fr-FR"/>
        </w:rPr>
      </w:pPr>
      <w:r>
        <w:rPr>
          <w:rFonts w:ascii="Times New Roman" w:hAnsi="Times New Roman"/>
          <w:b/>
          <w:i/>
          <w:noProof/>
          <w:sz w:val="24"/>
          <w:szCs w:val="24"/>
          <w:lang w:val="fr-FR"/>
        </w:rPr>
        <w:t>1. Accord d’association</w:t>
      </w:r>
    </w:p>
    <w:p w:rsidR="008928FB" w:rsidRDefault="00CD358F">
      <w:pPr>
        <w:pStyle w:val="ListParagraph"/>
        <w:ind w:left="0"/>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w:t>
      </w:r>
      <w:r>
        <w:rPr>
          <w:rFonts w:ascii="Times New Roman" w:hAnsi="Times New Roman"/>
          <w:b/>
          <w:noProof/>
          <w:sz w:val="24"/>
          <w:szCs w:val="24"/>
          <w:lang w:val="fr-FR"/>
        </w:rPr>
        <w:t>accord d’association</w:t>
      </w:r>
      <w:r>
        <w:rPr>
          <w:rFonts w:ascii="Times New Roman" w:hAnsi="Times New Roman"/>
          <w:noProof/>
          <w:sz w:val="24"/>
          <w:szCs w:val="24"/>
          <w:lang w:val="fr-FR"/>
        </w:rPr>
        <w:t xml:space="preserve"> de 1963 constitue le cadre juridique général structurant les relations entre l’UE et la Turquie. Il vise à promouvoir le renforcement des relations commerciales et économiques entre l’UE et la Turquie et à établir progressivement une union douanière. </w:t>
      </w:r>
    </w:p>
    <w:p w:rsidR="008928FB" w:rsidRDefault="00CD358F">
      <w:pPr>
        <w:pStyle w:val="ListParagraph"/>
        <w:ind w:left="0"/>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Bie</w:t>
      </w:r>
      <w:r>
        <w:rPr>
          <w:rFonts w:ascii="Times New Roman" w:hAnsi="Times New Roman"/>
          <w:noProof/>
          <w:sz w:val="24"/>
          <w:szCs w:val="24"/>
          <w:lang w:val="fr-FR"/>
        </w:rPr>
        <w:t>n qu’il ait réussi à offrir une base solide à nos relations bilatérales, par la mise en place d’échanges importants et sans cesse croissants sur les plans politique, économique et sociétal, l’accord d’association s’est heurté à un certain nombre de problèm</w:t>
      </w:r>
      <w:r>
        <w:rPr>
          <w:rFonts w:ascii="Times New Roman" w:hAnsi="Times New Roman"/>
          <w:noProof/>
          <w:sz w:val="24"/>
          <w:szCs w:val="24"/>
          <w:lang w:val="fr-FR"/>
        </w:rPr>
        <w:t>es préoccupants au fil des ans. La question chypriote a une incidence sur l’accord depuis l’adhésion de la République de Chypre à l’UE en 2004. En juillet 2005, la Turquie a décidé de ne pas mettre en œuvre le protocole additionnel à l’accord d’association</w:t>
      </w:r>
      <w:r>
        <w:rPr>
          <w:rFonts w:ascii="Times New Roman" w:hAnsi="Times New Roman"/>
          <w:noProof/>
          <w:sz w:val="24"/>
          <w:szCs w:val="24"/>
          <w:lang w:val="fr-FR"/>
        </w:rPr>
        <w:t xml:space="preserve"> étendant son union douanière avec l’UE à la République de Chypre. Cette décision unilatérale a abouti à la décision du Conseil de 2006 bloquant l’ouverture de huit chapitres dans les négociations d’adhésion et la clôture de tous les chapitres, suivie par </w:t>
      </w:r>
      <w:r>
        <w:rPr>
          <w:rFonts w:ascii="Times New Roman" w:hAnsi="Times New Roman"/>
          <w:noProof/>
          <w:sz w:val="24"/>
          <w:szCs w:val="24"/>
          <w:lang w:val="fr-FR"/>
        </w:rPr>
        <w:t>le blocage bilatéral de six chapitres de négociation par la République de Chypre en 2009. La Turquie n’autorise pas les échanges commerciaux directs entre la République de Chypre et la Turquie, ni les liaisons aériennes et maritimes directes ou toute autre</w:t>
      </w:r>
      <w:r>
        <w:rPr>
          <w:rFonts w:ascii="Times New Roman" w:hAnsi="Times New Roman"/>
          <w:noProof/>
          <w:sz w:val="24"/>
          <w:szCs w:val="24"/>
          <w:lang w:val="fr-FR"/>
        </w:rPr>
        <w:t xml:space="preserve"> liaison directe. </w:t>
      </w:r>
    </w:p>
    <w:p w:rsidR="008928FB" w:rsidRDefault="00CD358F">
      <w:pPr>
        <w:pStyle w:val="ListParagraph"/>
        <w:ind w:left="0"/>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La Turquie bloque également l’adhésion de la République de Chypre à plusieurs organisations internationales, dont l’Organisation de coopération et de développement économiques. L’absence de reconnaissance de Chypre par la Turquie empêche</w:t>
      </w:r>
      <w:r>
        <w:rPr>
          <w:rFonts w:ascii="Times New Roman" w:hAnsi="Times New Roman"/>
          <w:noProof/>
          <w:sz w:val="24"/>
          <w:szCs w:val="24"/>
          <w:lang w:val="fr-FR"/>
        </w:rPr>
        <w:t xml:space="preserve"> aussi l’échange direct d’informations avec cette dernière (par exemple, dans le cadre de la coopération judiciaire ou de la lutte contre l’évasion fiscale) et le bon fonctionnement de l’union douanière.</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Compte tenu des activités de forage non autorisées d</w:t>
      </w:r>
      <w:r>
        <w:rPr>
          <w:rFonts w:ascii="Times New Roman" w:hAnsi="Times New Roman"/>
          <w:noProof/>
          <w:sz w:val="24"/>
          <w:szCs w:val="24"/>
          <w:lang w:val="fr-FR"/>
        </w:rPr>
        <w:t>e la Turquie en Méditerranée orientale, le Conseil a décidé, en juillet 2019, de ne pas tenir</w:t>
      </w:r>
      <w:r>
        <w:rPr>
          <w:rFonts w:ascii="Times New Roman" w:hAnsi="Times New Roman"/>
          <w:i/>
          <w:noProof/>
          <w:sz w:val="24"/>
          <w:szCs w:val="24"/>
          <w:lang w:val="fr-FR"/>
        </w:rPr>
        <w:t xml:space="preserve"> jusqu’à nouvel ordre</w:t>
      </w:r>
      <w:r>
        <w:rPr>
          <w:rFonts w:ascii="Times New Roman" w:hAnsi="Times New Roman"/>
          <w:noProof/>
          <w:sz w:val="24"/>
          <w:szCs w:val="24"/>
          <w:lang w:val="fr-FR"/>
        </w:rPr>
        <w:t xml:space="preserve"> de réunion du Conseil d’association UE-Turquie. Les comités d’association préparatoires, présidés au niveau des hauts fonctionnaires, n’ont p</w:t>
      </w:r>
      <w:r>
        <w:rPr>
          <w:rFonts w:ascii="Times New Roman" w:hAnsi="Times New Roman"/>
          <w:noProof/>
          <w:sz w:val="24"/>
          <w:szCs w:val="24"/>
          <w:lang w:val="fr-FR"/>
        </w:rPr>
        <w:t>as eu lieu non plus. La coopération technique au sein de huit sous-comités sectoriels se poursuit.</w:t>
      </w:r>
    </w:p>
    <w:p w:rsidR="008928FB" w:rsidRDefault="00CD358F">
      <w:pPr>
        <w:jc w:val="both"/>
        <w:rPr>
          <w:rFonts w:ascii="Times New Roman" w:hAnsi="Times New Roman" w:cs="Times New Roman"/>
          <w:b/>
          <w:i/>
          <w:noProof/>
          <w:sz w:val="24"/>
          <w:szCs w:val="24"/>
          <w:lang w:val="fr-FR"/>
        </w:rPr>
      </w:pPr>
      <w:r>
        <w:rPr>
          <w:rFonts w:ascii="Times New Roman" w:hAnsi="Times New Roman"/>
          <w:b/>
          <w:i/>
          <w:noProof/>
          <w:sz w:val="24"/>
          <w:szCs w:val="24"/>
          <w:lang w:val="fr-FR"/>
        </w:rPr>
        <w:t>2. Négociations d’adhésion, critères et aide de préadhésion</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Turquie est un pays candidat depuis 1999. Les </w:t>
      </w:r>
      <w:r>
        <w:rPr>
          <w:rFonts w:ascii="Times New Roman" w:hAnsi="Times New Roman"/>
          <w:b/>
          <w:noProof/>
          <w:sz w:val="24"/>
          <w:szCs w:val="24"/>
          <w:lang w:val="fr-FR"/>
        </w:rPr>
        <w:t>négociations d’adhésion</w:t>
      </w:r>
      <w:r>
        <w:rPr>
          <w:rFonts w:ascii="Times New Roman" w:hAnsi="Times New Roman"/>
          <w:noProof/>
          <w:sz w:val="24"/>
          <w:szCs w:val="24"/>
          <w:lang w:val="fr-FR"/>
        </w:rPr>
        <w:t xml:space="preserve"> ont été ouvertes en 2005</w:t>
      </w:r>
      <w:r>
        <w:rPr>
          <w:rFonts w:ascii="Times New Roman" w:hAnsi="Times New Roman"/>
          <w:noProof/>
          <w:sz w:val="24"/>
          <w:szCs w:val="24"/>
          <w:lang w:val="fr-FR"/>
        </w:rPr>
        <w:t>. À ce jour, 16 chapitres ont été ouverts sur 35 (le dernier en 2016), dont un est clos. Compte tenu du recul important et persistant en ce qui concerne les valeurs et principes fondamentaux de l’UE, le Conseil a noté, en juin 2018 et juin 2019, que la Tur</w:t>
      </w:r>
      <w:r>
        <w:rPr>
          <w:rFonts w:ascii="Times New Roman" w:hAnsi="Times New Roman"/>
          <w:noProof/>
          <w:sz w:val="24"/>
          <w:szCs w:val="24"/>
          <w:lang w:val="fr-FR"/>
        </w:rPr>
        <w:t>quie s’était encore éloignée de l’Union européenne et que les négociations d’adhésion du pays étaient «</w:t>
      </w:r>
      <w:r>
        <w:rPr>
          <w:rFonts w:ascii="Times New Roman" w:hAnsi="Times New Roman"/>
          <w:i/>
          <w:noProof/>
          <w:sz w:val="24"/>
          <w:szCs w:val="24"/>
          <w:lang w:val="fr-FR"/>
        </w:rPr>
        <w:t>par conséquent au point mort, qu’il n'[était] possible d’envisager l’ouverture ou la clôture d’aucun autre chapitre […]</w:t>
      </w:r>
      <w:r>
        <w:rPr>
          <w:rFonts w:ascii="Times New Roman" w:hAnsi="Times New Roman"/>
          <w:noProof/>
          <w:sz w:val="24"/>
          <w:szCs w:val="24"/>
          <w:lang w:val="fr-FR"/>
        </w:rPr>
        <w:t>».</w:t>
      </w:r>
      <w:r>
        <w:rPr>
          <w:rFonts w:ascii="Times New Roman" w:hAnsi="Times New Roman"/>
          <w:i/>
          <w:noProof/>
          <w:sz w:val="24"/>
          <w:szCs w:val="24"/>
          <w:lang w:val="fr-FR"/>
        </w:rPr>
        <w:t xml:space="preserv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Les faits sous-jacents qui ont</w:t>
      </w:r>
      <w:r>
        <w:rPr>
          <w:rFonts w:ascii="Times New Roman" w:hAnsi="Times New Roman"/>
          <w:noProof/>
          <w:sz w:val="24"/>
          <w:szCs w:val="24"/>
          <w:lang w:val="fr-FR"/>
        </w:rPr>
        <w:t xml:space="preserve"> conduit à cette appréciation subsistent toujours. Un </w:t>
      </w:r>
      <w:r>
        <w:rPr>
          <w:rFonts w:ascii="Times New Roman" w:hAnsi="Times New Roman"/>
          <w:b/>
          <w:noProof/>
          <w:sz w:val="24"/>
          <w:szCs w:val="24"/>
          <w:lang w:val="fr-FR"/>
        </w:rPr>
        <w:t>important recul en matière de réformes</w:t>
      </w:r>
      <w:r>
        <w:rPr>
          <w:rFonts w:ascii="Times New Roman" w:hAnsi="Times New Roman"/>
          <w:noProof/>
          <w:sz w:val="24"/>
          <w:szCs w:val="24"/>
          <w:lang w:val="fr-FR"/>
        </w:rPr>
        <w:t xml:space="preserve"> est toujours enregistré dans les domaines clés du processus d’adhésion. En particulier à la suite de la tentative de coup d’État de 2016, l’état de droit, le respe</w:t>
      </w:r>
      <w:r>
        <w:rPr>
          <w:rFonts w:ascii="Times New Roman" w:hAnsi="Times New Roman"/>
          <w:noProof/>
          <w:sz w:val="24"/>
          <w:szCs w:val="24"/>
          <w:lang w:val="fr-FR"/>
        </w:rPr>
        <w:t>ct des droits de l’homme et l’indépendance du pouvoir judiciaire se sont constamment détériorés, dans un contexte de centralisation croissante du pouvoir. Cette tendance s’est encore accélérée à la suite de l’entrée en vigueur d’un nouveau système présiden</w:t>
      </w:r>
      <w:r>
        <w:rPr>
          <w:rFonts w:ascii="Times New Roman" w:hAnsi="Times New Roman"/>
          <w:noProof/>
          <w:sz w:val="24"/>
          <w:szCs w:val="24"/>
          <w:lang w:val="fr-FR"/>
        </w:rPr>
        <w:t xml:space="preserve">tiel en 2018. Bon nombre des contre-pouvoirs nécessaires à un système démocratique sont fortement touchés. Le gouvernement a remodelé les institutions publiques, compromettant leur indépendance. Le rôle du Parlement a été considérablement affaibli.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En out</w:t>
      </w:r>
      <w:r>
        <w:rPr>
          <w:rFonts w:ascii="Times New Roman" w:hAnsi="Times New Roman"/>
          <w:noProof/>
          <w:sz w:val="24"/>
          <w:szCs w:val="24"/>
          <w:lang w:val="fr-FR"/>
        </w:rPr>
        <w:t>re, sur les 65 maires démocratiquement élus du Parti démocratique des peuples pro-kurde (HDP), 59 ont été révoqués et remplacés par des administrateurs nommés par le gouvernement. Le 17 mars, le procureur de la Cour de cassation a officiellement demandé la</w:t>
      </w:r>
      <w:r>
        <w:rPr>
          <w:rFonts w:ascii="Times New Roman" w:hAnsi="Times New Roman"/>
          <w:noProof/>
          <w:sz w:val="24"/>
          <w:szCs w:val="24"/>
          <w:lang w:val="fr-FR"/>
        </w:rPr>
        <w:t xml:space="preserve"> dissolution du HDP.</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La plupart des actes législatifs sont adoptés dans le cadre de procédures d’urgence sans participation et consultation appropriées des parties prenantes. L’indépendance des autorités de régulation a été compromise par l’instauration du</w:t>
      </w:r>
      <w:r>
        <w:rPr>
          <w:rFonts w:ascii="Times New Roman" w:hAnsi="Times New Roman"/>
          <w:noProof/>
          <w:sz w:val="24"/>
          <w:szCs w:val="24"/>
          <w:lang w:val="fr-FR"/>
        </w:rPr>
        <w:t xml:space="preserve"> système présidentiel.</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pressions politiques exercées sur les juges et les procureurs ont des effets négatifs considérables sur l’indépendance du </w:t>
      </w:r>
      <w:r>
        <w:rPr>
          <w:rFonts w:ascii="Times New Roman" w:hAnsi="Times New Roman"/>
          <w:b/>
          <w:noProof/>
          <w:sz w:val="24"/>
          <w:szCs w:val="24"/>
          <w:lang w:val="fr-FR"/>
        </w:rPr>
        <w:t>pouvoir judiciaire</w:t>
      </w:r>
      <w:r>
        <w:rPr>
          <w:rFonts w:ascii="Times New Roman" w:hAnsi="Times New Roman"/>
          <w:noProof/>
          <w:sz w:val="24"/>
          <w:szCs w:val="24"/>
          <w:lang w:val="fr-FR"/>
        </w:rPr>
        <w:t xml:space="preserve">. Les autorités placent en détention, poursuivent et condamnent des personnes, notamment </w:t>
      </w:r>
      <w:r>
        <w:rPr>
          <w:rFonts w:ascii="Times New Roman" w:hAnsi="Times New Roman"/>
          <w:noProof/>
          <w:sz w:val="24"/>
          <w:szCs w:val="24"/>
          <w:lang w:val="fr-FR"/>
        </w:rPr>
        <w:t>des journalistes, des étudiants, des avocats, des personnalités politiques de l’opposition et des militants, principalement sur la base de chefs d’inculpation trop généraux liés au terrorisme. Les autorités turques refusent également d’appliquer les arrêts</w:t>
      </w:r>
      <w:r>
        <w:rPr>
          <w:rFonts w:ascii="Times New Roman" w:hAnsi="Times New Roman"/>
          <w:noProof/>
          <w:sz w:val="24"/>
          <w:szCs w:val="24"/>
          <w:lang w:val="fr-FR"/>
        </w:rPr>
        <w:t xml:space="preserve"> définitifs de la Cour européenne des droits de l’homme, notamment ceux relatifs à la libération d’Osman Kavala et de Selahattin Demirtas, en dépit des résolutions adoptées par le Comité des ministres du Conseil de l’Europe. Un nouveau plan d’action en fav</w:t>
      </w:r>
      <w:r>
        <w:rPr>
          <w:rFonts w:ascii="Times New Roman" w:hAnsi="Times New Roman"/>
          <w:noProof/>
          <w:sz w:val="24"/>
          <w:szCs w:val="24"/>
          <w:lang w:val="fr-FR"/>
        </w:rPr>
        <w:t>eur des droits de l’homme a été adopté par la Turquie le 2 mars. Il ne remédie toutefois pas aux principales lacunes constatées en ce qui concerne les droits de l’homme, l’indépendance du pouvoir judiciaire et la situation générale de l’état de droit.</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w:t>
      </w:r>
      <w:r>
        <w:rPr>
          <w:rFonts w:ascii="Times New Roman" w:hAnsi="Times New Roman"/>
          <w:noProof/>
          <w:sz w:val="24"/>
          <w:szCs w:val="24"/>
          <w:lang w:val="fr-FR"/>
        </w:rPr>
        <w:t xml:space="preserve">relations bilatérales avec plusieurs États membres de l’UE restent tendues, notamment en raison d’une rhétorique parfois agressive de la part des autorités turques et de </w:t>
      </w:r>
      <w:r>
        <w:rPr>
          <w:rFonts w:ascii="Times New Roman" w:hAnsi="Times New Roman"/>
          <w:b/>
          <w:noProof/>
          <w:sz w:val="24"/>
          <w:szCs w:val="24"/>
          <w:lang w:val="fr-FR"/>
        </w:rPr>
        <w:t>tentatives d’ingérence</w:t>
      </w:r>
      <w:r>
        <w:rPr>
          <w:rFonts w:ascii="Times New Roman" w:hAnsi="Times New Roman"/>
          <w:noProof/>
          <w:sz w:val="24"/>
          <w:szCs w:val="24"/>
          <w:lang w:val="fr-FR"/>
        </w:rPr>
        <w:t xml:space="preserve"> dans les décisions de politique interne.</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Une enveloppe de près </w:t>
      </w:r>
      <w:r>
        <w:rPr>
          <w:rFonts w:ascii="Times New Roman" w:hAnsi="Times New Roman"/>
          <w:noProof/>
          <w:sz w:val="24"/>
          <w:szCs w:val="24"/>
          <w:lang w:val="fr-FR"/>
        </w:rPr>
        <w:t>de 4,5 milliards d’EUR a été initialement allouée au programme en faveur de la Turquie au titre de l’</w:t>
      </w:r>
      <w:r>
        <w:rPr>
          <w:rFonts w:ascii="Times New Roman" w:hAnsi="Times New Roman"/>
          <w:b/>
          <w:noProof/>
          <w:sz w:val="24"/>
          <w:szCs w:val="24"/>
          <w:lang w:val="fr-FR"/>
        </w:rPr>
        <w:t>instrument d’aide de préadhésion</w:t>
      </w:r>
      <w:r>
        <w:rPr>
          <w:rFonts w:ascii="Times New Roman" w:hAnsi="Times New Roman"/>
          <w:noProof/>
          <w:sz w:val="24"/>
          <w:szCs w:val="24"/>
          <w:lang w:val="fr-FR"/>
        </w:rPr>
        <w:t xml:space="preserve"> pour la période 2014-2020. À partir de 2017, cette dotation a été progressivement réduite, compte tenu de la faible absorp</w:t>
      </w:r>
      <w:r>
        <w:rPr>
          <w:rFonts w:ascii="Times New Roman" w:hAnsi="Times New Roman"/>
          <w:noProof/>
          <w:sz w:val="24"/>
          <w:szCs w:val="24"/>
          <w:lang w:val="fr-FR"/>
        </w:rPr>
        <w:t>tion et du recul considérable de la Turquie dans les domaines de l’état de droit, des droits fondamentaux et de la réforme de l’administration publique, ainsi que des activités de forage illégales menées en Méditerranée orientale. Globalement, cette réduct</w:t>
      </w:r>
      <w:r>
        <w:rPr>
          <w:rFonts w:ascii="Times New Roman" w:hAnsi="Times New Roman"/>
          <w:noProof/>
          <w:sz w:val="24"/>
          <w:szCs w:val="24"/>
          <w:lang w:val="fr-FR"/>
        </w:rPr>
        <w:t>ion représentait trente pour cent du montant initialement prévu en 2014. À partir de 2017, la Commission a recentré le soutien financier de l’UE sur des secteurs qui reflètent les priorités et principes fondamentaux de l’UE, tels que la démocratie et l’éta</w:t>
      </w:r>
      <w:r>
        <w:rPr>
          <w:rFonts w:ascii="Times New Roman" w:hAnsi="Times New Roman"/>
          <w:noProof/>
          <w:sz w:val="24"/>
          <w:szCs w:val="24"/>
          <w:lang w:val="fr-FR"/>
        </w:rPr>
        <w:t>t de droit, le soutien à la société civile (34 millions d’EUR en 2020) et les droits de l’homme, les échanges interpersonnels et d’autres domaines d’intérêt pour ‎l’UE (énergie, changement climatique, migration). La Commission a également réduit la part de</w:t>
      </w:r>
      <w:r>
        <w:rPr>
          <w:rFonts w:ascii="Times New Roman" w:hAnsi="Times New Roman"/>
          <w:noProof/>
          <w:sz w:val="24"/>
          <w:szCs w:val="24"/>
          <w:lang w:val="fr-FR"/>
        </w:rPr>
        <w:t xml:space="preserve">s fonds gérés directement par les autorités turques. </w:t>
      </w:r>
    </w:p>
    <w:p w:rsidR="008928FB" w:rsidRDefault="00CD358F">
      <w:pPr>
        <w:autoSpaceDE w:val="0"/>
        <w:autoSpaceDN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Sous réserve de l’entrée en vigueur des bases juridiques du </w:t>
      </w:r>
      <w:r>
        <w:rPr>
          <w:rFonts w:ascii="Times New Roman" w:hAnsi="Times New Roman"/>
          <w:b/>
          <w:noProof/>
          <w:sz w:val="24"/>
          <w:szCs w:val="24"/>
          <w:lang w:val="fr-FR"/>
        </w:rPr>
        <w:t>cadre financier pluriannuel</w:t>
      </w:r>
      <w:r>
        <w:rPr>
          <w:rFonts w:ascii="Times New Roman" w:hAnsi="Times New Roman"/>
          <w:noProof/>
          <w:sz w:val="24"/>
          <w:szCs w:val="24"/>
          <w:lang w:val="fr-FR"/>
        </w:rPr>
        <w:t xml:space="preserve"> 2021-2027, une programmation provisoire pour les années 2021 et 2022 </w:t>
      </w:r>
      <w:r>
        <w:rPr>
          <w:rFonts w:ascii="Times New Roman" w:hAnsi="Times New Roman"/>
          <w:b/>
          <w:noProof/>
          <w:sz w:val="24"/>
          <w:szCs w:val="24"/>
          <w:lang w:val="fr-FR"/>
        </w:rPr>
        <w:t>a</w:t>
      </w:r>
      <w:r>
        <w:rPr>
          <w:rFonts w:ascii="Times New Roman" w:hAnsi="Times New Roman"/>
          <w:noProof/>
          <w:sz w:val="24"/>
          <w:szCs w:val="24"/>
          <w:lang w:val="fr-FR"/>
        </w:rPr>
        <w:t xml:space="preserve"> </w:t>
      </w:r>
      <w:r>
        <w:rPr>
          <w:rFonts w:ascii="Times New Roman" w:hAnsi="Times New Roman"/>
          <w:b/>
          <w:noProof/>
          <w:sz w:val="24"/>
          <w:szCs w:val="24"/>
          <w:lang w:val="fr-FR"/>
        </w:rPr>
        <w:t xml:space="preserve">débuté dans le cadre du nouvel instrument </w:t>
      </w:r>
      <w:r>
        <w:rPr>
          <w:rFonts w:ascii="Times New Roman" w:hAnsi="Times New Roman"/>
          <w:b/>
          <w:noProof/>
          <w:sz w:val="24"/>
          <w:szCs w:val="24"/>
          <w:lang w:val="fr-FR"/>
        </w:rPr>
        <w:t>(IAP III)</w:t>
      </w:r>
      <w:r>
        <w:rPr>
          <w:rFonts w:ascii="Times New Roman" w:hAnsi="Times New Roman"/>
          <w:noProof/>
          <w:sz w:val="24"/>
          <w:szCs w:val="24"/>
          <w:lang w:val="fr-FR"/>
        </w:rPr>
        <w:t>. Cette aide réévaluée sera axée sur le soutien aux réformes et valeurs clés, comme l’indiquent les rapports annuels de la Commission sur la Turquie</w:t>
      </w:r>
      <w:r>
        <w:rPr>
          <w:rFonts w:ascii="Times New Roman" w:hAnsi="Times New Roman" w:cs="Times New Roman"/>
          <w:noProof/>
          <w:sz w:val="24"/>
          <w:szCs w:val="24"/>
          <w:lang w:val="fr-FR"/>
        </w:rPr>
        <w:t xml:space="preserve">. </w:t>
      </w:r>
    </w:p>
    <w:p w:rsidR="008928FB" w:rsidRDefault="00CD358F">
      <w:pPr>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 xml:space="preserve">3. </w:t>
      </w:r>
      <w:r>
        <w:rPr>
          <w:rFonts w:ascii="Times New Roman" w:hAnsi="Times New Roman"/>
          <w:b/>
          <w:i/>
          <w:noProof/>
          <w:sz w:val="24"/>
          <w:szCs w:val="24"/>
          <w:lang w:val="fr-FR"/>
        </w:rPr>
        <w:t>La migration et la déclaration UE-Turquie de 2016</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b/>
          <w:noProof/>
          <w:sz w:val="24"/>
          <w:szCs w:val="24"/>
          <w:lang w:val="fr-FR"/>
        </w:rPr>
        <w:t>déclaration UE-Turquie de mars 2016</w:t>
      </w:r>
      <w:r>
        <w:rPr>
          <w:rStyle w:val="FootnoteReference"/>
          <w:rFonts w:ascii="Times New Roman" w:hAnsi="Times New Roman" w:cs="Times New Roman"/>
          <w:noProof/>
          <w:sz w:val="24"/>
          <w:szCs w:val="24"/>
          <w:lang w:val="en-IE"/>
        </w:rPr>
        <w:footnoteReference w:id="4"/>
      </w:r>
      <w:r>
        <w:rPr>
          <w:rFonts w:ascii="Times New Roman" w:hAnsi="Times New Roman"/>
          <w:noProof/>
          <w:sz w:val="24"/>
          <w:szCs w:val="24"/>
          <w:lang w:val="fr-FR"/>
        </w:rPr>
        <w:t xml:space="preserve"> fou</w:t>
      </w:r>
      <w:r>
        <w:rPr>
          <w:rFonts w:ascii="Times New Roman" w:hAnsi="Times New Roman"/>
          <w:noProof/>
          <w:sz w:val="24"/>
          <w:szCs w:val="24"/>
          <w:lang w:val="fr-FR"/>
        </w:rPr>
        <w:t>rnit le cadre général de la coopération entre l’UE et la Turquie en matière de migration. Cette déclaration s’appuyait sur le plan d’action commun UE-Turquie du 29 novembre 2015 et résultait de mesures prises par l’UE pour mettre en place un système de ges</w:t>
      </w:r>
      <w:r>
        <w:rPr>
          <w:rFonts w:ascii="Times New Roman" w:hAnsi="Times New Roman"/>
          <w:noProof/>
          <w:sz w:val="24"/>
          <w:szCs w:val="24"/>
          <w:lang w:val="fr-FR"/>
        </w:rPr>
        <w:t xml:space="preserve">tion efficace de la migration et éviter une crise humanitaire. L’objectif était de rétablir un système d’admission légal et ordonné, de mettre un terme à la migration irrégulière de la Turquie vers l’UE, de prévenir les pertes en vies humaines, de prendre </w:t>
      </w:r>
      <w:r>
        <w:rPr>
          <w:rFonts w:ascii="Times New Roman" w:hAnsi="Times New Roman"/>
          <w:noProof/>
          <w:sz w:val="24"/>
          <w:szCs w:val="24"/>
          <w:lang w:val="fr-FR"/>
        </w:rPr>
        <w:t xml:space="preserve">des mesures contre les réseaux de trafic de migrants et d’améliorer les conditions de vie des réfugiés syriens en Turquie grâce à une coopération globale entre l’UE et la Turquie.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Depuis le début de la mise en œuvre de la déclaration UE-Turquie, on a obse</w:t>
      </w:r>
      <w:r>
        <w:rPr>
          <w:rFonts w:ascii="Times New Roman" w:hAnsi="Times New Roman"/>
          <w:noProof/>
          <w:sz w:val="24"/>
          <w:szCs w:val="24"/>
          <w:lang w:val="fr-FR"/>
        </w:rPr>
        <w:t xml:space="preserve">rvé une diminution substantielle de nombre de </w:t>
      </w:r>
      <w:r>
        <w:rPr>
          <w:rFonts w:ascii="Times New Roman" w:hAnsi="Times New Roman"/>
          <w:b/>
          <w:noProof/>
          <w:sz w:val="24"/>
          <w:szCs w:val="24"/>
          <w:lang w:val="fr-FR"/>
        </w:rPr>
        <w:t>franchissements irréguliers</w:t>
      </w:r>
      <w:r>
        <w:rPr>
          <w:rFonts w:ascii="Times New Roman" w:hAnsi="Times New Roman"/>
          <w:noProof/>
          <w:sz w:val="24"/>
          <w:szCs w:val="24"/>
          <w:lang w:val="fr-FR"/>
        </w:rPr>
        <w:t xml:space="preserve"> de la Turquie vers la Grèce</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lang w:val="fr-FR"/>
        </w:rPr>
        <w:t xml:space="preserve">. Même si les incidents tragiques se sont poursuivis, le nombre de vies perdues en mer Égée a considérablement diminué.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À la fin du mois de février 2020,</w:t>
      </w:r>
      <w:r>
        <w:rPr>
          <w:rFonts w:ascii="Times New Roman" w:hAnsi="Times New Roman"/>
          <w:noProof/>
          <w:sz w:val="24"/>
          <w:szCs w:val="24"/>
          <w:lang w:val="fr-FR"/>
        </w:rPr>
        <w:t xml:space="preserve"> les migrants ont été encouragés par des acteurs turcs à emprunter la route terrestre vers l’Europe en passant par la Grèce. Cela a conduit à la mise en place d’un camp informel à la frontière gréco-turque, avec un grand nombre de migrants et de réfugiés d</w:t>
      </w:r>
      <w:r>
        <w:rPr>
          <w:rFonts w:ascii="Times New Roman" w:hAnsi="Times New Roman"/>
          <w:noProof/>
          <w:sz w:val="24"/>
          <w:szCs w:val="24"/>
          <w:lang w:val="fr-FR"/>
        </w:rPr>
        <w:t>ans des conditions très difficiles. Lors des sessions extraordinaires du Conseil réunissant les ministres de l’intérieur de l’UE le 4 mars 2020 et les ministres des affaires étrangères de l’UE le 6 mars 2020, l’Union a répété que la Turquie devait respecte</w:t>
      </w:r>
      <w:r>
        <w:rPr>
          <w:rFonts w:ascii="Times New Roman" w:hAnsi="Times New Roman"/>
          <w:noProof/>
          <w:sz w:val="24"/>
          <w:szCs w:val="24"/>
          <w:lang w:val="fr-FR"/>
        </w:rPr>
        <w:t>r pleinement la déclaration UE-Turquie. Le Conseil a également invité le gouvernement turc et tous les acteurs et organisations présents sur le terrain à relayer le message selon lequel les migrants ne devraient pas être encouragés à tenter de franchir ill</w:t>
      </w:r>
      <w:r>
        <w:rPr>
          <w:rFonts w:ascii="Times New Roman" w:hAnsi="Times New Roman"/>
          <w:noProof/>
          <w:sz w:val="24"/>
          <w:szCs w:val="24"/>
          <w:lang w:val="fr-FR"/>
        </w:rPr>
        <w:t xml:space="preserve">également les frontières par voie terrestre ou maritime, ainsi qu’à lutter contre la diffusion de fausses informations. Tout en étant consciente de l’aggravation de la charge que représentent les migrations et des risques auxquels la Turquie fait face sur </w:t>
      </w:r>
      <w:r>
        <w:rPr>
          <w:rFonts w:ascii="Times New Roman" w:hAnsi="Times New Roman"/>
          <w:noProof/>
          <w:sz w:val="24"/>
          <w:szCs w:val="24"/>
          <w:lang w:val="fr-FR"/>
        </w:rPr>
        <w:t xml:space="preserve">son territoire, ainsi que des efforts substantiels que le pays a consentis pour accueillir près de quatre millions de réfugiés, l’UE a fermement rejeté l’utilisation par la Turquie de la pression migratoire à des fins politiques. Depuis lors, la situation </w:t>
      </w:r>
      <w:r>
        <w:rPr>
          <w:rFonts w:ascii="Times New Roman" w:hAnsi="Times New Roman"/>
          <w:noProof/>
          <w:sz w:val="24"/>
          <w:szCs w:val="24"/>
          <w:lang w:val="fr-FR"/>
        </w:rPr>
        <w:t>aux frontières maritimes et terrestres avec la Grèce s’est stabilisée et est restée calme dans l’ensemble. Toutefois, une réorientation vers certaines autres routes migratoires a été observée</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lang w:val="fr-FR"/>
        </w:rPr>
        <w:t>.</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lenteur des </w:t>
      </w:r>
      <w:r>
        <w:rPr>
          <w:rFonts w:ascii="Times New Roman" w:hAnsi="Times New Roman"/>
          <w:b/>
          <w:noProof/>
          <w:sz w:val="24"/>
          <w:szCs w:val="24"/>
          <w:lang w:val="fr-FR"/>
        </w:rPr>
        <w:t>retours</w:t>
      </w:r>
      <w:r>
        <w:rPr>
          <w:rFonts w:ascii="Times New Roman" w:hAnsi="Times New Roman"/>
          <w:noProof/>
          <w:sz w:val="24"/>
          <w:szCs w:val="24"/>
          <w:lang w:val="fr-FR"/>
        </w:rPr>
        <w:t xml:space="preserve"> a constitué un problème tout au long de</w:t>
      </w:r>
      <w:r>
        <w:rPr>
          <w:rFonts w:ascii="Times New Roman" w:hAnsi="Times New Roman"/>
          <w:noProof/>
          <w:sz w:val="24"/>
          <w:szCs w:val="24"/>
          <w:lang w:val="fr-FR"/>
        </w:rPr>
        <w:t xml:space="preserve"> la mise en œuvre de la déclaration. Les autorités turques ont suspendu les retours au titre de la déclaration en mars 2020, en invoquant des restrictions liées à la COVID-19. En dépit de demandes répétées des autorités grecques et de la Commission, cette </w:t>
      </w:r>
      <w:r>
        <w:rPr>
          <w:rFonts w:ascii="Times New Roman" w:hAnsi="Times New Roman"/>
          <w:noProof/>
          <w:sz w:val="24"/>
          <w:szCs w:val="24"/>
          <w:lang w:val="fr-FR"/>
        </w:rPr>
        <w:t>question n’a pas été résolue. La Commission a insisté pour que la Turquie respecte pleinement les engagements qu’elle a pris dans le cadre de la déclaration UE-Turquie. Le 14 janvier 2021, la Grèce a adressé une demande officielle de réadmission de 1 450 p</w:t>
      </w:r>
      <w:r>
        <w:rPr>
          <w:rFonts w:ascii="Times New Roman" w:hAnsi="Times New Roman"/>
          <w:noProof/>
          <w:sz w:val="24"/>
          <w:szCs w:val="24"/>
          <w:lang w:val="fr-FR"/>
        </w:rPr>
        <w:t xml:space="preserve">ersonnes faisant l’objet d’une décision de retour, que la Turquie n’a pas acceptée.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b/>
          <w:noProof/>
          <w:sz w:val="24"/>
          <w:szCs w:val="24"/>
          <w:lang w:val="fr-FR"/>
        </w:rPr>
        <w:t>réinstallation</w:t>
      </w:r>
      <w:r>
        <w:rPr>
          <w:rFonts w:ascii="Times New Roman" w:hAnsi="Times New Roman"/>
          <w:noProof/>
          <w:sz w:val="24"/>
          <w:szCs w:val="24"/>
          <w:lang w:val="fr-FR"/>
        </w:rPr>
        <w:t xml:space="preserve"> dans l’UE continue de dépasser le nombre de retours en Turquie. Seuls 2 140 migrants en situation irrégulière et demandeurs d’asile dont les demandes on</w:t>
      </w:r>
      <w:r>
        <w:rPr>
          <w:rFonts w:ascii="Times New Roman" w:hAnsi="Times New Roman"/>
          <w:noProof/>
          <w:sz w:val="24"/>
          <w:szCs w:val="24"/>
          <w:lang w:val="fr-FR"/>
        </w:rPr>
        <w:t>t été déclarées irrecevables lors de leur traversée depuis la Turquie vers les îles grecques ont été renvoyés en Turquie, alors que 28 300 réfugiés syriens ont été réinstallés dans l’UE depuis la Turquie. Vingt États membres ont contribué à cet effort. Afi</w:t>
      </w:r>
      <w:r>
        <w:rPr>
          <w:rFonts w:ascii="Times New Roman" w:hAnsi="Times New Roman"/>
          <w:noProof/>
          <w:sz w:val="24"/>
          <w:szCs w:val="24"/>
          <w:lang w:val="fr-FR"/>
        </w:rPr>
        <w:t>n de maintenir un rythme régulier de réinstallations, la Commission octroie des fonds aux États membres de réinstallation, tandis que le Bureau européen d’appui en matière d’asile apporte un soutien opérationnel au processus et facilite l’échange de bonnes</w:t>
      </w:r>
      <w:r>
        <w:rPr>
          <w:rFonts w:ascii="Times New Roman" w:hAnsi="Times New Roman"/>
          <w:noProof/>
          <w:sz w:val="24"/>
          <w:szCs w:val="24"/>
          <w:lang w:val="fr-FR"/>
        </w:rPr>
        <w:t xml:space="preserve"> pratiques entre États membres.</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déclaration UE-Turquie prévoit l’activation d’un programme d’admission humanitaire volontaire lorsque les franchissements irréguliers auront pris fin ou auront à tout le moins été considérablement et durablement réduits. </w:t>
      </w:r>
      <w:r>
        <w:rPr>
          <w:rFonts w:ascii="Times New Roman" w:hAnsi="Times New Roman"/>
          <w:noProof/>
          <w:sz w:val="24"/>
          <w:szCs w:val="24"/>
          <w:lang w:val="fr-FR"/>
        </w:rPr>
        <w:t>En décembre 2017, les États membres ont approuvé les instructions permanentes, convenues avec la Turquie, mais les États membres n’ont pas encore décidé d’activer le programme.</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Dans le cadre de la déclaration de 2016, l’UE a mobilisé 6 milliards d’EUR d’</w:t>
      </w:r>
      <w:r>
        <w:rPr>
          <w:rFonts w:ascii="Times New Roman" w:hAnsi="Times New Roman"/>
          <w:b/>
          <w:noProof/>
          <w:sz w:val="24"/>
          <w:szCs w:val="24"/>
          <w:lang w:val="fr-FR"/>
        </w:rPr>
        <w:t>ai</w:t>
      </w:r>
      <w:r>
        <w:rPr>
          <w:rFonts w:ascii="Times New Roman" w:hAnsi="Times New Roman"/>
          <w:b/>
          <w:noProof/>
          <w:sz w:val="24"/>
          <w:szCs w:val="24"/>
          <w:lang w:val="fr-FR"/>
        </w:rPr>
        <w:t>de aux réfugiés et aux communautés d’accueil en Turquie</w:t>
      </w:r>
      <w:r>
        <w:rPr>
          <w:rFonts w:ascii="Times New Roman" w:hAnsi="Times New Roman"/>
          <w:noProof/>
          <w:sz w:val="24"/>
          <w:szCs w:val="24"/>
          <w:lang w:val="fr-FR"/>
        </w:rPr>
        <w:t>. À la fin de l’année 2020, le budget opérationnel de cette facilité en faveur des réfugiés en Turquie avait été entièrement engagé et avait fait l’objet de contrats et 65 % de ce budget avait déjà été</w:t>
      </w:r>
      <w:r>
        <w:rPr>
          <w:rFonts w:ascii="Times New Roman" w:hAnsi="Times New Roman"/>
          <w:noProof/>
          <w:sz w:val="24"/>
          <w:szCs w:val="24"/>
          <w:lang w:val="fr-FR"/>
        </w:rPr>
        <w:t xml:space="preserve"> décaissé, en fonction de l’état d’avancement respectif des projets. Il s’agit là d’un investissement européen majeur en faveur de la stabilité.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Le soutien apporté au titre de la facilité a fait l’objet d’une coordination étroite avec les États membres, d’autres donateurs et les autorités turques. Il demeure essentiel pour les besoins fondamentaux, la protection, l’accès aux soins de santé et à l’é</w:t>
      </w:r>
      <w:r>
        <w:rPr>
          <w:rFonts w:ascii="Times New Roman" w:hAnsi="Times New Roman"/>
          <w:noProof/>
          <w:sz w:val="24"/>
          <w:szCs w:val="24"/>
          <w:lang w:val="fr-FR"/>
        </w:rPr>
        <w:t>ducation et le soutien socio-économique. Plus de 1,8 million de réfugiés bénéficient du filet de sécurité sociale d’urgence (ESSN) et près de 670 000 enfants réfugiés fréquentent l’école grâce au soutien du programme des transferts conditionnels en espèces</w:t>
      </w:r>
      <w:r>
        <w:rPr>
          <w:rFonts w:ascii="Times New Roman" w:hAnsi="Times New Roman"/>
          <w:noProof/>
          <w:sz w:val="24"/>
          <w:szCs w:val="24"/>
          <w:lang w:val="fr-FR"/>
        </w:rPr>
        <w:t xml:space="preserve"> pour les dépenses d’éducation (CCTE).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L’UE a déjà débloqué une enveloppe supplémentaire de 585 millions d’EUR de </w:t>
      </w:r>
      <w:r>
        <w:rPr>
          <w:rFonts w:ascii="Times New Roman" w:hAnsi="Times New Roman"/>
          <w:b/>
          <w:noProof/>
          <w:sz w:val="24"/>
          <w:szCs w:val="24"/>
          <w:lang w:val="fr-FR"/>
        </w:rPr>
        <w:t>financement-relais humanitaire</w:t>
      </w:r>
      <w:r>
        <w:rPr>
          <w:rFonts w:ascii="Times New Roman" w:hAnsi="Times New Roman"/>
          <w:noProof/>
          <w:sz w:val="24"/>
          <w:szCs w:val="24"/>
          <w:lang w:val="fr-FR"/>
        </w:rPr>
        <w:t xml:space="preserve"> après la facilité, afin de poursuivre certains projets clés en matière de protection et de santé et d’assurer </w:t>
      </w:r>
      <w:r>
        <w:rPr>
          <w:rFonts w:ascii="Times New Roman" w:hAnsi="Times New Roman"/>
          <w:noProof/>
          <w:sz w:val="24"/>
          <w:szCs w:val="24"/>
          <w:lang w:val="fr-FR"/>
        </w:rPr>
        <w:t>la poursuite des deux programmes phares de l’UE, l’ESSN et le CCTE, jusqu’au début de l’année 2022. Il reste que la situation des réfugiés en Turquie continue de se détériorer, aggravée par la pandémie de COVID-19 et la récession économique. Par conséquent</w:t>
      </w:r>
      <w:r>
        <w:rPr>
          <w:rFonts w:ascii="Times New Roman" w:hAnsi="Times New Roman"/>
          <w:noProof/>
          <w:sz w:val="24"/>
          <w:szCs w:val="24"/>
          <w:lang w:val="fr-FR"/>
        </w:rPr>
        <w:t>, un soutien continu de l’UE sera nécessaire au cours des prochaines années, comme l’ont souligné les conclusions du Conseil européen de décembre 2020. La Commission présentera prochainement des propositions concrètes à cet effet. Le financement futur de l</w:t>
      </w:r>
      <w:r>
        <w:rPr>
          <w:rFonts w:ascii="Times New Roman" w:hAnsi="Times New Roman"/>
          <w:noProof/>
          <w:sz w:val="24"/>
          <w:szCs w:val="24"/>
          <w:lang w:val="fr-FR"/>
        </w:rPr>
        <w:t>’UE sera également axé sur la viabilité à long terme et la transition progressive vers le système turc.</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La Turquie a demandé à plusieurs reprises une mise en œuvre accélérée de la déclaration de 2016, en particulier de ses éléments non liés à la migration:</w:t>
      </w:r>
      <w:r>
        <w:rPr>
          <w:rFonts w:ascii="Times New Roman" w:hAnsi="Times New Roman"/>
          <w:noProof/>
          <w:sz w:val="24"/>
          <w:szCs w:val="24"/>
          <w:lang w:val="fr-FR"/>
        </w:rPr>
        <w:t xml:space="preserve"> la reprise rapide des négociations d’adhésion, une modernisation rapide de l’union douanière et la libéralisation du régime des visas. Toutefois, dans la déclaration UE-Turquie, tous ces éléments restent soumis à des conditions, critères de référence et p</w:t>
      </w:r>
      <w:r>
        <w:rPr>
          <w:rFonts w:ascii="Times New Roman" w:hAnsi="Times New Roman"/>
          <w:noProof/>
          <w:sz w:val="24"/>
          <w:szCs w:val="24"/>
          <w:lang w:val="fr-FR"/>
        </w:rPr>
        <w:t xml:space="preserve">rocédures décisionnelles connus et convenus. La Turquie ne satisfait pas encore aux conditions correspondantes. </w:t>
      </w:r>
    </w:p>
    <w:p w:rsidR="008928FB" w:rsidRDefault="00CD358F">
      <w:pPr>
        <w:jc w:val="both"/>
        <w:rPr>
          <w:rFonts w:ascii="Times New Roman" w:hAnsi="Times New Roman" w:cs="Times New Roman"/>
          <w:b/>
          <w:i/>
          <w:noProof/>
          <w:sz w:val="24"/>
          <w:szCs w:val="24"/>
          <w:lang w:val="fr-FR"/>
        </w:rPr>
      </w:pPr>
      <w:r>
        <w:rPr>
          <w:rFonts w:ascii="Times New Roman" w:hAnsi="Times New Roman"/>
          <w:b/>
          <w:i/>
          <w:noProof/>
          <w:sz w:val="24"/>
          <w:szCs w:val="24"/>
          <w:lang w:val="fr-FR"/>
        </w:rPr>
        <w:t>4. Sommets et dialogues de haut niveau</w:t>
      </w:r>
    </w:p>
    <w:p w:rsidR="008928FB" w:rsidRDefault="00CD358F">
      <w:pPr>
        <w:pStyle w:val="ListParagraph"/>
        <w:ind w:left="0"/>
        <w:contextualSpacing w:val="0"/>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L’UE et la Turquie sont convenues d’organiser des dialogues politiques et sectoriels de haut niveau lors</w:t>
      </w:r>
      <w:r>
        <w:rPr>
          <w:rFonts w:ascii="Times New Roman" w:hAnsi="Times New Roman"/>
          <w:noProof/>
          <w:sz w:val="24"/>
          <w:szCs w:val="24"/>
          <w:lang w:val="fr-FR"/>
        </w:rPr>
        <w:t xml:space="preserve"> de la réunion des chefs d’État ou de gouvernement avec le Turquie en novembre 2015. Il a également été convenu d’organiser des sommets deux fois par an dans une configuration appropriée. Des dialogues sectoriels de haut niveau ont été organisés sur des qu</w:t>
      </w:r>
      <w:r>
        <w:rPr>
          <w:rFonts w:ascii="Times New Roman" w:hAnsi="Times New Roman"/>
          <w:noProof/>
          <w:sz w:val="24"/>
          <w:szCs w:val="24"/>
          <w:lang w:val="fr-FR"/>
        </w:rPr>
        <w:t xml:space="preserve">estions politiques, l’économie, les transports et l’énergie. </w:t>
      </w:r>
    </w:p>
    <w:p w:rsidR="008928FB" w:rsidRDefault="00CD358F">
      <w:pPr>
        <w:pStyle w:val="ListParagraph"/>
        <w:ind w:left="0"/>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Compte tenu des activités de forage non autorisées de la Turquie en Méditerranée orientale, le Conseil a décidé, en juin 2019, de ne pas prévoir jusqu’à nouvel ordre de réunion des dialogues de </w:t>
      </w:r>
      <w:r>
        <w:rPr>
          <w:rFonts w:ascii="Times New Roman" w:hAnsi="Times New Roman"/>
          <w:noProof/>
          <w:sz w:val="24"/>
          <w:szCs w:val="24"/>
          <w:lang w:val="fr-FR"/>
        </w:rPr>
        <w:t>haut niveau et du Conseil d’association UE-Turquie. En réaction, la Turquie a décidé de suspendre les dialogues géographiques en matière de politique étrangère avec l’UE. Une réunion des directeurs politiques a néanmoins eu lieu en septembre 2019 et la Tur</w:t>
      </w:r>
      <w:r>
        <w:rPr>
          <w:rFonts w:ascii="Times New Roman" w:hAnsi="Times New Roman"/>
          <w:noProof/>
          <w:sz w:val="24"/>
          <w:szCs w:val="24"/>
          <w:lang w:val="fr-FR"/>
        </w:rPr>
        <w:t>quie exprime à présent un regain d’intérêt pour la reprise des discussions avec l’UE sur les questions de politique étrangère. Les contacts ad hoc au niveau présidentiel et ministériel se sont poursuivis.</w:t>
      </w:r>
    </w:p>
    <w:p w:rsidR="008928FB" w:rsidRDefault="00CD358F">
      <w:pPr>
        <w:jc w:val="both"/>
        <w:rPr>
          <w:rFonts w:ascii="Times New Roman" w:hAnsi="Times New Roman" w:cs="Times New Roman"/>
          <w:noProof/>
          <w:sz w:val="24"/>
          <w:szCs w:val="24"/>
          <w:lang w:val="fr-FR" w:eastAsia="en-GB"/>
        </w:rPr>
      </w:pPr>
      <w:r>
        <w:rPr>
          <w:rFonts w:ascii="Times New Roman" w:hAnsi="Times New Roman"/>
          <w:noProof/>
          <w:sz w:val="24"/>
          <w:szCs w:val="24"/>
          <w:lang w:val="fr-FR"/>
        </w:rPr>
        <w:t xml:space="preserve">Des dialogues de haut niveau réguliers constituent </w:t>
      </w:r>
      <w:r>
        <w:rPr>
          <w:rFonts w:ascii="Times New Roman" w:hAnsi="Times New Roman"/>
          <w:noProof/>
          <w:sz w:val="24"/>
          <w:szCs w:val="24"/>
          <w:lang w:val="fr-FR"/>
        </w:rPr>
        <w:t>un volet important du programme positif approuvé par le Conseil européen d’octobre 2020, qui sera lancé pour autant que la Turquie se montre disposée à promouvoir un véritable partenariat avec l’Union et ses États membres et à régler les divergences par le</w:t>
      </w:r>
      <w:r>
        <w:rPr>
          <w:rFonts w:ascii="Times New Roman" w:hAnsi="Times New Roman"/>
          <w:noProof/>
          <w:sz w:val="24"/>
          <w:szCs w:val="24"/>
          <w:lang w:val="fr-FR"/>
        </w:rPr>
        <w:t xml:space="preserve"> dialogue et dans le respect du droit international</w:t>
      </w:r>
      <w:r>
        <w:rPr>
          <w:rFonts w:ascii="Times New Roman" w:hAnsi="Times New Roman" w:cs="Times New Roman"/>
          <w:noProof/>
          <w:sz w:val="24"/>
          <w:szCs w:val="24"/>
          <w:lang w:val="fr-FR" w:eastAsia="en-GB"/>
        </w:rPr>
        <w:t>.</w:t>
      </w:r>
    </w:p>
    <w:p w:rsidR="008928FB" w:rsidRDefault="00CD358F">
      <w:pPr>
        <w:jc w:val="both"/>
        <w:rPr>
          <w:rFonts w:ascii="Times New Roman" w:hAnsi="Times New Roman" w:cs="Times New Roman"/>
          <w:b/>
          <w:i/>
          <w:noProof/>
          <w:sz w:val="24"/>
          <w:szCs w:val="24"/>
          <w:lang w:val="fr-BE"/>
        </w:rPr>
      </w:pPr>
      <w:r>
        <w:rPr>
          <w:rFonts w:ascii="Times New Roman" w:hAnsi="Times New Roman"/>
          <w:b/>
          <w:i/>
          <w:noProof/>
          <w:sz w:val="24"/>
          <w:szCs w:val="24"/>
          <w:lang w:val="fr-BE"/>
        </w:rPr>
        <w:t xml:space="preserve">5. Contacts interpersonnels et participation de la Turquie aux programmes de l’UE </w:t>
      </w:r>
    </w:p>
    <w:p w:rsidR="008928FB" w:rsidRDefault="00CD358F">
      <w:pPr>
        <w:pStyle w:val="ListParagraph"/>
        <w:ind w:left="0"/>
        <w:contextualSpacing w:val="0"/>
        <w:jc w:val="both"/>
        <w:rPr>
          <w:rFonts w:ascii="Times New Roman" w:hAnsi="Times New Roman" w:cs="Times New Roman"/>
          <w:noProof/>
          <w:sz w:val="24"/>
          <w:szCs w:val="24"/>
          <w:lang w:val="fr-BE"/>
        </w:rPr>
      </w:pPr>
      <w:r>
        <w:rPr>
          <w:rFonts w:ascii="Times New Roman" w:hAnsi="Times New Roman"/>
          <w:noProof/>
          <w:sz w:val="24"/>
          <w:szCs w:val="24"/>
          <w:lang w:val="fr-BE"/>
        </w:rPr>
        <w:t>La participation aux programmes et agences de l’Union est un élément fondamental de l’intégration de la Turquie dans les</w:t>
      </w:r>
      <w:r>
        <w:rPr>
          <w:rFonts w:ascii="Times New Roman" w:hAnsi="Times New Roman"/>
          <w:noProof/>
          <w:sz w:val="24"/>
          <w:szCs w:val="24"/>
          <w:lang w:val="fr-BE"/>
        </w:rPr>
        <w:t xml:space="preserve"> politiques et instruments de l’UE lorsqu’une telle démarche est dans l’intérêt mutuel des parties. Au cours de la période 2014-2020, la Turquie a participé à neuf programmes et à deux agences, dont Erasmus+ et Horizon 2020. La Turquie a fait part de son s</w:t>
      </w:r>
      <w:r>
        <w:rPr>
          <w:rFonts w:ascii="Times New Roman" w:hAnsi="Times New Roman"/>
          <w:noProof/>
          <w:sz w:val="24"/>
          <w:szCs w:val="24"/>
          <w:lang w:val="fr-BE"/>
        </w:rPr>
        <w:t>ouhait de continuer de participer à ces programmes et agences de l’UE, ainsi qu’à d’autres, au titre du cadre financier pluriannuel 2021-2027, et a récemment demandé à reprendre sa participation au programme «Europe créative».</w:t>
      </w:r>
    </w:p>
    <w:p w:rsidR="008928FB" w:rsidRDefault="00CD358F">
      <w:pPr>
        <w:jc w:val="both"/>
        <w:rPr>
          <w:rFonts w:ascii="Times New Roman" w:hAnsi="Times New Roman" w:cs="Times New Roman"/>
          <w:b/>
          <w:i/>
          <w:noProof/>
          <w:sz w:val="24"/>
          <w:szCs w:val="24"/>
          <w:lang w:val="fr-BE"/>
        </w:rPr>
      </w:pPr>
      <w:r>
        <w:rPr>
          <w:rFonts w:ascii="Times New Roman" w:hAnsi="Times New Roman"/>
          <w:b/>
          <w:i/>
          <w:noProof/>
          <w:sz w:val="24"/>
          <w:szCs w:val="24"/>
          <w:lang w:val="fr-BE"/>
        </w:rPr>
        <w:t>6. Libéralisation du régime d</w:t>
      </w:r>
      <w:r>
        <w:rPr>
          <w:rFonts w:ascii="Times New Roman" w:hAnsi="Times New Roman"/>
          <w:b/>
          <w:i/>
          <w:noProof/>
          <w:sz w:val="24"/>
          <w:szCs w:val="24"/>
          <w:lang w:val="fr-BE"/>
        </w:rPr>
        <w:t xml:space="preserve">es visas </w:t>
      </w:r>
    </w:p>
    <w:p w:rsidR="008928FB" w:rsidRDefault="00CD358F">
      <w:pPr>
        <w:jc w:val="both"/>
        <w:rPr>
          <w:rFonts w:ascii="Times New Roman" w:hAnsi="Times New Roman" w:cs="Times New Roman"/>
          <w:noProof/>
          <w:sz w:val="24"/>
          <w:szCs w:val="24"/>
          <w:lang w:val="fr-BE"/>
        </w:rPr>
      </w:pPr>
      <w:r>
        <w:rPr>
          <w:rFonts w:ascii="Times New Roman" w:hAnsi="Times New Roman"/>
          <w:noProof/>
          <w:sz w:val="24"/>
          <w:szCs w:val="24"/>
          <w:lang w:val="fr-BE"/>
        </w:rPr>
        <w:t>Le 16 décembre 2013, l’UE et la Turquie ont lancé un dialogue sur la libéralisation du régime des visas, parallèlement à la signature de l’accord de réadmission entre l'UE et la Turquie. Ce dialogue repose sur la feuille de route en vue d'un régi</w:t>
      </w:r>
      <w:r>
        <w:rPr>
          <w:rFonts w:ascii="Times New Roman" w:hAnsi="Times New Roman"/>
          <w:noProof/>
          <w:sz w:val="24"/>
          <w:szCs w:val="24"/>
          <w:lang w:val="fr-BE"/>
        </w:rPr>
        <w:t>me d'exemption de visa avec la Turquie, qui définit 72 critères de référence que cette dernière doit remplir.</w:t>
      </w:r>
    </w:p>
    <w:p w:rsidR="008928FB" w:rsidRDefault="00CD358F">
      <w:pPr>
        <w:jc w:val="both"/>
        <w:rPr>
          <w:rFonts w:ascii="Times New Roman" w:hAnsi="Times New Roman" w:cs="Times New Roman"/>
          <w:noProof/>
          <w:sz w:val="24"/>
          <w:szCs w:val="24"/>
          <w:lang w:val="fr-BE"/>
        </w:rPr>
      </w:pPr>
      <w:r>
        <w:rPr>
          <w:rFonts w:ascii="Times New Roman" w:hAnsi="Times New Roman"/>
          <w:noProof/>
          <w:sz w:val="24"/>
          <w:szCs w:val="24"/>
          <w:lang w:val="fr-BE"/>
        </w:rPr>
        <w:t>Dans la déclaration UE-Turquie, les parties prévoient d’accélérer la mise en œuvre de la feuille de route en vue de lever l’obligation de visa pou</w:t>
      </w:r>
      <w:r>
        <w:rPr>
          <w:rFonts w:ascii="Times New Roman" w:hAnsi="Times New Roman"/>
          <w:noProof/>
          <w:sz w:val="24"/>
          <w:szCs w:val="24"/>
          <w:lang w:val="fr-BE"/>
        </w:rPr>
        <w:t>r les citoyens turcs d’ici la fin du mois de juin 2016 au plus tard, sous réserve, bien entendu, du respect de l’ensemble des critères de référence par la Turquie. Toutefois, six critères de référence de la feuille de route ne sont toujours pas satisfaits</w:t>
      </w:r>
      <w:r>
        <w:rPr>
          <w:rStyle w:val="FootnoteReference"/>
          <w:rFonts w:ascii="Times New Roman" w:hAnsi="Times New Roman" w:cs="Times New Roman"/>
          <w:noProof/>
          <w:sz w:val="24"/>
          <w:szCs w:val="24"/>
        </w:rPr>
        <w:footnoteReference w:id="7"/>
      </w:r>
      <w:r>
        <w:rPr>
          <w:rFonts w:ascii="Times New Roman" w:hAnsi="Times New Roman"/>
          <w:noProof/>
          <w:sz w:val="24"/>
          <w:szCs w:val="24"/>
          <w:lang w:val="fr-BE"/>
        </w:rPr>
        <w:t>, et les critères qui sont considérés comme provisoirement remplis nécessitent eux aussi un suivi continu. Les experts de la Commission, conjointement avec les experts du Conseil de l’Europe, continuent d’offrir une assistance technique à la Turquie pour q</w:t>
      </w:r>
      <w:r>
        <w:rPr>
          <w:rFonts w:ascii="Times New Roman" w:hAnsi="Times New Roman"/>
          <w:noProof/>
          <w:sz w:val="24"/>
          <w:szCs w:val="24"/>
          <w:lang w:val="fr-BE"/>
        </w:rPr>
        <w:t>u’elle parvienne à satisfaire aux conditions restantes.</w:t>
      </w:r>
    </w:p>
    <w:p w:rsidR="008928FB" w:rsidRDefault="00CD358F">
      <w:pPr>
        <w:jc w:val="both"/>
        <w:rPr>
          <w:rFonts w:ascii="Times New Roman" w:hAnsi="Times New Roman" w:cs="Times New Roman"/>
          <w:b/>
          <w:i/>
          <w:noProof/>
          <w:sz w:val="24"/>
          <w:szCs w:val="24"/>
          <w:lang w:val="fr-BE"/>
        </w:rPr>
      </w:pPr>
      <w:r>
        <w:rPr>
          <w:rFonts w:ascii="Times New Roman" w:hAnsi="Times New Roman"/>
          <w:b/>
          <w:i/>
          <w:noProof/>
          <w:sz w:val="24"/>
          <w:szCs w:val="24"/>
          <w:lang w:val="fr-BE"/>
        </w:rPr>
        <w:t>7. Mesures restrictives de l'UE</w:t>
      </w:r>
    </w:p>
    <w:p w:rsidR="008928FB" w:rsidRDefault="00CD358F">
      <w:pPr>
        <w:jc w:val="both"/>
        <w:rPr>
          <w:rFonts w:ascii="Times New Roman" w:hAnsi="Times New Roman" w:cs="Times New Roman"/>
          <w:noProof/>
          <w:sz w:val="24"/>
          <w:szCs w:val="24"/>
          <w:lang w:val="fr-BE"/>
        </w:rPr>
      </w:pPr>
      <w:r>
        <w:rPr>
          <w:rFonts w:ascii="Times New Roman" w:hAnsi="Times New Roman"/>
          <w:noProof/>
          <w:sz w:val="24"/>
          <w:szCs w:val="24"/>
          <w:lang w:val="fr-BE"/>
        </w:rPr>
        <w:t>En 2019, la Turquie a intensifié ses activités de forage illégales dans les eaux entourant Chypre. Bien que condamnée fermement à plusieurs reprises par l’UE pour la po</w:t>
      </w:r>
      <w:r>
        <w:rPr>
          <w:rFonts w:ascii="Times New Roman" w:hAnsi="Times New Roman"/>
          <w:noProof/>
          <w:sz w:val="24"/>
          <w:szCs w:val="24"/>
          <w:lang w:val="fr-BE"/>
        </w:rPr>
        <w:t xml:space="preserve">ursuite de ses activités illégales, la Turquie n’y a pas mis fin. Dans ce contexte, le Conseil des affaires étrangères a décidé, en octobre 2019, d’établir un cadre de mesures restrictives, qui a été adopté le 11 novembre 2019. </w:t>
      </w:r>
    </w:p>
    <w:p w:rsidR="008928FB" w:rsidRDefault="00CD358F">
      <w:pPr>
        <w:jc w:val="both"/>
        <w:rPr>
          <w:rFonts w:ascii="Times New Roman" w:hAnsi="Times New Roman" w:cs="Times New Roman"/>
          <w:i/>
          <w:noProof/>
          <w:sz w:val="24"/>
          <w:szCs w:val="24"/>
          <w:lang w:val="fr-BE"/>
        </w:rPr>
      </w:pPr>
      <w:r>
        <w:rPr>
          <w:rFonts w:ascii="Times New Roman" w:hAnsi="Times New Roman"/>
          <w:noProof/>
          <w:sz w:val="24"/>
          <w:szCs w:val="24"/>
          <w:lang w:val="fr-BE"/>
        </w:rPr>
        <w:t>Ce cadre permet d’appliquer</w:t>
      </w:r>
      <w:r>
        <w:rPr>
          <w:rFonts w:ascii="Times New Roman" w:hAnsi="Times New Roman"/>
          <w:noProof/>
          <w:sz w:val="24"/>
          <w:szCs w:val="24"/>
          <w:lang w:val="fr-BE"/>
        </w:rPr>
        <w:t xml:space="preserve"> des sanctions aux personnes ou aux entités qui sont responsables d'activités de forage non autorisées par Chypre ou qui sont impliquées dans ces activités (dans les eaux territoriales de Chypre, ou sa zone économique exclusive, ou encore sur son plateau c</w:t>
      </w:r>
      <w:r>
        <w:rPr>
          <w:rFonts w:ascii="Times New Roman" w:hAnsi="Times New Roman"/>
          <w:noProof/>
          <w:sz w:val="24"/>
          <w:szCs w:val="24"/>
          <w:lang w:val="fr-BE"/>
        </w:rPr>
        <w:t>ontinental). Les sanctions applicables consistent en une interdiction de pénétrer sur le territoire de l’UE et un gel des avoirs. Les premières inscriptions sur les listes dans le cadre du régime de sanctions ont été adoptées le 27 février 2020</w:t>
      </w:r>
      <w:r>
        <w:rPr>
          <w:rStyle w:val="FootnoteReference"/>
          <w:rFonts w:ascii="Times New Roman" w:hAnsi="Times New Roman" w:cs="Times New Roman"/>
          <w:noProof/>
          <w:sz w:val="24"/>
          <w:szCs w:val="24"/>
        </w:rPr>
        <w:footnoteReference w:id="8"/>
      </w:r>
      <w:r>
        <w:rPr>
          <w:rFonts w:ascii="Times New Roman" w:hAnsi="Times New Roman"/>
          <w:noProof/>
          <w:sz w:val="24"/>
          <w:szCs w:val="24"/>
          <w:lang w:val="fr-BE"/>
        </w:rPr>
        <w:t xml:space="preserve">. </w:t>
      </w:r>
    </w:p>
    <w:p w:rsidR="008928FB" w:rsidRDefault="00CD358F">
      <w:pPr>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À la sui</w:t>
      </w:r>
      <w:r>
        <w:rPr>
          <w:rFonts w:ascii="Times New Roman" w:hAnsi="Times New Roman"/>
          <w:noProof/>
          <w:sz w:val="24"/>
          <w:szCs w:val="24"/>
          <w:lang w:val="fr-BE"/>
        </w:rPr>
        <w:t xml:space="preserve">te de l’opération militaire menée par la Turquie dans le nord-est de la Syrie, les États membres de l’UE se sont également engagés, en octobre 2019, à adopter des positions nationales fermes en ce qui concerne leur politique d’exportation d’armements vers </w:t>
      </w:r>
      <w:r>
        <w:rPr>
          <w:rFonts w:ascii="Times New Roman" w:hAnsi="Times New Roman"/>
          <w:noProof/>
          <w:sz w:val="24"/>
          <w:szCs w:val="24"/>
          <w:lang w:val="fr-BE"/>
        </w:rPr>
        <w:t>la Turquie sur la base des dispositions de la position commune 2008/944/PESC</w:t>
      </w:r>
      <w:r>
        <w:rPr>
          <w:rStyle w:val="FootnoteReference"/>
          <w:rFonts w:ascii="Times New Roman" w:eastAsia="Calibri" w:hAnsi="Times New Roman" w:cs="Times New Roman"/>
          <w:noProof/>
          <w:sz w:val="24"/>
          <w:szCs w:val="24"/>
          <w:lang w:eastAsia="en-GB"/>
        </w:rPr>
        <w:footnoteReference w:id="9"/>
      </w:r>
      <w:r>
        <w:rPr>
          <w:rFonts w:ascii="Times New Roman" w:hAnsi="Times New Roman"/>
          <w:noProof/>
          <w:sz w:val="24"/>
          <w:szCs w:val="24"/>
          <w:lang w:val="fr-BE"/>
        </w:rPr>
        <w:t>, mais se sont abstenus de tout embargo sur les armes. Une telle décision revient au Conseil, qui doit se prononcer à l’unanimité. </w:t>
      </w:r>
    </w:p>
    <w:p w:rsidR="008928FB" w:rsidRDefault="00CD358F">
      <w:pPr>
        <w:ind w:left="426" w:hanging="426"/>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IV. </w:t>
      </w:r>
      <w:r>
        <w:rPr>
          <w:noProof/>
          <w:lang w:val="fr-BE"/>
        </w:rPr>
        <w:tab/>
      </w:r>
      <w:r>
        <w:rPr>
          <w:rFonts w:ascii="Times New Roman" w:hAnsi="Times New Roman"/>
          <w:b/>
          <w:noProof/>
          <w:sz w:val="24"/>
          <w:szCs w:val="24"/>
          <w:lang w:val="fr-BE"/>
        </w:rPr>
        <w:t>ÉCONOMIE ET COMMERCE</w:t>
      </w:r>
    </w:p>
    <w:p w:rsidR="008928FB" w:rsidRDefault="00CD358F">
      <w:pPr>
        <w:jc w:val="both"/>
        <w:rPr>
          <w:rFonts w:ascii="Times New Roman" w:hAnsi="Times New Roman" w:cs="Times New Roman"/>
          <w:b/>
          <w:i/>
          <w:noProof/>
          <w:sz w:val="24"/>
          <w:szCs w:val="24"/>
          <w:lang w:val="fr-BE"/>
        </w:rPr>
      </w:pPr>
      <w:r>
        <w:rPr>
          <w:rFonts w:ascii="Times New Roman" w:hAnsi="Times New Roman"/>
          <w:b/>
          <w:i/>
          <w:noProof/>
          <w:sz w:val="24"/>
          <w:szCs w:val="24"/>
          <w:lang w:val="fr-BE"/>
        </w:rPr>
        <w:t xml:space="preserve">1. Cadre commercial </w:t>
      </w:r>
      <w:r>
        <w:rPr>
          <w:rFonts w:ascii="Times New Roman" w:hAnsi="Times New Roman"/>
          <w:b/>
          <w:i/>
          <w:noProof/>
          <w:sz w:val="24"/>
          <w:szCs w:val="24"/>
          <w:lang w:val="fr-BE"/>
        </w:rPr>
        <w:t>UE-Turquie</w:t>
      </w:r>
    </w:p>
    <w:p w:rsidR="008928FB" w:rsidRDefault="00CD358F">
      <w:pPr>
        <w:jc w:val="both"/>
        <w:rPr>
          <w:rFonts w:ascii="Times New Roman" w:hAnsi="Times New Roman" w:cs="Times New Roman"/>
          <w:noProof/>
          <w:sz w:val="24"/>
          <w:szCs w:val="24"/>
          <w:lang w:val="fr-BE"/>
        </w:rPr>
      </w:pPr>
      <w:r>
        <w:rPr>
          <w:rFonts w:ascii="Times New Roman" w:hAnsi="Times New Roman"/>
          <w:noProof/>
          <w:sz w:val="24"/>
          <w:szCs w:val="24"/>
          <w:lang w:val="fr-BE"/>
        </w:rPr>
        <w:t>Les relations commerciales entre l’UE et la Turquie sont régies par trois accords commerciaux préférentiels</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lang w:val="fr-BE"/>
        </w:rPr>
        <w:t>. L’union douanière UE-Turquie, créée en 1995, couvre les échanges de produits industriels et, partant, la majeure partie des flux commer</w:t>
      </w:r>
      <w:r>
        <w:rPr>
          <w:rFonts w:ascii="Times New Roman" w:hAnsi="Times New Roman"/>
          <w:noProof/>
          <w:sz w:val="24"/>
          <w:szCs w:val="24"/>
          <w:lang w:val="fr-BE"/>
        </w:rPr>
        <w:t>ciaux. Cette union douanière implique toutefois une intégration nettement plus poussée qu’un accord de libre-échange. Elle oblige la Turquie à respecter le tarif douanier commun de l’UE et les règles de l’UE applicables aux importations en provenance de pa</w:t>
      </w:r>
      <w:r>
        <w:rPr>
          <w:rFonts w:ascii="Times New Roman" w:hAnsi="Times New Roman"/>
          <w:noProof/>
          <w:sz w:val="24"/>
          <w:szCs w:val="24"/>
          <w:lang w:val="fr-BE"/>
        </w:rPr>
        <w:t>ys tiers, à aligner sa législation nationale sur l’acquis de l’UE dans le domaine des marchandises et à adopter les règles de l’UE en matière de politique commerciale, de politique de concurrence et de droits de propriété intellectuelle.</w:t>
      </w:r>
    </w:p>
    <w:p w:rsidR="008928FB" w:rsidRDefault="00CD358F">
      <w:pPr>
        <w:jc w:val="both"/>
        <w:rPr>
          <w:rFonts w:ascii="Times New Roman" w:hAnsi="Times New Roman" w:cs="Times New Roman"/>
          <w:noProof/>
          <w:sz w:val="24"/>
          <w:szCs w:val="24"/>
          <w:lang w:val="fr-BE"/>
        </w:rPr>
      </w:pPr>
      <w:r>
        <w:rPr>
          <w:rFonts w:ascii="Times New Roman" w:hAnsi="Times New Roman"/>
          <w:noProof/>
          <w:sz w:val="24"/>
          <w:szCs w:val="24"/>
          <w:lang w:val="fr-BE"/>
        </w:rPr>
        <w:t>Outre l’union doua</w:t>
      </w:r>
      <w:r>
        <w:rPr>
          <w:rFonts w:ascii="Times New Roman" w:hAnsi="Times New Roman"/>
          <w:noProof/>
          <w:sz w:val="24"/>
          <w:szCs w:val="24"/>
          <w:lang w:val="fr-BE"/>
        </w:rPr>
        <w:t>nière, le Conseil d’association a conclu un accord de libre-échange pour les produits agricoles en 1998. Un accord de libre-échange distinct sur les produits du charbon, du fer et de l’acier a été conclu en 1996 entre la Communauté européenne du charbon et</w:t>
      </w:r>
      <w:r>
        <w:rPr>
          <w:rFonts w:ascii="Times New Roman" w:hAnsi="Times New Roman"/>
          <w:noProof/>
          <w:sz w:val="24"/>
          <w:szCs w:val="24"/>
          <w:lang w:val="fr-BE"/>
        </w:rPr>
        <w:t xml:space="preserve"> de l’acier (CECA) et la Turquie.  </w:t>
      </w:r>
    </w:p>
    <w:p w:rsidR="008928FB" w:rsidRDefault="00CD358F">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échanges bilatéraux de marchandises ont pesé pour près de 132,5 milliards d’EUR en 2020. Quelque 41 % de l’ensemble des exportations turques de marchandises prennent la direction de l’UE, tandis que les importations </w:t>
      </w:r>
      <w:r>
        <w:rPr>
          <w:rFonts w:ascii="Times New Roman" w:hAnsi="Times New Roman"/>
          <w:noProof/>
          <w:sz w:val="24"/>
          <w:szCs w:val="24"/>
          <w:lang w:val="fr-BE"/>
        </w:rPr>
        <w:t xml:space="preserve">en provenance de l’UE représentent près d’un tiers de l’ensemble des importations turques. L’UE est également de loin la première source d’investissements directs étrangers en Turquie, affichant un volume de 58,5 milliards d’EUR en 2018. </w:t>
      </w:r>
    </w:p>
    <w:p w:rsidR="008928FB" w:rsidRDefault="00CD358F">
      <w:pPr>
        <w:jc w:val="both"/>
        <w:rPr>
          <w:rFonts w:ascii="Times New Roman" w:hAnsi="Times New Roman" w:cs="Times New Roman"/>
          <w:noProof/>
          <w:sz w:val="24"/>
          <w:szCs w:val="24"/>
          <w:lang w:val="fr-BE"/>
        </w:rPr>
      </w:pPr>
      <w:r>
        <w:rPr>
          <w:rFonts w:ascii="Times New Roman" w:hAnsi="Times New Roman"/>
          <w:noProof/>
          <w:sz w:val="24"/>
          <w:szCs w:val="24"/>
          <w:lang w:val="fr-BE"/>
        </w:rPr>
        <w:t>Alors qu’initiale</w:t>
      </w:r>
      <w:r>
        <w:rPr>
          <w:rFonts w:ascii="Times New Roman" w:hAnsi="Times New Roman"/>
          <w:noProof/>
          <w:sz w:val="24"/>
          <w:szCs w:val="24"/>
          <w:lang w:val="fr-BE"/>
        </w:rPr>
        <w:t>ment la Turquie tendait à rapprocher sa législation des règles de l’union douanière, elle s’en est écartée de manière de plus en plus systémique au cours des dernières années. La principale question porte sur les droits de douane supplémentaires que la Tur</w:t>
      </w:r>
      <w:r>
        <w:rPr>
          <w:rFonts w:ascii="Times New Roman" w:hAnsi="Times New Roman"/>
          <w:noProof/>
          <w:sz w:val="24"/>
          <w:szCs w:val="24"/>
          <w:lang w:val="fr-BE"/>
        </w:rPr>
        <w:t>quie perçoit sur les importations en provenance de pays tiers (même lorsque les biens proviennent de l’UE). De nombreuses autres questions relatives à l’accès au marché préoccupent également de plus en plus les entreprises, les associations professionnelle</w:t>
      </w:r>
      <w:r>
        <w:rPr>
          <w:rFonts w:ascii="Times New Roman" w:hAnsi="Times New Roman"/>
          <w:noProof/>
          <w:sz w:val="24"/>
          <w:szCs w:val="24"/>
          <w:lang w:val="fr-BE"/>
        </w:rPr>
        <w:t>s et les États membres de l’UE, telles que les mesures de surveillance, exigeant la divulgation de données sensibles, la discrimination à l’égard des constructeurs de tracteurs de l’UE, ainsi que les exigences excessives dans le domaine des essais et de la</w:t>
      </w:r>
      <w:r>
        <w:rPr>
          <w:rFonts w:ascii="Times New Roman" w:hAnsi="Times New Roman"/>
          <w:noProof/>
          <w:sz w:val="24"/>
          <w:szCs w:val="24"/>
          <w:lang w:val="fr-BE"/>
        </w:rPr>
        <w:t xml:space="preserve"> certification. En outre, la Turquie a conclu des accords commerciaux non conformes à ceux de l’UE, en violation de l’obligation lui incombant en vertu de l’union douanière.</w:t>
      </w:r>
    </w:p>
    <w:p w:rsidR="008928FB" w:rsidRDefault="00CD358F">
      <w:pPr>
        <w:jc w:val="both"/>
        <w:rPr>
          <w:rFonts w:ascii="Times New Roman" w:hAnsi="Times New Roman" w:cs="Times New Roman"/>
          <w:b/>
          <w:i/>
          <w:noProof/>
          <w:sz w:val="24"/>
          <w:szCs w:val="24"/>
          <w:lang w:val="fr-FR"/>
        </w:rPr>
      </w:pPr>
      <w:r>
        <w:rPr>
          <w:rFonts w:ascii="Times New Roman" w:hAnsi="Times New Roman" w:cs="Times New Roman"/>
          <w:b/>
          <w:i/>
          <w:noProof/>
          <w:sz w:val="24"/>
          <w:szCs w:val="24"/>
          <w:lang w:val="fr-FR"/>
        </w:rPr>
        <w:t xml:space="preserve">2. </w:t>
      </w:r>
      <w:r>
        <w:rPr>
          <w:rFonts w:ascii="Times New Roman" w:hAnsi="Times New Roman"/>
          <w:b/>
          <w:i/>
          <w:noProof/>
          <w:sz w:val="24"/>
          <w:szCs w:val="24"/>
          <w:lang w:val="fr-FR"/>
        </w:rPr>
        <w:t xml:space="preserve">Modernisation de l’union douanière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décembre 2016, la Commission a présenté </w:t>
      </w:r>
      <w:r>
        <w:rPr>
          <w:rFonts w:ascii="Times New Roman" w:hAnsi="Times New Roman"/>
          <w:noProof/>
          <w:sz w:val="24"/>
          <w:szCs w:val="24"/>
          <w:lang w:val="fr-FR"/>
        </w:rPr>
        <w:t>au Conseil un projet de directives de négociation sur «un nouvel accord visant à moderniser l’union douanière et à étendre le champ d’application de la relation commerciale préférentielle bilatérale» avec la Turquie. Elles prévoient une libéralisation mutu</w:t>
      </w:r>
      <w:r>
        <w:rPr>
          <w:rFonts w:ascii="Times New Roman" w:hAnsi="Times New Roman"/>
          <w:noProof/>
          <w:sz w:val="24"/>
          <w:szCs w:val="24"/>
          <w:lang w:val="fr-FR"/>
        </w:rPr>
        <w:t>elle accrue des échanges dans les domaines de l’agriculture et des services, une ouverture des marchés publics et des engagements plus fermes en matière de concurrence, de droits de propriété intellectuelle et de développement durable. La proposition abord</w:t>
      </w:r>
      <w:r>
        <w:rPr>
          <w:rFonts w:ascii="Times New Roman" w:hAnsi="Times New Roman"/>
          <w:noProof/>
          <w:sz w:val="24"/>
          <w:szCs w:val="24"/>
          <w:lang w:val="fr-FR"/>
        </w:rPr>
        <w:t>e également les graves problèmes de fonctionnement de la structure actuelle. L’analyse d’impact préparée par la Commission a conclu que la modernisation aurait une incidence positive considérable sur la Turquie et apporterait clairement des avantages écono</w:t>
      </w:r>
      <w:r>
        <w:rPr>
          <w:rFonts w:ascii="Times New Roman" w:hAnsi="Times New Roman"/>
          <w:noProof/>
          <w:sz w:val="24"/>
          <w:szCs w:val="24"/>
          <w:lang w:val="fr-FR"/>
        </w:rPr>
        <w:t xml:space="preserve">miques à l’UE.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Toutefois, les délibérations du Conseil sur cette proposition de la Commission ont été interrompues en 2017 dans le contexte de la dégradation des relations entre l’UE et la Turquie. Le Conseil a formellement conclu le 26 juin 2018, puis ré</w:t>
      </w:r>
      <w:r>
        <w:rPr>
          <w:rFonts w:ascii="Times New Roman" w:hAnsi="Times New Roman"/>
          <w:noProof/>
          <w:sz w:val="24"/>
          <w:szCs w:val="24"/>
          <w:lang w:val="fr-FR"/>
        </w:rPr>
        <w:t>itéré le 18 juin 2019, qu’«</w:t>
      </w:r>
      <w:r>
        <w:rPr>
          <w:rFonts w:ascii="Times New Roman" w:hAnsi="Times New Roman"/>
          <w:i/>
          <w:noProof/>
          <w:sz w:val="24"/>
          <w:szCs w:val="24"/>
          <w:lang w:val="fr-FR"/>
        </w:rPr>
        <w:t>il n’est pas prévu de travaux supplémentaires en vue de moderniser l’union douanière UE-Turquie</w:t>
      </w:r>
      <w:r>
        <w:rPr>
          <w:rFonts w:ascii="Times New Roman" w:hAnsi="Times New Roman"/>
          <w:noProof/>
          <w:sz w:val="24"/>
          <w:szCs w:val="24"/>
          <w:lang w:val="fr-FR"/>
        </w:rPr>
        <w:t>».</w:t>
      </w:r>
    </w:p>
    <w:p w:rsidR="008928FB" w:rsidRDefault="00CD358F">
      <w:pPr>
        <w:jc w:val="both"/>
        <w:rPr>
          <w:rFonts w:ascii="Times New Roman" w:hAnsi="Times New Roman" w:cs="Times New Roman"/>
          <w:b/>
          <w:i/>
          <w:noProof/>
          <w:sz w:val="24"/>
          <w:szCs w:val="24"/>
          <w:lang w:val="fr-FR"/>
        </w:rPr>
      </w:pPr>
      <w:r>
        <w:rPr>
          <w:rFonts w:ascii="Times New Roman" w:hAnsi="Times New Roman"/>
          <w:b/>
          <w:i/>
          <w:noProof/>
          <w:sz w:val="24"/>
          <w:szCs w:val="24"/>
          <w:lang w:val="fr-FR"/>
        </w:rPr>
        <w:t>3. Coopération économique: programme de réforme économique, dialogue, soutien des IFI/IFD</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Depuis 2015, tous les pays candidats et les pays candidats potentiels, y compris la Turquie, présentent à la Commission des programmes annuels de réforme économique, dans le cadre des efforts visant à renforcer leur gouvernance économique et à se préparer </w:t>
      </w:r>
      <w:r>
        <w:rPr>
          <w:rFonts w:ascii="Times New Roman" w:hAnsi="Times New Roman"/>
          <w:noProof/>
          <w:sz w:val="24"/>
          <w:szCs w:val="24"/>
          <w:lang w:val="fr-FR"/>
        </w:rPr>
        <w:t>à leur éventuelle participation au mécanisme de coordination économique de l’UE. Le programme de réforme économique comprend des projections macroéconomiques à moyen terme, des plans budgétaires pour les trois prochaines années et des plans de réforme stru</w:t>
      </w:r>
      <w:r>
        <w:rPr>
          <w:rFonts w:ascii="Times New Roman" w:hAnsi="Times New Roman"/>
          <w:noProof/>
          <w:sz w:val="24"/>
          <w:szCs w:val="24"/>
          <w:lang w:val="fr-FR"/>
        </w:rPr>
        <w:t>cturelle. Sur la base du programme de réforme économique et de l’évaluation de la Commission, le dialogue économique et financier annuel entre l’UE et les Balkans occidentaux et la Turquie au niveau ministériel fournit des orientations ciblées en matière d</w:t>
      </w:r>
      <w:r>
        <w:rPr>
          <w:rFonts w:ascii="Times New Roman" w:hAnsi="Times New Roman"/>
          <w:noProof/>
          <w:sz w:val="24"/>
          <w:szCs w:val="24"/>
          <w:lang w:val="fr-FR"/>
        </w:rPr>
        <w:t xml:space="preserve">e politique économique pour chaque pays et examine sa mise en œuvre.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Parallèlement, l’UE et la Turquie ont établi un </w:t>
      </w:r>
      <w:r>
        <w:rPr>
          <w:rFonts w:ascii="Times New Roman" w:hAnsi="Times New Roman"/>
          <w:b/>
          <w:noProof/>
          <w:sz w:val="24"/>
          <w:szCs w:val="24"/>
          <w:lang w:val="fr-FR"/>
        </w:rPr>
        <w:t>dialogue économique à haut niveau</w:t>
      </w:r>
      <w:r>
        <w:rPr>
          <w:rFonts w:ascii="Times New Roman" w:hAnsi="Times New Roman"/>
          <w:noProof/>
          <w:sz w:val="24"/>
          <w:szCs w:val="24"/>
          <w:lang w:val="fr-FR"/>
        </w:rPr>
        <w:t xml:space="preserve"> en 2015 et tenu leur première réunion en 2016, afin de renforcer les relations économiques bilatérales. </w:t>
      </w:r>
      <w:r>
        <w:rPr>
          <w:rFonts w:ascii="Times New Roman" w:hAnsi="Times New Roman"/>
          <w:noProof/>
          <w:sz w:val="24"/>
          <w:szCs w:val="24"/>
          <w:lang w:val="fr-FR"/>
        </w:rPr>
        <w:t>Compte tenu des opérations de forage turques en Méditerranée orientale, le Conseil a également suspendu ce dialogue en juillet 2019.</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w:t>
      </w:r>
      <w:r>
        <w:rPr>
          <w:rFonts w:ascii="Times New Roman" w:hAnsi="Times New Roman"/>
          <w:b/>
          <w:noProof/>
          <w:sz w:val="24"/>
          <w:szCs w:val="24"/>
          <w:lang w:val="fr-FR"/>
        </w:rPr>
        <w:t>Groupe Banque européenne d’investissement</w:t>
      </w:r>
      <w:r>
        <w:rPr>
          <w:rStyle w:val="FootnoteReference"/>
          <w:rFonts w:ascii="Times New Roman" w:eastAsiaTheme="majorEastAsia" w:hAnsi="Times New Roman" w:cs="Times New Roman"/>
          <w:b/>
          <w:noProof/>
          <w:sz w:val="24"/>
          <w:szCs w:val="24"/>
        </w:rPr>
        <w:footnoteReference w:id="11"/>
      </w:r>
      <w:r>
        <w:rPr>
          <w:rFonts w:ascii="Times New Roman" w:hAnsi="Times New Roman"/>
          <w:noProof/>
          <w:sz w:val="24"/>
          <w:szCs w:val="24"/>
          <w:lang w:val="fr-FR"/>
        </w:rPr>
        <w:t xml:space="preserve"> et la </w:t>
      </w:r>
      <w:r>
        <w:rPr>
          <w:rFonts w:ascii="Times New Roman" w:hAnsi="Times New Roman"/>
          <w:b/>
          <w:noProof/>
          <w:sz w:val="24"/>
          <w:szCs w:val="24"/>
          <w:lang w:val="fr-FR"/>
        </w:rPr>
        <w:t>Banque européenne pour la reconstruction et le développement (BERD)</w:t>
      </w:r>
      <w:r>
        <w:rPr>
          <w:rFonts w:ascii="Times New Roman" w:hAnsi="Times New Roman"/>
          <w:noProof/>
          <w:sz w:val="24"/>
          <w:szCs w:val="24"/>
          <w:lang w:val="fr-FR"/>
        </w:rPr>
        <w:t xml:space="preserve"> con</w:t>
      </w:r>
      <w:r>
        <w:rPr>
          <w:rFonts w:ascii="Times New Roman" w:hAnsi="Times New Roman"/>
          <w:noProof/>
          <w:sz w:val="24"/>
          <w:szCs w:val="24"/>
          <w:lang w:val="fr-FR"/>
        </w:rPr>
        <w:t>centrent actuellement leurs opérations en Turquie sur le secteur privé</w:t>
      </w:r>
      <w:r>
        <w:rPr>
          <w:rStyle w:val="FootnoteReference"/>
          <w:rFonts w:ascii="Times New Roman" w:eastAsiaTheme="majorEastAsia" w:hAnsi="Times New Roman" w:cs="Times New Roman"/>
          <w:noProof/>
          <w:sz w:val="24"/>
          <w:szCs w:val="24"/>
        </w:rPr>
        <w:footnoteReference w:id="12"/>
      </w:r>
      <w:r>
        <w:rPr>
          <w:rFonts w:ascii="Times New Roman" w:hAnsi="Times New Roman"/>
          <w:noProof/>
          <w:sz w:val="24"/>
          <w:szCs w:val="24"/>
          <w:lang w:val="fr-FR"/>
        </w:rPr>
        <w:t>.</w:t>
      </w:r>
      <w:r>
        <w:rPr>
          <w:rFonts w:ascii="Times New Roman" w:hAnsi="Times New Roman"/>
          <w:i/>
          <w:noProof/>
          <w:sz w:val="24"/>
          <w:szCs w:val="24"/>
          <w:lang w:val="fr-FR"/>
        </w:rPr>
        <w:t xml:space="preserve"> </w:t>
      </w:r>
    </w:p>
    <w:p w:rsidR="008928FB" w:rsidRDefault="00CD358F">
      <w:pPr>
        <w:jc w:val="both"/>
        <w:rPr>
          <w:rFonts w:ascii="Times New Roman" w:hAnsi="Times New Roman" w:cs="Times New Roman"/>
          <w:b/>
          <w:i/>
          <w:noProof/>
          <w:sz w:val="24"/>
          <w:szCs w:val="24"/>
          <w:lang w:val="fr-FR"/>
        </w:rPr>
      </w:pPr>
      <w:r>
        <w:rPr>
          <w:rFonts w:ascii="Times New Roman" w:hAnsi="Times New Roman"/>
          <w:b/>
          <w:i/>
          <w:noProof/>
          <w:sz w:val="24"/>
          <w:szCs w:val="24"/>
          <w:lang w:val="fr-FR"/>
        </w:rPr>
        <w:t xml:space="preserve">4. Autres principaux secteurs prioritaires </w:t>
      </w:r>
    </w:p>
    <w:p w:rsidR="008928FB" w:rsidRDefault="00CD358F">
      <w:pPr>
        <w:autoSpaceDE w:val="0"/>
        <w:autoSpaceDN w:val="0"/>
        <w:jc w:val="both"/>
        <w:rPr>
          <w:rFonts w:ascii="Times New Roman" w:eastAsia="Calibri" w:hAnsi="Times New Roman" w:cs="Times New Roman"/>
          <w:noProof/>
          <w:sz w:val="24"/>
          <w:szCs w:val="24"/>
          <w:lang w:val="fr-FR"/>
        </w:rPr>
      </w:pPr>
      <w:r>
        <w:rPr>
          <w:rFonts w:ascii="Times New Roman" w:hAnsi="Times New Roman"/>
          <w:noProof/>
          <w:sz w:val="24"/>
          <w:szCs w:val="24"/>
          <w:lang w:val="fr-FR"/>
        </w:rPr>
        <w:t>Le secteur de l’</w:t>
      </w:r>
      <w:r>
        <w:rPr>
          <w:rFonts w:ascii="Times New Roman" w:hAnsi="Times New Roman"/>
          <w:b/>
          <w:noProof/>
          <w:sz w:val="24"/>
          <w:szCs w:val="24"/>
          <w:lang w:val="fr-FR"/>
        </w:rPr>
        <w:t>énergie</w:t>
      </w:r>
      <w:r>
        <w:rPr>
          <w:rFonts w:ascii="Times New Roman" w:hAnsi="Times New Roman"/>
          <w:noProof/>
          <w:sz w:val="24"/>
          <w:szCs w:val="24"/>
          <w:lang w:val="fr-FR"/>
        </w:rPr>
        <w:t xml:space="preserve"> revêt une importance géostratégique dans les relations entre l’UE et la Turquie. Des échanges sur des questions te</w:t>
      </w:r>
      <w:r>
        <w:rPr>
          <w:rFonts w:ascii="Times New Roman" w:hAnsi="Times New Roman"/>
          <w:noProof/>
          <w:sz w:val="24"/>
          <w:szCs w:val="24"/>
          <w:lang w:val="fr-FR"/>
        </w:rPr>
        <w:t>lles que la sûreté nucléaire ou les énergies renouvelables ont lieu dans le cadre de réunions sectorielles de l’accord d’association. Un cadre de dialogue à haut niveau sur l’énergie a été mis en place en mars 2015, mais seules deux réunions ont eu lieu, p</w:t>
      </w:r>
      <w:r>
        <w:rPr>
          <w:rFonts w:ascii="Times New Roman" w:hAnsi="Times New Roman"/>
          <w:noProof/>
          <w:sz w:val="24"/>
          <w:szCs w:val="24"/>
          <w:lang w:val="fr-FR"/>
        </w:rPr>
        <w:t>rincipalement en raison du refus de la Turquie de se réunir au niveau ministériel. Les activités de forage non autorisées menées par la Turquie en Méditerranée orientale ont entraîné la suspension de ce dialogue. Le statut d’observateur du gestionnaire tur</w:t>
      </w:r>
      <w:r>
        <w:rPr>
          <w:rFonts w:ascii="Times New Roman" w:hAnsi="Times New Roman"/>
          <w:noProof/>
          <w:sz w:val="24"/>
          <w:szCs w:val="24"/>
          <w:lang w:val="fr-FR"/>
        </w:rPr>
        <w:t>c du réseau de transport (TEIAS) au sein du réseau européen des gestionnaires de réseaux de transport d’électricité a été suspendu en 2018. Des inquiétudes ont été exprimées quant au manque de coopération de TEIAS en ce qui concerne les projets d’électrici</w:t>
      </w:r>
      <w:r>
        <w:rPr>
          <w:rFonts w:ascii="Times New Roman" w:hAnsi="Times New Roman"/>
          <w:noProof/>
          <w:sz w:val="24"/>
          <w:szCs w:val="24"/>
          <w:lang w:val="fr-FR"/>
        </w:rPr>
        <w:t xml:space="preserve">té liés à la communauté chypriote turque, susceptibles d’avoir une incidence sur le réseau de l’ensemble de l’île. En 2019, la Turquie a transmis le rapport national révisé sur les tests de résistance concernant le projet nucléaire d’Akkuyu et des experts </w:t>
      </w:r>
      <w:r>
        <w:rPr>
          <w:rFonts w:ascii="Times New Roman" w:hAnsi="Times New Roman"/>
          <w:noProof/>
          <w:sz w:val="24"/>
          <w:szCs w:val="24"/>
          <w:lang w:val="fr-FR"/>
        </w:rPr>
        <w:t>techniques ont procédé à un échange de vues sur l’organisation de l’examen par les pairs par l’ENSREG, au sein duquel la Turquie a le statut d’observateur. L’</w:t>
      </w:r>
      <w:r>
        <w:rPr>
          <w:rFonts w:ascii="Times New Roman" w:hAnsi="Times New Roman"/>
          <w:b/>
          <w:noProof/>
          <w:sz w:val="24"/>
          <w:szCs w:val="24"/>
          <w:lang w:val="fr-FR"/>
        </w:rPr>
        <w:t>aide financière de l’UE</w:t>
      </w:r>
      <w:r>
        <w:rPr>
          <w:rFonts w:ascii="Times New Roman" w:hAnsi="Times New Roman"/>
          <w:noProof/>
          <w:sz w:val="24"/>
          <w:szCs w:val="24"/>
          <w:lang w:val="fr-FR"/>
        </w:rPr>
        <w:t xml:space="preserve"> a été largement utilisée pour financer de multiples projets dans le domain</w:t>
      </w:r>
      <w:r>
        <w:rPr>
          <w:rFonts w:ascii="Times New Roman" w:hAnsi="Times New Roman"/>
          <w:noProof/>
          <w:sz w:val="24"/>
          <w:szCs w:val="24"/>
          <w:lang w:val="fr-FR"/>
        </w:rPr>
        <w:t xml:space="preserve">e de l’énergie, de plus en plus tournés vers les énergies renouvelables et l’efficacité énergétique. </w:t>
      </w:r>
    </w:p>
    <w:p w:rsidR="008928FB" w:rsidRDefault="00CD358F">
      <w:pPr>
        <w:jc w:val="both"/>
        <w:rPr>
          <w:rFonts w:ascii="Times New Roman" w:eastAsia="Calibri" w:hAnsi="Times New Roman" w:cs="Times New Roman"/>
          <w:noProof/>
          <w:color w:val="000000"/>
          <w:sz w:val="24"/>
          <w:szCs w:val="24"/>
          <w:lang w:val="fr-FR"/>
        </w:rPr>
      </w:pPr>
      <w:r>
        <w:rPr>
          <w:rFonts w:ascii="Times New Roman" w:hAnsi="Times New Roman"/>
          <w:noProof/>
          <w:color w:val="000000"/>
          <w:sz w:val="24"/>
          <w:szCs w:val="24"/>
          <w:lang w:val="fr-FR"/>
        </w:rPr>
        <w:t xml:space="preserve">Dans le domaine des </w:t>
      </w:r>
      <w:r>
        <w:rPr>
          <w:rFonts w:ascii="Times New Roman" w:hAnsi="Times New Roman"/>
          <w:b/>
          <w:noProof/>
          <w:color w:val="000000"/>
          <w:sz w:val="24"/>
          <w:szCs w:val="24"/>
          <w:lang w:val="fr-FR"/>
        </w:rPr>
        <w:t>transports</w:t>
      </w:r>
      <w:r>
        <w:rPr>
          <w:rFonts w:ascii="Times New Roman" w:hAnsi="Times New Roman"/>
          <w:noProof/>
          <w:color w:val="000000"/>
          <w:sz w:val="24"/>
          <w:szCs w:val="24"/>
          <w:lang w:val="fr-FR"/>
        </w:rPr>
        <w:t xml:space="preserve">, les relations entre la Turquie et l’UE restent difficiles malgré un intérêt commun pour la sécurité routière, la mobilité urbaine durable ou le transport maritime vert. Après la suspension des négociations en vue d’un </w:t>
      </w:r>
      <w:r>
        <w:rPr>
          <w:rFonts w:ascii="Times New Roman" w:hAnsi="Times New Roman"/>
          <w:b/>
          <w:noProof/>
          <w:color w:val="000000"/>
          <w:sz w:val="24"/>
          <w:szCs w:val="24"/>
          <w:lang w:val="fr-FR"/>
        </w:rPr>
        <w:t>accord global dans le domaine des tr</w:t>
      </w:r>
      <w:r>
        <w:rPr>
          <w:rFonts w:ascii="Times New Roman" w:hAnsi="Times New Roman"/>
          <w:b/>
          <w:noProof/>
          <w:color w:val="000000"/>
          <w:sz w:val="24"/>
          <w:szCs w:val="24"/>
          <w:lang w:val="fr-FR"/>
        </w:rPr>
        <w:t>ansports aériens</w:t>
      </w:r>
      <w:r>
        <w:rPr>
          <w:rFonts w:ascii="Times New Roman" w:hAnsi="Times New Roman"/>
          <w:noProof/>
          <w:color w:val="000000"/>
          <w:sz w:val="24"/>
          <w:szCs w:val="24"/>
          <w:lang w:val="fr-FR"/>
        </w:rPr>
        <w:t xml:space="preserve"> entre l’UE et la Turquie, conformément aux conclusions du Conseil de juillet 2019, le mandat de la Commission a expiré en juin 2020. La Turquie a récemment manifesté son intérêt pour la reprise des négociations. Dans le même temps, la Turq</w:t>
      </w:r>
      <w:r>
        <w:rPr>
          <w:rFonts w:ascii="Times New Roman" w:hAnsi="Times New Roman"/>
          <w:noProof/>
          <w:color w:val="000000"/>
          <w:sz w:val="24"/>
          <w:szCs w:val="24"/>
          <w:lang w:val="fr-FR"/>
        </w:rPr>
        <w:t xml:space="preserve">uie ne reconnaît pas le droit d’un transporteur de l’UE d’exploiter des vols vers la Turquie à partir d’un État membre de l’UE différent de celui qui lui accorde une licence. </w:t>
      </w:r>
    </w:p>
    <w:p w:rsidR="008928FB" w:rsidRDefault="00CD358F">
      <w:pPr>
        <w:jc w:val="both"/>
        <w:rPr>
          <w:rFonts w:ascii="Times New Roman" w:eastAsia="Calibri" w:hAnsi="Times New Roman" w:cs="Times New Roman"/>
          <w:noProof/>
          <w:color w:val="000000"/>
          <w:sz w:val="24"/>
          <w:szCs w:val="24"/>
          <w:lang w:val="fr-FR"/>
        </w:rPr>
      </w:pPr>
      <w:r>
        <w:rPr>
          <w:rFonts w:ascii="Times New Roman" w:hAnsi="Times New Roman"/>
          <w:noProof/>
          <w:color w:val="000000"/>
          <w:sz w:val="24"/>
          <w:szCs w:val="24"/>
          <w:lang w:val="fr-FR"/>
        </w:rPr>
        <w:t xml:space="preserve">L’extension du </w:t>
      </w:r>
      <w:r>
        <w:rPr>
          <w:rFonts w:ascii="Times New Roman" w:hAnsi="Times New Roman"/>
          <w:b/>
          <w:noProof/>
          <w:color w:val="000000"/>
          <w:sz w:val="24"/>
          <w:szCs w:val="24"/>
          <w:lang w:val="fr-FR"/>
        </w:rPr>
        <w:t>réseau central RTE-T</w:t>
      </w:r>
      <w:r>
        <w:rPr>
          <w:rFonts w:ascii="Times New Roman" w:hAnsi="Times New Roman"/>
          <w:noProof/>
          <w:color w:val="000000"/>
          <w:sz w:val="24"/>
          <w:szCs w:val="24"/>
          <w:lang w:val="fr-FR"/>
        </w:rPr>
        <w:t xml:space="preserve"> à la Turquie constitue un autre obstacle à l</w:t>
      </w:r>
      <w:r>
        <w:rPr>
          <w:rFonts w:ascii="Times New Roman" w:hAnsi="Times New Roman"/>
          <w:noProof/>
          <w:color w:val="000000"/>
          <w:sz w:val="24"/>
          <w:szCs w:val="24"/>
          <w:lang w:val="fr-FR"/>
        </w:rPr>
        <w:t>a coopération entre l’UE et la Turquie. Le non-respect par la Turquie du protocole d’Ankara sur l’accès aux ports et aux aéroports entrave la finalisation de l’extension du RTE-T. La finalisation de l’extension est également importante en ce qui concerne l</w:t>
      </w:r>
      <w:r>
        <w:rPr>
          <w:rFonts w:ascii="Times New Roman" w:hAnsi="Times New Roman"/>
          <w:noProof/>
          <w:color w:val="000000"/>
          <w:sz w:val="24"/>
          <w:szCs w:val="24"/>
          <w:lang w:val="fr-FR"/>
        </w:rPr>
        <w:t xml:space="preserve">a mise en œuvre du projet de ligne ferroviaire Halkali-Kapikule.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ce qui concerne la </w:t>
      </w:r>
      <w:r>
        <w:rPr>
          <w:rFonts w:ascii="Times New Roman" w:hAnsi="Times New Roman"/>
          <w:b/>
          <w:noProof/>
          <w:sz w:val="24"/>
          <w:szCs w:val="24"/>
          <w:lang w:val="fr-FR"/>
        </w:rPr>
        <w:t>coopération judiciaire en matière civile et commerciale</w:t>
      </w:r>
      <w:r>
        <w:rPr>
          <w:rFonts w:ascii="Times New Roman" w:hAnsi="Times New Roman"/>
          <w:noProof/>
          <w:sz w:val="24"/>
          <w:szCs w:val="24"/>
          <w:lang w:val="fr-FR"/>
        </w:rPr>
        <w:t>, l’UE a encouragé la Turquie à adhérer aux conventions internationales pertinentes dans le domaine de la justice</w:t>
      </w:r>
      <w:r>
        <w:rPr>
          <w:rFonts w:ascii="Times New Roman" w:hAnsi="Times New Roman"/>
          <w:noProof/>
          <w:sz w:val="24"/>
          <w:szCs w:val="24"/>
          <w:lang w:val="fr-FR"/>
        </w:rPr>
        <w:t xml:space="preserve"> civile. La Turquie est déjà partie contractante aux conventions de La Haye dans le domaine du droit de la famille et des litiges transnationaux. La Turquie devrait prendre des mesures efficaces pour garantir une réduction acceptable des retards dans les p</w:t>
      </w:r>
      <w:r>
        <w:rPr>
          <w:rFonts w:ascii="Times New Roman" w:hAnsi="Times New Roman"/>
          <w:noProof/>
          <w:sz w:val="24"/>
          <w:szCs w:val="24"/>
          <w:lang w:val="fr-FR"/>
        </w:rPr>
        <w:t xml:space="preserve">rocédures résultant de la convention de La Haye de 1980 sur les aspects civils de l’enlèvement international d’enfants et pour encourager le recours à la médiation internationale dans ces affaires. </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ce qui concerne la </w:t>
      </w:r>
      <w:r>
        <w:rPr>
          <w:rFonts w:ascii="Times New Roman" w:hAnsi="Times New Roman"/>
          <w:b/>
          <w:noProof/>
          <w:sz w:val="24"/>
          <w:szCs w:val="24"/>
          <w:lang w:val="fr-FR"/>
        </w:rPr>
        <w:t>coopération judiciaire en matière p</w:t>
      </w:r>
      <w:r>
        <w:rPr>
          <w:rFonts w:ascii="Times New Roman" w:hAnsi="Times New Roman"/>
          <w:b/>
          <w:noProof/>
          <w:sz w:val="24"/>
          <w:szCs w:val="24"/>
          <w:lang w:val="fr-FR"/>
        </w:rPr>
        <w:t>énale</w:t>
      </w:r>
      <w:r>
        <w:rPr>
          <w:rFonts w:ascii="Times New Roman" w:hAnsi="Times New Roman"/>
          <w:noProof/>
          <w:sz w:val="24"/>
          <w:szCs w:val="24"/>
          <w:lang w:val="fr-FR"/>
        </w:rPr>
        <w:t>, la Turquie a nommé six points de contact en 2019 afin de faciliter l’échange d’informations non sensibles avec Eurojust. En 2020, la Turquie a participé à 20 dossiers opérationnels Eurojust. En outre, Eurojust a inclus la Turquie dans sa stratégie q</w:t>
      </w:r>
      <w:r>
        <w:rPr>
          <w:rFonts w:ascii="Times New Roman" w:hAnsi="Times New Roman"/>
          <w:noProof/>
          <w:sz w:val="24"/>
          <w:szCs w:val="24"/>
          <w:lang w:val="fr-FR"/>
        </w:rPr>
        <w:t>uadriennale de coopération (2020-2024). Une décision autorisant la Commission à négocier un accord sur la coopération judiciaire en matière pénale entre Eurojust et la Turquie est en instance au Conseil.</w:t>
      </w:r>
    </w:p>
    <w:p w:rsidR="008928FB" w:rsidRDefault="00CD358F">
      <w:pPr>
        <w:jc w:val="both"/>
        <w:rPr>
          <w:rFonts w:ascii="Times New Roman" w:hAnsi="Times New Roman" w:cs="Times New Roman"/>
          <w:noProof/>
          <w:sz w:val="24"/>
          <w:szCs w:val="24"/>
          <w:lang w:val="fr-FR"/>
        </w:rPr>
      </w:pPr>
      <w:r>
        <w:rPr>
          <w:rFonts w:ascii="Times New Roman" w:hAnsi="Times New Roman"/>
          <w:noProof/>
          <w:sz w:val="24"/>
          <w:szCs w:val="24"/>
          <w:lang w:val="fr-FR"/>
        </w:rPr>
        <w:t>Le 22 février 2021, le Conseil a adopté des conclusi</w:t>
      </w:r>
      <w:r>
        <w:rPr>
          <w:rFonts w:ascii="Times New Roman" w:hAnsi="Times New Roman"/>
          <w:noProof/>
          <w:sz w:val="24"/>
          <w:szCs w:val="24"/>
          <w:lang w:val="fr-FR"/>
        </w:rPr>
        <w:t>ons</w:t>
      </w:r>
      <w:r>
        <w:rPr>
          <w:rStyle w:val="FootnoteReference"/>
          <w:rFonts w:ascii="Times New Roman" w:hAnsi="Times New Roman" w:cs="Times New Roman"/>
          <w:noProof/>
          <w:sz w:val="24"/>
          <w:szCs w:val="24"/>
          <w:lang w:val="en-US"/>
        </w:rPr>
        <w:footnoteReference w:id="13"/>
      </w:r>
      <w:r>
        <w:rPr>
          <w:rFonts w:ascii="Times New Roman" w:hAnsi="Times New Roman"/>
          <w:noProof/>
          <w:sz w:val="24"/>
          <w:szCs w:val="24"/>
          <w:lang w:val="fr-FR"/>
        </w:rPr>
        <w:t xml:space="preserve"> relatives à la liste révisée de l'UE des </w:t>
      </w:r>
      <w:r>
        <w:rPr>
          <w:rFonts w:ascii="Times New Roman" w:hAnsi="Times New Roman"/>
          <w:b/>
          <w:noProof/>
          <w:sz w:val="24"/>
          <w:szCs w:val="24"/>
          <w:lang w:val="fr-FR"/>
        </w:rPr>
        <w:t>pays et territoires non coopératifs à des fins fiscales</w:t>
      </w:r>
      <w:r>
        <w:rPr>
          <w:rFonts w:ascii="Times New Roman" w:hAnsi="Times New Roman"/>
          <w:noProof/>
          <w:sz w:val="24"/>
          <w:szCs w:val="24"/>
          <w:lang w:val="fr-FR"/>
        </w:rPr>
        <w:t>, La Turquie a été invitée à résoudre toutes les questions en suspens relatives à l'échange effectif d'informations avec l'ensemble des États membres, comm</w:t>
      </w:r>
      <w:r>
        <w:rPr>
          <w:rFonts w:ascii="Times New Roman" w:hAnsi="Times New Roman"/>
          <w:noProof/>
          <w:sz w:val="24"/>
          <w:szCs w:val="24"/>
          <w:lang w:val="fr-FR"/>
        </w:rPr>
        <w:t>e indiqué dans les conclusions du Conseil. La Turquie est invitée à s'engager à un niveau politique élevé au plus tard le 31 mai 2021 à activer de manière effective son échange automatique de renseignements avec l'ensemble des États membres au plus tard le</w:t>
      </w:r>
      <w:r>
        <w:rPr>
          <w:rFonts w:ascii="Times New Roman" w:hAnsi="Times New Roman"/>
          <w:noProof/>
          <w:sz w:val="24"/>
          <w:szCs w:val="24"/>
          <w:lang w:val="fr-FR"/>
        </w:rPr>
        <w:t xml:space="preserve"> 30 juin.</w:t>
      </w:r>
    </w:p>
    <w:p w:rsidR="008928FB" w:rsidRDefault="00CD358F">
      <w:pPr>
        <w:jc w:val="both"/>
        <w:rPr>
          <w:rFonts w:ascii="Times New Roman" w:eastAsia="Calibri" w:hAnsi="Times New Roman" w:cs="Times New Roman"/>
          <w:noProof/>
          <w:sz w:val="24"/>
          <w:szCs w:val="24"/>
          <w:lang w:val="fr-FR" w:eastAsia="en-GB"/>
        </w:rPr>
      </w:pPr>
      <w:r>
        <w:rPr>
          <w:rFonts w:ascii="Times New Roman" w:hAnsi="Times New Roman"/>
          <w:noProof/>
          <w:sz w:val="24"/>
          <w:szCs w:val="24"/>
          <w:lang w:val="fr-FR"/>
        </w:rPr>
        <w:t xml:space="preserve">En ce qui concerne la </w:t>
      </w:r>
      <w:r>
        <w:rPr>
          <w:rFonts w:ascii="Times New Roman" w:hAnsi="Times New Roman"/>
          <w:b/>
          <w:noProof/>
          <w:sz w:val="24"/>
          <w:szCs w:val="24"/>
          <w:lang w:val="fr-FR"/>
        </w:rPr>
        <w:t>protection civile</w:t>
      </w:r>
      <w:r>
        <w:rPr>
          <w:rFonts w:ascii="Times New Roman" w:hAnsi="Times New Roman"/>
          <w:noProof/>
          <w:sz w:val="24"/>
          <w:szCs w:val="24"/>
          <w:lang w:val="fr-FR"/>
        </w:rPr>
        <w:t>, la Turquie participe depuis 2016 au mécanisme de protection civile de l’Union (MPCU). La Turquie a participé activement aux programmes régionaux de l’IAP en matière de protection civile et elle bénéficiera</w:t>
      </w:r>
      <w:r>
        <w:rPr>
          <w:rFonts w:ascii="Times New Roman" w:hAnsi="Times New Roman"/>
          <w:noProof/>
          <w:sz w:val="24"/>
          <w:szCs w:val="24"/>
          <w:lang w:val="fr-FR"/>
        </w:rPr>
        <w:t xml:space="preserve"> du prochain programme IAP régional sur la prévention des inondations et la gestion des risques d’incendies de forêt, qui a officiellement débuté le 15 novembre 2020.</w:t>
      </w:r>
    </w:p>
    <w:p w:rsidR="008928FB" w:rsidRDefault="008928FB">
      <w:pPr>
        <w:autoSpaceDE w:val="0"/>
        <w:autoSpaceDN w:val="0"/>
        <w:jc w:val="both"/>
        <w:rPr>
          <w:rFonts w:ascii="Times New Roman" w:hAnsi="Times New Roman" w:cs="Times New Roman"/>
          <w:b/>
          <w:noProof/>
          <w:sz w:val="24"/>
          <w:szCs w:val="24"/>
          <w:lang w:val="fr-FR"/>
        </w:rPr>
      </w:pPr>
    </w:p>
    <w:p w:rsidR="008928FB" w:rsidRDefault="00CD358F">
      <w:pPr>
        <w:autoSpaceDE w:val="0"/>
        <w:autoSpaceDN w:val="0"/>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 xml:space="preserve">V. </w:t>
      </w:r>
      <w:r>
        <w:rPr>
          <w:rFonts w:ascii="Times New Roman" w:hAnsi="Times New Roman"/>
          <w:b/>
          <w:noProof/>
          <w:sz w:val="24"/>
          <w:szCs w:val="24"/>
          <w:lang w:val="fr-FR"/>
        </w:rPr>
        <w:t>CONCLUSIONS</w:t>
      </w:r>
    </w:p>
    <w:p w:rsidR="008928FB" w:rsidRDefault="00CD358F">
      <w:p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Depuis décembre dernier, la Turquie fait montre d’une attitude plus calme et plus constructive à l’égard de diverses questions, y compris dans ses relations bilatérales avec plusieurs États membres de l’UE. Il s’agit là d’avancées positives et bienvenues. </w:t>
      </w:r>
      <w:r>
        <w:rPr>
          <w:rFonts w:ascii="Times New Roman" w:hAnsi="Times New Roman"/>
          <w:noProof/>
          <w:sz w:val="24"/>
          <w:szCs w:val="24"/>
          <w:lang w:val="fr-FR"/>
        </w:rPr>
        <w:t>La pandémie de COVID-19 a encore accentué les avantages mutuels d’une relation de coopération. Toutefois, ce processus de désescalade reste fragile. Nous avons besoin de plus de temps pour juger s’il est durable et crédible et s’il donne des résultats dura</w:t>
      </w:r>
      <w:r>
        <w:rPr>
          <w:rFonts w:ascii="Times New Roman" w:hAnsi="Times New Roman"/>
          <w:noProof/>
          <w:sz w:val="24"/>
          <w:szCs w:val="24"/>
          <w:lang w:val="fr-FR"/>
        </w:rPr>
        <w:t xml:space="preserve">bles, compte tenu notamment de la dégradation de la situation intérieure en Turquie. </w:t>
      </w:r>
    </w:p>
    <w:p w:rsidR="008928FB" w:rsidRDefault="00CD358F">
      <w:p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Pour intensifier la dynamique actuelle et encourager le renforcement global des liens entre l’UE et la Turquie, nous estimons que l’Union devrait mettre sur la table un c</w:t>
      </w:r>
      <w:r>
        <w:rPr>
          <w:rFonts w:ascii="Times New Roman" w:hAnsi="Times New Roman"/>
          <w:noProof/>
          <w:sz w:val="24"/>
          <w:szCs w:val="24"/>
          <w:lang w:val="fr-FR"/>
        </w:rPr>
        <w:t>ertain nombre de domaines de coopération possibles afin de permettre une approche progressive, proportionnée et réversible. Cette démarche est dans notre intérêt commun et pourrait être poursuivie par étapes, à condition, bien sûr, que les efforts construc</w:t>
      </w:r>
      <w:r>
        <w:rPr>
          <w:rFonts w:ascii="Times New Roman" w:hAnsi="Times New Roman"/>
          <w:noProof/>
          <w:sz w:val="24"/>
          <w:szCs w:val="24"/>
          <w:lang w:val="fr-FR"/>
        </w:rPr>
        <w:t xml:space="preserve">tifs déployés par la Turquie soient maintenus et renforcés au cours des prochains mois. </w:t>
      </w:r>
    </w:p>
    <w:p w:rsidR="008928FB" w:rsidRDefault="00CD358F">
      <w:p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Ces mesures pourraient être les suivantes:</w:t>
      </w:r>
    </w:p>
    <w:p w:rsidR="008928FB" w:rsidRDefault="00CD358F">
      <w:pPr>
        <w:pStyle w:val="ListParagraph"/>
        <w:numPr>
          <w:ilvl w:val="0"/>
          <w:numId w:val="3"/>
        </w:num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une mise en œuvre plus efficace et mutuellement bénéfique des éléments clés de la déclaration UE-Turquie de 2016, notamment en ce qui concerne la </w:t>
      </w:r>
      <w:r>
        <w:rPr>
          <w:rFonts w:ascii="Times New Roman" w:hAnsi="Times New Roman"/>
          <w:b/>
          <w:noProof/>
          <w:sz w:val="24"/>
          <w:szCs w:val="24"/>
          <w:lang w:val="fr-FR"/>
        </w:rPr>
        <w:t>gestion des migrations</w:t>
      </w:r>
      <w:r>
        <w:rPr>
          <w:rFonts w:ascii="Times New Roman" w:hAnsi="Times New Roman"/>
          <w:noProof/>
          <w:sz w:val="24"/>
          <w:szCs w:val="24"/>
          <w:lang w:val="fr-FR"/>
        </w:rPr>
        <w:t>. Cela signifierait en particulier que la Turquie reprendrait sans délai le processus de</w:t>
      </w:r>
      <w:r>
        <w:rPr>
          <w:rFonts w:ascii="Times New Roman" w:hAnsi="Times New Roman"/>
          <w:noProof/>
          <w:sz w:val="24"/>
          <w:szCs w:val="24"/>
          <w:lang w:val="fr-FR"/>
        </w:rPr>
        <w:t xml:space="preserve"> </w:t>
      </w:r>
      <w:r>
        <w:rPr>
          <w:rFonts w:ascii="Times New Roman" w:hAnsi="Times New Roman"/>
          <w:b/>
          <w:noProof/>
          <w:sz w:val="24"/>
          <w:szCs w:val="24"/>
          <w:lang w:val="fr-FR"/>
        </w:rPr>
        <w:t>retours</w:t>
      </w:r>
      <w:r>
        <w:rPr>
          <w:rFonts w:ascii="Times New Roman" w:hAnsi="Times New Roman"/>
          <w:noProof/>
          <w:sz w:val="24"/>
          <w:szCs w:val="24"/>
          <w:lang w:val="fr-FR"/>
        </w:rPr>
        <w:t xml:space="preserve"> depuis les îles grecques, à commencer par les 1 450 personnes faisant l’objet d’une décision de retour dont les recours en justice sont épuisés; </w:t>
      </w:r>
    </w:p>
    <w:p w:rsidR="008928FB" w:rsidRDefault="00CD358F">
      <w:pPr>
        <w:pStyle w:val="ListParagraph"/>
        <w:numPr>
          <w:ilvl w:val="0"/>
          <w:numId w:val="3"/>
        </w:num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à l’inverse, les États membres de l’UE devraient intensifier les </w:t>
      </w:r>
      <w:r>
        <w:rPr>
          <w:rFonts w:ascii="Times New Roman" w:hAnsi="Times New Roman"/>
          <w:b/>
          <w:noProof/>
          <w:sz w:val="24"/>
          <w:szCs w:val="24"/>
          <w:lang w:val="fr-FR"/>
        </w:rPr>
        <w:t>réinstallations</w:t>
      </w:r>
      <w:r>
        <w:rPr>
          <w:rFonts w:ascii="Times New Roman" w:hAnsi="Times New Roman"/>
          <w:noProof/>
          <w:sz w:val="24"/>
          <w:szCs w:val="24"/>
          <w:lang w:val="fr-FR"/>
        </w:rPr>
        <w:t xml:space="preserve"> de la Turquie vers l</w:t>
      </w:r>
      <w:r>
        <w:rPr>
          <w:rFonts w:ascii="Times New Roman" w:hAnsi="Times New Roman"/>
          <w:noProof/>
          <w:sz w:val="24"/>
          <w:szCs w:val="24"/>
          <w:lang w:val="fr-FR"/>
        </w:rPr>
        <w:t>’Union, sur la base des progrès réalisés jusqu’à présent. Cela devrait concerner en particulier les groupes de réfugiés syriens les plus vulnérables en Turquie;</w:t>
      </w:r>
    </w:p>
    <w:p w:rsidR="008928FB" w:rsidRDefault="00CD358F">
      <w:pPr>
        <w:pStyle w:val="ListParagraph"/>
        <w:numPr>
          <w:ilvl w:val="0"/>
          <w:numId w:val="3"/>
        </w:num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renforcement de nos </w:t>
      </w:r>
      <w:r>
        <w:rPr>
          <w:rFonts w:ascii="Times New Roman" w:hAnsi="Times New Roman"/>
          <w:b/>
          <w:noProof/>
          <w:sz w:val="24"/>
          <w:szCs w:val="24"/>
          <w:lang w:val="fr-FR"/>
        </w:rPr>
        <w:t>liens économiques</w:t>
      </w:r>
      <w:r>
        <w:rPr>
          <w:rFonts w:ascii="Times New Roman" w:hAnsi="Times New Roman"/>
          <w:noProof/>
          <w:sz w:val="24"/>
          <w:szCs w:val="24"/>
          <w:lang w:val="fr-FR"/>
        </w:rPr>
        <w:t xml:space="preserve"> déjà forts est une autre situation gagnant-gagnant pou</w:t>
      </w:r>
      <w:r>
        <w:rPr>
          <w:rFonts w:ascii="Times New Roman" w:hAnsi="Times New Roman"/>
          <w:noProof/>
          <w:sz w:val="24"/>
          <w:szCs w:val="24"/>
          <w:lang w:val="fr-FR"/>
        </w:rPr>
        <w:t xml:space="preserve">r les deux parties, compte tenu notamment du climat économique actuel difficile. La modernisation et l’élargissement du champ d’application de l’actuelle </w:t>
      </w:r>
      <w:r>
        <w:rPr>
          <w:rFonts w:ascii="Times New Roman" w:hAnsi="Times New Roman"/>
          <w:b/>
          <w:noProof/>
          <w:sz w:val="24"/>
          <w:szCs w:val="24"/>
          <w:lang w:val="fr-FR"/>
        </w:rPr>
        <w:t>union douanière</w:t>
      </w:r>
      <w:r>
        <w:rPr>
          <w:rFonts w:ascii="Times New Roman" w:hAnsi="Times New Roman"/>
          <w:noProof/>
          <w:sz w:val="24"/>
          <w:szCs w:val="24"/>
          <w:lang w:val="fr-FR"/>
        </w:rPr>
        <w:t xml:space="preserve"> UE-Turquie seraient un élément essentiel à cet égard, comme l’a déjà proposé la Commis</w:t>
      </w:r>
      <w:r>
        <w:rPr>
          <w:rFonts w:ascii="Times New Roman" w:hAnsi="Times New Roman"/>
          <w:noProof/>
          <w:sz w:val="24"/>
          <w:szCs w:val="24"/>
          <w:lang w:val="fr-FR"/>
        </w:rPr>
        <w:t>sion. Cela fournirait également un cadre d’orientation pour des réformes économiques en Turquie. Les États membres de l’UE devraient se mettre d’accord sur les directives de négociation et autoriser la Commission à ouvrir des négociations en vue de cette m</w:t>
      </w:r>
      <w:r>
        <w:rPr>
          <w:rFonts w:ascii="Times New Roman" w:hAnsi="Times New Roman"/>
          <w:noProof/>
          <w:sz w:val="24"/>
          <w:szCs w:val="24"/>
          <w:lang w:val="fr-FR"/>
        </w:rPr>
        <w:t xml:space="preserve">odernisation, à condition que la Turquie prenne des mesures concrètes pour lever les obstacles actuels aux échanges; </w:t>
      </w:r>
    </w:p>
    <w:p w:rsidR="008928FB" w:rsidRDefault="00CD358F">
      <w:pPr>
        <w:pStyle w:val="ListParagraph"/>
        <w:numPr>
          <w:ilvl w:val="0"/>
          <w:numId w:val="3"/>
        </w:numPr>
        <w:autoSpaceDE w:val="0"/>
        <w:autoSpaceDN w:val="0"/>
        <w:spacing w:after="120" w:line="271" w:lineRule="auto"/>
        <w:jc w:val="both"/>
        <w:rPr>
          <w:rFonts w:ascii="Times New Roman" w:eastAsia="Calibri" w:hAnsi="Times New Roman" w:cs="Times New Roman"/>
          <w:noProof/>
          <w:sz w:val="24"/>
          <w:szCs w:val="24"/>
          <w:lang w:val="fr-FR"/>
        </w:rPr>
      </w:pPr>
      <w:r>
        <w:rPr>
          <w:rFonts w:ascii="Times New Roman" w:hAnsi="Times New Roman"/>
          <w:noProof/>
          <w:sz w:val="24"/>
          <w:szCs w:val="24"/>
          <w:lang w:val="fr-FR"/>
        </w:rPr>
        <w:t>il est utile de maintenir les canaux de communication ouverts, notamment pour soutenir la Turquie dans sa volonté de mener des réformes éc</w:t>
      </w:r>
      <w:r>
        <w:rPr>
          <w:rFonts w:ascii="Times New Roman" w:hAnsi="Times New Roman"/>
          <w:noProof/>
          <w:sz w:val="24"/>
          <w:szCs w:val="24"/>
          <w:lang w:val="fr-FR"/>
        </w:rPr>
        <w:t xml:space="preserve">onomiques et sectorielles. Les </w:t>
      </w:r>
      <w:r>
        <w:rPr>
          <w:rFonts w:ascii="Times New Roman" w:hAnsi="Times New Roman"/>
          <w:b/>
          <w:noProof/>
          <w:sz w:val="24"/>
          <w:szCs w:val="24"/>
          <w:lang w:val="fr-FR"/>
        </w:rPr>
        <w:t>dialogues à haut niveau</w:t>
      </w:r>
      <w:r>
        <w:rPr>
          <w:rFonts w:ascii="Times New Roman" w:hAnsi="Times New Roman"/>
          <w:noProof/>
          <w:sz w:val="24"/>
          <w:szCs w:val="24"/>
          <w:lang w:val="fr-FR"/>
        </w:rPr>
        <w:t>, qui avaient été suspendus, pourraient ainsi reprendre sur l’économie, l’énergie, les transports, l’évolution politique et les politiques étrangères et de sécurité, et d’autres pourraient être lancés s</w:t>
      </w:r>
      <w:r>
        <w:rPr>
          <w:rFonts w:ascii="Times New Roman" w:hAnsi="Times New Roman"/>
          <w:noProof/>
          <w:sz w:val="24"/>
          <w:szCs w:val="24"/>
          <w:lang w:val="fr-FR"/>
        </w:rPr>
        <w:t>ur de nouveaux sujets, comme le pacte vert/le climat, la sécurité intérieure, les relations interconfessionnelles et la culture;</w:t>
      </w:r>
    </w:p>
    <w:p w:rsidR="008928FB" w:rsidRDefault="00CD358F">
      <w:pPr>
        <w:pStyle w:val="ListParagraph"/>
        <w:numPr>
          <w:ilvl w:val="0"/>
          <w:numId w:val="3"/>
        </w:numPr>
        <w:autoSpaceDE w:val="0"/>
        <w:autoSpaceDN w:val="0"/>
        <w:spacing w:after="120" w:line="271" w:lineRule="auto"/>
        <w:jc w:val="both"/>
        <w:rPr>
          <w:rFonts w:ascii="Times New Roman" w:eastAsia="Calibri" w:hAnsi="Times New Roman" w:cs="Times New Roman"/>
          <w:noProof/>
          <w:sz w:val="24"/>
          <w:szCs w:val="24"/>
          <w:lang w:val="fr-FR"/>
        </w:rPr>
      </w:pPr>
      <w:r>
        <w:rPr>
          <w:rFonts w:ascii="Times New Roman" w:hAnsi="Times New Roman"/>
          <w:noProof/>
          <w:sz w:val="24"/>
          <w:szCs w:val="24"/>
          <w:lang w:val="fr-FR"/>
        </w:rPr>
        <w:t xml:space="preserve">l’accroissement des </w:t>
      </w:r>
      <w:r>
        <w:rPr>
          <w:rFonts w:ascii="Times New Roman" w:hAnsi="Times New Roman"/>
          <w:b/>
          <w:noProof/>
          <w:sz w:val="24"/>
          <w:szCs w:val="24"/>
          <w:lang w:val="fr-FR"/>
        </w:rPr>
        <w:t>contacts interpersonnels</w:t>
      </w:r>
      <w:r>
        <w:rPr>
          <w:rFonts w:ascii="Times New Roman" w:hAnsi="Times New Roman"/>
          <w:noProof/>
          <w:sz w:val="24"/>
          <w:szCs w:val="24"/>
          <w:lang w:val="fr-FR"/>
        </w:rPr>
        <w:t xml:space="preserve"> constitue une autre mesure de renforcement de la confiance. La Commission entend c</w:t>
      </w:r>
      <w:r>
        <w:rPr>
          <w:rFonts w:ascii="Times New Roman" w:hAnsi="Times New Roman"/>
          <w:noProof/>
          <w:sz w:val="24"/>
          <w:szCs w:val="24"/>
          <w:lang w:val="fr-FR"/>
        </w:rPr>
        <w:t>ontinuer à faciliter la participation de la Turquie à la prochaine génération de programmes de l’UE comme Erasmus+, Horizon Europe, etc. au titre du nouveau cadre financier pluriannuel. La Commission reste disposée à conseiller la Turquie sur les spécifici</w:t>
      </w:r>
      <w:r>
        <w:rPr>
          <w:rFonts w:ascii="Times New Roman" w:hAnsi="Times New Roman"/>
          <w:noProof/>
          <w:sz w:val="24"/>
          <w:szCs w:val="24"/>
          <w:lang w:val="fr-FR"/>
        </w:rPr>
        <w:t>tés des critères non encore remplis définis dans la feuille de route sur la libéralisation du régime des visas.</w:t>
      </w:r>
    </w:p>
    <w:p w:rsidR="008928FB" w:rsidRDefault="00CD358F">
      <w:p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Toutefois, si la Turquie ne progresse pas de manière constructive pour mettre en place un véritable partenariat avec l’UE, mais renouvelle ses a</w:t>
      </w:r>
      <w:r>
        <w:rPr>
          <w:rFonts w:ascii="Times New Roman" w:hAnsi="Times New Roman"/>
          <w:noProof/>
          <w:sz w:val="24"/>
          <w:szCs w:val="24"/>
          <w:lang w:val="fr-FR"/>
        </w:rPr>
        <w:t xml:space="preserve">ctions unilatérales ou ses provocations en violation du droit international, afin de porter préjudice aux intérêts de l’UE et de ses États membres, en particulier en Méditerranée orientale, il convient d’être clair sur le fait que cela aurait des </w:t>
      </w:r>
      <w:r>
        <w:rPr>
          <w:rFonts w:ascii="Times New Roman" w:hAnsi="Times New Roman"/>
          <w:b/>
          <w:noProof/>
          <w:sz w:val="24"/>
          <w:szCs w:val="24"/>
          <w:lang w:val="fr-FR"/>
        </w:rPr>
        <w:t>conséquen</w:t>
      </w:r>
      <w:r>
        <w:rPr>
          <w:rFonts w:ascii="Times New Roman" w:hAnsi="Times New Roman"/>
          <w:b/>
          <w:noProof/>
          <w:sz w:val="24"/>
          <w:szCs w:val="24"/>
          <w:lang w:val="fr-FR"/>
        </w:rPr>
        <w:t>ces politiques et économiques</w:t>
      </w:r>
      <w:r>
        <w:rPr>
          <w:rFonts w:ascii="Times New Roman" w:hAnsi="Times New Roman"/>
          <w:noProof/>
          <w:sz w:val="24"/>
          <w:szCs w:val="24"/>
          <w:lang w:val="fr-FR"/>
        </w:rPr>
        <w:t>, comme indiqué dans le rapport. En outre, les mesures de l’UE devraient être ciblées, proportionnées et réversibles, afin de s’adapter le mieux possible à la situation et au niveau de menace ou de difficulté, d’encourager un r</w:t>
      </w:r>
      <w:r>
        <w:rPr>
          <w:rFonts w:ascii="Times New Roman" w:hAnsi="Times New Roman"/>
          <w:noProof/>
          <w:sz w:val="24"/>
          <w:szCs w:val="24"/>
          <w:lang w:val="fr-FR"/>
        </w:rPr>
        <w:t xml:space="preserve">etour à la coopération et d’éviter une dynamique d’escalade négative. </w:t>
      </w:r>
    </w:p>
    <w:p w:rsidR="008928FB" w:rsidRDefault="00CD358F">
      <w:pPr>
        <w:spacing w:after="120" w:line="271" w:lineRule="auto"/>
        <w:jc w:val="both"/>
        <w:rPr>
          <w:rFonts w:ascii="Times New Roman" w:hAnsi="Times New Roman" w:cs="Times New Roman"/>
          <w:noProof/>
          <w:sz w:val="24"/>
          <w:szCs w:val="24"/>
        </w:rPr>
      </w:pPr>
      <w:r>
        <w:rPr>
          <w:rFonts w:ascii="Times New Roman" w:hAnsi="Times New Roman"/>
          <w:noProof/>
          <w:sz w:val="24"/>
          <w:szCs w:val="24"/>
          <w:lang w:val="fr-FR"/>
        </w:rPr>
        <w:t xml:space="preserve">En plus de suspendre les éléments de coopération constructive énoncés plus haut, nous devrions prévoir des </w:t>
      </w:r>
      <w:r>
        <w:rPr>
          <w:rFonts w:ascii="Times New Roman" w:hAnsi="Times New Roman"/>
          <w:b/>
          <w:noProof/>
          <w:sz w:val="24"/>
          <w:szCs w:val="24"/>
          <w:lang w:val="fr-FR"/>
        </w:rPr>
        <w:t>mesures restrictives</w:t>
      </w:r>
      <w:r>
        <w:rPr>
          <w:rFonts w:ascii="Times New Roman" w:hAnsi="Times New Roman"/>
          <w:noProof/>
          <w:sz w:val="24"/>
          <w:szCs w:val="24"/>
          <w:lang w:val="fr-FR"/>
        </w:rPr>
        <w:t xml:space="preserve"> intelligentes, évolutives et réversibles fondées sur les </w:t>
      </w:r>
      <w:r>
        <w:rPr>
          <w:rFonts w:ascii="Times New Roman" w:hAnsi="Times New Roman"/>
          <w:noProof/>
          <w:sz w:val="24"/>
          <w:szCs w:val="24"/>
          <w:lang w:val="fr-FR"/>
        </w:rPr>
        <w:t xml:space="preserve">mesures existantes. </w:t>
      </w:r>
      <w:r>
        <w:rPr>
          <w:rFonts w:ascii="Times New Roman" w:hAnsi="Times New Roman"/>
          <w:noProof/>
          <w:sz w:val="24"/>
          <w:szCs w:val="24"/>
        </w:rPr>
        <w:t>Elles pourraient progressivement inclure:</w:t>
      </w:r>
    </w:p>
    <w:p w:rsidR="008928FB" w:rsidRDefault="00CD358F">
      <w:pPr>
        <w:pStyle w:val="ListParagraph"/>
        <w:numPr>
          <w:ilvl w:val="0"/>
          <w:numId w:val="13"/>
        </w:num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l’adoption des </w:t>
      </w:r>
      <w:r>
        <w:rPr>
          <w:rFonts w:ascii="Times New Roman" w:hAnsi="Times New Roman"/>
          <w:b/>
          <w:noProof/>
          <w:sz w:val="24"/>
          <w:szCs w:val="24"/>
          <w:lang w:val="fr-FR"/>
        </w:rPr>
        <w:t>nouvelles inscriptions</w:t>
      </w:r>
      <w:r>
        <w:rPr>
          <w:rFonts w:ascii="Times New Roman" w:hAnsi="Times New Roman"/>
          <w:noProof/>
          <w:sz w:val="24"/>
          <w:szCs w:val="24"/>
          <w:lang w:val="fr-FR"/>
        </w:rPr>
        <w:t xml:space="preserve"> déjà approuvées par le Conseil européen de décembre;</w:t>
      </w:r>
    </w:p>
    <w:p w:rsidR="008928FB" w:rsidRDefault="00CD358F">
      <w:pPr>
        <w:pStyle w:val="ListParagraph"/>
        <w:numPr>
          <w:ilvl w:val="0"/>
          <w:numId w:val="13"/>
        </w:num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w:t>
      </w:r>
      <w:r>
        <w:rPr>
          <w:rFonts w:ascii="Times New Roman" w:hAnsi="Times New Roman"/>
          <w:b/>
          <w:noProof/>
          <w:sz w:val="24"/>
          <w:szCs w:val="24"/>
          <w:lang w:val="fr-FR"/>
        </w:rPr>
        <w:t>renforcement</w:t>
      </w:r>
      <w:r>
        <w:rPr>
          <w:rFonts w:ascii="Times New Roman" w:hAnsi="Times New Roman"/>
          <w:noProof/>
          <w:sz w:val="24"/>
          <w:szCs w:val="24"/>
          <w:lang w:val="fr-FR"/>
        </w:rPr>
        <w:t xml:space="preserve"> des mesures restrictives au titre des cadres de sanction existants et l’inclusion évent</w:t>
      </w:r>
      <w:r>
        <w:rPr>
          <w:rFonts w:ascii="Times New Roman" w:hAnsi="Times New Roman"/>
          <w:noProof/>
          <w:sz w:val="24"/>
          <w:szCs w:val="24"/>
          <w:lang w:val="fr-FR"/>
        </w:rPr>
        <w:t xml:space="preserve">uelle des entités juridiques à ces cadres; </w:t>
      </w:r>
    </w:p>
    <w:p w:rsidR="008928FB" w:rsidRDefault="00CD358F">
      <w:pPr>
        <w:pStyle w:val="ListParagraph"/>
        <w:numPr>
          <w:ilvl w:val="0"/>
          <w:numId w:val="13"/>
        </w:num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des restrictions supplémentaires de la </w:t>
      </w:r>
      <w:r>
        <w:rPr>
          <w:rFonts w:ascii="Times New Roman" w:hAnsi="Times New Roman"/>
          <w:b/>
          <w:noProof/>
          <w:sz w:val="24"/>
          <w:szCs w:val="24"/>
          <w:lang w:val="fr-FR"/>
        </w:rPr>
        <w:t>coopération économique UE-Turquie</w:t>
      </w:r>
      <w:r>
        <w:rPr>
          <w:rFonts w:ascii="Times New Roman" w:hAnsi="Times New Roman"/>
          <w:noProof/>
          <w:sz w:val="24"/>
          <w:szCs w:val="24"/>
          <w:lang w:val="fr-FR"/>
        </w:rPr>
        <w:t>, y compris en ce qui concerne les activités de la Banque européenne d’investissement et d’autres institutions financières;</w:t>
      </w:r>
    </w:p>
    <w:p w:rsidR="008928FB" w:rsidRDefault="00CD358F">
      <w:pPr>
        <w:pStyle w:val="ListParagraph"/>
        <w:numPr>
          <w:ilvl w:val="0"/>
          <w:numId w:val="13"/>
        </w:num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des mesures </w:t>
      </w:r>
      <w:r>
        <w:rPr>
          <w:rFonts w:ascii="Times New Roman" w:hAnsi="Times New Roman"/>
          <w:b/>
          <w:noProof/>
          <w:sz w:val="24"/>
          <w:szCs w:val="24"/>
          <w:lang w:val="fr-FR"/>
        </w:rPr>
        <w:t>cibl</w:t>
      </w:r>
      <w:r>
        <w:rPr>
          <w:rFonts w:ascii="Times New Roman" w:hAnsi="Times New Roman"/>
          <w:b/>
          <w:noProof/>
          <w:sz w:val="24"/>
          <w:szCs w:val="24"/>
          <w:lang w:val="fr-FR"/>
        </w:rPr>
        <w:t>ant d’autres secteurs</w:t>
      </w:r>
      <w:r>
        <w:rPr>
          <w:rFonts w:ascii="Times New Roman" w:hAnsi="Times New Roman"/>
          <w:noProof/>
          <w:sz w:val="24"/>
          <w:szCs w:val="24"/>
          <w:lang w:val="fr-FR"/>
        </w:rPr>
        <w:t xml:space="preserve"> importants pour l’économie turque, comme l’interdiction de fournir des services touristiques, des avis de voyage négatifs émis par les États membres, etc.;</w:t>
      </w:r>
    </w:p>
    <w:p w:rsidR="008928FB" w:rsidRDefault="00CD358F">
      <w:pPr>
        <w:pStyle w:val="ListParagraph"/>
        <w:numPr>
          <w:ilvl w:val="0"/>
          <w:numId w:val="13"/>
        </w:numPr>
        <w:spacing w:after="120" w:line="271"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des mesures supplémentaires de l’UE dans le domaine de </w:t>
      </w:r>
      <w:r>
        <w:rPr>
          <w:rFonts w:ascii="Times New Roman" w:hAnsi="Times New Roman"/>
          <w:b/>
          <w:noProof/>
          <w:sz w:val="24"/>
          <w:szCs w:val="24"/>
          <w:lang w:val="fr-FR"/>
        </w:rPr>
        <w:t xml:space="preserve">l’énergie et les </w:t>
      </w:r>
      <w:r>
        <w:rPr>
          <w:rFonts w:ascii="Times New Roman" w:hAnsi="Times New Roman"/>
          <w:b/>
          <w:noProof/>
          <w:sz w:val="24"/>
          <w:szCs w:val="24"/>
          <w:lang w:val="fr-FR"/>
        </w:rPr>
        <w:t>secteurs connexes</w:t>
      </w:r>
      <w:r>
        <w:rPr>
          <w:rFonts w:ascii="Times New Roman" w:hAnsi="Times New Roman"/>
          <w:noProof/>
          <w:sz w:val="24"/>
          <w:szCs w:val="24"/>
          <w:lang w:val="fr-FR"/>
        </w:rPr>
        <w:t>, comme des interdictions d’importation et d’exportation de certains biens et technologies.</w:t>
      </w:r>
    </w:p>
    <w:p w:rsidR="008928FB" w:rsidRDefault="00CD358F">
      <w:pPr>
        <w:autoSpaceDE w:val="0"/>
        <w:autoSpaceDN w:val="0"/>
        <w:jc w:val="both"/>
        <w:rPr>
          <w:rFonts w:ascii="Times New Roman" w:hAnsi="Times New Roman" w:cs="Times New Roman"/>
          <w:noProof/>
          <w:sz w:val="24"/>
          <w:szCs w:val="24"/>
          <w:highlight w:val="yellow"/>
          <w:lang w:val="fr-FR"/>
        </w:rPr>
      </w:pPr>
      <w:r>
        <w:rPr>
          <w:rFonts w:ascii="Times New Roman" w:hAnsi="Times New Roman"/>
          <w:noProof/>
          <w:sz w:val="24"/>
          <w:szCs w:val="24"/>
          <w:lang w:val="fr-FR"/>
        </w:rPr>
        <w:t>Enfin, conformément aux conclusions du Conseil européen de décembre 2020, la Commission élaborera aussi rapidement des options pour la poursuite du</w:t>
      </w:r>
      <w:r>
        <w:rPr>
          <w:rFonts w:ascii="Times New Roman" w:hAnsi="Times New Roman"/>
          <w:noProof/>
          <w:sz w:val="24"/>
          <w:szCs w:val="24"/>
          <w:lang w:val="fr-FR"/>
        </w:rPr>
        <w:t xml:space="preserve"> </w:t>
      </w:r>
      <w:r>
        <w:rPr>
          <w:rFonts w:ascii="Times New Roman" w:hAnsi="Times New Roman"/>
          <w:b/>
          <w:noProof/>
          <w:sz w:val="24"/>
          <w:szCs w:val="24"/>
          <w:lang w:val="fr-FR"/>
        </w:rPr>
        <w:t>financement des réfugiés et des communautés d’accueil</w:t>
      </w:r>
      <w:r>
        <w:rPr>
          <w:rFonts w:ascii="Times New Roman" w:hAnsi="Times New Roman"/>
          <w:noProof/>
          <w:sz w:val="24"/>
          <w:szCs w:val="24"/>
          <w:lang w:val="fr-FR"/>
        </w:rPr>
        <w:t xml:space="preserve"> en Turquie. Compte tenu des besoins importants sur le terrain et de la lourde charge qui continue de peser sur la Turquie à cet égard, il s’agit là d’un investissement européen en faveur de la stabilit</w:t>
      </w:r>
      <w:r>
        <w:rPr>
          <w:rFonts w:ascii="Times New Roman" w:hAnsi="Times New Roman"/>
          <w:noProof/>
          <w:sz w:val="24"/>
          <w:szCs w:val="24"/>
          <w:lang w:val="fr-FR"/>
        </w:rPr>
        <w:t>é et de la solidarité. Il est véritablement dans notre intérêt de nous appuyer sur les réussites de ces dernières années</w:t>
      </w:r>
      <w:r>
        <w:rPr>
          <w:rFonts w:ascii="Times New Roman" w:hAnsi="Times New Roman" w:cs="Times New Roman"/>
          <w:noProof/>
          <w:sz w:val="24"/>
          <w:szCs w:val="24"/>
          <w:lang w:val="fr-FR"/>
        </w:rPr>
        <w:t>.</w:t>
      </w:r>
    </w:p>
    <w:sectPr w:rsidR="008928FB">
      <w:headerReference w:type="even" r:id="rId15"/>
      <w:headerReference w:type="default" r:id="rId16"/>
      <w:footerReference w:type="even" r:id="rId17"/>
      <w:footerReference w:type="default" r:id="rId18"/>
      <w:headerReference w:type="first" r:id="rId19"/>
      <w:footerReference w:type="first" r:id="rId20"/>
      <w:pgSz w:w="11906" w:h="16838"/>
      <w:pgMar w:top="1418" w:right="1440" w:bottom="1276" w:left="144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8FB" w:rsidRDefault="00CD358F">
      <w:pPr>
        <w:spacing w:after="0" w:line="240" w:lineRule="auto"/>
      </w:pPr>
      <w:r>
        <w:separator/>
      </w:r>
    </w:p>
  </w:endnote>
  <w:endnote w:type="continuationSeparator" w:id="0">
    <w:p w:rsidR="008928FB" w:rsidRDefault="00CD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8F" w:rsidRPr="00CD358F" w:rsidRDefault="00CD358F" w:rsidP="00CD3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8F" w:rsidRPr="00CD358F" w:rsidRDefault="00CD358F" w:rsidP="00CD358F">
    <w:pPr>
      <w:pStyle w:val="FooterCoverPage"/>
      <w:rPr>
        <w:rFonts w:ascii="Arial" w:hAnsi="Arial" w:cs="Arial"/>
        <w:b/>
        <w:sz w:val="48"/>
      </w:rPr>
    </w:pPr>
    <w:r w:rsidRPr="00CD358F">
      <w:rPr>
        <w:rFonts w:ascii="Arial" w:hAnsi="Arial" w:cs="Arial"/>
        <w:b/>
        <w:sz w:val="48"/>
      </w:rPr>
      <w:t>FR</w:t>
    </w:r>
    <w:r w:rsidRPr="00CD358F">
      <w:rPr>
        <w:rFonts w:ascii="Arial" w:hAnsi="Arial" w:cs="Arial"/>
        <w:b/>
        <w:sz w:val="48"/>
      </w:rPr>
      <w:tab/>
    </w:r>
    <w:r w:rsidRPr="00CD358F">
      <w:rPr>
        <w:rFonts w:ascii="Arial" w:hAnsi="Arial" w:cs="Arial"/>
        <w:b/>
        <w:sz w:val="48"/>
      </w:rPr>
      <w:tab/>
    </w:r>
    <w:r w:rsidRPr="00CD358F">
      <w:tab/>
    </w:r>
    <w:r w:rsidRPr="00CD358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8F" w:rsidRPr="00CD358F" w:rsidRDefault="00CD358F" w:rsidP="00CD358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FB" w:rsidRDefault="008928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FB" w:rsidRDefault="00CD358F">
    <w:pPr>
      <w:pStyle w:val="Footer"/>
      <w:jc w:val="right"/>
    </w:pPr>
    <w:r>
      <w:fldChar w:fldCharType="begin"/>
    </w:r>
    <w:r>
      <w:rPr>
        <w:rFonts w:hint="eastAsia"/>
      </w:rPr>
      <w:instrText>PAGE  \* MERGEFORMAT</w:instrText>
    </w:r>
    <w:r>
      <w:fldChar w:fldCharType="separate"/>
    </w:r>
    <w:r>
      <w:rPr>
        <w:noProof/>
      </w:rPr>
      <w:t>1</w:t>
    </w:r>
    <w:r>
      <w:fldChar w:fldCharType="end"/>
    </w:r>
  </w:p>
  <w:p w:rsidR="008928FB" w:rsidRDefault="008928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FB" w:rsidRDefault="0089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8FB" w:rsidRDefault="00CD358F">
      <w:r>
        <w:separator/>
      </w:r>
    </w:p>
  </w:footnote>
  <w:footnote w:type="continuationSeparator" w:id="0">
    <w:p w:rsidR="008928FB" w:rsidRDefault="00CD358F">
      <w:r>
        <w:continuationSeparator/>
      </w:r>
    </w:p>
  </w:footnote>
  <w:footnote w:id="1">
    <w:p w:rsidR="008928FB" w:rsidRDefault="00CD358F">
      <w:pPr>
        <w:pStyle w:val="FootnoteText"/>
        <w:rPr>
          <w:sz w:val="18"/>
          <w:szCs w:val="18"/>
          <w:lang w:val="fr-FR"/>
        </w:rPr>
      </w:pPr>
      <w:r>
        <w:rPr>
          <w:rStyle w:val="FootnoteReference"/>
          <w:sz w:val="18"/>
          <w:szCs w:val="18"/>
        </w:rPr>
        <w:footnoteRef/>
      </w:r>
      <w:r>
        <w:rPr>
          <w:sz w:val="18"/>
          <w:szCs w:val="18"/>
          <w:lang w:val="fr-FR"/>
        </w:rPr>
        <w:t xml:space="preserve"> </w:t>
      </w:r>
      <w:hyperlink r:id="rId1" w:history="1">
        <w:r>
          <w:rPr>
            <w:rStyle w:val="Hyperlink"/>
            <w:sz w:val="18"/>
            <w:szCs w:val="18"/>
            <w:lang w:val="fr-FR"/>
          </w:rPr>
          <w:t>https://data.consilium.europa.eu/doc/document/ST-22-2020-INIT/fr/pdf</w:t>
        </w:r>
      </w:hyperlink>
    </w:p>
  </w:footnote>
  <w:footnote w:id="2">
    <w:p w:rsidR="008928FB" w:rsidRDefault="00CD358F">
      <w:pPr>
        <w:pStyle w:val="FootnoteText"/>
        <w:rPr>
          <w:lang w:val="fr-FR"/>
        </w:rPr>
      </w:pPr>
      <w:r>
        <w:rPr>
          <w:rStyle w:val="FootnoteReference"/>
          <w:sz w:val="18"/>
          <w:szCs w:val="18"/>
        </w:rPr>
        <w:footnoteRef/>
      </w:r>
      <w:r>
        <w:rPr>
          <w:sz w:val="18"/>
          <w:szCs w:val="18"/>
          <w:lang w:val="fr-FR"/>
        </w:rPr>
        <w:t xml:space="preserve"> </w:t>
      </w:r>
      <w:hyperlink r:id="rId2" w:history="1">
        <w:r>
          <w:rPr>
            <w:rStyle w:val="Hyperlink"/>
            <w:sz w:val="18"/>
            <w:szCs w:val="18"/>
            <w:lang w:val="fr-FR"/>
          </w:rPr>
          <w:t>https://eur-lex.europa.eu/legal-content/FR/TXT/PDF/?uri=CELEX:32019D1894&amp;from=GA</w:t>
        </w:r>
      </w:hyperlink>
    </w:p>
  </w:footnote>
  <w:footnote w:id="3">
    <w:p w:rsidR="008928FB" w:rsidRDefault="00CD358F">
      <w:pPr>
        <w:pStyle w:val="FootnoteText"/>
        <w:rPr>
          <w:sz w:val="18"/>
          <w:szCs w:val="18"/>
          <w:lang w:val="fr-FR"/>
        </w:rPr>
      </w:pPr>
      <w:r>
        <w:rPr>
          <w:rStyle w:val="FootnoteReference"/>
          <w:sz w:val="18"/>
          <w:szCs w:val="18"/>
        </w:rPr>
        <w:footnoteRef/>
      </w:r>
      <w:r>
        <w:rPr>
          <w:sz w:val="18"/>
          <w:szCs w:val="18"/>
          <w:lang w:val="fr-FR"/>
        </w:rPr>
        <w:t xml:space="preserve"> La Co</w:t>
      </w:r>
      <w:r>
        <w:rPr>
          <w:sz w:val="18"/>
          <w:szCs w:val="18"/>
          <w:lang w:val="fr-FR"/>
        </w:rPr>
        <w:t>mmission a lancé la procédure d’adoption des instruments juridiques nécessaires à l’enregistrement de l’appellation d’origine protégée «Halloumi/Hellim», de manière à permettre au fromage produit dans la communauté chypriote turque de faire l’objet d’échan</w:t>
      </w:r>
      <w:r>
        <w:rPr>
          <w:sz w:val="18"/>
          <w:szCs w:val="18"/>
          <w:lang w:val="fr-FR"/>
        </w:rPr>
        <w:t>ges commerciaux entre les zones situées de part et d’autre de la ligne verte, à condition qu’il satisfasse à l’acquis de l’UE en la matière. Ces décisions stimuleront l’amélioration des normes sanitaires dans la communauté chypriote turque, apporteront des</w:t>
      </w:r>
      <w:r>
        <w:rPr>
          <w:sz w:val="18"/>
          <w:szCs w:val="18"/>
          <w:lang w:val="fr-FR"/>
        </w:rPr>
        <w:t xml:space="preserve"> avantages économiques considérables aux deux communautés et favoriseront une coopération plus étroite et le renforcement de la confiance entre ces dernières. </w:t>
      </w:r>
    </w:p>
  </w:footnote>
  <w:footnote w:id="4">
    <w:p w:rsidR="008928FB" w:rsidRDefault="00CD358F">
      <w:pPr>
        <w:pStyle w:val="FootnoteText"/>
        <w:rPr>
          <w:lang w:val="fr-FR"/>
        </w:rPr>
      </w:pPr>
      <w:r>
        <w:rPr>
          <w:rStyle w:val="FootnoteReference"/>
        </w:rPr>
        <w:footnoteRef/>
      </w:r>
      <w:r>
        <w:rPr>
          <w:lang w:val="fr-FR"/>
        </w:rPr>
        <w:t xml:space="preserve"> </w:t>
      </w:r>
      <w:hyperlink r:id="rId3" w:history="1">
        <w:r>
          <w:rPr>
            <w:rStyle w:val="Hyperlink"/>
            <w:lang w:val="fr-FR"/>
          </w:rPr>
          <w:t>https://www.consilium.europa.eu/fr/press/press-releases/2016/03/18/eu-turkey-statement/</w:t>
        </w:r>
      </w:hyperlink>
    </w:p>
  </w:footnote>
  <w:footnote w:id="5">
    <w:p w:rsidR="008928FB" w:rsidRDefault="00CD358F">
      <w:pPr>
        <w:pStyle w:val="FootnoteText"/>
        <w:rPr>
          <w:lang w:val="fr-FR"/>
        </w:rPr>
      </w:pPr>
      <w:r>
        <w:rPr>
          <w:rStyle w:val="FootnoteReference"/>
          <w:sz w:val="18"/>
          <w:szCs w:val="18"/>
        </w:rPr>
        <w:footnoteRef/>
      </w:r>
      <w:r>
        <w:rPr>
          <w:sz w:val="18"/>
          <w:szCs w:val="18"/>
          <w:lang w:val="fr-FR"/>
        </w:rPr>
        <w:t xml:space="preserve"> Au cours des cinq mois précédant la mise en œuvre de la déclaration, ce sont en moyenne 3 262 migrants et demandeurs d’asile qui traversaient chaque jour la mer Égée vers les îles grecques. En revanche, en 2019, le nombre quotidien moyen d’arrivées par vo</w:t>
      </w:r>
      <w:r>
        <w:rPr>
          <w:sz w:val="18"/>
          <w:szCs w:val="18"/>
          <w:lang w:val="fr-FR"/>
        </w:rPr>
        <w:t>ie maritime s’établissait à 165 et en 2020, en raison également des restrictions liées à la COVID-19, il est tombé à 25.</w:t>
      </w:r>
    </w:p>
  </w:footnote>
  <w:footnote w:id="6">
    <w:p w:rsidR="008928FB" w:rsidRDefault="00CD358F">
      <w:pPr>
        <w:pStyle w:val="FootnoteText"/>
        <w:rPr>
          <w:lang w:val="fr-FR"/>
        </w:rPr>
      </w:pPr>
      <w:r>
        <w:rPr>
          <w:rStyle w:val="FootnoteReference"/>
          <w:sz w:val="18"/>
          <w:szCs w:val="18"/>
        </w:rPr>
        <w:footnoteRef/>
      </w:r>
      <w:r>
        <w:rPr>
          <w:sz w:val="18"/>
          <w:szCs w:val="18"/>
          <w:lang w:val="fr-FR"/>
        </w:rPr>
        <w:t xml:space="preserve"> Par exemple, les arrivées irrégulières en Italie depuis la Turquie ont augmenté de plus de 120 % par rapport à 2019. La pression migr</w:t>
      </w:r>
      <w:r>
        <w:rPr>
          <w:sz w:val="18"/>
          <w:szCs w:val="18"/>
          <w:lang w:val="fr-FR"/>
        </w:rPr>
        <w:t>atoire sur la République de Chypre s’est également considérablement accrue.</w:t>
      </w:r>
    </w:p>
    <w:p w:rsidR="008928FB" w:rsidRDefault="008928FB">
      <w:pPr>
        <w:pStyle w:val="FootnoteText"/>
        <w:rPr>
          <w:lang w:val="fr-FR"/>
        </w:rPr>
      </w:pPr>
    </w:p>
  </w:footnote>
  <w:footnote w:id="7">
    <w:p w:rsidR="008928FB" w:rsidRDefault="00CD358F">
      <w:pPr>
        <w:pStyle w:val="FootnoteText"/>
        <w:rPr>
          <w:sz w:val="18"/>
          <w:szCs w:val="18"/>
          <w:lang w:val="fr-BE"/>
        </w:rPr>
      </w:pPr>
      <w:r>
        <w:rPr>
          <w:rStyle w:val="FootnoteReference"/>
          <w:sz w:val="18"/>
          <w:szCs w:val="18"/>
        </w:rPr>
        <w:footnoteRef/>
      </w:r>
      <w:r>
        <w:rPr>
          <w:lang w:val="fr-BE"/>
        </w:rPr>
        <w:t xml:space="preserve"> Les six critères non encore remplis sont les suivants:</w:t>
      </w:r>
      <w:r>
        <w:rPr>
          <w:sz w:val="18"/>
          <w:szCs w:val="18"/>
          <w:lang w:val="fr-BE"/>
        </w:rPr>
        <w:t xml:space="preserve"> 1) conclusion d’un accord de coopération opérationnelle avec Europol; 2) mise en conformité de la législation relative à l</w:t>
      </w:r>
      <w:r>
        <w:rPr>
          <w:sz w:val="18"/>
          <w:szCs w:val="18"/>
          <w:lang w:val="fr-BE"/>
        </w:rPr>
        <w:t xml:space="preserve">a protection des données à caractère personnel avec les normes de l’Union, 3) adoption de mesures visant à prévenir la corruption, 4) mise en place, avec tous les États membres de l’UE, d’une coopération judiciaire effective en matière pénale; 5) révision </w:t>
      </w:r>
      <w:r>
        <w:rPr>
          <w:sz w:val="18"/>
          <w:szCs w:val="18"/>
          <w:lang w:val="fr-BE"/>
        </w:rPr>
        <w:t>de la législation et des pratiques en matière de terrorisme conformément aux normes européennes; 6) mise en œuvre de l'intégralité des dispositions de l’accord de réadmission UE-Turquie, y compris celles relatives à la réadmission des ressortissants de pay</w:t>
      </w:r>
      <w:r>
        <w:rPr>
          <w:sz w:val="18"/>
          <w:szCs w:val="18"/>
          <w:lang w:val="fr-BE"/>
        </w:rPr>
        <w:t>s tiers.</w:t>
      </w:r>
    </w:p>
  </w:footnote>
  <w:footnote w:id="8">
    <w:p w:rsidR="008928FB" w:rsidRDefault="00CD358F">
      <w:pPr>
        <w:pStyle w:val="FootnoteText"/>
        <w:rPr>
          <w:sz w:val="18"/>
          <w:szCs w:val="18"/>
          <w:lang w:val="fr-BE"/>
        </w:rPr>
      </w:pPr>
      <w:r>
        <w:rPr>
          <w:rStyle w:val="FootnoteReference"/>
          <w:sz w:val="18"/>
          <w:szCs w:val="18"/>
        </w:rPr>
        <w:footnoteRef/>
      </w:r>
      <w:r>
        <w:rPr>
          <w:lang w:val="fr-BE"/>
        </w:rPr>
        <w:t xml:space="preserve"> Elles concernent un vice-président et un vice-directeur de la compagnie pétrolière turque (TPAO), dès lors que celle-ci planifie, dirige et met en œuvre les forages non autorisés.</w:t>
      </w:r>
    </w:p>
  </w:footnote>
  <w:footnote w:id="9">
    <w:p w:rsidR="008928FB" w:rsidRDefault="00CD358F">
      <w:pPr>
        <w:pStyle w:val="FootnoteText"/>
        <w:rPr>
          <w:sz w:val="18"/>
          <w:szCs w:val="18"/>
          <w:lang w:val="fr-BE"/>
        </w:rPr>
      </w:pPr>
      <w:r>
        <w:rPr>
          <w:rStyle w:val="FootnoteReference"/>
          <w:sz w:val="18"/>
          <w:szCs w:val="18"/>
        </w:rPr>
        <w:footnoteRef/>
      </w:r>
      <w:r>
        <w:rPr>
          <w:sz w:val="18"/>
          <w:szCs w:val="18"/>
          <w:lang w:val="fr-BE"/>
        </w:rPr>
        <w:t xml:space="preserve"> </w:t>
      </w:r>
      <w:hyperlink r:id="rId4" w:history="1">
        <w:r>
          <w:rPr>
            <w:rStyle w:val="Hyperlink"/>
            <w:sz w:val="18"/>
            <w:szCs w:val="18"/>
            <w:lang w:val="fr-BE"/>
          </w:rPr>
          <w:t>https://www.consilium.europa.eu/en/press/press-releases/2019/10/14/council-conclusions-on-north-east-syria/</w:t>
        </w:r>
      </w:hyperlink>
    </w:p>
  </w:footnote>
  <w:footnote w:id="10">
    <w:p w:rsidR="008928FB" w:rsidRDefault="00CD358F">
      <w:pPr>
        <w:pStyle w:val="FootnoteText"/>
        <w:rPr>
          <w:lang w:val="fr-BE"/>
        </w:rPr>
      </w:pPr>
      <w:r>
        <w:rPr>
          <w:rStyle w:val="FootnoteReference"/>
          <w:sz w:val="18"/>
          <w:szCs w:val="18"/>
        </w:rPr>
        <w:footnoteRef/>
      </w:r>
      <w:r>
        <w:rPr>
          <w:lang w:val="fr-BE"/>
        </w:rPr>
        <w:t xml:space="preserve"> Informations détaillées dans les rapports individuels et les fiches d’information sur</w:t>
      </w:r>
      <w:r>
        <w:rPr>
          <w:lang w:val="fr-BE"/>
        </w:rPr>
        <w:t xml:space="preserve"> la mise en œuvre des accords de libre-échange conclus avec l’UE (2020) — Document de travail des services de la Commission disponible à l’adresse suivante:</w:t>
      </w:r>
      <w:r>
        <w:rPr>
          <w:sz w:val="18"/>
          <w:szCs w:val="18"/>
          <w:lang w:val="fr-BE"/>
        </w:rPr>
        <w:t xml:space="preserve">  </w:t>
      </w:r>
      <w:hyperlink r:id="rId5" w:history="1">
        <w:r>
          <w:rPr>
            <w:rStyle w:val="Hyperlink"/>
            <w:sz w:val="18"/>
            <w:szCs w:val="18"/>
            <w:lang w:val="fr-BE"/>
          </w:rPr>
          <w:t>https://tra</w:t>
        </w:r>
        <w:r>
          <w:rPr>
            <w:rStyle w:val="Hyperlink"/>
            <w:sz w:val="18"/>
            <w:szCs w:val="18"/>
            <w:lang w:val="fr-BE"/>
          </w:rPr>
          <w:t>de.ec.europa.eu/doclib/docs/2020/november/tradoc_159048.pdf</w:t>
        </w:r>
      </w:hyperlink>
    </w:p>
  </w:footnote>
  <w:footnote w:id="11">
    <w:p w:rsidR="008928FB" w:rsidRDefault="00CD358F">
      <w:pPr>
        <w:pStyle w:val="FootnoteText"/>
        <w:rPr>
          <w:sz w:val="18"/>
          <w:szCs w:val="18"/>
          <w:lang w:val="fr-FR"/>
        </w:rPr>
      </w:pPr>
      <w:r>
        <w:rPr>
          <w:rStyle w:val="FootnoteReference"/>
          <w:rFonts w:eastAsiaTheme="majorEastAsia"/>
          <w:sz w:val="18"/>
          <w:szCs w:val="18"/>
        </w:rPr>
        <w:footnoteRef/>
      </w:r>
      <w:r>
        <w:rPr>
          <w:sz w:val="18"/>
          <w:szCs w:val="18"/>
          <w:lang w:val="fr-FR"/>
        </w:rPr>
        <w:t xml:space="preserve"> Y compris le Fonds européen d’investissement. Dans ses conclusions de juillet 2019, le Conseil a invité la Banque européenne d’investissement à revoir ses activités de prêt à la Turquie, notamme</w:t>
      </w:r>
      <w:r>
        <w:rPr>
          <w:sz w:val="18"/>
          <w:szCs w:val="18"/>
          <w:lang w:val="fr-FR"/>
        </w:rPr>
        <w:t>nt en ce qui concerne les prêts adossés à des actifs souverains.</w:t>
      </w:r>
    </w:p>
  </w:footnote>
  <w:footnote w:id="12">
    <w:p w:rsidR="008928FB" w:rsidRDefault="00CD358F">
      <w:pPr>
        <w:pStyle w:val="FootnoteText"/>
        <w:rPr>
          <w:lang w:val="fr-FR"/>
        </w:rPr>
      </w:pPr>
      <w:r>
        <w:rPr>
          <w:rStyle w:val="FootnoteReference"/>
          <w:rFonts w:eastAsiaTheme="majorEastAsia"/>
          <w:sz w:val="18"/>
          <w:szCs w:val="18"/>
        </w:rPr>
        <w:footnoteRef/>
      </w:r>
      <w:r>
        <w:rPr>
          <w:sz w:val="18"/>
          <w:szCs w:val="18"/>
          <w:lang w:val="fr-FR"/>
        </w:rPr>
        <w:t xml:space="preserve"> Fin 2019, la Banque européenne d’investissement (BEI) affichait un total d’expositions décaissées en Turquie de 12,3 milliards d’EUR. Les prêts de la BEI à la Turquie ont considérablement d</w:t>
      </w:r>
      <w:r>
        <w:rPr>
          <w:sz w:val="18"/>
          <w:szCs w:val="18"/>
          <w:lang w:val="fr-FR"/>
        </w:rPr>
        <w:t xml:space="preserve">iminué depuis 2016 et, à la suite des mesures restrictives prises par l’UE en 2019, aucun prêt n’a été signé en faveur de la Turquie en 2020. La BERD a continué de soutenir les opérations du secteur privé en Turquie en 2020 et a en outre accordé des prêts </w:t>
      </w:r>
      <w:r>
        <w:rPr>
          <w:sz w:val="18"/>
          <w:szCs w:val="18"/>
          <w:lang w:val="fr-FR"/>
        </w:rPr>
        <w:t>très sélectifs au secteur public pour financer l’achat d’équipements essentiels dont les hôpitaux publics turcs ont besoin pour lutter contre la pandémie de COVID-19. Le volume total des investissements de la BERD en Turquie s’est élevé à 1,8 milliard d’EU</w:t>
      </w:r>
      <w:r>
        <w:rPr>
          <w:sz w:val="18"/>
          <w:szCs w:val="18"/>
          <w:lang w:val="fr-FR"/>
        </w:rPr>
        <w:t>R en 2020.</w:t>
      </w:r>
    </w:p>
  </w:footnote>
  <w:footnote w:id="13">
    <w:p w:rsidR="008928FB" w:rsidRDefault="00CD358F">
      <w:pPr>
        <w:pStyle w:val="FootnoteText"/>
        <w:rPr>
          <w:lang w:val="fr-FR"/>
        </w:rPr>
      </w:pPr>
      <w:r>
        <w:rPr>
          <w:rStyle w:val="FootnoteReference"/>
        </w:rPr>
        <w:footnoteRef/>
      </w:r>
      <w:r>
        <w:rPr>
          <w:lang w:val="fr-FR"/>
        </w:rPr>
        <w:t xml:space="preserve"> https://data.consilium.europa.eu/doc/document/ST-6329-2021-INIT/fr/pdf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8F" w:rsidRPr="00CD358F" w:rsidRDefault="00CD358F" w:rsidP="00CD3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8F" w:rsidRPr="00CD358F" w:rsidRDefault="00CD358F" w:rsidP="00CD358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8F" w:rsidRPr="00CD358F" w:rsidRDefault="00CD358F" w:rsidP="00CD358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FB" w:rsidRDefault="008928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FB" w:rsidRDefault="008928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FB" w:rsidRDefault="0089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304E"/>
    <w:multiLevelType w:val="hybridMultilevel"/>
    <w:tmpl w:val="79CCFFAA"/>
    <w:lvl w:ilvl="0" w:tplc="EBE69AF6">
      <w:start w:val="3"/>
      <w:numFmt w:val="decimal"/>
      <w:lvlText w:val="%1."/>
      <w:lvlJc w:val="left"/>
      <w:pPr>
        <w:ind w:left="2520" w:hanging="360"/>
      </w:pPr>
      <w:rPr>
        <w:rFonts w:hint="default"/>
        <w:b/>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1" w15:restartNumberingAfterBreak="0">
    <w:nsid w:val="2F000000"/>
    <w:multiLevelType w:val="hybridMultilevel"/>
    <w:tmpl w:val="276B1D78"/>
    <w:lvl w:ilvl="0" w:tplc="0818F0F6">
      <w:start w:val="1"/>
      <w:numFmt w:val="decimal"/>
      <w:lvlText w:val="%1."/>
      <w:lvlJc w:val="left"/>
      <w:pPr>
        <w:ind w:left="720" w:hanging="360"/>
      </w:pPr>
      <w:rPr>
        <w:rFonts w:hint="default"/>
      </w:rPr>
    </w:lvl>
    <w:lvl w:ilvl="1" w:tplc="8F4010FA">
      <w:start w:val="1"/>
      <w:numFmt w:val="lowerLetter"/>
      <w:lvlText w:val="%2."/>
      <w:lvlJc w:val="left"/>
      <w:pPr>
        <w:ind w:left="1440" w:hanging="360"/>
      </w:pPr>
    </w:lvl>
    <w:lvl w:ilvl="2" w:tplc="91A4E02A">
      <w:start w:val="1"/>
      <w:numFmt w:val="lowerRoman"/>
      <w:lvlText w:val="%3."/>
      <w:lvlJc w:val="right"/>
      <w:pPr>
        <w:ind w:left="2160" w:hanging="180"/>
      </w:pPr>
    </w:lvl>
    <w:lvl w:ilvl="3" w:tplc="3004759C">
      <w:start w:val="1"/>
      <w:numFmt w:val="decimal"/>
      <w:lvlText w:val="%4."/>
      <w:lvlJc w:val="left"/>
      <w:pPr>
        <w:ind w:left="2880" w:hanging="360"/>
      </w:pPr>
    </w:lvl>
    <w:lvl w:ilvl="4" w:tplc="60BA33D2">
      <w:start w:val="1"/>
      <w:numFmt w:val="lowerLetter"/>
      <w:lvlText w:val="%5."/>
      <w:lvlJc w:val="left"/>
      <w:pPr>
        <w:ind w:left="3600" w:hanging="360"/>
      </w:pPr>
    </w:lvl>
    <w:lvl w:ilvl="5" w:tplc="5B66EB5E">
      <w:start w:val="1"/>
      <w:numFmt w:val="lowerRoman"/>
      <w:lvlText w:val="%6."/>
      <w:lvlJc w:val="right"/>
      <w:pPr>
        <w:ind w:left="4320" w:hanging="180"/>
      </w:pPr>
    </w:lvl>
    <w:lvl w:ilvl="6" w:tplc="F21CD248">
      <w:start w:val="1"/>
      <w:numFmt w:val="decimal"/>
      <w:lvlText w:val="%7."/>
      <w:lvlJc w:val="left"/>
      <w:pPr>
        <w:ind w:left="5040" w:hanging="360"/>
      </w:pPr>
    </w:lvl>
    <w:lvl w:ilvl="7" w:tplc="9D346ECA">
      <w:start w:val="1"/>
      <w:numFmt w:val="lowerLetter"/>
      <w:lvlText w:val="%8."/>
      <w:lvlJc w:val="left"/>
      <w:pPr>
        <w:ind w:left="5760" w:hanging="360"/>
      </w:pPr>
    </w:lvl>
    <w:lvl w:ilvl="8" w:tplc="BA98F32A">
      <w:start w:val="1"/>
      <w:numFmt w:val="lowerRoman"/>
      <w:lvlText w:val="%9."/>
      <w:lvlJc w:val="right"/>
      <w:pPr>
        <w:ind w:left="6480" w:hanging="180"/>
      </w:pPr>
    </w:lvl>
  </w:abstractNum>
  <w:abstractNum w:abstractNumId="2" w15:restartNumberingAfterBreak="0">
    <w:nsid w:val="2F000001"/>
    <w:multiLevelType w:val="hybridMultilevel"/>
    <w:tmpl w:val="4F5BD66C"/>
    <w:lvl w:ilvl="0" w:tplc="D39E114C">
      <w:start w:val="1"/>
      <w:numFmt w:val="decimal"/>
      <w:lvlText w:val="%1."/>
      <w:lvlJc w:val="left"/>
      <w:pPr>
        <w:ind w:left="720" w:hanging="360"/>
      </w:pPr>
      <w:rPr>
        <w:rFonts w:hint="default"/>
      </w:rPr>
    </w:lvl>
    <w:lvl w:ilvl="1" w:tplc="CE4CD8BA">
      <w:start w:val="1"/>
      <w:numFmt w:val="lowerLetter"/>
      <w:lvlText w:val="%2."/>
      <w:lvlJc w:val="left"/>
      <w:pPr>
        <w:ind w:left="1440" w:hanging="360"/>
      </w:pPr>
    </w:lvl>
    <w:lvl w:ilvl="2" w:tplc="E87EE568">
      <w:start w:val="1"/>
      <w:numFmt w:val="lowerRoman"/>
      <w:lvlText w:val="%3."/>
      <w:lvlJc w:val="right"/>
      <w:pPr>
        <w:ind w:left="2160" w:hanging="180"/>
      </w:pPr>
    </w:lvl>
    <w:lvl w:ilvl="3" w:tplc="72F21D30">
      <w:start w:val="1"/>
      <w:numFmt w:val="decimal"/>
      <w:lvlText w:val="%4."/>
      <w:lvlJc w:val="left"/>
      <w:pPr>
        <w:ind w:left="2880" w:hanging="360"/>
      </w:pPr>
    </w:lvl>
    <w:lvl w:ilvl="4" w:tplc="43D6BDEE">
      <w:start w:val="1"/>
      <w:numFmt w:val="lowerLetter"/>
      <w:lvlText w:val="%5."/>
      <w:lvlJc w:val="left"/>
      <w:pPr>
        <w:ind w:left="3600" w:hanging="360"/>
      </w:pPr>
    </w:lvl>
    <w:lvl w:ilvl="5" w:tplc="FAD2F992">
      <w:start w:val="1"/>
      <w:numFmt w:val="lowerRoman"/>
      <w:lvlText w:val="%6."/>
      <w:lvlJc w:val="right"/>
      <w:pPr>
        <w:ind w:left="4320" w:hanging="180"/>
      </w:pPr>
    </w:lvl>
    <w:lvl w:ilvl="6" w:tplc="D9726A38">
      <w:start w:val="1"/>
      <w:numFmt w:val="decimal"/>
      <w:lvlText w:val="%7."/>
      <w:lvlJc w:val="left"/>
      <w:pPr>
        <w:ind w:left="5040" w:hanging="360"/>
      </w:pPr>
    </w:lvl>
    <w:lvl w:ilvl="7" w:tplc="548E6644">
      <w:start w:val="1"/>
      <w:numFmt w:val="lowerLetter"/>
      <w:lvlText w:val="%8."/>
      <w:lvlJc w:val="left"/>
      <w:pPr>
        <w:ind w:left="5760" w:hanging="360"/>
      </w:pPr>
    </w:lvl>
    <w:lvl w:ilvl="8" w:tplc="AE7C4C10">
      <w:start w:val="1"/>
      <w:numFmt w:val="lowerRoman"/>
      <w:lvlText w:val="%9."/>
      <w:lvlJc w:val="right"/>
      <w:pPr>
        <w:ind w:left="6480" w:hanging="180"/>
      </w:pPr>
    </w:lvl>
  </w:abstractNum>
  <w:abstractNum w:abstractNumId="3" w15:restartNumberingAfterBreak="0">
    <w:nsid w:val="2F000002"/>
    <w:multiLevelType w:val="hybridMultilevel"/>
    <w:tmpl w:val="3C5A8615"/>
    <w:lvl w:ilvl="0" w:tplc="2A28C11A">
      <w:start w:val="1"/>
      <w:numFmt w:val="lowerLetter"/>
      <w:lvlText w:val="%1)"/>
      <w:lvlJc w:val="left"/>
      <w:pPr>
        <w:ind w:left="720" w:hanging="360"/>
      </w:pPr>
      <w:rPr>
        <w:rFonts w:hint="default"/>
      </w:rPr>
    </w:lvl>
    <w:lvl w:ilvl="1" w:tplc="AF9699B6">
      <w:start w:val="1"/>
      <w:numFmt w:val="lowerLetter"/>
      <w:lvlText w:val="%2."/>
      <w:lvlJc w:val="left"/>
      <w:pPr>
        <w:ind w:left="1440" w:hanging="360"/>
      </w:pPr>
    </w:lvl>
    <w:lvl w:ilvl="2" w:tplc="6C1E414A">
      <w:start w:val="1"/>
      <w:numFmt w:val="lowerRoman"/>
      <w:lvlText w:val="%3."/>
      <w:lvlJc w:val="right"/>
      <w:pPr>
        <w:ind w:left="2160" w:hanging="180"/>
      </w:pPr>
    </w:lvl>
    <w:lvl w:ilvl="3" w:tplc="3E7693E6">
      <w:start w:val="1"/>
      <w:numFmt w:val="decimal"/>
      <w:lvlText w:val="%4."/>
      <w:lvlJc w:val="left"/>
      <w:pPr>
        <w:ind w:left="2880" w:hanging="360"/>
      </w:pPr>
    </w:lvl>
    <w:lvl w:ilvl="4" w:tplc="88164272">
      <w:start w:val="1"/>
      <w:numFmt w:val="lowerLetter"/>
      <w:lvlText w:val="%5."/>
      <w:lvlJc w:val="left"/>
      <w:pPr>
        <w:ind w:left="3600" w:hanging="360"/>
      </w:pPr>
    </w:lvl>
    <w:lvl w:ilvl="5" w:tplc="82768570">
      <w:start w:val="1"/>
      <w:numFmt w:val="lowerRoman"/>
      <w:lvlText w:val="%6."/>
      <w:lvlJc w:val="right"/>
      <w:pPr>
        <w:ind w:left="4320" w:hanging="180"/>
      </w:pPr>
    </w:lvl>
    <w:lvl w:ilvl="6" w:tplc="B4EA0F7C">
      <w:start w:val="1"/>
      <w:numFmt w:val="decimal"/>
      <w:lvlText w:val="%7."/>
      <w:lvlJc w:val="left"/>
      <w:pPr>
        <w:ind w:left="5040" w:hanging="360"/>
      </w:pPr>
    </w:lvl>
    <w:lvl w:ilvl="7" w:tplc="56D0BA24">
      <w:start w:val="1"/>
      <w:numFmt w:val="lowerLetter"/>
      <w:lvlText w:val="%8."/>
      <w:lvlJc w:val="left"/>
      <w:pPr>
        <w:ind w:left="5760" w:hanging="360"/>
      </w:pPr>
    </w:lvl>
    <w:lvl w:ilvl="8" w:tplc="7DBACD82">
      <w:start w:val="1"/>
      <w:numFmt w:val="lowerRoman"/>
      <w:lvlText w:val="%9."/>
      <w:lvlJc w:val="right"/>
      <w:pPr>
        <w:ind w:left="6480" w:hanging="180"/>
      </w:pPr>
    </w:lvl>
  </w:abstractNum>
  <w:abstractNum w:abstractNumId="4" w15:restartNumberingAfterBreak="0">
    <w:nsid w:val="2F000003"/>
    <w:multiLevelType w:val="hybridMultilevel"/>
    <w:tmpl w:val="4118DBC1"/>
    <w:lvl w:ilvl="0" w:tplc="62A4A4CC">
      <w:start w:val="1"/>
      <w:numFmt w:val="lowerLetter"/>
      <w:lvlText w:val="%1)"/>
      <w:lvlJc w:val="left"/>
      <w:pPr>
        <w:ind w:left="360" w:hanging="360"/>
      </w:pPr>
      <w:rPr>
        <w:rFonts w:hint="default"/>
        <w:b/>
        <w:i/>
      </w:rPr>
    </w:lvl>
    <w:lvl w:ilvl="1" w:tplc="9948DD9A">
      <w:start w:val="1"/>
      <w:numFmt w:val="lowerLetter"/>
      <w:lvlText w:val="%2."/>
      <w:lvlJc w:val="left"/>
      <w:pPr>
        <w:ind w:left="1440" w:hanging="360"/>
      </w:pPr>
    </w:lvl>
    <w:lvl w:ilvl="2" w:tplc="D68E8898">
      <w:start w:val="1"/>
      <w:numFmt w:val="lowerRoman"/>
      <w:lvlText w:val="%3."/>
      <w:lvlJc w:val="right"/>
      <w:pPr>
        <w:ind w:left="2160" w:hanging="180"/>
      </w:pPr>
    </w:lvl>
    <w:lvl w:ilvl="3" w:tplc="C9A07AF2">
      <w:start w:val="1"/>
      <w:numFmt w:val="decimal"/>
      <w:lvlText w:val="%4."/>
      <w:lvlJc w:val="left"/>
      <w:pPr>
        <w:ind w:left="2880" w:hanging="360"/>
      </w:pPr>
    </w:lvl>
    <w:lvl w:ilvl="4" w:tplc="04D4B646">
      <w:start w:val="1"/>
      <w:numFmt w:val="lowerLetter"/>
      <w:lvlText w:val="%5."/>
      <w:lvlJc w:val="left"/>
      <w:pPr>
        <w:ind w:left="3600" w:hanging="360"/>
      </w:pPr>
    </w:lvl>
    <w:lvl w:ilvl="5" w:tplc="23F00C16">
      <w:start w:val="1"/>
      <w:numFmt w:val="lowerRoman"/>
      <w:lvlText w:val="%6."/>
      <w:lvlJc w:val="right"/>
      <w:pPr>
        <w:ind w:left="4320" w:hanging="180"/>
      </w:pPr>
    </w:lvl>
    <w:lvl w:ilvl="6" w:tplc="F1F275F4">
      <w:start w:val="1"/>
      <w:numFmt w:val="decimal"/>
      <w:lvlText w:val="%7."/>
      <w:lvlJc w:val="left"/>
      <w:pPr>
        <w:ind w:left="5040" w:hanging="360"/>
      </w:pPr>
    </w:lvl>
    <w:lvl w:ilvl="7" w:tplc="6D30449A">
      <w:start w:val="1"/>
      <w:numFmt w:val="lowerLetter"/>
      <w:lvlText w:val="%8."/>
      <w:lvlJc w:val="left"/>
      <w:pPr>
        <w:ind w:left="5760" w:hanging="360"/>
      </w:pPr>
    </w:lvl>
    <w:lvl w:ilvl="8" w:tplc="55343AAC">
      <w:start w:val="1"/>
      <w:numFmt w:val="lowerRoman"/>
      <w:lvlText w:val="%9."/>
      <w:lvlJc w:val="right"/>
      <w:pPr>
        <w:ind w:left="6480" w:hanging="180"/>
      </w:pPr>
    </w:lvl>
  </w:abstractNum>
  <w:abstractNum w:abstractNumId="5" w15:restartNumberingAfterBreak="0">
    <w:nsid w:val="2F000004"/>
    <w:multiLevelType w:val="hybridMultilevel"/>
    <w:tmpl w:val="2D036D64"/>
    <w:lvl w:ilvl="0" w:tplc="2CD2F094">
      <w:start w:val="1"/>
      <w:numFmt w:val="upperRoman"/>
      <w:lvlText w:val="%1."/>
      <w:lvlJc w:val="left"/>
      <w:pPr>
        <w:ind w:left="1080" w:hanging="720"/>
      </w:pPr>
      <w:rPr>
        <w:rFonts w:hint="default"/>
      </w:rPr>
    </w:lvl>
    <w:lvl w:ilvl="1" w:tplc="F7A89CCA">
      <w:start w:val="1"/>
      <w:numFmt w:val="lowerLetter"/>
      <w:lvlText w:val="%2."/>
      <w:lvlJc w:val="left"/>
      <w:pPr>
        <w:ind w:left="1440" w:hanging="360"/>
      </w:pPr>
    </w:lvl>
    <w:lvl w:ilvl="2" w:tplc="9106FB5C">
      <w:start w:val="1"/>
      <w:numFmt w:val="lowerRoman"/>
      <w:lvlText w:val="%3."/>
      <w:lvlJc w:val="right"/>
      <w:pPr>
        <w:ind w:left="2160" w:hanging="180"/>
      </w:pPr>
    </w:lvl>
    <w:lvl w:ilvl="3" w:tplc="B5F6390C">
      <w:start w:val="1"/>
      <w:numFmt w:val="decimal"/>
      <w:lvlText w:val="%4."/>
      <w:lvlJc w:val="left"/>
      <w:pPr>
        <w:ind w:left="2880" w:hanging="360"/>
      </w:pPr>
    </w:lvl>
    <w:lvl w:ilvl="4" w:tplc="03DA1956">
      <w:start w:val="1"/>
      <w:numFmt w:val="lowerLetter"/>
      <w:lvlText w:val="%5."/>
      <w:lvlJc w:val="left"/>
      <w:pPr>
        <w:ind w:left="3600" w:hanging="360"/>
      </w:pPr>
    </w:lvl>
    <w:lvl w:ilvl="5" w:tplc="64FEDF5C">
      <w:start w:val="1"/>
      <w:numFmt w:val="lowerRoman"/>
      <w:lvlText w:val="%6."/>
      <w:lvlJc w:val="right"/>
      <w:pPr>
        <w:ind w:left="4320" w:hanging="180"/>
      </w:pPr>
    </w:lvl>
    <w:lvl w:ilvl="6" w:tplc="5DB43500">
      <w:start w:val="1"/>
      <w:numFmt w:val="decimal"/>
      <w:lvlText w:val="%7."/>
      <w:lvlJc w:val="left"/>
      <w:pPr>
        <w:ind w:left="5040" w:hanging="360"/>
      </w:pPr>
    </w:lvl>
    <w:lvl w:ilvl="7" w:tplc="91CCA944">
      <w:start w:val="1"/>
      <w:numFmt w:val="lowerLetter"/>
      <w:lvlText w:val="%8."/>
      <w:lvlJc w:val="left"/>
      <w:pPr>
        <w:ind w:left="5760" w:hanging="360"/>
      </w:pPr>
    </w:lvl>
    <w:lvl w:ilvl="8" w:tplc="0C509736">
      <w:start w:val="1"/>
      <w:numFmt w:val="lowerRoman"/>
      <w:lvlText w:val="%9."/>
      <w:lvlJc w:val="right"/>
      <w:pPr>
        <w:ind w:left="6480" w:hanging="180"/>
      </w:pPr>
    </w:lvl>
  </w:abstractNum>
  <w:abstractNum w:abstractNumId="6" w15:restartNumberingAfterBreak="0">
    <w:nsid w:val="2F000005"/>
    <w:multiLevelType w:val="hybridMultilevel"/>
    <w:tmpl w:val="2202C76C"/>
    <w:lvl w:ilvl="0" w:tplc="1DA825A6">
      <w:start w:val="1"/>
      <w:numFmt w:val="lowerLetter"/>
      <w:lvlText w:val="%1)"/>
      <w:lvlJc w:val="left"/>
      <w:pPr>
        <w:ind w:left="1080" w:hanging="360"/>
      </w:pPr>
      <w:rPr>
        <w:rFonts w:hint="default"/>
        <w:b/>
        <w:i/>
      </w:rPr>
    </w:lvl>
    <w:lvl w:ilvl="1" w:tplc="B8261EF0">
      <w:start w:val="1"/>
      <w:numFmt w:val="bullet"/>
      <w:lvlText w:val="o"/>
      <w:lvlJc w:val="left"/>
      <w:pPr>
        <w:ind w:left="1800" w:hanging="360"/>
      </w:pPr>
      <w:rPr>
        <w:rFonts w:ascii="Courier New" w:hAnsi="Courier New" w:cs="Courier New" w:hint="default"/>
      </w:rPr>
    </w:lvl>
    <w:lvl w:ilvl="2" w:tplc="68D8A400">
      <w:start w:val="1"/>
      <w:numFmt w:val="bullet"/>
      <w:lvlText w:val="§"/>
      <w:lvlJc w:val="left"/>
      <w:pPr>
        <w:ind w:left="2520" w:hanging="360"/>
      </w:pPr>
      <w:rPr>
        <w:rFonts w:ascii="Wingdings" w:hAnsi="Wingdings" w:hint="default"/>
      </w:rPr>
    </w:lvl>
    <w:lvl w:ilvl="3" w:tplc="3DA69E68">
      <w:start w:val="1"/>
      <w:numFmt w:val="bullet"/>
      <w:lvlText w:val="·"/>
      <w:lvlJc w:val="left"/>
      <w:pPr>
        <w:ind w:left="3240" w:hanging="360"/>
      </w:pPr>
      <w:rPr>
        <w:rFonts w:ascii="Symbol" w:hAnsi="Symbol" w:hint="default"/>
      </w:rPr>
    </w:lvl>
    <w:lvl w:ilvl="4" w:tplc="623641AC">
      <w:start w:val="1"/>
      <w:numFmt w:val="bullet"/>
      <w:lvlText w:val="o"/>
      <w:lvlJc w:val="left"/>
      <w:pPr>
        <w:ind w:left="3960" w:hanging="360"/>
      </w:pPr>
      <w:rPr>
        <w:rFonts w:ascii="Courier New" w:hAnsi="Courier New" w:cs="Courier New" w:hint="default"/>
      </w:rPr>
    </w:lvl>
    <w:lvl w:ilvl="5" w:tplc="E304AE30">
      <w:start w:val="1"/>
      <w:numFmt w:val="bullet"/>
      <w:lvlText w:val="§"/>
      <w:lvlJc w:val="left"/>
      <w:pPr>
        <w:ind w:left="4680" w:hanging="360"/>
      </w:pPr>
      <w:rPr>
        <w:rFonts w:ascii="Wingdings" w:hAnsi="Wingdings" w:hint="default"/>
      </w:rPr>
    </w:lvl>
    <w:lvl w:ilvl="6" w:tplc="D91C98F4">
      <w:start w:val="1"/>
      <w:numFmt w:val="bullet"/>
      <w:lvlText w:val="·"/>
      <w:lvlJc w:val="left"/>
      <w:pPr>
        <w:ind w:left="5400" w:hanging="360"/>
      </w:pPr>
      <w:rPr>
        <w:rFonts w:ascii="Symbol" w:hAnsi="Symbol" w:hint="default"/>
      </w:rPr>
    </w:lvl>
    <w:lvl w:ilvl="7" w:tplc="786C32B2">
      <w:start w:val="1"/>
      <w:numFmt w:val="bullet"/>
      <w:lvlText w:val="o"/>
      <w:lvlJc w:val="left"/>
      <w:pPr>
        <w:ind w:left="6120" w:hanging="360"/>
      </w:pPr>
      <w:rPr>
        <w:rFonts w:ascii="Courier New" w:hAnsi="Courier New" w:cs="Courier New" w:hint="default"/>
      </w:rPr>
    </w:lvl>
    <w:lvl w:ilvl="8" w:tplc="35D8E9F4">
      <w:start w:val="1"/>
      <w:numFmt w:val="bullet"/>
      <w:lvlText w:val="§"/>
      <w:lvlJc w:val="left"/>
      <w:pPr>
        <w:ind w:left="6840" w:hanging="360"/>
      </w:pPr>
      <w:rPr>
        <w:rFonts w:ascii="Wingdings" w:hAnsi="Wingdings" w:hint="default"/>
      </w:rPr>
    </w:lvl>
  </w:abstractNum>
  <w:abstractNum w:abstractNumId="7" w15:restartNumberingAfterBreak="0">
    <w:nsid w:val="2F000006"/>
    <w:multiLevelType w:val="hybridMultilevel"/>
    <w:tmpl w:val="4A7284FF"/>
    <w:lvl w:ilvl="0" w:tplc="119ABBFE">
      <w:start w:val="1"/>
      <w:numFmt w:val="lowerLetter"/>
      <w:lvlText w:val="%1)"/>
      <w:lvlJc w:val="left"/>
      <w:pPr>
        <w:ind w:left="720" w:hanging="360"/>
      </w:pPr>
      <w:rPr>
        <w:rFonts w:hint="default"/>
        <w:i w:val="0"/>
      </w:rPr>
    </w:lvl>
    <w:lvl w:ilvl="1" w:tplc="A2901754">
      <w:start w:val="1"/>
      <w:numFmt w:val="lowerLetter"/>
      <w:lvlText w:val="%2."/>
      <w:lvlJc w:val="left"/>
      <w:pPr>
        <w:ind w:left="1440" w:hanging="360"/>
      </w:pPr>
    </w:lvl>
    <w:lvl w:ilvl="2" w:tplc="45B4A1FC">
      <w:start w:val="1"/>
      <w:numFmt w:val="lowerRoman"/>
      <w:lvlText w:val="%3."/>
      <w:lvlJc w:val="right"/>
      <w:pPr>
        <w:ind w:left="2160" w:hanging="180"/>
      </w:pPr>
    </w:lvl>
    <w:lvl w:ilvl="3" w:tplc="D584D4AA">
      <w:start w:val="1"/>
      <w:numFmt w:val="decimal"/>
      <w:lvlText w:val="%4."/>
      <w:lvlJc w:val="left"/>
      <w:pPr>
        <w:ind w:left="2880" w:hanging="360"/>
      </w:pPr>
    </w:lvl>
    <w:lvl w:ilvl="4" w:tplc="2D265426">
      <w:start w:val="1"/>
      <w:numFmt w:val="lowerLetter"/>
      <w:lvlText w:val="%5."/>
      <w:lvlJc w:val="left"/>
      <w:pPr>
        <w:ind w:left="3600" w:hanging="360"/>
      </w:pPr>
    </w:lvl>
    <w:lvl w:ilvl="5" w:tplc="CA14137C">
      <w:start w:val="1"/>
      <w:numFmt w:val="lowerRoman"/>
      <w:lvlText w:val="%6."/>
      <w:lvlJc w:val="right"/>
      <w:pPr>
        <w:ind w:left="4320" w:hanging="180"/>
      </w:pPr>
    </w:lvl>
    <w:lvl w:ilvl="6" w:tplc="DC3228C4">
      <w:start w:val="1"/>
      <w:numFmt w:val="decimal"/>
      <w:lvlText w:val="%7."/>
      <w:lvlJc w:val="left"/>
      <w:pPr>
        <w:ind w:left="5040" w:hanging="360"/>
      </w:pPr>
    </w:lvl>
    <w:lvl w:ilvl="7" w:tplc="5F4ECC42">
      <w:start w:val="1"/>
      <w:numFmt w:val="lowerLetter"/>
      <w:lvlText w:val="%8."/>
      <w:lvlJc w:val="left"/>
      <w:pPr>
        <w:ind w:left="5760" w:hanging="360"/>
      </w:pPr>
    </w:lvl>
    <w:lvl w:ilvl="8" w:tplc="A3E29078">
      <w:start w:val="1"/>
      <w:numFmt w:val="lowerRoman"/>
      <w:lvlText w:val="%9."/>
      <w:lvlJc w:val="right"/>
      <w:pPr>
        <w:ind w:left="6480" w:hanging="180"/>
      </w:pPr>
    </w:lvl>
  </w:abstractNum>
  <w:abstractNum w:abstractNumId="8" w15:restartNumberingAfterBreak="0">
    <w:nsid w:val="2F000007"/>
    <w:multiLevelType w:val="hybridMultilevel"/>
    <w:tmpl w:val="4A7997A1"/>
    <w:lvl w:ilvl="0" w:tplc="89DE985A">
      <w:start w:val="1"/>
      <w:numFmt w:val="bullet"/>
      <w:lvlText w:val="·"/>
      <w:lvlJc w:val="left"/>
      <w:pPr>
        <w:ind w:left="720" w:hanging="360"/>
      </w:pPr>
      <w:rPr>
        <w:rFonts w:ascii="Symbol" w:hAnsi="Symbol" w:hint="default"/>
      </w:rPr>
    </w:lvl>
    <w:lvl w:ilvl="1" w:tplc="1BB06EA2">
      <w:start w:val="1"/>
      <w:numFmt w:val="bullet"/>
      <w:lvlText w:val="o"/>
      <w:lvlJc w:val="left"/>
      <w:pPr>
        <w:ind w:left="1440" w:hanging="360"/>
      </w:pPr>
      <w:rPr>
        <w:rFonts w:ascii="Courier New" w:hAnsi="Courier New" w:cs="Courier New" w:hint="default"/>
      </w:rPr>
    </w:lvl>
    <w:lvl w:ilvl="2" w:tplc="DBEA5130">
      <w:start w:val="1"/>
      <w:numFmt w:val="bullet"/>
      <w:lvlText w:val="§"/>
      <w:lvlJc w:val="left"/>
      <w:pPr>
        <w:ind w:left="2160" w:hanging="360"/>
      </w:pPr>
      <w:rPr>
        <w:rFonts w:ascii="Wingdings" w:hAnsi="Wingdings" w:hint="default"/>
      </w:rPr>
    </w:lvl>
    <w:lvl w:ilvl="3" w:tplc="28B2B8A2">
      <w:start w:val="1"/>
      <w:numFmt w:val="bullet"/>
      <w:lvlText w:val="·"/>
      <w:lvlJc w:val="left"/>
      <w:pPr>
        <w:ind w:left="2880" w:hanging="360"/>
      </w:pPr>
      <w:rPr>
        <w:rFonts w:ascii="Symbol" w:hAnsi="Symbol" w:hint="default"/>
      </w:rPr>
    </w:lvl>
    <w:lvl w:ilvl="4" w:tplc="9D08C802">
      <w:start w:val="1"/>
      <w:numFmt w:val="bullet"/>
      <w:lvlText w:val="o"/>
      <w:lvlJc w:val="left"/>
      <w:pPr>
        <w:ind w:left="3600" w:hanging="360"/>
      </w:pPr>
      <w:rPr>
        <w:rFonts w:ascii="Courier New" w:hAnsi="Courier New" w:cs="Courier New" w:hint="default"/>
      </w:rPr>
    </w:lvl>
    <w:lvl w:ilvl="5" w:tplc="6F84AC0C">
      <w:start w:val="1"/>
      <w:numFmt w:val="bullet"/>
      <w:lvlText w:val="§"/>
      <w:lvlJc w:val="left"/>
      <w:pPr>
        <w:ind w:left="4320" w:hanging="360"/>
      </w:pPr>
      <w:rPr>
        <w:rFonts w:ascii="Wingdings" w:hAnsi="Wingdings" w:hint="default"/>
      </w:rPr>
    </w:lvl>
    <w:lvl w:ilvl="6" w:tplc="FA5A0D9C">
      <w:start w:val="1"/>
      <w:numFmt w:val="bullet"/>
      <w:lvlText w:val="·"/>
      <w:lvlJc w:val="left"/>
      <w:pPr>
        <w:ind w:left="5040" w:hanging="360"/>
      </w:pPr>
      <w:rPr>
        <w:rFonts w:ascii="Symbol" w:hAnsi="Symbol" w:hint="default"/>
      </w:rPr>
    </w:lvl>
    <w:lvl w:ilvl="7" w:tplc="72686248">
      <w:start w:val="1"/>
      <w:numFmt w:val="bullet"/>
      <w:lvlText w:val="o"/>
      <w:lvlJc w:val="left"/>
      <w:pPr>
        <w:ind w:left="5760" w:hanging="360"/>
      </w:pPr>
      <w:rPr>
        <w:rFonts w:ascii="Courier New" w:hAnsi="Courier New" w:cs="Courier New" w:hint="default"/>
      </w:rPr>
    </w:lvl>
    <w:lvl w:ilvl="8" w:tplc="D5D86DB4">
      <w:start w:val="1"/>
      <w:numFmt w:val="bullet"/>
      <w:lvlText w:val="§"/>
      <w:lvlJc w:val="left"/>
      <w:pPr>
        <w:ind w:left="6480" w:hanging="360"/>
      </w:pPr>
      <w:rPr>
        <w:rFonts w:ascii="Wingdings" w:hAnsi="Wingdings" w:hint="default"/>
      </w:rPr>
    </w:lvl>
  </w:abstractNum>
  <w:abstractNum w:abstractNumId="9" w15:restartNumberingAfterBreak="0">
    <w:nsid w:val="361E5159"/>
    <w:multiLevelType w:val="hybridMultilevel"/>
    <w:tmpl w:val="26EC93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3B4622F"/>
    <w:multiLevelType w:val="hybridMultilevel"/>
    <w:tmpl w:val="2B884EB0"/>
    <w:lvl w:ilvl="0" w:tplc="3EBC3C56">
      <w:start w:val="5"/>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663661D2"/>
    <w:multiLevelType w:val="hybridMultilevel"/>
    <w:tmpl w:val="6886405C"/>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68B2448"/>
    <w:multiLevelType w:val="hybridMultilevel"/>
    <w:tmpl w:val="276B1D78"/>
    <w:lvl w:ilvl="0" w:tplc="0818F0F6">
      <w:start w:val="1"/>
      <w:numFmt w:val="decimal"/>
      <w:lvlText w:val="%1."/>
      <w:lvlJc w:val="left"/>
      <w:pPr>
        <w:ind w:left="720" w:hanging="360"/>
      </w:pPr>
      <w:rPr>
        <w:rFonts w:hint="default"/>
      </w:rPr>
    </w:lvl>
    <w:lvl w:ilvl="1" w:tplc="8F4010FA">
      <w:start w:val="1"/>
      <w:numFmt w:val="lowerLetter"/>
      <w:lvlText w:val="%2."/>
      <w:lvlJc w:val="left"/>
      <w:pPr>
        <w:ind w:left="1440" w:hanging="360"/>
      </w:pPr>
    </w:lvl>
    <w:lvl w:ilvl="2" w:tplc="91A4E02A">
      <w:start w:val="1"/>
      <w:numFmt w:val="lowerRoman"/>
      <w:lvlText w:val="%3."/>
      <w:lvlJc w:val="right"/>
      <w:pPr>
        <w:ind w:left="2160" w:hanging="180"/>
      </w:pPr>
    </w:lvl>
    <w:lvl w:ilvl="3" w:tplc="3004759C">
      <w:start w:val="1"/>
      <w:numFmt w:val="decimal"/>
      <w:lvlText w:val="%4."/>
      <w:lvlJc w:val="left"/>
      <w:pPr>
        <w:ind w:left="2880" w:hanging="360"/>
      </w:pPr>
    </w:lvl>
    <w:lvl w:ilvl="4" w:tplc="60BA33D2">
      <w:start w:val="1"/>
      <w:numFmt w:val="lowerLetter"/>
      <w:lvlText w:val="%5."/>
      <w:lvlJc w:val="left"/>
      <w:pPr>
        <w:ind w:left="3600" w:hanging="360"/>
      </w:pPr>
    </w:lvl>
    <w:lvl w:ilvl="5" w:tplc="5B66EB5E">
      <w:start w:val="1"/>
      <w:numFmt w:val="lowerRoman"/>
      <w:lvlText w:val="%6."/>
      <w:lvlJc w:val="right"/>
      <w:pPr>
        <w:ind w:left="4320" w:hanging="180"/>
      </w:pPr>
    </w:lvl>
    <w:lvl w:ilvl="6" w:tplc="F21CD248">
      <w:start w:val="1"/>
      <w:numFmt w:val="decimal"/>
      <w:lvlText w:val="%7."/>
      <w:lvlJc w:val="left"/>
      <w:pPr>
        <w:ind w:left="5040" w:hanging="360"/>
      </w:pPr>
    </w:lvl>
    <w:lvl w:ilvl="7" w:tplc="9D346ECA">
      <w:start w:val="1"/>
      <w:numFmt w:val="lowerLetter"/>
      <w:lvlText w:val="%8."/>
      <w:lvlJc w:val="left"/>
      <w:pPr>
        <w:ind w:left="5760" w:hanging="360"/>
      </w:pPr>
    </w:lvl>
    <w:lvl w:ilvl="8" w:tplc="BA98F32A">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4"/>
  </w:num>
  <w:num w:numId="8">
    <w:abstractNumId w:val="8"/>
  </w:num>
  <w:num w:numId="9">
    <w:abstractNumId w:val="9"/>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B814B5-109E-4383-8BA2-FFACD7C6D847"/>
    <w:docVar w:name="LW_COVERPAGE_TYPE" w:val="1"/>
    <w:docVar w:name="LW_CROSSREFERENCE" w:val="&lt;UNUSED&gt;"/>
    <w:docVar w:name="LW_DocType" w:val="NORMAL"/>
    <w:docVar w:name="LW_EMISSION" w:val="20.3.2021"/>
    <w:docVar w:name="LW_EMISSION_ISODATE" w:val="2021-03-20"/>
    <w:docVar w:name="LW_EMISSION_LOCATION" w:val="BRX"/>
    <w:docVar w:name="LW_EMISSION_PREFIX" w:val="Bruxelles, le "/>
    <w:docVar w:name="LW_EMISSION_SUFFIX" w:val=" "/>
    <w:docVar w:name="LW_ID_DOCTYPE_NONLW" w:val="CP-042"/>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I.NEW.CP" w:val="&lt;UNUSED&gt;"/>
    <w:docVar w:name="LW_REF.II.NEW.CP_NUMBER" w:val="&lt;UNUSED&gt;"/>
    <w:docVar w:name="LW_REF.II.NEW.CP_YEAR" w:val="2021"/>
    <w:docVar w:name="LW_REF.INST.NEW" w:val="JOIN"/>
    <w:docVar w:name="LW_REF.INST.NEW_ADOPTED" w:val="final"/>
    <w:docVar w:name="LW_REF.INST.NEW_TEXT" w:val="(2021)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tat des lieux en ce qui concerne les relations politiques, économiques et commerciales entre l'UE et la Turquie&lt;/FMT&gt;_x000d__x000d__x000d__x000b_"/>
    <w:docVar w:name="LW_TYPE.DOC.CP" w:val="COMMUNICATION CONJOINTE AU CONSEIL EUROPÉEN_x000b__x000b_"/>
  </w:docVars>
  <w:rsids>
    <w:rsidRoot w:val="008928FB"/>
    <w:rsid w:val="008928FB"/>
    <w:rsid w:val="00CD358F"/>
  </w:rsids>
  <m:mathPr>
    <m:mathFont m:val="Cambria Math"/>
    <m:brkBin m:val="before"/>
    <m:brkBinSub m:val="--"/>
    <m:smallFrac/>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80EA8ED0-4612-4723-B07B-BAAED56C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contextualSpacing/>
    </w:p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sz w:val="20"/>
      <w:szCs w:val="20"/>
    </w:rPr>
  </w:style>
  <w:style w:type="paragraph" w:styleId="Revision">
    <w:name w:val="Revision"/>
    <w:semiHidden/>
    <w:pPr>
      <w:spacing w:after="0" w:line="240" w:lineRule="auto"/>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semiHidden/>
    <w:unhideWhenUsed/>
    <w:pPr>
      <w:spacing w:after="0" w:line="240" w:lineRule="auto"/>
      <w:jc w:val="both"/>
    </w:pPr>
    <w:rPr>
      <w:rFonts w:ascii="Times New Roman" w:eastAsia="Times New Roman" w:hAnsi="Times New Roman" w:cs="Times New Roman"/>
      <w:sz w:val="20"/>
      <w:szCs w:val="20"/>
      <w:lang w:eastAsia="fr-B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BE"/>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autoSpaceDE w:val="0"/>
      <w:autoSpaceDN w:val="0"/>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5053">
      <w:bodyDiv w:val="1"/>
      <w:marLeft w:val="0"/>
      <w:marRight w:val="0"/>
      <w:marTop w:val="0"/>
      <w:marBottom w:val="0"/>
      <w:divBdr>
        <w:top w:val="none" w:sz="0" w:space="0" w:color="auto"/>
        <w:left w:val="none" w:sz="0" w:space="0" w:color="auto"/>
        <w:bottom w:val="none" w:sz="0" w:space="0" w:color="auto"/>
        <w:right w:val="none" w:sz="0" w:space="0" w:color="auto"/>
      </w:divBdr>
    </w:div>
    <w:div w:id="17941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fr/press/press-releases/2016/03/18/eu-turkey-statement/" TargetMode="External"/><Relationship Id="rId2" Type="http://schemas.openxmlformats.org/officeDocument/2006/relationships/hyperlink" Target="https://eur-lex.europa.eu/legal-content/FR/TXT/PDF/?uri=CELEX:32019D1894&amp;from=GA" TargetMode="External"/><Relationship Id="rId1" Type="http://schemas.openxmlformats.org/officeDocument/2006/relationships/hyperlink" Target="https://data.consilium.europa.eu/doc/document/ST-22-2020-INIT/fr/pdf" TargetMode="External"/><Relationship Id="rId5" Type="http://schemas.openxmlformats.org/officeDocument/2006/relationships/hyperlink" Target="https://trade.ec.europa.eu/doclib/docs/2020/november/tradoc_159048.pdf" TargetMode="External"/><Relationship Id="rId4" Type="http://schemas.openxmlformats.org/officeDocument/2006/relationships/hyperlink" Target="https://www.consilium.europa.eu/en/press/press-releases/2019/10/14/council-conclusions-on-north-east-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0547-0D94-4FC2-AE8B-78AC4492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8452</Words>
  <Characters>45813</Characters>
  <Application>Microsoft Office Word</Application>
  <DocSecurity>0</DocSecurity>
  <Lines>663</Lines>
  <Paragraphs>132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(SG)</cp:lastModifiedBy>
  <cp:revision>27</cp:revision>
  <cp:lastPrinted>2021-03-19T11:04:00Z</cp:lastPrinted>
  <dcterms:created xsi:type="dcterms:W3CDTF">2021-03-20T10:09:00Z</dcterms:created>
  <dcterms:modified xsi:type="dcterms:W3CDTF">2021-03-23T12:22:00Z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CP-042</vt:lpwstr>
  </property>
  <property fmtid="{D5CDD505-2E9C-101B-9397-08002B2CF9AE}" pid="7" name="Last edited using">
    <vt:lpwstr>LW 7.0, Build 20190717</vt:lpwstr>
  </property>
  <property fmtid="{D5CDD505-2E9C-101B-9397-08002B2CF9AE}" pid="8" name="Created using">
    <vt:lpwstr>LW 7.0.1, Build 20190916</vt:lpwstr>
  </property>
</Properties>
</file>