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CD" w:rsidRDefault="00F712D0" w:rsidP="00F712D0">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5C0B458-381A-4211-8152-B3B80C02F4FD" style="width:450.45pt;height:379.65pt">
            <v:imagedata r:id="rId12" o:title=""/>
          </v:shape>
        </w:pict>
      </w:r>
    </w:p>
    <w:bookmarkEnd w:id="0"/>
    <w:p w:rsidR="00CE34CD" w:rsidRDefault="00CE34CD">
      <w:pPr>
        <w:rPr>
          <w:noProof/>
          <w:lang w:val="en-GB"/>
        </w:rPr>
        <w:sectPr w:rsidR="00CE34CD" w:rsidSect="00F712D0">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1134" w:right="1417" w:bottom="1134" w:left="1417" w:header="709" w:footer="709" w:gutter="0"/>
          <w:pgNumType w:start="0"/>
          <w:cols w:space="720"/>
          <w:docGrid w:linePitch="360"/>
        </w:sectPr>
      </w:pPr>
    </w:p>
    <w:p w:rsidR="00CE34CD" w:rsidRDefault="00F712D0">
      <w:pPr>
        <w:spacing w:after="240"/>
        <w:jc w:val="center"/>
        <w:rPr>
          <w:rFonts w:ascii="Times New Roman" w:hAnsi="Times New Roman" w:cs="Times New Roman"/>
          <w:b/>
          <w:noProof/>
          <w:u w:val="single"/>
          <w:lang w:val="en-GB"/>
        </w:rPr>
      </w:pPr>
      <w:bookmarkStart w:id="1" w:name="_GoBack"/>
      <w:bookmarkEnd w:id="1"/>
      <w:r>
        <w:rPr>
          <w:rFonts w:ascii="Times New Roman" w:hAnsi="Times New Roman" w:cs="Times New Roman"/>
          <w:b/>
          <w:noProof/>
          <w:lang w:val="en-GB"/>
        </w:rPr>
        <w:lastRenderedPageBreak/>
        <w:t xml:space="preserve">Proposal of </w:t>
      </w:r>
      <w:r>
        <w:rPr>
          <w:rFonts w:ascii="Times New Roman" w:hAnsi="Times New Roman" w:cs="Times New Roman"/>
          <w:b/>
          <w:bCs/>
          <w:noProof/>
          <w:lang w:val="en-GB"/>
        </w:rPr>
        <w:t xml:space="preserve">common Targets to mobilise public and private actors </w:t>
      </w:r>
    </w:p>
    <w:p w:rsidR="00CE34CD" w:rsidRDefault="00F712D0">
      <w:pPr>
        <w:spacing w:after="240"/>
        <w:jc w:val="both"/>
        <w:rPr>
          <w:rFonts w:ascii="Times New Roman" w:hAnsi="Times New Roman" w:cs="Times New Roman"/>
          <w:noProof/>
          <w:lang w:val="en-GB"/>
        </w:rPr>
      </w:pPr>
      <w:r>
        <w:rPr>
          <w:rFonts w:ascii="Times New Roman" w:hAnsi="Times New Roman" w:cs="Times New Roman"/>
          <w:noProof/>
          <w:lang w:val="en-GB"/>
        </w:rPr>
        <w:t>When selecting</w:t>
      </w:r>
      <w:r>
        <w:rPr>
          <w:rFonts w:ascii="Times New Roman" w:hAnsi="Times New Roman" w:cs="Times New Roman"/>
          <w:b/>
          <w:bCs/>
          <w:noProof/>
          <w:lang w:val="en-GB"/>
        </w:rPr>
        <w:t xml:space="preserve"> targets, </w:t>
      </w:r>
      <w:r>
        <w:rPr>
          <w:rFonts w:ascii="Times New Roman" w:hAnsi="Times New Roman" w:cs="Times New Roman"/>
          <w:noProof/>
          <w:lang w:val="en-GB"/>
        </w:rPr>
        <w:t>the Commission looked at existing</w:t>
      </w:r>
      <w:r>
        <w:rPr>
          <w:rFonts w:ascii="Times New Roman" w:hAnsi="Times New Roman" w:cs="Times New Roman"/>
          <w:b/>
          <w:bCs/>
          <w:noProof/>
          <w:lang w:val="en-GB"/>
        </w:rPr>
        <w:t xml:space="preserve"> Key Performance Indicators (KPIs)</w:t>
      </w:r>
      <w:r>
        <w:rPr>
          <w:rFonts w:ascii="Times New Roman" w:hAnsi="Times New Roman" w:cs="Times New Roman"/>
          <w:noProof/>
          <w:lang w:val="en-GB"/>
        </w:rPr>
        <w:t>, having in mind that targets need to be measurable in order to be monitored. For each target we present the baseline and source of data. The choice of lead KPIs hereafter was made based partly on existing KPIs which are m</w:t>
      </w:r>
      <w:r>
        <w:rPr>
          <w:rFonts w:ascii="Times New Roman" w:hAnsi="Times New Roman" w:cs="Times New Roman"/>
          <w:noProof/>
          <w:lang w:val="en-GB"/>
        </w:rPr>
        <w:t xml:space="preserve">onitored e.g. in the Digital Economy and Society Index (DESI) monitoring system set up by the Commission since 2014. There are, however, also potential KPIs where studies (ongoing or future) or other sources would be needed, methodologies would still need </w:t>
      </w:r>
      <w:r>
        <w:rPr>
          <w:rFonts w:ascii="Times New Roman" w:hAnsi="Times New Roman" w:cs="Times New Roman"/>
          <w:noProof/>
          <w:lang w:val="en-GB"/>
        </w:rPr>
        <w:t>to be developed or relevant data would still need to be acquired. Moreover, it is to be recalled that even if a particular KPI is not mentioned in the below list of lead KPIs, this does not mean it is not monitored. Many other KPIs will continue to be moni</w:t>
      </w:r>
      <w:r>
        <w:rPr>
          <w:rFonts w:ascii="Times New Roman" w:hAnsi="Times New Roman" w:cs="Times New Roman"/>
          <w:noProof/>
          <w:lang w:val="en-GB"/>
        </w:rPr>
        <w:t>tored and reported via an enhanced DESI</w:t>
      </w:r>
      <w:r>
        <w:rPr>
          <w:rStyle w:val="FootnoteReference"/>
          <w:rFonts w:ascii="Times New Roman" w:hAnsi="Times New Roman" w:cs="Times New Roman"/>
          <w:noProof/>
          <w:lang w:val="en-GB"/>
        </w:rPr>
        <w:footnoteReference w:id="2"/>
      </w:r>
      <w:r>
        <w:rPr>
          <w:rFonts w:ascii="Times New Roman" w:hAnsi="Times New Roman" w:cs="Times New Roman"/>
          <w:noProof/>
          <w:lang w:val="en-GB"/>
        </w:rPr>
        <w:t xml:space="preserve">. </w:t>
      </w:r>
    </w:p>
    <w:p w:rsidR="00CE34CD" w:rsidRDefault="00F712D0">
      <w:pPr>
        <w:spacing w:after="120"/>
        <w:jc w:val="both"/>
        <w:rPr>
          <w:rFonts w:ascii="Times New Roman" w:hAnsi="Times New Roman" w:cs="Times New Roman"/>
          <w:noProof/>
          <w:u w:val="single"/>
          <w:lang w:val="en-GB"/>
        </w:rPr>
      </w:pPr>
      <w:r>
        <w:rPr>
          <w:rFonts w:ascii="Times New Roman" w:hAnsi="Times New Roman" w:cs="Times New Roman"/>
          <w:noProof/>
          <w:u w:val="single"/>
          <w:lang w:val="en-GB"/>
        </w:rPr>
        <w:t>Targets of cardinal point 1: A digitally skilled population and highly skilled digital professionals</w:t>
      </w:r>
    </w:p>
    <w:tbl>
      <w:tblPr>
        <w:tblStyle w:val="TableGrid"/>
        <w:tblW w:w="9180" w:type="dxa"/>
        <w:tblLayout w:type="fixed"/>
        <w:tblLook w:val="04A0" w:firstRow="1" w:lastRow="0" w:firstColumn="1" w:lastColumn="0" w:noHBand="0" w:noVBand="1"/>
      </w:tblPr>
      <w:tblGrid>
        <w:gridCol w:w="1951"/>
        <w:gridCol w:w="5528"/>
        <w:gridCol w:w="1701"/>
      </w:tblGrid>
      <w:tr w:rsidR="00CE34CD" w:rsidRPr="00F712D0">
        <w:trPr>
          <w:trHeight w:val="315"/>
        </w:trPr>
        <w:tc>
          <w:tcPr>
            <w:tcW w:w="9180" w:type="dxa"/>
            <w:gridSpan w:val="3"/>
            <w:shd w:val="clear" w:color="auto" w:fill="C6D9F1" w:themeFill="text2" w:themeFillTint="33"/>
          </w:tcPr>
          <w:p w:rsidR="00CE34CD" w:rsidRDefault="00F712D0">
            <w:pPr>
              <w:rPr>
                <w:rFonts w:ascii="Times New Roman" w:hAnsi="Times New Roman"/>
                <w:b/>
                <w:i/>
                <w:noProof/>
                <w:sz w:val="20"/>
                <w:szCs w:val="20"/>
                <w:lang w:val="en-GB"/>
              </w:rPr>
            </w:pPr>
            <w:r>
              <w:rPr>
                <w:rFonts w:ascii="Times New Roman" w:hAnsi="Times New Roman"/>
                <w:b/>
                <w:i/>
                <w:noProof/>
                <w:sz w:val="20"/>
                <w:szCs w:val="20"/>
                <w:lang w:val="en-GB"/>
              </w:rPr>
              <w:t xml:space="preserve">EU’s objective for 2030: “ </w:t>
            </w:r>
            <w:r>
              <w:rPr>
                <w:rFonts w:ascii="Times New Roman" w:hAnsi="Times New Roman" w:cs="Times New Roman"/>
                <w:b/>
                <w:bCs/>
                <w:i/>
                <w:iCs/>
                <w:noProof/>
                <w:sz w:val="20"/>
                <w:szCs w:val="20"/>
                <w:lang w:val="en-IE"/>
              </w:rPr>
              <w:t xml:space="preserve">A </w:t>
            </w:r>
            <w:r>
              <w:rPr>
                <w:rFonts w:ascii="Times New Roman" w:hAnsi="Times New Roman"/>
                <w:b/>
                <w:i/>
                <w:noProof/>
                <w:sz w:val="20"/>
                <w:szCs w:val="20"/>
                <w:lang w:val="en-GB"/>
              </w:rPr>
              <w:t xml:space="preserve">tech savvy continent where all are digitally empowered” </w:t>
            </w:r>
          </w:p>
        </w:tc>
      </w:tr>
      <w:tr w:rsidR="00CE34CD">
        <w:trPr>
          <w:trHeight w:val="315"/>
        </w:trPr>
        <w:tc>
          <w:tcPr>
            <w:tcW w:w="1951" w:type="dxa"/>
            <w:shd w:val="clear" w:color="auto" w:fill="D9D9D9" w:themeFill="background1" w:themeFillShade="D9"/>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 xml:space="preserve">2030 EU Target </w:t>
            </w:r>
            <w:r>
              <w:rPr>
                <w:rFonts w:ascii="Times New Roman" w:hAnsi="Times New Roman"/>
                <w:b/>
                <w:noProof/>
                <w:sz w:val="20"/>
                <w:szCs w:val="20"/>
                <w:lang w:val="en-GB"/>
              </w:rPr>
              <w:t>vs baseline</w:t>
            </w:r>
          </w:p>
        </w:tc>
        <w:tc>
          <w:tcPr>
            <w:tcW w:w="1701" w:type="dxa"/>
            <w:tcBorders>
              <w:bottom w:val="single" w:sz="4" w:space="0" w:color="auto"/>
            </w:tcBorders>
            <w:shd w:val="clear" w:color="auto" w:fill="D9D9D9" w:themeFill="background1" w:themeFillShade="D9"/>
          </w:tcPr>
          <w:p w:rsidR="00CE34CD" w:rsidRDefault="00F712D0">
            <w:pPr>
              <w:rPr>
                <w:rFonts w:ascii="Times New Roman" w:hAnsi="Times New Roman"/>
                <w:b/>
                <w:noProof/>
                <w:sz w:val="20"/>
                <w:szCs w:val="20"/>
                <w:lang w:val="en-GB"/>
              </w:rPr>
            </w:pPr>
            <w:r>
              <w:rPr>
                <w:rFonts w:ascii="Times New Roman" w:hAnsi="Times New Roman"/>
                <w:b/>
                <w:noProof/>
                <w:sz w:val="20"/>
                <w:szCs w:val="20"/>
                <w:lang w:val="en-GB"/>
              </w:rPr>
              <w:t>Source</w:t>
            </w:r>
          </w:p>
        </w:tc>
      </w:tr>
      <w:tr w:rsidR="00CE34CD">
        <w:trPr>
          <w:trHeight w:val="164"/>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ICT specialists</w:t>
            </w:r>
            <w:r>
              <w:rPr>
                <w:rStyle w:val="FootnoteReference"/>
                <w:rFonts w:ascii="Times New Roman" w:hAnsi="Times New Roman"/>
                <w:noProof/>
                <w:sz w:val="20"/>
                <w:szCs w:val="20"/>
                <w:lang w:val="en-GB"/>
              </w:rPr>
              <w:footnoteReference w:id="3"/>
            </w:r>
          </w:p>
        </w:tc>
        <w:tc>
          <w:tcPr>
            <w:tcW w:w="5528" w:type="dxa"/>
            <w:shd w:val="clear" w:color="auto" w:fill="auto"/>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20 million</w:t>
            </w:r>
            <w:r>
              <w:rPr>
                <w:rFonts w:ascii="Times New Roman" w:hAnsi="Times New Roman"/>
                <w:noProof/>
                <w:sz w:val="20"/>
                <w:szCs w:val="20"/>
                <w:lang w:val="en-GB"/>
              </w:rPr>
              <w:t xml:space="preserve"> employed ICT specialists, with convergence between women and men</w:t>
            </w:r>
            <w:r>
              <w:rPr>
                <w:rStyle w:val="FootnoteReference"/>
                <w:rFonts w:ascii="Times New Roman" w:hAnsi="Times New Roman"/>
                <w:noProof/>
                <w:sz w:val="20"/>
                <w:szCs w:val="20"/>
                <w:lang w:val="en-GB"/>
              </w:rPr>
              <w:footnoteReference w:id="4"/>
            </w:r>
            <w:r>
              <w:rPr>
                <w:rFonts w:ascii="Times New Roman" w:hAnsi="Times New Roman"/>
                <w:noProof/>
                <w:sz w:val="20"/>
                <w:szCs w:val="20"/>
                <w:lang w:val="en-GB"/>
              </w:rPr>
              <w:t xml:space="preserve"> (2019 baseline: 7.8 million)</w:t>
            </w:r>
          </w:p>
        </w:tc>
        <w:tc>
          <w:tcPr>
            <w:tcW w:w="1701" w:type="dxa"/>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DESI, ESTAT</w:t>
            </w:r>
          </w:p>
        </w:tc>
      </w:tr>
    </w:tbl>
    <w:p w:rsidR="00CE34CD" w:rsidRDefault="00CE34CD">
      <w:pPr>
        <w:spacing w:after="120"/>
        <w:jc w:val="both"/>
        <w:rPr>
          <w:rFonts w:ascii="Times New Roman" w:hAnsi="Times New Roman" w:cs="Times New Roman"/>
          <w:noProof/>
          <w:u w:val="single"/>
          <w:lang w:val="en-GB"/>
        </w:rPr>
        <w:sectPr w:rsidR="00CE34CD">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6" w:h="16838"/>
          <w:pgMar w:top="1417" w:right="1417" w:bottom="1417" w:left="1417" w:header="708" w:footer="708" w:gutter="0"/>
          <w:cols w:space="720"/>
          <w:docGrid w:linePitch="360"/>
        </w:sectPr>
      </w:pPr>
    </w:p>
    <w:p w:rsidR="00CE34CD" w:rsidRDefault="00F712D0">
      <w:pPr>
        <w:spacing w:after="120"/>
        <w:rPr>
          <w:rFonts w:ascii="Times New Roman" w:hAnsi="Times New Roman" w:cs="Times New Roman"/>
          <w:noProof/>
          <w:u w:val="single"/>
          <w:lang w:val="en-GB"/>
        </w:rPr>
      </w:pPr>
      <w:r>
        <w:rPr>
          <w:rFonts w:ascii="Times New Roman" w:hAnsi="Times New Roman" w:cs="Times New Roman"/>
          <w:noProof/>
          <w:u w:val="single"/>
          <w:lang w:val="en-GB"/>
        </w:rPr>
        <w:t xml:space="preserve">Target of cardinal point 2: Secure and performant sustainable digital infrastructures </w:t>
      </w:r>
    </w:p>
    <w:tbl>
      <w:tblPr>
        <w:tblStyle w:val="TableGrid"/>
        <w:tblW w:w="9180" w:type="dxa"/>
        <w:tblLayout w:type="fixed"/>
        <w:tblLook w:val="04A0" w:firstRow="1" w:lastRow="0" w:firstColumn="1" w:lastColumn="0" w:noHBand="0" w:noVBand="1"/>
      </w:tblPr>
      <w:tblGrid>
        <w:gridCol w:w="1951"/>
        <w:gridCol w:w="5528"/>
        <w:gridCol w:w="1701"/>
      </w:tblGrid>
      <w:tr w:rsidR="00CE34CD" w:rsidRPr="00F712D0">
        <w:trPr>
          <w:trHeight w:val="197"/>
        </w:trPr>
        <w:tc>
          <w:tcPr>
            <w:tcW w:w="9180" w:type="dxa"/>
            <w:gridSpan w:val="3"/>
            <w:shd w:val="clear" w:color="auto" w:fill="C6D9F1" w:themeFill="text2" w:themeFillTint="33"/>
          </w:tcPr>
          <w:p w:rsidR="00CE34CD" w:rsidRDefault="00F712D0">
            <w:pPr>
              <w:shd w:val="clear" w:color="auto" w:fill="C6D9F1" w:themeFill="text2" w:themeFillTint="33"/>
              <w:rPr>
                <w:rFonts w:ascii="Times New Roman" w:hAnsi="Times New Roman"/>
                <w:b/>
                <w:i/>
                <w:noProof/>
                <w:sz w:val="20"/>
                <w:szCs w:val="20"/>
                <w:lang w:val="en-GB"/>
              </w:rPr>
            </w:pPr>
            <w:r>
              <w:rPr>
                <w:rFonts w:ascii="Times New Roman" w:hAnsi="Times New Roman"/>
                <w:b/>
                <w:i/>
                <w:noProof/>
                <w:sz w:val="20"/>
                <w:szCs w:val="20"/>
                <w:lang w:val="en-GB"/>
              </w:rPr>
              <w:t>EU’s objective for 2030: “</w:t>
            </w:r>
            <w:r>
              <w:rPr>
                <w:rFonts w:ascii="Times New Roman" w:hAnsi="Times New Roman" w:cs="Times New Roman"/>
                <w:b/>
                <w:bCs/>
                <w:i/>
                <w:iCs/>
                <w:noProof/>
                <w:sz w:val="20"/>
                <w:szCs w:val="20"/>
                <w:lang w:val="en-IE"/>
              </w:rPr>
              <w:t>Top</w:t>
            </w:r>
            <w:r>
              <w:rPr>
                <w:rFonts w:ascii="Times New Roman" w:hAnsi="Times New Roman"/>
                <w:b/>
                <w:i/>
                <w:noProof/>
                <w:sz w:val="20"/>
                <w:szCs w:val="20"/>
                <w:lang w:val="en-GB"/>
              </w:rPr>
              <w:t xml:space="preserve">-notch </w:t>
            </w:r>
            <w:r>
              <w:rPr>
                <w:rFonts w:ascii="Times New Roman" w:hAnsi="Times New Roman" w:cs="Times New Roman"/>
                <w:b/>
                <w:bCs/>
                <w:i/>
                <w:iCs/>
                <w:noProof/>
                <w:sz w:val="20"/>
                <w:szCs w:val="20"/>
                <w:lang w:val="en-IE"/>
              </w:rPr>
              <w:t>trustworthy</w:t>
            </w:r>
            <w:r>
              <w:rPr>
                <w:rFonts w:ascii="Times New Roman" w:hAnsi="Times New Roman"/>
                <w:b/>
                <w:i/>
                <w:noProof/>
                <w:sz w:val="20"/>
                <w:szCs w:val="20"/>
                <w:lang w:val="en-GB"/>
              </w:rPr>
              <w:t xml:space="preserve"> and secure Digital Infrastructures”</w:t>
            </w:r>
          </w:p>
        </w:tc>
      </w:tr>
      <w:tr w:rsidR="00CE34CD">
        <w:trPr>
          <w:trHeight w:val="220"/>
        </w:trPr>
        <w:tc>
          <w:tcPr>
            <w:tcW w:w="1951" w:type="dxa"/>
            <w:shd w:val="clear" w:color="auto" w:fill="D9D9D9" w:themeFill="background1" w:themeFillShade="D9"/>
          </w:tcPr>
          <w:p w:rsidR="00CE34CD" w:rsidRDefault="00F712D0">
            <w:pPr>
              <w:rPr>
                <w:rFonts w:ascii="Times New Roman" w:hAnsi="Times New Roman"/>
                <w:b/>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rsidR="00CE34CD" w:rsidRDefault="00F712D0">
            <w:pPr>
              <w:rPr>
                <w:rFonts w:ascii="Times New Roman" w:hAnsi="Times New Roman"/>
                <w:b/>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rsidR="00CE34CD" w:rsidRDefault="00F712D0">
            <w:pPr>
              <w:rPr>
                <w:rFonts w:ascii="Times New Roman" w:hAnsi="Times New Roman"/>
                <w:b/>
                <w:noProof/>
                <w:sz w:val="20"/>
                <w:szCs w:val="20"/>
                <w:lang w:val="en-GB"/>
              </w:rPr>
            </w:pPr>
            <w:r>
              <w:rPr>
                <w:rFonts w:ascii="Times New Roman" w:hAnsi="Times New Roman"/>
                <w:b/>
                <w:noProof/>
                <w:sz w:val="20"/>
                <w:szCs w:val="20"/>
                <w:lang w:val="en-GB"/>
              </w:rPr>
              <w:t>Source</w:t>
            </w:r>
          </w:p>
        </w:tc>
      </w:tr>
      <w:tr w:rsidR="00CE34CD" w:rsidRPr="00F712D0">
        <w:trPr>
          <w:trHeight w:val="1196"/>
        </w:trPr>
        <w:tc>
          <w:tcPr>
            <w:tcW w:w="1951" w:type="dxa"/>
          </w:tcPr>
          <w:p w:rsidR="00CE34CD" w:rsidRDefault="00F712D0">
            <w:pPr>
              <w:rPr>
                <w:rFonts w:ascii="Times New Roman" w:hAnsi="Times New Roman"/>
                <w:b/>
                <w:noProof/>
                <w:sz w:val="20"/>
                <w:szCs w:val="20"/>
                <w:lang w:val="en-GB"/>
              </w:rPr>
            </w:pPr>
            <w:r>
              <w:rPr>
                <w:rFonts w:ascii="Times New Roman" w:hAnsi="Times New Roman"/>
                <w:noProof/>
                <w:sz w:val="20"/>
                <w:szCs w:val="20"/>
                <w:lang w:val="en-GB"/>
              </w:rPr>
              <w:t>Connectivity</w:t>
            </w:r>
          </w:p>
        </w:tc>
        <w:tc>
          <w:tcPr>
            <w:tcW w:w="5528" w:type="dxa"/>
            <w:shd w:val="clear" w:color="auto" w:fill="auto"/>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 xml:space="preserve">All European households </w:t>
            </w:r>
            <w:r>
              <w:rPr>
                <w:rFonts w:ascii="Times New Roman" w:hAnsi="Times New Roman"/>
                <w:noProof/>
                <w:sz w:val="20"/>
                <w:szCs w:val="20"/>
                <w:lang w:val="en-GB"/>
              </w:rPr>
              <w:t xml:space="preserve">will be covered by </w:t>
            </w:r>
            <w:r>
              <w:rPr>
                <w:rFonts w:ascii="Times New Roman" w:hAnsi="Times New Roman"/>
                <w:b/>
                <w:noProof/>
                <w:sz w:val="20"/>
                <w:szCs w:val="20"/>
                <w:lang w:val="en-GB"/>
              </w:rPr>
              <w:t>a Gigabit network</w:t>
            </w:r>
            <w:r>
              <w:rPr>
                <w:rFonts w:ascii="Times New Roman" w:hAnsi="Times New Roman"/>
                <w:noProof/>
                <w:sz w:val="20"/>
                <w:szCs w:val="20"/>
                <w:lang w:val="en-GB"/>
              </w:rPr>
              <w:t xml:space="preserve">, with </w:t>
            </w:r>
            <w:r>
              <w:rPr>
                <w:rFonts w:ascii="Times New Roman" w:hAnsi="Times New Roman"/>
                <w:b/>
                <w:noProof/>
                <w:sz w:val="20"/>
                <w:szCs w:val="20"/>
                <w:lang w:val="en-GB"/>
              </w:rPr>
              <w:t>all populated areas</w:t>
            </w:r>
            <w:r>
              <w:rPr>
                <w:rFonts w:ascii="Times New Roman" w:hAnsi="Times New Roman"/>
                <w:noProof/>
                <w:sz w:val="20"/>
                <w:szCs w:val="20"/>
                <w:lang w:val="en-GB"/>
              </w:rPr>
              <w:t xml:space="preserve"> covered by </w:t>
            </w:r>
            <w:r>
              <w:rPr>
                <w:rFonts w:ascii="Times New Roman" w:hAnsi="Times New Roman"/>
                <w:b/>
                <w:noProof/>
                <w:sz w:val="20"/>
                <w:szCs w:val="20"/>
                <w:lang w:val="en-GB"/>
              </w:rPr>
              <w:t>5G</w:t>
            </w:r>
            <w:r>
              <w:rPr>
                <w:rStyle w:val="FootnoteReference"/>
                <w:rFonts w:ascii="Times New Roman" w:hAnsi="Times New Roman"/>
                <w:noProof/>
                <w:sz w:val="20"/>
                <w:szCs w:val="20"/>
                <w:lang w:val="en-GB"/>
              </w:rPr>
              <w:footnoteReference w:id="5"/>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Baseline:</w:t>
            </w:r>
          </w:p>
          <w:p w:rsidR="00CE34CD" w:rsidRDefault="00F712D0">
            <w:pPr>
              <w:ind w:left="37"/>
              <w:rPr>
                <w:rFonts w:ascii="Times New Roman" w:hAnsi="Times New Roman"/>
                <w:noProof/>
                <w:sz w:val="20"/>
                <w:szCs w:val="20"/>
                <w:lang w:val="en-GB"/>
              </w:rPr>
            </w:pPr>
            <w:r>
              <w:rPr>
                <w:rFonts w:ascii="Times New Roman" w:hAnsi="Times New Roman"/>
                <w:b/>
                <w:noProof/>
                <w:sz w:val="20"/>
                <w:szCs w:val="20"/>
                <w:lang w:val="en-GB"/>
              </w:rPr>
              <w:t xml:space="preserve">- </w:t>
            </w:r>
            <w:r>
              <w:rPr>
                <w:rFonts w:ascii="Times New Roman" w:hAnsi="Times New Roman"/>
                <w:noProof/>
                <w:sz w:val="20"/>
                <w:szCs w:val="20"/>
                <w:lang w:val="en-GB"/>
              </w:rPr>
              <w:t>Gigabit</w:t>
            </w:r>
            <w:r>
              <w:rPr>
                <w:rFonts w:ascii="Times New Roman" w:hAnsi="Times New Roman"/>
                <w:b/>
                <w:noProof/>
                <w:sz w:val="20"/>
                <w:szCs w:val="20"/>
                <w:lang w:val="en-GB"/>
              </w:rPr>
              <w:t xml:space="preserve"> </w:t>
            </w:r>
            <w:r>
              <w:rPr>
                <w:rFonts w:ascii="Times New Roman" w:hAnsi="Times New Roman"/>
                <w:noProof/>
                <w:sz w:val="20"/>
                <w:szCs w:val="20"/>
                <w:lang w:val="en-GB"/>
              </w:rPr>
              <w:t>Coverage</w:t>
            </w:r>
            <w:r>
              <w:rPr>
                <w:rFonts w:ascii="Times New Roman" w:hAnsi="Times New Roman"/>
                <w:b/>
                <w:noProof/>
                <w:sz w:val="20"/>
                <w:szCs w:val="20"/>
                <w:lang w:val="en-GB"/>
              </w:rPr>
              <w:t xml:space="preserve"> </w:t>
            </w:r>
            <w:r>
              <w:rPr>
                <w:rFonts w:ascii="Times New Roman" w:hAnsi="Times New Roman"/>
                <w:noProof/>
                <w:sz w:val="20"/>
                <w:szCs w:val="20"/>
                <w:lang w:val="en-GB"/>
              </w:rPr>
              <w:t>(2020 baseline</w:t>
            </w:r>
            <w:r>
              <w:rPr>
                <w:rStyle w:val="FootnoteReference"/>
                <w:rFonts w:ascii="Times New Roman" w:hAnsi="Times New Roman"/>
                <w:noProof/>
                <w:sz w:val="20"/>
                <w:szCs w:val="20"/>
                <w:lang w:val="en-GB"/>
              </w:rPr>
              <w:footnoteReference w:id="6"/>
            </w:r>
            <w:r>
              <w:rPr>
                <w:rFonts w:ascii="Times New Roman" w:hAnsi="Times New Roman"/>
                <w:noProof/>
                <w:sz w:val="20"/>
                <w:szCs w:val="20"/>
                <w:lang w:val="en-GB"/>
              </w:rPr>
              <w:t>: 59%)</w:t>
            </w:r>
          </w:p>
          <w:p w:rsidR="00CE34CD" w:rsidRDefault="00F712D0">
            <w:pPr>
              <w:ind w:left="37"/>
              <w:rPr>
                <w:rFonts w:ascii="Times New Roman" w:hAnsi="Times New Roman"/>
                <w:noProof/>
                <w:sz w:val="20"/>
                <w:szCs w:val="20"/>
                <w:lang w:val="en-GB"/>
              </w:rPr>
            </w:pPr>
            <w:r>
              <w:rPr>
                <w:rFonts w:ascii="Times New Roman" w:hAnsi="Times New Roman"/>
                <w:noProof/>
                <w:sz w:val="20"/>
                <w:szCs w:val="20"/>
                <w:lang w:val="en-GB"/>
              </w:rPr>
              <w:t>- 5G coverage in populated areas</w:t>
            </w:r>
            <w:r>
              <w:rPr>
                <w:rStyle w:val="FootnoteReference"/>
                <w:rFonts w:ascii="Times New Roman" w:hAnsi="Times New Roman"/>
                <w:noProof/>
                <w:sz w:val="20"/>
                <w:szCs w:val="20"/>
                <w:lang w:val="en-GB"/>
              </w:rPr>
              <w:footnoteReference w:id="7"/>
            </w:r>
            <w:r>
              <w:rPr>
                <w:rFonts w:ascii="Times New Roman" w:hAnsi="Times New Roman"/>
                <w:noProof/>
                <w:sz w:val="20"/>
                <w:szCs w:val="20"/>
                <w:lang w:val="en-GB"/>
              </w:rPr>
              <w:t xml:space="preserve"> (2021 baseline: 14%)</w:t>
            </w:r>
          </w:p>
        </w:tc>
        <w:tc>
          <w:tcPr>
            <w:tcW w:w="1701" w:type="dxa"/>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DESI </w:t>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Study on Broadband coverage in Europe by Omdia</w:t>
            </w:r>
          </w:p>
        </w:tc>
      </w:tr>
      <w:tr w:rsidR="00CE34CD" w:rsidRPr="00F712D0">
        <w:trPr>
          <w:trHeight w:val="203"/>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Semiconductors</w:t>
            </w:r>
          </w:p>
        </w:tc>
        <w:tc>
          <w:tcPr>
            <w:tcW w:w="5528" w:type="dxa"/>
            <w:tcBorders>
              <w:bottom w:val="single" w:sz="4" w:space="0" w:color="auto"/>
            </w:tcBorders>
            <w:shd w:val="clear" w:color="auto" w:fill="auto"/>
          </w:tcPr>
          <w:p w:rsidR="00CE34CD" w:rsidRDefault="00F712D0">
            <w:pPr>
              <w:jc w:val="both"/>
              <w:rPr>
                <w:rFonts w:ascii="Times New Roman" w:hAnsi="Times New Roman"/>
                <w:noProof/>
                <w:sz w:val="20"/>
                <w:szCs w:val="20"/>
                <w:lang w:val="en-GB"/>
              </w:rPr>
            </w:pPr>
            <w:r>
              <w:rPr>
                <w:rFonts w:ascii="Times New Roman" w:hAnsi="Times New Roman"/>
                <w:noProof/>
                <w:sz w:val="20"/>
                <w:szCs w:val="20"/>
                <w:lang w:val="en-GB"/>
              </w:rPr>
              <w:t xml:space="preserve">The production of cutting-edge and sustainable semiconductors in Europe including processors is </w:t>
            </w:r>
            <w:r>
              <w:rPr>
                <w:rFonts w:ascii="Times New Roman" w:hAnsi="Times New Roman"/>
                <w:b/>
                <w:noProof/>
                <w:sz w:val="20"/>
                <w:szCs w:val="20"/>
                <w:lang w:val="en-GB"/>
              </w:rPr>
              <w:t>at least 20% of world production</w:t>
            </w:r>
            <w:r>
              <w:rPr>
                <w:rFonts w:ascii="Times New Roman" w:hAnsi="Times New Roman"/>
                <w:noProof/>
                <w:sz w:val="20"/>
                <w:szCs w:val="20"/>
                <w:lang w:val="en-GB"/>
              </w:rPr>
              <w:t xml:space="preserve"> in value</w:t>
            </w:r>
            <w:r>
              <w:rPr>
                <w:rStyle w:val="FootnoteReference"/>
                <w:rFonts w:ascii="Times New Roman" w:hAnsi="Times New Roman"/>
                <w:noProof/>
                <w:sz w:val="20"/>
                <w:szCs w:val="20"/>
                <w:lang w:val="en-GB"/>
              </w:rPr>
              <w:footnoteReference w:id="8"/>
            </w:r>
            <w:r>
              <w:rPr>
                <w:rFonts w:ascii="Times New Roman" w:hAnsi="Times New Roman"/>
                <w:noProof/>
                <w:sz w:val="20"/>
                <w:szCs w:val="20"/>
                <w:lang w:val="en-GB"/>
              </w:rPr>
              <w:t xml:space="preserve"> </w:t>
            </w:r>
          </w:p>
          <w:p w:rsidR="00CE34CD" w:rsidRDefault="00F712D0">
            <w:pPr>
              <w:jc w:val="both"/>
              <w:rPr>
                <w:rFonts w:ascii="Times New Roman" w:hAnsi="Times New Roman" w:cs="Times New Roman"/>
                <w:noProof/>
                <w:sz w:val="20"/>
                <w:szCs w:val="20"/>
                <w:lang w:val="en-IE"/>
              </w:rPr>
            </w:pPr>
            <w:r>
              <w:rPr>
                <w:rFonts w:ascii="Times New Roman" w:hAnsi="Times New Roman"/>
                <w:noProof/>
                <w:sz w:val="20"/>
                <w:szCs w:val="20"/>
                <w:lang w:val="en-GB"/>
              </w:rPr>
              <w:t>(2020 baseline: 10</w:t>
            </w:r>
            <w:r>
              <w:rPr>
                <w:rFonts w:ascii="Times New Roman" w:hAnsi="Times New Roman" w:cs="Times New Roman"/>
                <w:noProof/>
                <w:sz w:val="20"/>
                <w:szCs w:val="20"/>
                <w:lang w:val="en-IE"/>
              </w:rPr>
              <w:t>%)</w:t>
            </w:r>
          </w:p>
          <w:p w:rsidR="00CE34CD" w:rsidRDefault="00CE34CD">
            <w:pPr>
              <w:jc w:val="both"/>
              <w:rPr>
                <w:rFonts w:ascii="Times New Roman" w:hAnsi="Times New Roman"/>
                <w:noProof/>
                <w:sz w:val="20"/>
                <w:lang w:val="en-GB"/>
              </w:rPr>
            </w:pPr>
          </w:p>
        </w:tc>
        <w:tc>
          <w:tcPr>
            <w:tcW w:w="1701" w:type="dxa"/>
            <w:tcBorders>
              <w:bottom w:val="single" w:sz="4" w:space="0" w:color="auto"/>
            </w:tcBorders>
          </w:tcPr>
          <w:p w:rsidR="00CE34CD" w:rsidRDefault="00F712D0">
            <w:pPr>
              <w:rPr>
                <w:rFonts w:ascii="Times New Roman" w:hAnsi="Times New Roman"/>
                <w:noProof/>
                <w:sz w:val="20"/>
                <w:lang w:val="en-GB"/>
              </w:rPr>
            </w:pPr>
            <w:r>
              <w:rPr>
                <w:rFonts w:ascii="Times New Roman" w:hAnsi="Times New Roman"/>
                <w:noProof/>
                <w:sz w:val="20"/>
                <w:lang w:val="en-GB"/>
              </w:rPr>
              <w:t>Data source to be confirmed in the digital policy programme</w:t>
            </w:r>
          </w:p>
        </w:tc>
      </w:tr>
      <w:tr w:rsidR="00CE34CD" w:rsidRPr="00F712D0">
        <w:trPr>
          <w:trHeight w:val="203"/>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Edge/cloud</w:t>
            </w:r>
          </w:p>
        </w:tc>
        <w:tc>
          <w:tcPr>
            <w:tcW w:w="5528" w:type="dxa"/>
            <w:tcBorders>
              <w:bottom w:val="single" w:sz="4" w:space="0" w:color="auto"/>
            </w:tcBorders>
            <w:shd w:val="clear" w:color="auto" w:fill="auto"/>
          </w:tcPr>
          <w:p w:rsidR="00CE34CD" w:rsidRDefault="00F712D0">
            <w:pPr>
              <w:jc w:val="both"/>
              <w:rPr>
                <w:rFonts w:ascii="Times New Roman" w:hAnsi="Times New Roman"/>
                <w:noProof/>
                <w:sz w:val="20"/>
                <w:szCs w:val="20"/>
                <w:lang w:val="en-GB"/>
              </w:rPr>
            </w:pPr>
            <w:r>
              <w:rPr>
                <w:rFonts w:ascii="Times New Roman" w:hAnsi="Times New Roman"/>
                <w:b/>
                <w:noProof/>
                <w:sz w:val="20"/>
                <w:szCs w:val="20"/>
                <w:lang w:val="en-GB"/>
              </w:rPr>
              <w:t>10,000 climate neutral</w:t>
            </w:r>
            <w:r>
              <w:rPr>
                <w:rFonts w:ascii="Times New Roman" w:hAnsi="Times New Roman"/>
                <w:b/>
                <w:noProof/>
                <w:sz w:val="20"/>
                <w:szCs w:val="20"/>
                <w:lang w:val="en-GB"/>
              </w:rPr>
              <w:t xml:space="preserve"> highly secure edge nodes</w:t>
            </w:r>
            <w:r>
              <w:rPr>
                <w:rFonts w:ascii="Times New Roman" w:hAnsi="Times New Roman"/>
                <w:noProof/>
                <w:sz w:val="20"/>
                <w:szCs w:val="20"/>
                <w:lang w:val="en-GB"/>
              </w:rPr>
              <w:t xml:space="preserve"> are deployed in the EU, distributed in a way that will guarantee access to data services with low latency (few milliseconds) wherever businesses are located</w:t>
            </w:r>
            <w:r>
              <w:rPr>
                <w:rStyle w:val="FootnoteReference"/>
                <w:rFonts w:ascii="Times New Roman" w:hAnsi="Times New Roman"/>
                <w:noProof/>
                <w:sz w:val="20"/>
                <w:szCs w:val="20"/>
                <w:lang w:val="en-GB"/>
              </w:rPr>
              <w:footnoteReference w:id="9"/>
            </w:r>
          </w:p>
          <w:p w:rsidR="00CE34CD" w:rsidRDefault="00F712D0">
            <w:pPr>
              <w:jc w:val="both"/>
              <w:rPr>
                <w:rFonts w:ascii="Times New Roman" w:hAnsi="Times New Roman"/>
                <w:noProof/>
                <w:sz w:val="20"/>
                <w:szCs w:val="20"/>
                <w:lang w:val="en-GB"/>
              </w:rPr>
            </w:pPr>
            <w:r>
              <w:rPr>
                <w:rFonts w:ascii="Times New Roman" w:hAnsi="Times New Roman"/>
                <w:noProof/>
                <w:sz w:val="20"/>
                <w:szCs w:val="20"/>
                <w:lang w:val="en-GB"/>
              </w:rPr>
              <w:t>(2020 baseline: 0)</w:t>
            </w:r>
            <w:r>
              <w:rPr>
                <w:rStyle w:val="FootnoteReference"/>
                <w:rFonts w:ascii="Times New Roman" w:hAnsi="Times New Roman"/>
                <w:noProof/>
                <w:sz w:val="20"/>
                <w:szCs w:val="20"/>
                <w:lang w:val="en-GB"/>
              </w:rPr>
              <w:t xml:space="preserve"> </w:t>
            </w:r>
          </w:p>
        </w:tc>
        <w:tc>
          <w:tcPr>
            <w:tcW w:w="1701" w:type="dxa"/>
            <w:tcBorders>
              <w:bottom w:val="single" w:sz="4" w:space="0" w:color="auto"/>
            </w:tcBorders>
          </w:tcPr>
          <w:p w:rsidR="00CE34CD" w:rsidRDefault="00F712D0">
            <w:pPr>
              <w:jc w:val="both"/>
              <w:rPr>
                <w:rFonts w:ascii="Times New Roman" w:hAnsi="Times New Roman"/>
                <w:noProof/>
                <w:sz w:val="20"/>
                <w:szCs w:val="20"/>
                <w:lang w:val="en-GB"/>
              </w:rPr>
            </w:pPr>
            <w:r>
              <w:rPr>
                <w:rFonts w:ascii="Times New Roman" w:hAnsi="Times New Roman"/>
                <w:noProof/>
                <w:sz w:val="20"/>
                <w:szCs w:val="20"/>
                <w:lang w:val="en-GB"/>
              </w:rPr>
              <w:t>Annual study on edge deployment under CEF2 (as of 20</w:t>
            </w:r>
            <w:r>
              <w:rPr>
                <w:rFonts w:ascii="Times New Roman" w:hAnsi="Times New Roman"/>
                <w:noProof/>
                <w:sz w:val="20"/>
                <w:szCs w:val="20"/>
                <w:lang w:val="en-GB"/>
              </w:rPr>
              <w:t>22)</w:t>
            </w:r>
          </w:p>
        </w:tc>
      </w:tr>
      <w:tr w:rsidR="00CE34CD" w:rsidRPr="00F712D0">
        <w:trPr>
          <w:trHeight w:val="543"/>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Quantum computing</w:t>
            </w:r>
          </w:p>
        </w:tc>
        <w:tc>
          <w:tcPr>
            <w:tcW w:w="5528" w:type="dxa"/>
            <w:tcBorders>
              <w:bottom w:val="single" w:sz="4" w:space="0" w:color="auto"/>
            </w:tcBorders>
            <w:shd w:val="clear" w:color="auto" w:fill="auto"/>
          </w:tcPr>
          <w:p w:rsidR="00CE34CD" w:rsidRDefault="00F712D0">
            <w:pPr>
              <w:jc w:val="both"/>
              <w:rPr>
                <w:rFonts w:ascii="Times New Roman" w:hAnsi="Times New Roman"/>
                <w:b/>
                <w:i/>
                <w:noProof/>
                <w:sz w:val="20"/>
                <w:szCs w:val="20"/>
                <w:lang w:val="en-US"/>
              </w:rPr>
            </w:pPr>
            <w:r>
              <w:rPr>
                <w:rFonts w:ascii="Times New Roman" w:hAnsi="Times New Roman"/>
                <w:b/>
                <w:noProof/>
                <w:sz w:val="20"/>
                <w:szCs w:val="20"/>
                <w:lang w:val="en-GB"/>
              </w:rPr>
              <w:t>By 2025</w:t>
            </w:r>
            <w:r>
              <w:rPr>
                <w:rFonts w:ascii="Times New Roman" w:hAnsi="Times New Roman"/>
                <w:noProof/>
                <w:sz w:val="20"/>
                <w:szCs w:val="20"/>
                <w:lang w:val="en-GB"/>
              </w:rPr>
              <w:t xml:space="preserve">, Europe will have </w:t>
            </w:r>
            <w:r>
              <w:rPr>
                <w:rFonts w:ascii="Times New Roman" w:hAnsi="Times New Roman"/>
                <w:b/>
                <w:noProof/>
                <w:sz w:val="20"/>
                <w:szCs w:val="20"/>
                <w:lang w:val="en-GB"/>
              </w:rPr>
              <w:t>its first computer with quantum</w:t>
            </w:r>
            <w:r>
              <w:rPr>
                <w:rFonts w:ascii="Times New Roman" w:hAnsi="Times New Roman"/>
                <w:noProof/>
                <w:sz w:val="20"/>
                <w:szCs w:val="20"/>
                <w:lang w:val="en-GB"/>
              </w:rPr>
              <w:t xml:space="preserve"> acceleration paving the way for Europe to be at the cutting edge of quantum capabilities by 2030.</w:t>
            </w:r>
            <w:r>
              <w:rPr>
                <w:noProof/>
                <w:lang w:val="en-IE"/>
              </w:rPr>
              <w:t xml:space="preserve"> </w:t>
            </w:r>
          </w:p>
          <w:p w:rsidR="00CE34CD" w:rsidRDefault="00F712D0">
            <w:pPr>
              <w:jc w:val="both"/>
              <w:rPr>
                <w:rFonts w:ascii="Times New Roman" w:hAnsi="Times New Roman"/>
                <w:noProof/>
                <w:sz w:val="20"/>
                <w:szCs w:val="20"/>
                <w:lang w:val="en-GB"/>
              </w:rPr>
            </w:pPr>
            <w:r>
              <w:rPr>
                <w:rFonts w:ascii="Times New Roman" w:hAnsi="Times New Roman"/>
                <w:noProof/>
                <w:sz w:val="20"/>
                <w:szCs w:val="20"/>
                <w:lang w:val="en-GB"/>
              </w:rPr>
              <w:t>(2020 baseline: 0)</w:t>
            </w:r>
          </w:p>
        </w:tc>
        <w:tc>
          <w:tcPr>
            <w:tcW w:w="1701" w:type="dxa"/>
            <w:tcBorders>
              <w:bottom w:val="single" w:sz="4" w:space="0" w:color="auto"/>
            </w:tcBorders>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Data source to be confirmed in the digital policy </w:t>
            </w:r>
            <w:r>
              <w:rPr>
                <w:rFonts w:ascii="Times New Roman" w:hAnsi="Times New Roman"/>
                <w:noProof/>
                <w:sz w:val="20"/>
                <w:szCs w:val="20"/>
                <w:lang w:val="en-GB"/>
              </w:rPr>
              <w:t>programme</w:t>
            </w:r>
          </w:p>
        </w:tc>
      </w:tr>
    </w:tbl>
    <w:p w:rsidR="00CE34CD" w:rsidRDefault="00CE34CD">
      <w:pPr>
        <w:rPr>
          <w:rFonts w:ascii="Times New Roman" w:hAnsi="Times New Roman" w:cs="Times New Roman"/>
          <w:noProof/>
          <w:lang w:val="en-GB"/>
        </w:rPr>
        <w:sectPr w:rsidR="00CE34CD">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6" w:h="16838"/>
          <w:pgMar w:top="1417" w:right="1417" w:bottom="1417" w:left="1417" w:header="708" w:footer="708" w:gutter="0"/>
          <w:cols w:space="720"/>
          <w:docGrid w:linePitch="360"/>
        </w:sectPr>
      </w:pPr>
    </w:p>
    <w:p w:rsidR="00CE34CD" w:rsidRDefault="00F712D0">
      <w:pPr>
        <w:spacing w:after="120"/>
        <w:jc w:val="both"/>
        <w:rPr>
          <w:rFonts w:ascii="Times New Roman" w:hAnsi="Times New Roman" w:cs="Times New Roman"/>
          <w:noProof/>
          <w:u w:val="single"/>
          <w:lang w:val="en-GB"/>
        </w:rPr>
      </w:pPr>
      <w:r>
        <w:rPr>
          <w:rFonts w:ascii="Times New Roman" w:hAnsi="Times New Roman" w:cs="Times New Roman"/>
          <w:noProof/>
          <w:u w:val="single"/>
          <w:lang w:val="en-GB"/>
        </w:rPr>
        <w:t>Target of cardinal point 3: Digital transformation of business</w:t>
      </w:r>
    </w:p>
    <w:tbl>
      <w:tblPr>
        <w:tblStyle w:val="TableGrid"/>
        <w:tblW w:w="9180" w:type="dxa"/>
        <w:tblLayout w:type="fixed"/>
        <w:tblLook w:val="04A0" w:firstRow="1" w:lastRow="0" w:firstColumn="1" w:lastColumn="0" w:noHBand="0" w:noVBand="1"/>
      </w:tblPr>
      <w:tblGrid>
        <w:gridCol w:w="1951"/>
        <w:gridCol w:w="5528"/>
        <w:gridCol w:w="1701"/>
      </w:tblGrid>
      <w:tr w:rsidR="00CE34CD" w:rsidRPr="00F712D0">
        <w:trPr>
          <w:trHeight w:val="334"/>
        </w:trPr>
        <w:tc>
          <w:tcPr>
            <w:tcW w:w="9180" w:type="dxa"/>
            <w:gridSpan w:val="3"/>
            <w:shd w:val="clear" w:color="auto" w:fill="C6D9F1" w:themeFill="text2" w:themeFillTint="33"/>
          </w:tcPr>
          <w:p w:rsidR="00CE34CD" w:rsidRDefault="00F712D0">
            <w:pPr>
              <w:rPr>
                <w:rFonts w:ascii="Times New Roman" w:hAnsi="Times New Roman"/>
                <w:b/>
                <w:i/>
                <w:noProof/>
                <w:sz w:val="20"/>
                <w:szCs w:val="20"/>
                <w:lang w:val="en-GB"/>
              </w:rPr>
            </w:pPr>
            <w:r>
              <w:rPr>
                <w:rFonts w:ascii="Times New Roman" w:hAnsi="Times New Roman"/>
                <w:b/>
                <w:i/>
                <w:noProof/>
                <w:sz w:val="20"/>
                <w:szCs w:val="20"/>
                <w:lang w:val="en-GB"/>
              </w:rPr>
              <w:t xml:space="preserve">EU’s objective for 2030: “The continent with </w:t>
            </w:r>
            <w:r>
              <w:rPr>
                <w:rFonts w:ascii="Times New Roman" w:hAnsi="Times New Roman" w:cs="Times New Roman"/>
                <w:b/>
                <w:bCs/>
                <w:i/>
                <w:iCs/>
                <w:noProof/>
                <w:sz w:val="20"/>
                <w:szCs w:val="20"/>
                <w:lang w:val="en-IE"/>
              </w:rPr>
              <w:t xml:space="preserve">a high share of digitalised </w:t>
            </w:r>
            <w:r>
              <w:rPr>
                <w:rFonts w:ascii="Times New Roman" w:hAnsi="Times New Roman"/>
                <w:b/>
                <w:i/>
                <w:noProof/>
                <w:sz w:val="20"/>
                <w:szCs w:val="20"/>
                <w:lang w:val="en-GB"/>
              </w:rPr>
              <w:t>businesses”</w:t>
            </w:r>
          </w:p>
        </w:tc>
      </w:tr>
      <w:tr w:rsidR="00CE34CD">
        <w:trPr>
          <w:trHeight w:val="334"/>
        </w:trPr>
        <w:tc>
          <w:tcPr>
            <w:tcW w:w="1951" w:type="dxa"/>
            <w:shd w:val="clear" w:color="auto" w:fill="D9D9D9" w:themeFill="background1" w:themeFillShade="D9"/>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rsidR="00CE34CD" w:rsidRDefault="00F712D0">
            <w:pPr>
              <w:rPr>
                <w:rFonts w:ascii="Times New Roman" w:hAnsi="Times New Roman"/>
                <w:b/>
                <w:noProof/>
                <w:sz w:val="20"/>
                <w:szCs w:val="20"/>
                <w:lang w:val="en-GB"/>
              </w:rPr>
            </w:pPr>
            <w:r>
              <w:rPr>
                <w:rFonts w:ascii="Times New Roman" w:hAnsi="Times New Roman"/>
                <w:b/>
                <w:noProof/>
                <w:sz w:val="20"/>
                <w:szCs w:val="20"/>
                <w:lang w:val="en-GB"/>
              </w:rPr>
              <w:t>Source</w:t>
            </w:r>
          </w:p>
        </w:tc>
      </w:tr>
      <w:tr w:rsidR="00CE34CD">
        <w:trPr>
          <w:trHeight w:val="1189"/>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Take up of digital technologies </w:t>
            </w:r>
          </w:p>
        </w:tc>
        <w:tc>
          <w:tcPr>
            <w:tcW w:w="5528" w:type="dxa"/>
            <w:shd w:val="clear" w:color="auto" w:fill="auto"/>
          </w:tcPr>
          <w:p w:rsidR="00CE34CD" w:rsidRDefault="00F712D0">
            <w:pPr>
              <w:pStyle w:val="ListParagraph"/>
              <w:spacing w:after="0" w:line="240" w:lineRule="auto"/>
              <w:ind w:left="37"/>
              <w:contextualSpacing w:val="0"/>
              <w:rPr>
                <w:rFonts w:ascii="Times New Roman" w:hAnsi="Times New Roman"/>
                <w:noProof/>
                <w:sz w:val="20"/>
                <w:szCs w:val="20"/>
              </w:rPr>
            </w:pPr>
            <w:r>
              <w:rPr>
                <w:rFonts w:ascii="Times New Roman" w:hAnsi="Times New Roman"/>
                <w:b/>
                <w:noProof/>
                <w:sz w:val="20"/>
                <w:szCs w:val="20"/>
              </w:rPr>
              <w:t>75% of European enterprises</w:t>
            </w:r>
            <w:r>
              <w:rPr>
                <w:rFonts w:ascii="Times New Roman" w:hAnsi="Times New Roman"/>
                <w:noProof/>
                <w:sz w:val="20"/>
                <w:szCs w:val="20"/>
              </w:rPr>
              <w:t xml:space="preserve"> have taken up:</w:t>
            </w:r>
          </w:p>
          <w:p w:rsidR="00CE34CD" w:rsidRDefault="00F712D0">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 xml:space="preserve">Cloud computing services </w:t>
            </w:r>
            <w:r>
              <w:rPr>
                <w:rFonts w:ascii="Times New Roman" w:hAnsi="Times New Roman"/>
                <w:b/>
                <w:noProof/>
                <w:sz w:val="20"/>
                <w:szCs w:val="20"/>
              </w:rPr>
              <w:t xml:space="preserve"> </w:t>
            </w:r>
            <w:r>
              <w:rPr>
                <w:rFonts w:ascii="Times New Roman" w:hAnsi="Times New Roman"/>
                <w:noProof/>
                <w:sz w:val="20"/>
                <w:szCs w:val="20"/>
              </w:rPr>
              <w:t>(2020 baseline: 26%)</w:t>
            </w:r>
          </w:p>
          <w:p w:rsidR="00CE34CD" w:rsidRDefault="00F712D0">
            <w:pPr>
              <w:pStyle w:val="ListParagraph"/>
              <w:numPr>
                <w:ilvl w:val="0"/>
                <w:numId w:val="2"/>
              </w:numPr>
              <w:spacing w:after="0" w:line="240" w:lineRule="auto"/>
              <w:ind w:left="395" w:hanging="179"/>
              <w:contextualSpacing w:val="0"/>
              <w:rPr>
                <w:rFonts w:ascii="Times New Roman" w:hAnsi="Times New Roman"/>
                <w:noProof/>
                <w:sz w:val="20"/>
                <w:szCs w:val="20"/>
              </w:rPr>
            </w:pPr>
            <w:r>
              <w:rPr>
                <w:rFonts w:ascii="Times New Roman" w:hAnsi="Times New Roman"/>
                <w:noProof/>
                <w:sz w:val="20"/>
                <w:szCs w:val="20"/>
              </w:rPr>
              <w:t>Big data</w:t>
            </w:r>
            <w:r>
              <w:rPr>
                <w:rFonts w:ascii="Times New Roman" w:hAnsi="Times New Roman" w:cs="Times New Roman"/>
                <w:noProof/>
                <w:sz w:val="20"/>
                <w:szCs w:val="20"/>
              </w:rPr>
              <w:t xml:space="preserve">  </w:t>
            </w:r>
            <w:r>
              <w:rPr>
                <w:rFonts w:ascii="Times New Roman" w:hAnsi="Times New Roman"/>
                <w:noProof/>
                <w:sz w:val="20"/>
                <w:szCs w:val="20"/>
              </w:rPr>
              <w:t>(2020 baseline: 14%)</w:t>
            </w:r>
          </w:p>
          <w:p w:rsidR="00CE34CD" w:rsidRDefault="00F712D0">
            <w:pPr>
              <w:pStyle w:val="ListParagraph"/>
              <w:numPr>
                <w:ilvl w:val="0"/>
                <w:numId w:val="1"/>
              </w:numPr>
              <w:spacing w:after="0" w:line="240" w:lineRule="auto"/>
              <w:ind w:left="398" w:hanging="142"/>
              <w:contextualSpacing w:val="0"/>
              <w:rPr>
                <w:rFonts w:ascii="Times New Roman" w:hAnsi="Times New Roman"/>
                <w:noProof/>
                <w:sz w:val="20"/>
                <w:szCs w:val="20"/>
              </w:rPr>
            </w:pPr>
            <w:r>
              <w:rPr>
                <w:rFonts w:ascii="Times New Roman" w:hAnsi="Times New Roman"/>
                <w:noProof/>
                <w:sz w:val="20"/>
                <w:szCs w:val="20"/>
              </w:rPr>
              <w:t>Artificial Intelligence (AI) (2020 baseline 25%)</w:t>
            </w:r>
          </w:p>
        </w:tc>
        <w:tc>
          <w:tcPr>
            <w:tcW w:w="1701" w:type="dxa"/>
          </w:tcPr>
          <w:p w:rsidR="00CE34CD" w:rsidRDefault="00F712D0">
            <w:pPr>
              <w:pStyle w:val="ListParagraph"/>
              <w:spacing w:after="0" w:line="240" w:lineRule="auto"/>
              <w:ind w:left="37"/>
              <w:contextualSpacing w:val="0"/>
              <w:rPr>
                <w:rFonts w:ascii="Times New Roman" w:hAnsi="Times New Roman"/>
                <w:noProof/>
                <w:sz w:val="20"/>
                <w:szCs w:val="20"/>
              </w:rPr>
            </w:pPr>
            <w:r>
              <w:rPr>
                <w:rFonts w:ascii="Times New Roman" w:hAnsi="Times New Roman"/>
                <w:noProof/>
                <w:sz w:val="20"/>
                <w:szCs w:val="20"/>
              </w:rPr>
              <w:t>ESTAT, IPSOS</w:t>
            </w:r>
          </w:p>
        </w:tc>
      </w:tr>
      <w:tr w:rsidR="00CE34CD">
        <w:trPr>
          <w:trHeight w:val="198"/>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Digital “late adopters”</w:t>
            </w:r>
          </w:p>
        </w:tc>
        <w:tc>
          <w:tcPr>
            <w:tcW w:w="5528" w:type="dxa"/>
            <w:tcBorders>
              <w:bottom w:val="single" w:sz="4" w:space="0" w:color="auto"/>
            </w:tcBorders>
            <w:shd w:val="clear" w:color="auto" w:fill="auto"/>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 xml:space="preserve">More </w:t>
            </w:r>
            <w:r>
              <w:rPr>
                <w:rFonts w:ascii="Times New Roman" w:hAnsi="Times New Roman"/>
                <w:b/>
                <w:noProof/>
                <w:sz w:val="20"/>
                <w:szCs w:val="20"/>
                <w:lang w:val="en-GB"/>
              </w:rPr>
              <w:t>than 90% of European SMEs</w:t>
            </w:r>
            <w:r>
              <w:rPr>
                <w:rFonts w:ascii="Times New Roman" w:hAnsi="Times New Roman"/>
                <w:noProof/>
                <w:sz w:val="20"/>
                <w:szCs w:val="20"/>
                <w:lang w:val="en-GB"/>
              </w:rPr>
              <w:t xml:space="preserve"> reach at least a basic level of digital intensity</w:t>
            </w:r>
            <w:r>
              <w:rPr>
                <w:rStyle w:val="FootnoteReference"/>
                <w:rFonts w:ascii="Times New Roman" w:hAnsi="Times New Roman"/>
                <w:noProof/>
                <w:sz w:val="20"/>
                <w:szCs w:val="20"/>
                <w:lang w:val="en-GB"/>
              </w:rPr>
              <w:footnoteReference w:id="10"/>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(2019 baseline : 60.6% )</w:t>
            </w:r>
          </w:p>
          <w:p w:rsidR="00CE34CD" w:rsidRDefault="00CE34CD">
            <w:pPr>
              <w:rPr>
                <w:rFonts w:ascii="Times New Roman" w:hAnsi="Times New Roman"/>
                <w:noProof/>
                <w:sz w:val="20"/>
                <w:szCs w:val="20"/>
                <w:lang w:val="en-GB"/>
              </w:rPr>
            </w:pPr>
          </w:p>
        </w:tc>
        <w:tc>
          <w:tcPr>
            <w:tcW w:w="1701" w:type="dxa"/>
            <w:tcBorders>
              <w:bottom w:val="single" w:sz="4" w:space="0" w:color="auto"/>
            </w:tcBorders>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DII, ESTAT</w:t>
            </w:r>
          </w:p>
        </w:tc>
      </w:tr>
      <w:tr w:rsidR="00CE34CD" w:rsidRPr="00F712D0">
        <w:trPr>
          <w:trHeight w:val="471"/>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Innovative businesses/scale-ups</w:t>
            </w:r>
          </w:p>
        </w:tc>
        <w:tc>
          <w:tcPr>
            <w:tcW w:w="5528" w:type="dxa"/>
            <w:tcBorders>
              <w:bottom w:val="single" w:sz="4" w:space="0" w:color="auto"/>
            </w:tcBorders>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Europe will grow the pipeline of its innovative scale ups and improve their access to finance, leading to </w:t>
            </w:r>
            <w:r>
              <w:rPr>
                <w:rFonts w:ascii="Times New Roman" w:hAnsi="Times New Roman"/>
                <w:b/>
                <w:noProof/>
                <w:sz w:val="20"/>
                <w:szCs w:val="20"/>
                <w:lang w:val="en-GB"/>
              </w:rPr>
              <w:t>doubling the number of unicorns</w:t>
            </w:r>
            <w:r>
              <w:rPr>
                <w:rStyle w:val="FootnoteReference"/>
                <w:rFonts w:ascii="Times New Roman" w:hAnsi="Times New Roman"/>
                <w:noProof/>
                <w:sz w:val="20"/>
                <w:szCs w:val="20"/>
                <w:lang w:val="en-GB"/>
              </w:rPr>
              <w:footnoteReference w:id="11"/>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(2021 baseline: 122)</w:t>
            </w:r>
          </w:p>
        </w:tc>
        <w:tc>
          <w:tcPr>
            <w:tcW w:w="1701" w:type="dxa"/>
            <w:tcBorders>
              <w:bottom w:val="single" w:sz="4" w:space="0" w:color="auto"/>
            </w:tcBorders>
          </w:tcPr>
          <w:p w:rsidR="00CE34CD" w:rsidRDefault="00F712D0">
            <w:pPr>
              <w:rPr>
                <w:rFonts w:ascii="Times New Roman" w:hAnsi="Times New Roman"/>
                <w:noProof/>
                <w:sz w:val="20"/>
                <w:lang w:val="en-GB"/>
              </w:rPr>
            </w:pPr>
            <w:r>
              <w:rPr>
                <w:rFonts w:ascii="Times New Roman" w:hAnsi="Times New Roman"/>
                <w:noProof/>
                <w:sz w:val="20"/>
                <w:szCs w:val="20"/>
                <w:lang w:val="en-GB"/>
              </w:rPr>
              <w:t>Dealroom (used by Atomico in its state of European tech)</w:t>
            </w:r>
          </w:p>
        </w:tc>
      </w:tr>
    </w:tbl>
    <w:p w:rsidR="00CE34CD" w:rsidRDefault="00CE34CD">
      <w:pPr>
        <w:jc w:val="both"/>
        <w:rPr>
          <w:rFonts w:ascii="Times New Roman" w:hAnsi="Times New Roman" w:cs="Times New Roman"/>
          <w:b/>
          <w:caps/>
          <w:noProof/>
          <w:lang w:val="en-GB"/>
        </w:rPr>
      </w:pPr>
    </w:p>
    <w:p w:rsidR="00CE34CD" w:rsidRDefault="00CE34CD">
      <w:pPr>
        <w:jc w:val="both"/>
        <w:rPr>
          <w:rFonts w:ascii="Times New Roman" w:hAnsi="Times New Roman" w:cs="Times New Roman"/>
          <w:b/>
          <w:caps/>
          <w:noProof/>
          <w:lang w:val="en-GB"/>
        </w:rPr>
        <w:sectPr w:rsidR="00CE34CD">
          <w:headerReference w:type="even" r:id="rId31"/>
          <w:headerReference w:type="default" r:id="rId32"/>
          <w:footerReference w:type="even" r:id="rId33"/>
          <w:footerReference w:type="default" r:id="rId34"/>
          <w:headerReference w:type="first" r:id="rId35"/>
          <w:footerReference w:type="first" r:id="rId36"/>
          <w:footnotePr>
            <w:pos w:val="beneathText"/>
          </w:footnotePr>
          <w:pgSz w:w="11906" w:h="16838"/>
          <w:pgMar w:top="1417" w:right="1417" w:bottom="1417" w:left="1417" w:header="708" w:footer="708" w:gutter="0"/>
          <w:cols w:space="720"/>
          <w:docGrid w:linePitch="360"/>
        </w:sectPr>
      </w:pPr>
    </w:p>
    <w:p w:rsidR="00CE34CD" w:rsidRDefault="00F712D0">
      <w:pPr>
        <w:spacing w:after="120"/>
        <w:jc w:val="both"/>
        <w:rPr>
          <w:rFonts w:ascii="Times New Roman" w:hAnsi="Times New Roman" w:cs="Times New Roman"/>
          <w:noProof/>
          <w:u w:val="single"/>
          <w:lang w:val="en-GB"/>
        </w:rPr>
      </w:pPr>
      <w:r>
        <w:rPr>
          <w:rFonts w:ascii="Times New Roman" w:hAnsi="Times New Roman" w:cs="Times New Roman"/>
          <w:noProof/>
          <w:u w:val="single"/>
          <w:lang w:val="en-GB"/>
        </w:rPr>
        <w:t>Targets of cardinal point 4: Digitalisation of public services</w:t>
      </w:r>
    </w:p>
    <w:tbl>
      <w:tblPr>
        <w:tblStyle w:val="TableGrid"/>
        <w:tblW w:w="9180" w:type="dxa"/>
        <w:tblLayout w:type="fixed"/>
        <w:tblLook w:val="04A0" w:firstRow="1" w:lastRow="0" w:firstColumn="1" w:lastColumn="0" w:noHBand="0" w:noVBand="1"/>
      </w:tblPr>
      <w:tblGrid>
        <w:gridCol w:w="1951"/>
        <w:gridCol w:w="5528"/>
        <w:gridCol w:w="1701"/>
      </w:tblGrid>
      <w:tr w:rsidR="00CE34CD" w:rsidRPr="00F712D0">
        <w:trPr>
          <w:trHeight w:val="370"/>
        </w:trPr>
        <w:tc>
          <w:tcPr>
            <w:tcW w:w="9180" w:type="dxa"/>
            <w:gridSpan w:val="3"/>
            <w:shd w:val="clear" w:color="auto" w:fill="C6D9F1" w:themeFill="text2" w:themeFillTint="33"/>
          </w:tcPr>
          <w:p w:rsidR="00CE34CD" w:rsidRDefault="00F712D0">
            <w:pPr>
              <w:rPr>
                <w:rFonts w:ascii="Times New Roman" w:hAnsi="Times New Roman"/>
                <w:noProof/>
                <w:sz w:val="20"/>
                <w:szCs w:val="20"/>
                <w:lang w:val="en-GB"/>
              </w:rPr>
            </w:pPr>
            <w:r>
              <w:rPr>
                <w:rFonts w:ascii="Times New Roman" w:hAnsi="Times New Roman"/>
                <w:b/>
                <w:i/>
                <w:noProof/>
                <w:sz w:val="20"/>
                <w:szCs w:val="20"/>
                <w:lang w:val="en-GB"/>
              </w:rPr>
              <w:t xml:space="preserve">EU’s objective for </w:t>
            </w:r>
            <w:r>
              <w:rPr>
                <w:rFonts w:ascii="Times New Roman" w:hAnsi="Times New Roman"/>
                <w:b/>
                <w:i/>
                <w:noProof/>
                <w:sz w:val="20"/>
                <w:szCs w:val="20"/>
                <w:lang w:val="en-GB"/>
              </w:rPr>
              <w:t>2030: “Modernised public services responding to society’s needs”</w:t>
            </w:r>
          </w:p>
          <w:p w:rsidR="00CE34CD" w:rsidRDefault="00CE34CD">
            <w:pPr>
              <w:rPr>
                <w:rFonts w:ascii="Times New Roman" w:hAnsi="Times New Roman"/>
                <w:b/>
                <w:i/>
                <w:noProof/>
                <w:sz w:val="20"/>
                <w:lang w:val="en-GB"/>
              </w:rPr>
            </w:pPr>
          </w:p>
        </w:tc>
      </w:tr>
      <w:tr w:rsidR="00CE34CD">
        <w:trPr>
          <w:trHeight w:val="290"/>
        </w:trPr>
        <w:tc>
          <w:tcPr>
            <w:tcW w:w="1951" w:type="dxa"/>
            <w:shd w:val="clear" w:color="auto" w:fill="D9D9D9" w:themeFill="background1" w:themeFillShade="D9"/>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Dimension</w:t>
            </w:r>
          </w:p>
        </w:tc>
        <w:tc>
          <w:tcPr>
            <w:tcW w:w="5528" w:type="dxa"/>
            <w:tcBorders>
              <w:bottom w:val="single" w:sz="4" w:space="0" w:color="auto"/>
            </w:tcBorders>
            <w:shd w:val="clear" w:color="auto" w:fill="D9D9D9" w:themeFill="background1" w:themeFillShade="D9"/>
          </w:tcPr>
          <w:p w:rsidR="00CE34CD" w:rsidRDefault="00F712D0">
            <w:pPr>
              <w:rPr>
                <w:rFonts w:ascii="Times New Roman" w:hAnsi="Times New Roman"/>
                <w:noProof/>
                <w:sz w:val="20"/>
                <w:szCs w:val="20"/>
                <w:lang w:val="en-GB"/>
              </w:rPr>
            </w:pPr>
            <w:r>
              <w:rPr>
                <w:rFonts w:ascii="Times New Roman" w:hAnsi="Times New Roman"/>
                <w:b/>
                <w:noProof/>
                <w:sz w:val="20"/>
                <w:szCs w:val="20"/>
                <w:lang w:val="en-GB"/>
              </w:rPr>
              <w:t>2030 EU Target vs baseline</w:t>
            </w:r>
          </w:p>
        </w:tc>
        <w:tc>
          <w:tcPr>
            <w:tcW w:w="1701" w:type="dxa"/>
            <w:tcBorders>
              <w:bottom w:val="single" w:sz="4" w:space="0" w:color="auto"/>
            </w:tcBorders>
            <w:shd w:val="clear" w:color="auto" w:fill="D9D9D9" w:themeFill="background1" w:themeFillShade="D9"/>
          </w:tcPr>
          <w:p w:rsidR="00CE34CD" w:rsidRDefault="00F712D0">
            <w:pPr>
              <w:rPr>
                <w:rFonts w:ascii="Times New Roman" w:hAnsi="Times New Roman"/>
                <w:b/>
                <w:noProof/>
                <w:sz w:val="20"/>
                <w:szCs w:val="20"/>
                <w:lang w:val="en-GB"/>
              </w:rPr>
            </w:pPr>
            <w:r>
              <w:rPr>
                <w:rFonts w:ascii="Times New Roman" w:hAnsi="Times New Roman"/>
                <w:b/>
                <w:noProof/>
                <w:sz w:val="20"/>
                <w:szCs w:val="20"/>
                <w:lang w:val="en-GB"/>
              </w:rPr>
              <w:t>Source</w:t>
            </w:r>
          </w:p>
        </w:tc>
      </w:tr>
      <w:tr w:rsidR="00CE34CD" w:rsidRPr="00F712D0">
        <w:trPr>
          <w:trHeight w:val="535"/>
        </w:trPr>
        <w:tc>
          <w:tcPr>
            <w:tcW w:w="1951" w:type="dxa"/>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Government as a platform</w:t>
            </w:r>
          </w:p>
        </w:tc>
        <w:tc>
          <w:tcPr>
            <w:tcW w:w="5528" w:type="dxa"/>
            <w:tcBorders>
              <w:bottom w:val="single" w:sz="4" w:space="0" w:color="auto"/>
            </w:tcBorders>
            <w:shd w:val="clear" w:color="auto" w:fill="auto"/>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-100% online provision of key public services</w:t>
            </w:r>
            <w:r>
              <w:rPr>
                <w:rStyle w:val="FootnoteReference"/>
                <w:rFonts w:ascii="Times New Roman" w:hAnsi="Times New Roman"/>
                <w:noProof/>
                <w:sz w:val="20"/>
                <w:szCs w:val="20"/>
                <w:lang w:val="en-GB"/>
              </w:rPr>
              <w:footnoteReference w:id="12"/>
            </w:r>
            <w:r>
              <w:rPr>
                <w:rFonts w:ascii="Times New Roman" w:hAnsi="Times New Roman"/>
                <w:noProof/>
                <w:sz w:val="20"/>
                <w:szCs w:val="20"/>
                <w:lang w:val="en-GB"/>
              </w:rPr>
              <w:t xml:space="preserve"> available for European citizens and businesses</w:t>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-100% of European citizens have access to medical records (e-records) </w:t>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-80% of citizens will use a digital ID solution </w:t>
            </w:r>
          </w:p>
          <w:p w:rsidR="00CE34CD" w:rsidRDefault="00CE34CD">
            <w:pPr>
              <w:rPr>
                <w:rFonts w:ascii="Times New Roman" w:hAnsi="Times New Roman"/>
                <w:noProof/>
                <w:sz w:val="20"/>
                <w:lang w:val="en-GB"/>
              </w:rPr>
            </w:pP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2020 baselines:</w:t>
            </w:r>
          </w:p>
          <w:p w:rsidR="00CE34CD" w:rsidRDefault="00F712D0">
            <w:pPr>
              <w:rPr>
                <w:rFonts w:ascii="Times New Roman" w:hAnsi="Times New Roman"/>
                <w:noProof/>
                <w:sz w:val="20"/>
                <w:szCs w:val="20"/>
                <w:lang w:val="en-GB"/>
              </w:rPr>
            </w:pPr>
            <w:r>
              <w:rPr>
                <w:rFonts w:ascii="Times New Roman" w:hAnsi="Times New Roman"/>
                <w:b/>
                <w:noProof/>
                <w:sz w:val="20"/>
                <w:szCs w:val="20"/>
                <w:lang w:val="en-GB"/>
              </w:rPr>
              <w:t>-</w:t>
            </w:r>
            <w:r>
              <w:rPr>
                <w:rFonts w:ascii="Times New Roman" w:hAnsi="Times New Roman"/>
                <w:noProof/>
                <w:sz w:val="20"/>
                <w:szCs w:val="20"/>
                <w:lang w:val="en-GB"/>
              </w:rPr>
              <w:t>key digital public services: 75/100 (citizens), 84/100 (businesses)</w:t>
            </w:r>
          </w:p>
          <w:p w:rsidR="00CE34CD" w:rsidRDefault="00F712D0">
            <w:pPr>
              <w:rPr>
                <w:rFonts w:ascii="Times New Roman" w:hAnsi="Times New Roman"/>
                <w:noProof/>
                <w:sz w:val="20"/>
                <w:szCs w:val="20"/>
                <w:lang w:val="en-GB"/>
              </w:rPr>
            </w:pPr>
            <w:r>
              <w:rPr>
                <w:rFonts w:ascii="Times New Roman" w:hAnsi="Times New Roman"/>
                <w:noProof/>
                <w:sz w:val="20"/>
                <w:szCs w:val="20"/>
                <w:lang w:val="en-GB"/>
              </w:rPr>
              <w:t>-citizens with access to medical records: N/A</w:t>
            </w:r>
            <w:r>
              <w:rPr>
                <w:rStyle w:val="FootnoteReference"/>
                <w:rFonts w:ascii="Times New Roman" w:hAnsi="Times New Roman"/>
                <w:noProof/>
                <w:sz w:val="20"/>
                <w:szCs w:val="20"/>
                <w:lang w:val="en-GB"/>
              </w:rPr>
              <w:footnoteReference w:id="13"/>
            </w:r>
          </w:p>
          <w:p w:rsidR="00CE34CD" w:rsidRDefault="00F712D0">
            <w:pPr>
              <w:rPr>
                <w:rFonts w:ascii="Times New Roman" w:hAnsi="Times New Roman"/>
                <w:noProof/>
                <w:sz w:val="20"/>
                <w:lang w:val="en-GB"/>
              </w:rPr>
            </w:pPr>
            <w:r>
              <w:rPr>
                <w:rFonts w:ascii="Times New Roman" w:hAnsi="Times New Roman"/>
                <w:noProof/>
                <w:sz w:val="20"/>
                <w:szCs w:val="20"/>
                <w:lang w:val="en-GB"/>
              </w:rPr>
              <w:t>-di</w:t>
            </w:r>
            <w:r>
              <w:rPr>
                <w:rFonts w:ascii="Times New Roman" w:hAnsi="Times New Roman"/>
                <w:noProof/>
                <w:sz w:val="20"/>
                <w:szCs w:val="20"/>
                <w:lang w:val="en-GB"/>
              </w:rPr>
              <w:t>gital ID: currently no baseline for take-up of digital ID</w:t>
            </w:r>
            <w:r>
              <w:rPr>
                <w:rStyle w:val="FootnoteReference"/>
                <w:rFonts w:ascii="Times New Roman" w:hAnsi="Times New Roman"/>
                <w:noProof/>
                <w:sz w:val="20"/>
                <w:szCs w:val="20"/>
                <w:lang w:val="en-GB"/>
              </w:rPr>
              <w:footnoteReference w:id="14"/>
            </w:r>
            <w:r>
              <w:rPr>
                <w:rFonts w:ascii="Times New Roman" w:hAnsi="Times New Roman"/>
                <w:noProof/>
                <w:sz w:val="20"/>
                <w:szCs w:val="20"/>
                <w:lang w:val="en-GB"/>
              </w:rPr>
              <w:t xml:space="preserve"> </w:t>
            </w:r>
            <w:r>
              <w:rPr>
                <w:rFonts w:ascii="Times New Roman" w:hAnsi="Times New Roman"/>
                <w:noProof/>
                <w:sz w:val="20"/>
                <w:lang w:val="en-GB"/>
              </w:rPr>
              <w:t xml:space="preserve"> </w:t>
            </w:r>
          </w:p>
        </w:tc>
        <w:tc>
          <w:tcPr>
            <w:tcW w:w="1701" w:type="dxa"/>
            <w:tcBorders>
              <w:bottom w:val="single" w:sz="4" w:space="0" w:color="auto"/>
            </w:tcBorders>
          </w:tcPr>
          <w:p w:rsidR="00CE34CD" w:rsidRDefault="00F712D0">
            <w:pPr>
              <w:rPr>
                <w:rFonts w:ascii="Times New Roman" w:hAnsi="Times New Roman"/>
                <w:noProof/>
                <w:sz w:val="20"/>
                <w:szCs w:val="20"/>
                <w:lang w:val="en-GB"/>
              </w:rPr>
            </w:pPr>
            <w:r>
              <w:rPr>
                <w:rFonts w:ascii="Times New Roman" w:hAnsi="Times New Roman"/>
                <w:noProof/>
                <w:sz w:val="20"/>
                <w:szCs w:val="20"/>
                <w:lang w:val="en-GB"/>
              </w:rPr>
              <w:t xml:space="preserve">Online service completion indicator, </w:t>
            </w:r>
          </w:p>
          <w:p w:rsidR="00CE34CD" w:rsidRDefault="00F712D0">
            <w:pPr>
              <w:rPr>
                <w:rFonts w:ascii="Times New Roman" w:hAnsi="Times New Roman"/>
                <w:b/>
                <w:noProof/>
                <w:sz w:val="20"/>
                <w:szCs w:val="20"/>
                <w:lang w:val="en-GB"/>
              </w:rPr>
            </w:pPr>
            <w:r>
              <w:rPr>
                <w:rFonts w:ascii="Times New Roman" w:hAnsi="Times New Roman"/>
                <w:noProof/>
                <w:sz w:val="20"/>
                <w:szCs w:val="20"/>
                <w:lang w:val="en-GB"/>
              </w:rPr>
              <w:t>e-Government Benchmark</w:t>
            </w:r>
            <w:r>
              <w:rPr>
                <w:rStyle w:val="FootnoteReference"/>
                <w:rFonts w:ascii="Times New Roman" w:hAnsi="Times New Roman"/>
                <w:noProof/>
                <w:sz w:val="20"/>
                <w:szCs w:val="20"/>
                <w:lang w:val="en-GB"/>
              </w:rPr>
              <w:footnoteReference w:id="15"/>
            </w:r>
            <w:r>
              <w:rPr>
                <w:rFonts w:ascii="Times New Roman" w:hAnsi="Times New Roman"/>
                <w:noProof/>
                <w:sz w:val="20"/>
                <w:szCs w:val="20"/>
                <w:lang w:val="en-GB"/>
              </w:rPr>
              <w:t xml:space="preserve"> </w:t>
            </w:r>
          </w:p>
        </w:tc>
      </w:tr>
    </w:tbl>
    <w:p w:rsidR="00CE34CD" w:rsidRDefault="00CE34CD">
      <w:pPr>
        <w:rPr>
          <w:rFonts w:ascii="Times New Roman" w:hAnsi="Times New Roman" w:cs="Times New Roman"/>
          <w:noProof/>
          <w:sz w:val="20"/>
          <w:szCs w:val="20"/>
          <w:lang w:val="en-GB"/>
        </w:rPr>
      </w:pPr>
    </w:p>
    <w:sectPr w:rsidR="00CE34CD">
      <w:headerReference w:type="even" r:id="rId37"/>
      <w:headerReference w:type="default" r:id="rId38"/>
      <w:footerReference w:type="even" r:id="rId39"/>
      <w:footerReference w:type="default" r:id="rId40"/>
      <w:headerReference w:type="first" r:id="rId41"/>
      <w:footerReference w:type="first" r:id="rId42"/>
      <w:footnotePr>
        <w:pos w:val="beneathText"/>
      </w:footnote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CD" w:rsidRDefault="00F712D0">
      <w:r>
        <w:separator/>
      </w:r>
    </w:p>
  </w:endnote>
  <w:endnote w:type="continuationSeparator" w:id="0">
    <w:p w:rsidR="00CE34CD" w:rsidRDefault="00F712D0">
      <w:r>
        <w:continuationSeparator/>
      </w:r>
    </w:p>
  </w:endnote>
  <w:endnote w:type="continuationNotice" w:id="1">
    <w:p w:rsidR="00CE34CD" w:rsidRDefault="00CE3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D0" w:rsidRPr="00F712D0" w:rsidRDefault="00F712D0" w:rsidP="00F712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44431"/>
      <w:docPartObj>
        <w:docPartGallery w:val="Page Numbers (Bottom of Page)"/>
        <w:docPartUnique/>
      </w:docPartObj>
    </w:sdtPr>
    <w:sdtEndPr>
      <w:rPr>
        <w:noProof/>
      </w:rPr>
    </w:sdtEndPr>
    <w:sdtContent>
      <w:p w:rsidR="00CE34CD" w:rsidRDefault="00F712D0">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97651"/>
      <w:docPartObj>
        <w:docPartGallery w:val="Page Numbers (Bottom of Page)"/>
        <w:docPartUnique/>
      </w:docPartObj>
    </w:sdtPr>
    <w:sdtEndPr>
      <w:rPr>
        <w:noProof/>
      </w:rPr>
    </w:sdtEndPr>
    <w:sdtContent>
      <w:p w:rsidR="00CE34CD" w:rsidRDefault="00F712D0">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D0" w:rsidRPr="00F712D0" w:rsidRDefault="00F712D0" w:rsidP="00F712D0">
    <w:pPr>
      <w:pStyle w:val="FooterCoverPage"/>
      <w:rPr>
        <w:rFonts w:ascii="Arial" w:hAnsi="Arial" w:cs="Arial"/>
        <w:b/>
        <w:sz w:val="48"/>
      </w:rPr>
    </w:pPr>
    <w:r w:rsidRPr="00F712D0">
      <w:rPr>
        <w:rFonts w:ascii="Arial" w:hAnsi="Arial" w:cs="Arial"/>
        <w:b/>
        <w:sz w:val="48"/>
      </w:rPr>
      <w:t>EN</w:t>
    </w:r>
    <w:r w:rsidRPr="00F712D0">
      <w:rPr>
        <w:rFonts w:ascii="Arial" w:hAnsi="Arial" w:cs="Arial"/>
        <w:b/>
        <w:sz w:val="48"/>
      </w:rPr>
      <w:tab/>
    </w:r>
    <w:r w:rsidRPr="00F712D0">
      <w:rPr>
        <w:rFonts w:ascii="Arial" w:hAnsi="Arial" w:cs="Arial"/>
        <w:b/>
        <w:sz w:val="48"/>
      </w:rPr>
      <w:tab/>
    </w:r>
    <w:r w:rsidRPr="00F712D0">
      <w:tab/>
    </w:r>
    <w:r w:rsidRPr="00F712D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D0" w:rsidRPr="00F712D0" w:rsidRDefault="00F712D0" w:rsidP="00F712D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45034"/>
      <w:docPartObj>
        <w:docPartGallery w:val="Page Numbers (Bottom of Page)"/>
        <w:docPartUnique/>
      </w:docPartObj>
    </w:sdtPr>
    <w:sdtEndPr>
      <w:rPr>
        <w:noProof/>
      </w:rPr>
    </w:sdtEndPr>
    <w:sdtContent>
      <w:p w:rsidR="00CE34CD" w:rsidRDefault="00F712D0">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9253"/>
      <w:docPartObj>
        <w:docPartGallery w:val="Page Numbers (Bottom of Page)"/>
        <w:docPartUnique/>
      </w:docPartObj>
    </w:sdtPr>
    <w:sdtEndPr>
      <w:rPr>
        <w:noProof/>
      </w:rPr>
    </w:sdtEndPr>
    <w:sdtContent>
      <w:p w:rsidR="00CE34CD" w:rsidRDefault="00F712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CD" w:rsidRDefault="00F712D0">
      <w:r>
        <w:separator/>
      </w:r>
    </w:p>
  </w:footnote>
  <w:footnote w:type="continuationSeparator" w:id="0">
    <w:p w:rsidR="00CE34CD" w:rsidRDefault="00F712D0">
      <w:r>
        <w:continuationSeparator/>
      </w:r>
    </w:p>
  </w:footnote>
  <w:footnote w:type="continuationNotice" w:id="1">
    <w:p w:rsidR="00CE34CD" w:rsidRDefault="00CE34CD"/>
  </w:footnote>
  <w:footnote w:id="2">
    <w:p w:rsidR="00CE34CD" w:rsidRDefault="00F712D0">
      <w:pPr>
        <w:pStyle w:val="FootnoteText"/>
        <w:spacing w:after="120"/>
        <w:ind w:left="567" w:hanging="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DESI is a composite index that summarises dozens of relevant indicators on Europe’s </w:t>
      </w:r>
      <w:r>
        <w:rPr>
          <w:rFonts w:ascii="Times New Roman" w:hAnsi="Times New Roman" w:cs="Times New Roman"/>
        </w:rPr>
        <w:t>digital performance and tracks the evolution of EU Member States, across five main dimensions: Connectivity, Human Capital, Use of Internet, Integration of Digital Technology and Digital Public Services. DESI has been in continuous evolution since its firs</w:t>
      </w:r>
      <w:r>
        <w:rPr>
          <w:rFonts w:ascii="Times New Roman" w:hAnsi="Times New Roman" w:cs="Times New Roman"/>
        </w:rPr>
        <w:t>t publication in 2014. It is the main analytical tool developed by the European Commission services to provide evidence-based input for the assessment of digital development in the EU as a whole as well as in Member States. The data included in DESI is mos</w:t>
      </w:r>
      <w:r>
        <w:rPr>
          <w:rFonts w:ascii="Times New Roman" w:hAnsi="Times New Roman" w:cs="Times New Roman"/>
        </w:rPr>
        <w:t>tly collected from the Member States through the European Commission services Eurostat and DG Connect and by ad-hoc studies launched by the Commission services. DESI is a dynamic index. Its constituent indicators are extended and change to reflect new prio</w:t>
      </w:r>
      <w:r>
        <w:rPr>
          <w:rFonts w:ascii="Times New Roman" w:hAnsi="Times New Roman" w:cs="Times New Roman"/>
        </w:rPr>
        <w:t>rities and changing trends. The indicator list is reviewed and improved every year to keep up with latest technologies and policy priorities</w:t>
      </w:r>
      <w:r>
        <w:t>.</w:t>
      </w:r>
    </w:p>
  </w:footnote>
  <w:footnote w:id="3">
    <w:p w:rsidR="00CE34CD" w:rsidRDefault="00F712D0">
      <w:pPr>
        <w:pStyle w:val="FootnoteText"/>
        <w:spacing w:after="120"/>
        <w:ind w:left="567" w:hanging="567"/>
        <w:rPr>
          <w:rFonts w:ascii="Times New Roman" w:hAnsi="Times New Roman" w:cs="Times New Roman"/>
        </w:rPr>
      </w:pPr>
      <w:r>
        <w:rPr>
          <w:rStyle w:val="FootnoteReference"/>
        </w:rPr>
        <w:footnoteRef/>
      </w:r>
      <w:r>
        <w:t xml:space="preserve"> </w:t>
      </w:r>
      <w:r>
        <w:tab/>
      </w:r>
      <w:r>
        <w:rPr>
          <w:rFonts w:ascii="Times New Roman" w:hAnsi="Times New Roman" w:cs="Times New Roman"/>
        </w:rPr>
        <w:t>In addition to the target on basic digital skills established in the European Pillar of Social Rights Action Pl</w:t>
      </w:r>
      <w:r>
        <w:rPr>
          <w:rFonts w:ascii="Times New Roman" w:hAnsi="Times New Roman" w:cs="Times New Roman"/>
        </w:rPr>
        <w:t>an that 80% of citizens aged 16-79 have at least basic digital skills (2020 baseline: 58,3%).</w:t>
      </w:r>
    </w:p>
  </w:footnote>
  <w:footnote w:id="4">
    <w:p w:rsidR="00CE34CD" w:rsidRDefault="00F712D0">
      <w:pPr>
        <w:pStyle w:val="FootnoteText"/>
        <w:spacing w:after="120"/>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DESI indicator “2b1”. Currently the share of women among the employed ICT specialist is merely 18%.</w:t>
      </w:r>
    </w:p>
  </w:footnote>
  <w:footnote w:id="5">
    <w:p w:rsidR="00CE34CD" w:rsidRDefault="00F712D0">
      <w:pPr>
        <w:pStyle w:val="FootnoteText"/>
        <w:spacing w:after="120"/>
        <w:ind w:left="567" w:hanging="567"/>
        <w:jc w:val="both"/>
      </w:pPr>
      <w:r>
        <w:rPr>
          <w:rStyle w:val="FootnoteReference"/>
        </w:rPr>
        <w:footnoteRef/>
      </w:r>
      <w:r>
        <w:t xml:space="preserve"> </w:t>
      </w:r>
      <w:r>
        <w:tab/>
      </w:r>
      <w:r>
        <w:rPr>
          <w:rFonts w:ascii="Times New Roman" w:hAnsi="Times New Roman" w:cs="Times New Roman"/>
        </w:rPr>
        <w:t>Continuation and extension of the Gigabit society target</w:t>
      </w:r>
      <w:r>
        <w:rPr>
          <w:rFonts w:ascii="Times New Roman" w:hAnsi="Times New Roman" w:cs="Times New Roman"/>
        </w:rPr>
        <w:t>s for 2025, which are that all European households, urban or rural, will have access to internet connectivity of at least 100 Mbps upgradable to Gigabit’ and ‘Gigabit connectivity for all main socio-economic drivers (…) as well as digitally intensive enter</w:t>
      </w:r>
      <w:r>
        <w:rPr>
          <w:rFonts w:ascii="Times New Roman" w:hAnsi="Times New Roman" w:cs="Times New Roman"/>
        </w:rPr>
        <w:t>prises’. All urban areas and major terrestrial transport paths to have uninterrupted 5G coverage by 2025.</w:t>
      </w:r>
    </w:p>
  </w:footnote>
  <w:footnote w:id="6">
    <w:p w:rsidR="00CE34CD" w:rsidRDefault="00F712D0">
      <w:pPr>
        <w:pStyle w:val="FootnoteText"/>
        <w:spacing w:after="120"/>
        <w:ind w:left="567" w:hanging="567"/>
        <w:jc w:val="both"/>
        <w:rPr>
          <w:lang w:val="en-IE"/>
        </w:rPr>
      </w:pPr>
      <w:r>
        <w:rPr>
          <w:rStyle w:val="FootnoteReference"/>
        </w:rPr>
        <w:footnoteRef/>
      </w:r>
      <w:r>
        <w:t xml:space="preserve"> </w:t>
      </w:r>
      <w:r>
        <w:tab/>
      </w:r>
      <w:r>
        <w:rPr>
          <w:rFonts w:ascii="Times New Roman" w:hAnsi="Times New Roman" w:cs="Times New Roman"/>
        </w:rPr>
        <w:t>Please note that current DESI measurement is via</w:t>
      </w:r>
      <w:r>
        <w:t xml:space="preserve"> </w:t>
      </w:r>
      <w:r>
        <w:rPr>
          <w:rFonts w:ascii="Times New Roman" w:hAnsi="Times New Roman" w:cs="Times New Roman"/>
        </w:rPr>
        <w:t>DESI indicator “1b2” (Coverage of households covered by any fixed Very High Capacity Networks (VHC</w:t>
      </w:r>
      <w:r>
        <w:rPr>
          <w:rFonts w:ascii="Times New Roman" w:hAnsi="Times New Roman" w:cs="Times New Roman"/>
        </w:rPr>
        <w:t xml:space="preserve">N)). The technologies, at the current state of development, considered for VHCNs are “Fiber to the Home” (FTTH), Fiber to the building (“FTTB”) and Cable “Docsis 3.1”, as all of those technologies are able to deliver 1Gbps downlink. Space-based assets can </w:t>
      </w:r>
      <w:r>
        <w:rPr>
          <w:rFonts w:ascii="Times New Roman" w:hAnsi="Times New Roman" w:cs="Times New Roman"/>
        </w:rPr>
        <w:t>be an important contributor towards the 100% target by covering the remote and/or sparsely populated areas hard to reach otherwise. For a legal definition of VHCN, see Art. 2(2) of Dir (EU) 2018/1972: ‘very high capacity network’ means either an electronic</w:t>
      </w:r>
      <w:r>
        <w:rPr>
          <w:rFonts w:ascii="Times New Roman" w:hAnsi="Times New Roman" w:cs="Times New Roman"/>
        </w:rPr>
        <w:t xml:space="preserve"> communications network which consists wholly of optical fibre elements at least up to the distribution point at the serving location, or an electronic communications network which is capable of delivering, under usual peak-time conditions, similar network</w:t>
      </w:r>
      <w:r>
        <w:rPr>
          <w:rFonts w:ascii="Times New Roman" w:hAnsi="Times New Roman" w:cs="Times New Roman"/>
        </w:rPr>
        <w:t xml:space="preserve"> performance in terms of available downlink and uplink bandwidth, resilience, error-related parameters, and latency and its variation; network performance can be considered similar regardless of whether the end-user experience varies due to the inherently </w:t>
      </w:r>
      <w:r>
        <w:rPr>
          <w:rFonts w:ascii="Times New Roman" w:hAnsi="Times New Roman" w:cs="Times New Roman"/>
        </w:rPr>
        <w:t>different characteristics of the medium by which the network ultimately connects with the network termination point.</w:t>
      </w:r>
    </w:p>
  </w:footnote>
  <w:footnote w:id="7">
    <w:p w:rsidR="00CE34CD" w:rsidRDefault="00F712D0">
      <w:pPr>
        <w:pStyle w:val="FootnoteText"/>
        <w:spacing w:after="120"/>
        <w:ind w:left="567" w:hanging="567"/>
        <w:jc w:val="both"/>
      </w:pPr>
      <w:r>
        <w:rPr>
          <w:rStyle w:val="FootnoteReference"/>
        </w:rPr>
        <w:footnoteRef/>
      </w:r>
      <w:r>
        <w:t xml:space="preserve"> </w:t>
      </w:r>
      <w:r>
        <w:tab/>
      </w:r>
      <w:r>
        <w:rPr>
          <w:rFonts w:ascii="Times New Roman" w:hAnsi="Times New Roman" w:cs="Times New Roman"/>
        </w:rPr>
        <w:t>Percentage of populated areas (i.e. percentage of all places where households are located, including remote areas) with coverage by 5G -</w:t>
      </w:r>
      <w:r>
        <w:rPr>
          <w:rFonts w:ascii="Times New Roman" w:hAnsi="Times New Roman" w:cs="Times New Roman"/>
        </w:rPr>
        <w:t xml:space="preserve"> measured as the total coverage of telecom operators in each country.</w:t>
      </w:r>
    </w:p>
  </w:footnote>
  <w:footnote w:id="8">
    <w:p w:rsidR="00CE34CD" w:rsidRDefault="00F712D0">
      <w:pPr>
        <w:pStyle w:val="FootnoteText"/>
        <w:spacing w:after="120"/>
        <w:ind w:left="567" w:hanging="567"/>
        <w:jc w:val="both"/>
        <w:rPr>
          <w:lang w:val="en-IE"/>
        </w:rPr>
      </w:pPr>
      <w:r>
        <w:rPr>
          <w:rStyle w:val="FootnoteReference"/>
        </w:rPr>
        <w:footnoteRef/>
      </w:r>
      <w:r>
        <w:t xml:space="preserve"> </w:t>
      </w:r>
      <w:r>
        <w:tab/>
      </w:r>
      <w:r>
        <w:rPr>
          <w:rFonts w:ascii="Times New Roman" w:hAnsi="Times New Roman"/>
        </w:rPr>
        <w:t>Meaning manufacturing capacities below 5nm nodes aiming at 2nm and 10 times more energy efficient than today</w:t>
      </w:r>
      <w:r>
        <w:rPr>
          <w:rFonts w:ascii="Times New Roman" w:hAnsi="Times New Roman" w:cs="Times New Roman"/>
        </w:rPr>
        <w:t>. The smaller the technology node means the smaller the feature size, produ</w:t>
      </w:r>
      <w:r>
        <w:rPr>
          <w:rFonts w:ascii="Times New Roman" w:hAnsi="Times New Roman" w:cs="Times New Roman"/>
        </w:rPr>
        <w:t>cing smaller transistors which are faster and more efficient.</w:t>
      </w:r>
    </w:p>
  </w:footnote>
  <w:footnote w:id="9">
    <w:p w:rsidR="00CE34CD" w:rsidRDefault="00F712D0">
      <w:pPr>
        <w:pStyle w:val="FootnoteText"/>
        <w:spacing w:after="120"/>
        <w:ind w:left="567" w:hanging="567"/>
        <w:jc w:val="both"/>
        <w:rPr>
          <w:rFonts w:ascii="Times New Roman" w:hAnsi="Times New Roman" w:cs="Times New Roman"/>
        </w:rPr>
      </w:pPr>
      <w:r>
        <w:rPr>
          <w:rStyle w:val="FootnoteReference"/>
        </w:rPr>
        <w:footnoteRef/>
      </w:r>
      <w:r>
        <w:rPr>
          <w:rFonts w:ascii="Times New Roman" w:hAnsi="Times New Roman" w:cs="Times New Roman"/>
        </w:rPr>
        <w:tab/>
        <w:t>The target is to materialise the vision set out in the data strategy that is to have 80% of data processing done at the edge by 2025. Many of the future data services and 5G applications, such</w:t>
      </w:r>
      <w:r>
        <w:rPr>
          <w:rFonts w:ascii="Times New Roman" w:hAnsi="Times New Roman" w:cs="Times New Roman"/>
        </w:rPr>
        <w:t xml:space="preserve"> as Connected Automated Driving, smart farming, intelligent management of energy grids, smart manufacturing require a latency of a few milliseconds. To achieve such a latency in return requires an edge node in every 100km. 8-10,000 edge nodes correspond to</w:t>
      </w:r>
      <w:r>
        <w:rPr>
          <w:rFonts w:ascii="Times New Roman" w:hAnsi="Times New Roman" w:cs="Times New Roman"/>
        </w:rPr>
        <w:t xml:space="preserve"> this deployment of a mesh with a node every 100km. This density of edge nodes will conversely stimulate the demand from European user industry for novel and innovative digital services based on local data processing, and allow these users to be more in co</w:t>
      </w:r>
      <w:r>
        <w:rPr>
          <w:rFonts w:ascii="Times New Roman" w:hAnsi="Times New Roman" w:cs="Times New Roman"/>
        </w:rPr>
        <w:t>ntrol of their data. The current baseline is 0 as the technology is just emerging and there has just been a few pilots (an IDATE study of 2019 identified 62 implementations in Europe).</w:t>
      </w:r>
    </w:p>
  </w:footnote>
  <w:footnote w:id="10">
    <w:p w:rsidR="00CE34CD" w:rsidRDefault="00F712D0">
      <w:pPr>
        <w:pStyle w:val="FootnoteText"/>
        <w:spacing w:after="120"/>
        <w:ind w:left="567" w:hanging="567"/>
        <w:jc w:val="both"/>
      </w:pPr>
      <w:r>
        <w:rPr>
          <w:rStyle w:val="FootnoteReference"/>
        </w:rPr>
        <w:footnoteRef/>
      </w:r>
      <w:r>
        <w:t xml:space="preserve"> </w:t>
      </w:r>
      <w:r>
        <w:tab/>
      </w:r>
      <w:r>
        <w:rPr>
          <w:rFonts w:ascii="Times New Roman" w:hAnsi="Times New Roman" w:cs="Times New Roman"/>
        </w:rPr>
        <w:t>The Digital Intensity Index (DII) is a micro-based index that measur</w:t>
      </w:r>
      <w:r>
        <w:rPr>
          <w:rFonts w:ascii="Times New Roman" w:hAnsi="Times New Roman" w:cs="Times New Roman"/>
        </w:rPr>
        <w:t xml:space="preserve">es the availability at firm level of 12 different digital technologies: internet for at least 50% of employed persons, recourse to ICT specialists, fast broadband (30 Mbps or above), mobile internet devices for at least 20% of employed persons, a website, </w:t>
      </w:r>
      <w:r>
        <w:rPr>
          <w:rFonts w:ascii="Times New Roman" w:hAnsi="Times New Roman" w:cs="Times New Roman"/>
        </w:rPr>
        <w:t>a website with sophisticated functions, social media, paying for advertising on the internet; the purchase of advanced cloud computing services; sending eInvoices, eCommerce turnover accounting for over 1% of total turnover and business-to-consumer (B2C) w</w:t>
      </w:r>
      <w:r>
        <w:rPr>
          <w:rFonts w:ascii="Times New Roman" w:hAnsi="Times New Roman" w:cs="Times New Roman"/>
        </w:rPr>
        <w:t>eb sales of over 10% of total web sales. The value for the index therefore ranges from 0 to 12. The list of the aforesaid 12 indicators is reviewed and improved every year to keep up with latest technologies and policy priorities.</w:t>
      </w:r>
    </w:p>
  </w:footnote>
  <w:footnote w:id="11">
    <w:p w:rsidR="00CE34CD" w:rsidRDefault="00F712D0">
      <w:pPr>
        <w:pStyle w:val="FootnoteText"/>
        <w:spacing w:after="120"/>
        <w:ind w:left="567" w:hanging="567"/>
        <w:jc w:val="both"/>
        <w:rPr>
          <w:rFonts w:ascii="Times New Roman" w:hAnsi="Times New Roman" w:cs="Times New Roman"/>
        </w:rPr>
      </w:pPr>
      <w:r>
        <w:rPr>
          <w:rStyle w:val="FootnoteReference"/>
        </w:rPr>
        <w:footnoteRef/>
      </w:r>
      <w:r>
        <w:tab/>
      </w:r>
      <w:r>
        <w:rPr>
          <w:rFonts w:ascii="Times New Roman" w:hAnsi="Times New Roman" w:cs="Times New Roman"/>
        </w:rPr>
        <w:t>By unicorns we understa</w:t>
      </w:r>
      <w:r>
        <w:rPr>
          <w:rFonts w:ascii="Times New Roman" w:hAnsi="Times New Roman" w:cs="Times New Roman"/>
        </w:rPr>
        <w:t>nd here both: 1) realised unicorn, i.e. companies founded after 1990 that have had an IPO or trade sale above $1 billion and 2) unrealised unicorn, i.e. companies that have been valued at or over $1 billion in their last private venture funding round (mean</w:t>
      </w:r>
      <w:r>
        <w:rPr>
          <w:rFonts w:ascii="Times New Roman" w:hAnsi="Times New Roman" w:cs="Times New Roman"/>
        </w:rPr>
        <w:t>ing the valuation has not been confirmed in a secondary transaction). In 2019 there were 703 unicorns in the US and 206 in China</w:t>
      </w:r>
      <w:r>
        <w:t xml:space="preserve"> (</w:t>
      </w:r>
      <w:r>
        <w:rPr>
          <w:rFonts w:ascii="Times New Roman" w:hAnsi="Times New Roman" w:cs="Times New Roman"/>
        </w:rPr>
        <w:t>https://blog.dealroom.co/uk-unicorn-tech-update-for-london-tech-week/).</w:t>
      </w:r>
    </w:p>
  </w:footnote>
  <w:footnote w:id="12">
    <w:p w:rsidR="00CE34CD" w:rsidRDefault="00F712D0">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“key public services” are services related to the f</w:t>
      </w:r>
      <w:r>
        <w:rPr>
          <w:rFonts w:ascii="Times New Roman" w:hAnsi="Times New Roman" w:cs="Times New Roman"/>
        </w:rPr>
        <w:t xml:space="preserve">ollowing “life events”: Regular Business Operations, Moving, Owning and Driving a Car, Starting a Small Claims Procedure, Business StartUp, Family life, Losing and Finding a Job and Studying. (source: e-Government Benchmark).  </w:t>
      </w:r>
    </w:p>
  </w:footnote>
  <w:footnote w:id="13">
    <w:p w:rsidR="00CE34CD" w:rsidRDefault="00F712D0">
      <w:pPr>
        <w:pStyle w:val="FootnoteText"/>
        <w:spacing w:after="120"/>
        <w:ind w:left="567" w:hanging="567"/>
        <w:rPr>
          <w:lang w:val="en-IE"/>
        </w:rPr>
      </w:pPr>
      <w:r>
        <w:rPr>
          <w:rStyle w:val="FootnoteReference"/>
        </w:rPr>
        <w:footnoteRef/>
      </w:r>
      <w:r>
        <w:t xml:space="preserve"> </w:t>
      </w:r>
      <w:r>
        <w:tab/>
      </w:r>
      <w:r>
        <w:rPr>
          <w:rFonts w:ascii="Times New Roman" w:hAnsi="Times New Roman" w:cs="Times New Roman"/>
        </w:rPr>
        <w:t xml:space="preserve">Can be developed through </w:t>
      </w:r>
      <w:r>
        <w:rPr>
          <w:rFonts w:ascii="Times New Roman" w:hAnsi="Times New Roman" w:cs="Times New Roman"/>
        </w:rPr>
        <w:t>e-Government Benchmark or administrative sources.</w:t>
      </w:r>
    </w:p>
  </w:footnote>
  <w:footnote w:id="14">
    <w:p w:rsidR="00CE34CD" w:rsidRDefault="00F712D0">
      <w:pPr>
        <w:pStyle w:val="FootnoteText"/>
        <w:spacing w:after="120"/>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regards availability, the current baseline for the percentage of key services that are e-ID enabled is 58% (services accessible domestically) and 9% (services accessible cross-border).</w:t>
      </w:r>
    </w:p>
  </w:footnote>
  <w:footnote w:id="15">
    <w:p w:rsidR="00CE34CD" w:rsidRDefault="00F712D0">
      <w:pPr>
        <w:pStyle w:val="FootnoteText"/>
        <w:spacing w:after="120"/>
        <w:ind w:left="567" w:hanging="567"/>
        <w:rPr>
          <w:lang w:val="en-IE"/>
        </w:rPr>
      </w:pPr>
      <w:r>
        <w:rPr>
          <w:rStyle w:val="FootnoteReference"/>
        </w:rPr>
        <w:footnoteRef/>
      </w:r>
      <w:r>
        <w:t xml:space="preserve"> </w:t>
      </w:r>
      <w:r>
        <w:tab/>
      </w:r>
      <w:r>
        <w:rPr>
          <w:rFonts w:ascii="Times New Roman" w:hAnsi="Times New Roman" w:cs="Times New Roman"/>
        </w:rPr>
        <w:t>Revised Onli</w:t>
      </w:r>
      <w:r>
        <w:rPr>
          <w:rFonts w:ascii="Times New Roman" w:hAnsi="Times New Roman" w:cs="Times New Roman"/>
        </w:rPr>
        <w:t>ne service completion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D0" w:rsidRPr="00F712D0" w:rsidRDefault="00F712D0" w:rsidP="00F712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D0" w:rsidRPr="00F712D0" w:rsidRDefault="00F712D0" w:rsidP="00F712D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D0" w:rsidRPr="00F712D0" w:rsidRDefault="00F712D0" w:rsidP="00F712D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CD" w:rsidRDefault="00CE3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defaultTabStop w:val="720"/>
  <w:hyphenationZone w:val="425"/>
  <w:characterSpacingControl w:val="doNotCompress"/>
  <w:hdrShapeDefaults>
    <o:shapedefaults v:ext="edit" spidmax="16385"/>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5C0B458-381A-4211-8152-B3B80C02F4FD"/>
    <w:docVar w:name="LW_COVERPAGE_TYPE" w:val="1"/>
    <w:docVar w:name="LW_CROSSREFERENCE" w:val="&lt;UNUSED&gt;"/>
    <w:docVar w:name="LW_DocType" w:val="NORMAL"/>
    <w:docVar w:name="LW_EMISSION" w:val="9.3.2021"/>
    <w:docVar w:name="LW_EMISSION_ISODATE" w:val="2021-03-0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Bold&gt;2030 Digital Compass: the European way for the Digital Decade&lt;/FMT&gt;"/>
    <w:docVar w:name="LW_PART_NBR" w:val="1"/>
    <w:docVar w:name="LW_PART_NBR_TOTAL" w:val="1"/>
    <w:docVar w:name="LW_REF.INST.NEW" w:val="COM"/>
    <w:docVar w:name="LW_REF.INST.NEW_ADOPTED" w:val="final/2"/>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CE34CD"/>
    <w:rsid w:val="00CE34CD"/>
    <w:rsid w:val="00F712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2C8CEAE-2ED2-4E20-92D8-3532AE77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ind w:left="360" w:hanging="36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ind w:left="0" w:firstLine="0"/>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71851623">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21863843">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633218720">
      <w:bodyDiv w:val="1"/>
      <w:marLeft w:val="0"/>
      <w:marRight w:val="0"/>
      <w:marTop w:val="0"/>
      <w:marBottom w:val="0"/>
      <w:divBdr>
        <w:top w:val="none" w:sz="0" w:space="0" w:color="auto"/>
        <w:left w:val="none" w:sz="0" w:space="0" w:color="auto"/>
        <w:bottom w:val="none" w:sz="0" w:space="0" w:color="auto"/>
        <w:right w:val="none" w:sz="0" w:space="0" w:color="auto"/>
      </w:divBdr>
    </w:div>
    <w:div w:id="762920725">
      <w:bodyDiv w:val="1"/>
      <w:marLeft w:val="0"/>
      <w:marRight w:val="0"/>
      <w:marTop w:val="0"/>
      <w:marBottom w:val="0"/>
      <w:divBdr>
        <w:top w:val="none" w:sz="0" w:space="0" w:color="auto"/>
        <w:left w:val="none" w:sz="0" w:space="0" w:color="auto"/>
        <w:bottom w:val="none" w:sz="0" w:space="0" w:color="auto"/>
        <w:right w:val="none" w:sz="0" w:space="0" w:color="auto"/>
      </w:divBdr>
    </w:div>
    <w:div w:id="93089189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109813018">
      <w:bodyDiv w:val="1"/>
      <w:marLeft w:val="0"/>
      <w:marRight w:val="0"/>
      <w:marTop w:val="0"/>
      <w:marBottom w:val="0"/>
      <w:divBdr>
        <w:top w:val="none" w:sz="0" w:space="0" w:color="auto"/>
        <w:left w:val="none" w:sz="0" w:space="0" w:color="auto"/>
        <w:bottom w:val="none" w:sz="0" w:space="0" w:color="auto"/>
        <w:right w:val="none" w:sz="0" w:space="0" w:color="auto"/>
      </w:divBdr>
    </w:div>
    <w:div w:id="1135560934">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0956907">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884903638">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UVNUSV5RWJH5-313226191-369</_dlc_DocId>
    <_dlc_DocIdUrl xmlns="866aabb8-7ec2-447a-a7ff-f911015037e7">
      <Url>https://myintracomm-collab.ec.europa.eu/dg/CONNECT/directorateD/UnitD2/_layouts/15/DocIdRedir.aspx?ID=UVNUSV5RWJH5-313226191-369</Url>
      <Description>UVNUSV5RWJH5-313226191-369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2.xml><?xml version="1.0" encoding="utf-8"?>
<ds:datastoreItem xmlns:ds="http://schemas.openxmlformats.org/officeDocument/2006/customXml" ds:itemID="{159718B0-82B6-493A-9EBF-CD0D05E534AA}">
  <ds:schemaRefs>
    <ds:schemaRef ds:uri="http://purl.org/dc/elements/1.1/"/>
    <ds:schemaRef ds:uri="http://schemas.microsoft.com/office/2006/metadata/properties"/>
    <ds:schemaRef ds:uri="3c58fb0a-f2a5-4659-bfcb-224b118805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62EB289F-E935-4527-9E25-9A29F06B1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DCF71-D93C-422F-B9F6-4606E06FB65C}">
  <ds:schemaRefs>
    <ds:schemaRef ds:uri="http://schemas.microsoft.com/sharepoint/events"/>
  </ds:schemaRefs>
</ds:datastoreItem>
</file>

<file path=customXml/itemProps5.xml><?xml version="1.0" encoding="utf-8"?>
<ds:datastoreItem xmlns:ds="http://schemas.openxmlformats.org/officeDocument/2006/customXml" ds:itemID="{4D44546D-E6E2-4AD9-ADB7-3477352F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634</Words>
  <Characters>3455</Characters>
  <Application>Microsoft Office Word</Application>
  <DocSecurity>4</DocSecurity>
  <Lines>127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Eric (CNECT)</dc:creator>
  <cp:keywords/>
  <dc:description/>
  <cp:lastModifiedBy>THERACE Christine (SG)</cp:lastModifiedBy>
  <cp:revision>2</cp:revision>
  <dcterms:created xsi:type="dcterms:W3CDTF">2021-03-22T13:39:00Z</dcterms:created>
  <dcterms:modified xsi:type="dcterms:W3CDTF">2021-03-22T13:39:00Z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First annex">
    <vt:lpwstr>1</vt:lpwstr>
  </property>
  <property fmtid="{D5CDD505-2E9C-101B-9397-08002B2CF9AE}" pid="10" name="Last annex">
    <vt:lpwstr>1</vt:lpwstr>
  </property>
  <property fmtid="{D5CDD505-2E9C-101B-9397-08002B2CF9AE}" pid="11" name="Unique annex">
    <vt:lpwstr>1</vt:lpwstr>
  </property>
  <property fmtid="{D5CDD505-2E9C-101B-9397-08002B2CF9AE}" pid="12" name="_dlc_DocIdItemGuid">
    <vt:lpwstr>cdee2c8b-cf5b-40c5-ba8f-c5fea8b3ef2d</vt:lpwstr>
  </property>
  <property fmtid="{D5CDD505-2E9C-101B-9397-08002B2CF9AE}" pid="13" name="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4" name="_LW_INVALIDATED__LW_INVALIDATED__LW_INVALIDATED__LW_INVALIDATED_ContentTypeId">
    <vt:lpwstr>0x010100258AA79CEB83498886A3A0868112325000E1AEB709759A124D988071725F534713</vt:lpwstr>
  </property>
  <property fmtid="{D5CDD505-2E9C-101B-9397-08002B2CF9AE}" pid="15" name="_LW_INVALIDATED__LW_INVALIDATED_ContentTypeId">
    <vt:lpwstr>0x010100258AA79CEB83498886A3A0868112325000E1AEB709759A124D988071725F534713</vt:lpwstr>
  </property>
</Properties>
</file>