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453EB40-A3DF-439E-80D9-CA0F53721CD4" style="width:450.75pt;height:379.5pt">
            <v:imagedata r:id="rId13" o:title=""/>
          </v:shape>
        </w:pict>
      </w:r>
    </w:p>
    <w:bookmarkEnd w:id="0"/>
    <w:p>
      <w:pPr>
        <w:rPr>
          <w:noProof/>
          <w:lang w:val="en-GB"/>
        </w:rPr>
        <w:sectPr>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6" w:h="16838"/>
          <w:pgMar w:top="1134" w:right="1417" w:bottom="1134" w:left="1417" w:header="709" w:footer="709" w:gutter="0"/>
          <w:pgNumType w:start="0"/>
          <w:cols w:space="720"/>
          <w:docGrid w:linePitch="360"/>
        </w:sectPr>
      </w:pPr>
    </w:p>
    <w:p>
      <w:pPr>
        <w:spacing w:after="240"/>
        <w:jc w:val="center"/>
        <w:rPr>
          <w:rFonts w:ascii="Times New Roman" w:hAnsi="Times New Roman" w:cs="Times New Roman"/>
          <w:b/>
          <w:noProof/>
          <w:u w:val="single"/>
        </w:rPr>
      </w:pPr>
      <w:bookmarkStart w:id="1" w:name="_GoBack"/>
      <w:bookmarkEnd w:id="1"/>
      <w:r>
        <w:rPr>
          <w:rFonts w:ascii="Times New Roman" w:hAnsi="Times New Roman"/>
          <w:b/>
          <w:noProof/>
        </w:rPr>
        <w:lastRenderedPageBreak/>
        <w:t xml:space="preserve">Предложение за </w:t>
      </w:r>
      <w:r>
        <w:rPr>
          <w:rFonts w:ascii="Times New Roman" w:hAnsi="Times New Roman"/>
          <w:b/>
          <w:bCs/>
          <w:noProof/>
        </w:rPr>
        <w:t xml:space="preserve">общи цели за мобилизиране на публични и частни участници </w:t>
      </w:r>
    </w:p>
    <w:p>
      <w:pPr>
        <w:spacing w:after="240"/>
        <w:jc w:val="both"/>
        <w:rPr>
          <w:rFonts w:ascii="Times New Roman" w:hAnsi="Times New Roman" w:cs="Times New Roman"/>
          <w:noProof/>
        </w:rPr>
      </w:pPr>
      <w:r>
        <w:rPr>
          <w:rFonts w:ascii="Times New Roman" w:hAnsi="Times New Roman"/>
          <w:noProof/>
        </w:rPr>
        <w:t>При избора на</w:t>
      </w:r>
      <w:r>
        <w:rPr>
          <w:rFonts w:ascii="Times New Roman" w:hAnsi="Times New Roman"/>
          <w:b/>
          <w:bCs/>
          <w:noProof/>
        </w:rPr>
        <w:t xml:space="preserve"> цели </w:t>
      </w:r>
      <w:r>
        <w:rPr>
          <w:rFonts w:ascii="Times New Roman" w:hAnsi="Times New Roman"/>
          <w:noProof/>
        </w:rPr>
        <w:t>Комисията разгледа съществуващите</w:t>
      </w:r>
      <w:r>
        <w:rPr>
          <w:rFonts w:ascii="Times New Roman" w:hAnsi="Times New Roman"/>
          <w:b/>
          <w:bCs/>
          <w:noProof/>
        </w:rPr>
        <w:t xml:space="preserve"> ключови показатели за резултатите (КПР)</w:t>
      </w:r>
      <w:r>
        <w:rPr>
          <w:rFonts w:ascii="Times New Roman" w:hAnsi="Times New Roman"/>
          <w:noProof/>
        </w:rPr>
        <w:t>, отчитайки необходимостта целите, които ще се наблюдават, да бъдат измерими. За всяка цел представяме базовото равнище и източника на данни. Водещите КПР по-долу са избрани отчасти въз основа на съществуващите КПР, които ще се наблюдават, например в системата за наблюдение на индекса за навлизането на цифровите технологии в икономиката и обществото (DESI), създадена от Комисията през 2014 г. Съществуват обаче и потенциални КПР, за които ще са необходими проучвания (провеждани понастоящем или бъдещи) или други източници, разработване на методики или събиране на нужните данни. Освен това не бива да се забравя, че дори даден КПР да не е посочен в списъка на водещите КПР по-долу, това не означава, че показателят не се наблюдава. Наблюдението и докладването на много други КПР ще продължи чрез прилагане на усъвършенствана версия на DESI</w:t>
      </w:r>
      <w:r>
        <w:rPr>
          <w:rStyle w:val="FootnoteReference"/>
          <w:rFonts w:ascii="Times New Roman" w:hAnsi="Times New Roman" w:cs="Times New Roman"/>
          <w:noProof/>
          <w:lang w:val="en-GB"/>
        </w:rPr>
        <w:footnoteReference w:id="2"/>
      </w:r>
      <w:r>
        <w:rPr>
          <w:rFonts w:ascii="Times New Roman" w:hAnsi="Times New Roman"/>
          <w:noProof/>
        </w:rPr>
        <w:t xml:space="preserve">. </w:t>
      </w:r>
    </w:p>
    <w:p>
      <w:pPr>
        <w:spacing w:after="120"/>
        <w:jc w:val="both"/>
        <w:rPr>
          <w:rFonts w:ascii="Times New Roman" w:hAnsi="Times New Roman" w:cs="Times New Roman"/>
          <w:noProof/>
          <w:u w:val="single"/>
        </w:rPr>
      </w:pPr>
      <w:r>
        <w:rPr>
          <w:rFonts w:ascii="Times New Roman" w:hAnsi="Times New Roman"/>
          <w:noProof/>
          <w:u w:val="single"/>
        </w:rPr>
        <w:t>Цели на основно направление 1: население с цифрови умения и висококвалифицирани специалисти в областта на цифровите технологии</w:t>
      </w:r>
    </w:p>
    <w:tbl>
      <w:tblPr>
        <w:tblStyle w:val="TableGrid"/>
        <w:tblW w:w="9180" w:type="dxa"/>
        <w:tblLayout w:type="fixed"/>
        <w:tblLook w:val="04A0" w:firstRow="1" w:lastRow="0" w:firstColumn="1" w:lastColumn="0" w:noHBand="0" w:noVBand="1"/>
      </w:tblPr>
      <w:tblGrid>
        <w:gridCol w:w="1951"/>
        <w:gridCol w:w="5528"/>
        <w:gridCol w:w="1701"/>
      </w:tblGrid>
      <w:tr>
        <w:trPr>
          <w:trHeight w:val="315"/>
        </w:trPr>
        <w:tc>
          <w:tcPr>
            <w:tcW w:w="9180" w:type="dxa"/>
            <w:gridSpan w:val="3"/>
            <w:shd w:val="clear" w:color="auto" w:fill="C6D9F1" w:themeFill="text2" w:themeFillTint="33"/>
          </w:tcPr>
          <w:p>
            <w:pPr>
              <w:rPr>
                <w:rFonts w:ascii="Times New Roman" w:hAnsi="Times New Roman"/>
                <w:b/>
                <w:i/>
                <w:noProof/>
                <w:sz w:val="20"/>
                <w:szCs w:val="20"/>
              </w:rPr>
            </w:pPr>
            <w:r>
              <w:rPr>
                <w:rFonts w:ascii="Times New Roman" w:hAnsi="Times New Roman"/>
                <w:b/>
                <w:i/>
                <w:noProof/>
                <w:sz w:val="20"/>
                <w:szCs w:val="20"/>
              </w:rPr>
              <w:t>Цел на ЕС за 2030 г.: „</w:t>
            </w:r>
            <w:r>
              <w:rPr>
                <w:rFonts w:ascii="Times New Roman" w:hAnsi="Times New Roman"/>
                <w:b/>
                <w:bCs/>
                <w:i/>
                <w:iCs/>
                <w:noProof/>
                <w:sz w:val="20"/>
                <w:szCs w:val="20"/>
              </w:rPr>
              <w:t xml:space="preserve">Технически </w:t>
            </w:r>
            <w:r>
              <w:rPr>
                <w:rFonts w:ascii="Times New Roman" w:hAnsi="Times New Roman"/>
                <w:b/>
                <w:i/>
                <w:noProof/>
                <w:sz w:val="20"/>
                <w:szCs w:val="20"/>
              </w:rPr>
              <w:t xml:space="preserve">компетентен континент, където всички се ползват от възможностите на цифровите технологии“ </w:t>
            </w:r>
          </w:p>
        </w:tc>
      </w:tr>
      <w:tr>
        <w:trPr>
          <w:trHeight w:val="315"/>
        </w:trPr>
        <w:tc>
          <w:tcPr>
            <w:tcW w:w="1951" w:type="dxa"/>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Измерение</w:t>
            </w:r>
          </w:p>
        </w:tc>
        <w:tc>
          <w:tcPr>
            <w:tcW w:w="5528" w:type="dxa"/>
            <w:tcBorders>
              <w:bottom w:val="single" w:sz="4" w:space="0" w:color="auto"/>
            </w:tcBorders>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Сравнение на целите на ЕС за 2030 г. с базовото равнище</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Източник</w:t>
            </w:r>
          </w:p>
        </w:tc>
      </w:tr>
      <w:tr>
        <w:trPr>
          <w:trHeight w:val="164"/>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Специалисти по ИКТ</w:t>
            </w:r>
            <w:r>
              <w:rPr>
                <w:rStyle w:val="FootnoteReference"/>
                <w:rFonts w:ascii="Times New Roman" w:hAnsi="Times New Roman"/>
                <w:noProof/>
                <w:sz w:val="20"/>
                <w:szCs w:val="20"/>
                <w:lang w:val="en-GB"/>
              </w:rPr>
              <w:footnoteReference w:id="3"/>
            </w:r>
          </w:p>
        </w:tc>
        <w:tc>
          <w:tcPr>
            <w:tcW w:w="5528" w:type="dxa"/>
            <w:shd w:val="clear" w:color="auto" w:fill="auto"/>
          </w:tcPr>
          <w:p>
            <w:pPr>
              <w:rPr>
                <w:rFonts w:ascii="Times New Roman" w:hAnsi="Times New Roman"/>
                <w:noProof/>
                <w:sz w:val="20"/>
                <w:szCs w:val="20"/>
              </w:rPr>
            </w:pPr>
            <w:r>
              <w:rPr>
                <w:rFonts w:ascii="Times New Roman" w:hAnsi="Times New Roman"/>
                <w:b/>
                <w:noProof/>
                <w:sz w:val="20"/>
                <w:szCs w:val="20"/>
              </w:rPr>
              <w:t>20 милиона</w:t>
            </w:r>
            <w:r>
              <w:rPr>
                <w:rFonts w:ascii="Times New Roman" w:hAnsi="Times New Roman"/>
                <w:noProof/>
                <w:sz w:val="20"/>
                <w:szCs w:val="20"/>
              </w:rPr>
              <w:t xml:space="preserve"> заети специалисти по ИКТ, с тенденция към изравняване на броя на жените и мъжете</w:t>
            </w:r>
            <w:r>
              <w:rPr>
                <w:rStyle w:val="FootnoteReference"/>
                <w:rFonts w:ascii="Times New Roman" w:hAnsi="Times New Roman"/>
                <w:noProof/>
                <w:sz w:val="20"/>
                <w:szCs w:val="20"/>
                <w:lang w:val="en-GB"/>
              </w:rPr>
              <w:footnoteReference w:id="4"/>
            </w:r>
            <w:r>
              <w:rPr>
                <w:rFonts w:ascii="Times New Roman" w:hAnsi="Times New Roman"/>
                <w:noProof/>
                <w:sz w:val="20"/>
                <w:szCs w:val="20"/>
              </w:rPr>
              <w:t xml:space="preserve"> (базово равнище за 2019 г.: 7,8 милиона)</w:t>
            </w:r>
          </w:p>
        </w:tc>
        <w:tc>
          <w:tcPr>
            <w:tcW w:w="1701" w:type="dxa"/>
          </w:tcPr>
          <w:p>
            <w:pPr>
              <w:rPr>
                <w:rFonts w:ascii="Times New Roman" w:hAnsi="Times New Roman"/>
                <w:noProof/>
                <w:sz w:val="20"/>
                <w:szCs w:val="20"/>
              </w:rPr>
            </w:pPr>
            <w:r>
              <w:rPr>
                <w:rFonts w:ascii="Times New Roman" w:hAnsi="Times New Roman"/>
                <w:noProof/>
                <w:sz w:val="20"/>
                <w:szCs w:val="20"/>
              </w:rPr>
              <w:t>DESI, ESTAT</w:t>
            </w:r>
          </w:p>
        </w:tc>
      </w:tr>
    </w:tbl>
    <w:p>
      <w:pPr>
        <w:spacing w:after="120"/>
        <w:jc w:val="both"/>
        <w:rPr>
          <w:rFonts w:ascii="Times New Roman" w:hAnsi="Times New Roman" w:cs="Times New Roman"/>
          <w:noProof/>
          <w:u w:val="single"/>
          <w:lang w:val="en-GB"/>
        </w:rPr>
        <w:sectPr>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6" w:h="16838"/>
          <w:pgMar w:top="1417" w:right="1417" w:bottom="1417" w:left="1417" w:header="708" w:footer="708" w:gutter="0"/>
          <w:cols w:space="720"/>
          <w:docGrid w:linePitch="360"/>
        </w:sectPr>
      </w:pPr>
    </w:p>
    <w:p>
      <w:pPr>
        <w:spacing w:after="120"/>
        <w:rPr>
          <w:rFonts w:ascii="Times New Roman" w:hAnsi="Times New Roman" w:cs="Times New Roman"/>
          <w:noProof/>
          <w:u w:val="single"/>
        </w:rPr>
      </w:pPr>
      <w:r>
        <w:rPr>
          <w:rFonts w:ascii="Times New Roman" w:hAnsi="Times New Roman"/>
          <w:noProof/>
          <w:u w:val="single"/>
        </w:rPr>
        <w:t xml:space="preserve">Цели на основно направление 2: сигурни и производителни устойчиви цифрови инфраструктури </w:t>
      </w:r>
    </w:p>
    <w:tbl>
      <w:tblPr>
        <w:tblStyle w:val="TableGrid"/>
        <w:tblW w:w="9180" w:type="dxa"/>
        <w:tblLayout w:type="fixed"/>
        <w:tblLook w:val="04A0" w:firstRow="1" w:lastRow="0" w:firstColumn="1" w:lastColumn="0" w:noHBand="0" w:noVBand="1"/>
      </w:tblPr>
      <w:tblGrid>
        <w:gridCol w:w="1951"/>
        <w:gridCol w:w="5528"/>
        <w:gridCol w:w="1701"/>
      </w:tblGrid>
      <w:tr>
        <w:trPr>
          <w:trHeight w:val="197"/>
        </w:trPr>
        <w:tc>
          <w:tcPr>
            <w:tcW w:w="9180" w:type="dxa"/>
            <w:gridSpan w:val="3"/>
            <w:shd w:val="clear" w:color="auto" w:fill="C6D9F1" w:themeFill="text2" w:themeFillTint="33"/>
          </w:tcPr>
          <w:p>
            <w:pPr>
              <w:shd w:val="clear" w:color="auto" w:fill="C6D9F1" w:themeFill="text2" w:themeFillTint="33"/>
              <w:rPr>
                <w:rFonts w:ascii="Times New Roman" w:hAnsi="Times New Roman"/>
                <w:b/>
                <w:i/>
                <w:noProof/>
                <w:sz w:val="20"/>
                <w:szCs w:val="20"/>
              </w:rPr>
            </w:pPr>
            <w:r>
              <w:rPr>
                <w:rFonts w:ascii="Times New Roman" w:hAnsi="Times New Roman"/>
                <w:b/>
                <w:i/>
                <w:noProof/>
                <w:sz w:val="20"/>
                <w:szCs w:val="20"/>
              </w:rPr>
              <w:t>Цел на ЕС за 2030 г.: „</w:t>
            </w:r>
            <w:r>
              <w:rPr>
                <w:rFonts w:ascii="Times New Roman" w:hAnsi="Times New Roman"/>
                <w:b/>
                <w:bCs/>
                <w:i/>
                <w:iCs/>
                <w:noProof/>
                <w:sz w:val="20"/>
                <w:szCs w:val="20"/>
              </w:rPr>
              <w:t>Свръхмодерни</w:t>
            </w:r>
            <w:r>
              <w:rPr>
                <w:rFonts w:ascii="Times New Roman" w:hAnsi="Times New Roman"/>
                <w:b/>
                <w:i/>
                <w:noProof/>
                <w:sz w:val="20"/>
                <w:szCs w:val="20"/>
              </w:rPr>
              <w:t xml:space="preserve">, </w:t>
            </w:r>
            <w:r>
              <w:rPr>
                <w:rFonts w:ascii="Times New Roman" w:hAnsi="Times New Roman"/>
                <w:b/>
                <w:bCs/>
                <w:i/>
                <w:iCs/>
                <w:noProof/>
                <w:sz w:val="20"/>
                <w:szCs w:val="20"/>
              </w:rPr>
              <w:t>надеждни</w:t>
            </w:r>
            <w:r>
              <w:rPr>
                <w:rFonts w:ascii="Times New Roman" w:hAnsi="Times New Roman"/>
                <w:b/>
                <w:i/>
                <w:noProof/>
                <w:sz w:val="20"/>
                <w:szCs w:val="20"/>
              </w:rPr>
              <w:t xml:space="preserve"> и сигурни цифрови инфраструктури“</w:t>
            </w:r>
          </w:p>
        </w:tc>
      </w:tr>
      <w:tr>
        <w:trPr>
          <w:trHeight w:val="220"/>
        </w:trPr>
        <w:tc>
          <w:tcPr>
            <w:tcW w:w="1951" w:type="dxa"/>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Измерение</w:t>
            </w:r>
          </w:p>
        </w:tc>
        <w:tc>
          <w:tcPr>
            <w:tcW w:w="5528" w:type="dxa"/>
            <w:tcBorders>
              <w:bottom w:val="single" w:sz="4" w:space="0" w:color="auto"/>
            </w:tcBorders>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Сравнение на целите на ЕС за 2030 г. с базовото равнище</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Източник</w:t>
            </w:r>
          </w:p>
        </w:tc>
      </w:tr>
      <w:tr>
        <w:trPr>
          <w:trHeight w:val="1196"/>
        </w:trPr>
        <w:tc>
          <w:tcPr>
            <w:tcW w:w="1951" w:type="dxa"/>
          </w:tcPr>
          <w:p>
            <w:pPr>
              <w:rPr>
                <w:rFonts w:ascii="Times New Roman" w:hAnsi="Times New Roman"/>
                <w:b/>
                <w:noProof/>
                <w:sz w:val="20"/>
                <w:szCs w:val="20"/>
              </w:rPr>
            </w:pPr>
            <w:r>
              <w:rPr>
                <w:rFonts w:ascii="Times New Roman" w:hAnsi="Times New Roman"/>
                <w:noProof/>
                <w:sz w:val="20"/>
                <w:szCs w:val="20"/>
              </w:rPr>
              <w:t>Свързаност</w:t>
            </w:r>
          </w:p>
        </w:tc>
        <w:tc>
          <w:tcPr>
            <w:tcW w:w="5528" w:type="dxa"/>
            <w:shd w:val="clear" w:color="auto" w:fill="auto"/>
          </w:tcPr>
          <w:p>
            <w:pPr>
              <w:rPr>
                <w:rFonts w:ascii="Times New Roman" w:hAnsi="Times New Roman"/>
                <w:noProof/>
                <w:sz w:val="20"/>
                <w:szCs w:val="20"/>
              </w:rPr>
            </w:pPr>
            <w:r>
              <w:rPr>
                <w:rFonts w:ascii="Times New Roman" w:hAnsi="Times New Roman"/>
                <w:b/>
                <w:noProof/>
                <w:sz w:val="20"/>
                <w:szCs w:val="20"/>
              </w:rPr>
              <w:t xml:space="preserve">Всички европейски домакинства </w:t>
            </w:r>
            <w:r>
              <w:rPr>
                <w:rFonts w:ascii="Times New Roman" w:hAnsi="Times New Roman"/>
                <w:noProof/>
                <w:sz w:val="20"/>
                <w:szCs w:val="20"/>
              </w:rPr>
              <w:t xml:space="preserve">ще бъдат покрити от </w:t>
            </w:r>
            <w:r>
              <w:rPr>
                <w:rFonts w:ascii="Times New Roman" w:hAnsi="Times New Roman"/>
                <w:b/>
                <w:noProof/>
                <w:sz w:val="20"/>
                <w:szCs w:val="20"/>
              </w:rPr>
              <w:t>гигабитова мрежа</w:t>
            </w:r>
            <w:r>
              <w:rPr>
                <w:rFonts w:ascii="Times New Roman" w:hAnsi="Times New Roman"/>
                <w:noProof/>
                <w:sz w:val="20"/>
                <w:szCs w:val="20"/>
              </w:rPr>
              <w:t xml:space="preserve"> и </w:t>
            </w:r>
            <w:r>
              <w:rPr>
                <w:rFonts w:ascii="Times New Roman" w:hAnsi="Times New Roman"/>
                <w:b/>
                <w:noProof/>
                <w:sz w:val="20"/>
                <w:szCs w:val="20"/>
              </w:rPr>
              <w:t>всички населени райони</w:t>
            </w:r>
            <w:r>
              <w:rPr>
                <w:rFonts w:ascii="Times New Roman" w:hAnsi="Times New Roman"/>
                <w:noProof/>
                <w:sz w:val="20"/>
                <w:szCs w:val="20"/>
              </w:rPr>
              <w:t xml:space="preserve"> ще бъдат покрити от </w:t>
            </w:r>
            <w:r>
              <w:rPr>
                <w:rFonts w:ascii="Times New Roman" w:hAnsi="Times New Roman"/>
                <w:b/>
                <w:noProof/>
                <w:sz w:val="20"/>
                <w:szCs w:val="20"/>
              </w:rPr>
              <w:t>5G</w:t>
            </w:r>
            <w:r>
              <w:rPr>
                <w:rStyle w:val="FootnoteReference"/>
                <w:rFonts w:ascii="Times New Roman" w:hAnsi="Times New Roman"/>
                <w:noProof/>
                <w:sz w:val="20"/>
                <w:szCs w:val="20"/>
                <w:lang w:val="en-GB"/>
              </w:rPr>
              <w:footnoteReference w:id="5"/>
            </w:r>
          </w:p>
          <w:p>
            <w:pPr>
              <w:rPr>
                <w:rFonts w:ascii="Times New Roman" w:hAnsi="Times New Roman"/>
                <w:noProof/>
                <w:sz w:val="20"/>
                <w:szCs w:val="20"/>
              </w:rPr>
            </w:pPr>
            <w:r>
              <w:rPr>
                <w:rFonts w:ascii="Times New Roman" w:hAnsi="Times New Roman"/>
                <w:noProof/>
                <w:sz w:val="20"/>
                <w:szCs w:val="20"/>
              </w:rPr>
              <w:t>Базово равнище:</w:t>
            </w:r>
          </w:p>
          <w:p>
            <w:pPr>
              <w:ind w:left="37"/>
              <w:rPr>
                <w:rFonts w:ascii="Times New Roman" w:hAnsi="Times New Roman"/>
                <w:noProof/>
                <w:sz w:val="20"/>
                <w:szCs w:val="20"/>
              </w:rPr>
            </w:pPr>
            <w:r>
              <w:rPr>
                <w:rFonts w:ascii="Times New Roman" w:hAnsi="Times New Roman"/>
                <w:b/>
                <w:noProof/>
                <w:sz w:val="20"/>
                <w:szCs w:val="20"/>
              </w:rPr>
              <w:t>— </w:t>
            </w:r>
            <w:r>
              <w:rPr>
                <w:rFonts w:ascii="Times New Roman" w:hAnsi="Times New Roman"/>
                <w:noProof/>
                <w:sz w:val="20"/>
                <w:szCs w:val="20"/>
              </w:rPr>
              <w:t>гигабитово</w:t>
            </w:r>
            <w:r>
              <w:rPr>
                <w:rFonts w:ascii="Times New Roman" w:hAnsi="Times New Roman"/>
                <w:b/>
                <w:noProof/>
                <w:sz w:val="20"/>
                <w:szCs w:val="20"/>
              </w:rPr>
              <w:t xml:space="preserve"> </w:t>
            </w:r>
            <w:r>
              <w:rPr>
                <w:rFonts w:ascii="Times New Roman" w:hAnsi="Times New Roman"/>
                <w:noProof/>
                <w:sz w:val="20"/>
                <w:szCs w:val="20"/>
              </w:rPr>
              <w:t>покритие</w:t>
            </w:r>
            <w:r>
              <w:rPr>
                <w:rFonts w:ascii="Times New Roman" w:hAnsi="Times New Roman"/>
                <w:b/>
                <w:noProof/>
                <w:sz w:val="20"/>
                <w:szCs w:val="20"/>
              </w:rPr>
              <w:t xml:space="preserve"> </w:t>
            </w:r>
            <w:r>
              <w:rPr>
                <w:rFonts w:ascii="Times New Roman" w:hAnsi="Times New Roman"/>
                <w:noProof/>
                <w:sz w:val="20"/>
                <w:szCs w:val="20"/>
              </w:rPr>
              <w:t>(базово равнище за 2020 г.</w:t>
            </w:r>
            <w:r>
              <w:rPr>
                <w:rStyle w:val="FootnoteReference"/>
                <w:rFonts w:ascii="Times New Roman" w:hAnsi="Times New Roman"/>
                <w:noProof/>
                <w:sz w:val="20"/>
                <w:szCs w:val="20"/>
                <w:lang w:val="en-GB"/>
              </w:rPr>
              <w:footnoteReference w:id="6"/>
            </w:r>
            <w:r>
              <w:rPr>
                <w:rFonts w:ascii="Times New Roman" w:hAnsi="Times New Roman"/>
                <w:noProof/>
                <w:sz w:val="20"/>
                <w:szCs w:val="20"/>
              </w:rPr>
              <w:t>: 59 %)</w:t>
            </w:r>
          </w:p>
          <w:p>
            <w:pPr>
              <w:ind w:left="37"/>
              <w:rPr>
                <w:rFonts w:ascii="Times New Roman" w:hAnsi="Times New Roman"/>
                <w:noProof/>
                <w:sz w:val="20"/>
                <w:szCs w:val="20"/>
              </w:rPr>
            </w:pPr>
            <w:r>
              <w:rPr>
                <w:rFonts w:ascii="Times New Roman" w:hAnsi="Times New Roman"/>
                <w:noProof/>
                <w:sz w:val="20"/>
                <w:szCs w:val="20"/>
              </w:rPr>
              <w:t>— покритие с 5G в населените райони</w:t>
            </w:r>
            <w:r>
              <w:rPr>
                <w:rStyle w:val="FootnoteReference"/>
                <w:rFonts w:ascii="Times New Roman" w:hAnsi="Times New Roman"/>
                <w:noProof/>
                <w:sz w:val="20"/>
                <w:szCs w:val="20"/>
                <w:lang w:val="en-GB"/>
              </w:rPr>
              <w:footnoteReference w:id="7"/>
            </w:r>
            <w:r>
              <w:rPr>
                <w:rFonts w:ascii="Times New Roman" w:hAnsi="Times New Roman"/>
                <w:noProof/>
                <w:sz w:val="20"/>
                <w:szCs w:val="20"/>
              </w:rPr>
              <w:t xml:space="preserve"> (базово равнище за 2021 г.: 14 %)</w:t>
            </w:r>
          </w:p>
        </w:tc>
        <w:tc>
          <w:tcPr>
            <w:tcW w:w="1701" w:type="dxa"/>
          </w:tcPr>
          <w:p>
            <w:pPr>
              <w:rPr>
                <w:rFonts w:ascii="Times New Roman" w:hAnsi="Times New Roman"/>
                <w:noProof/>
                <w:sz w:val="20"/>
                <w:szCs w:val="20"/>
              </w:rPr>
            </w:pPr>
            <w:r>
              <w:rPr>
                <w:rFonts w:ascii="Times New Roman" w:hAnsi="Times New Roman"/>
                <w:noProof/>
                <w:sz w:val="20"/>
                <w:szCs w:val="20"/>
              </w:rPr>
              <w:t xml:space="preserve">DESI </w:t>
            </w:r>
          </w:p>
          <w:p>
            <w:pPr>
              <w:rPr>
                <w:rFonts w:ascii="Times New Roman" w:hAnsi="Times New Roman"/>
                <w:noProof/>
                <w:sz w:val="20"/>
                <w:szCs w:val="20"/>
              </w:rPr>
            </w:pPr>
            <w:r>
              <w:rPr>
                <w:rFonts w:ascii="Times New Roman" w:hAnsi="Times New Roman"/>
                <w:noProof/>
                <w:sz w:val="20"/>
                <w:szCs w:val="20"/>
              </w:rPr>
              <w:t>Проучване на покритието с широколентов интернет в Европа, проведено от Omdia</w:t>
            </w:r>
          </w:p>
        </w:tc>
      </w:tr>
      <w:tr>
        <w:trPr>
          <w:trHeight w:val="203"/>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Полупроводници</w:t>
            </w:r>
          </w:p>
        </w:tc>
        <w:tc>
          <w:tcPr>
            <w:tcW w:w="5528" w:type="dxa"/>
            <w:tcBorders>
              <w:bottom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szCs w:val="20"/>
              </w:rPr>
              <w:t xml:space="preserve">Производството на най-модерни и устойчиви полупроводници в Европа, включително процесори, съставлява </w:t>
            </w:r>
            <w:r>
              <w:rPr>
                <w:rFonts w:ascii="Times New Roman" w:hAnsi="Times New Roman"/>
                <w:b/>
                <w:noProof/>
                <w:sz w:val="20"/>
                <w:szCs w:val="20"/>
              </w:rPr>
              <w:t>не по-малко от 20 % от световното производство</w:t>
            </w:r>
            <w:r>
              <w:rPr>
                <w:rFonts w:ascii="Times New Roman" w:hAnsi="Times New Roman"/>
                <w:noProof/>
                <w:sz w:val="20"/>
                <w:szCs w:val="20"/>
              </w:rPr>
              <w:t xml:space="preserve"> по стойност</w:t>
            </w:r>
            <w:r>
              <w:rPr>
                <w:rStyle w:val="FootnoteReference"/>
                <w:rFonts w:ascii="Times New Roman" w:hAnsi="Times New Roman"/>
                <w:noProof/>
                <w:sz w:val="20"/>
                <w:szCs w:val="20"/>
                <w:lang w:val="en-GB"/>
              </w:rPr>
              <w:footnoteReference w:id="8"/>
            </w:r>
            <w:r>
              <w:rPr>
                <w:rFonts w:ascii="Times New Roman" w:hAnsi="Times New Roman"/>
                <w:noProof/>
                <w:sz w:val="20"/>
                <w:szCs w:val="20"/>
              </w:rPr>
              <w:t xml:space="preserve"> </w:t>
            </w:r>
          </w:p>
          <w:p>
            <w:pPr>
              <w:jc w:val="both"/>
              <w:rPr>
                <w:rFonts w:ascii="Times New Roman" w:hAnsi="Times New Roman" w:cs="Times New Roman"/>
                <w:noProof/>
                <w:sz w:val="20"/>
                <w:szCs w:val="20"/>
              </w:rPr>
            </w:pPr>
            <w:r>
              <w:rPr>
                <w:rFonts w:ascii="Times New Roman" w:hAnsi="Times New Roman"/>
                <w:noProof/>
                <w:sz w:val="20"/>
                <w:szCs w:val="20"/>
              </w:rPr>
              <w:t>(базово равнище за 2020 г.: 10 %)</w:t>
            </w:r>
          </w:p>
          <w:p>
            <w:pPr>
              <w:jc w:val="both"/>
              <w:rPr>
                <w:rFonts w:ascii="Times New Roman" w:hAnsi="Times New Roman"/>
                <w:noProof/>
                <w:sz w:val="20"/>
                <w:lang w:val="en-GB"/>
              </w:rPr>
            </w:pPr>
          </w:p>
        </w:tc>
        <w:tc>
          <w:tcPr>
            <w:tcW w:w="1701" w:type="dxa"/>
            <w:tcBorders>
              <w:bottom w:val="single" w:sz="4" w:space="0" w:color="auto"/>
            </w:tcBorders>
          </w:tcPr>
          <w:p>
            <w:pPr>
              <w:rPr>
                <w:rFonts w:ascii="Times New Roman" w:hAnsi="Times New Roman"/>
                <w:noProof/>
                <w:sz w:val="20"/>
              </w:rPr>
            </w:pPr>
            <w:r>
              <w:rPr>
                <w:rFonts w:ascii="Times New Roman" w:hAnsi="Times New Roman"/>
                <w:noProof/>
                <w:sz w:val="20"/>
              </w:rPr>
              <w:t>Източникът на данни ще бъде потвърден в програмата за цифровата политика</w:t>
            </w:r>
          </w:p>
        </w:tc>
      </w:tr>
      <w:tr>
        <w:trPr>
          <w:trHeight w:val="203"/>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Периферни/облачни изчислителни технологии</w:t>
            </w:r>
          </w:p>
        </w:tc>
        <w:tc>
          <w:tcPr>
            <w:tcW w:w="5528" w:type="dxa"/>
            <w:tcBorders>
              <w:bottom w:val="single" w:sz="4" w:space="0" w:color="auto"/>
            </w:tcBorders>
            <w:shd w:val="clear" w:color="auto" w:fill="auto"/>
          </w:tcPr>
          <w:p>
            <w:pPr>
              <w:jc w:val="both"/>
              <w:rPr>
                <w:rFonts w:ascii="Times New Roman" w:hAnsi="Times New Roman"/>
                <w:noProof/>
                <w:sz w:val="20"/>
                <w:szCs w:val="20"/>
              </w:rPr>
            </w:pPr>
            <w:r>
              <w:rPr>
                <w:rFonts w:ascii="Times New Roman" w:hAnsi="Times New Roman"/>
                <w:noProof/>
                <w:sz w:val="20"/>
                <w:szCs w:val="20"/>
              </w:rPr>
              <w:t xml:space="preserve">В ЕС са разположени </w:t>
            </w:r>
            <w:r>
              <w:rPr>
                <w:rFonts w:ascii="Times New Roman" w:hAnsi="Times New Roman"/>
                <w:b/>
                <w:noProof/>
                <w:sz w:val="20"/>
                <w:szCs w:val="20"/>
              </w:rPr>
              <w:t>10 000 неутрални по отношение на климата периферни възела с висока степен на сигурност</w:t>
            </w:r>
            <w:r>
              <w:rPr>
                <w:rFonts w:ascii="Times New Roman" w:hAnsi="Times New Roman"/>
                <w:noProof/>
                <w:sz w:val="20"/>
                <w:szCs w:val="20"/>
              </w:rPr>
              <w:t>, разпределени по начин, който ще гарантира достъп до свързани с данни услуги с малко закъснение (няколко милисекунди), независимо къде се намират предприятията</w:t>
            </w:r>
            <w:r>
              <w:rPr>
                <w:rStyle w:val="FootnoteReference"/>
                <w:rFonts w:ascii="Times New Roman" w:hAnsi="Times New Roman"/>
                <w:noProof/>
                <w:sz w:val="20"/>
                <w:szCs w:val="20"/>
                <w:lang w:val="en-GB"/>
              </w:rPr>
              <w:footnoteReference w:id="9"/>
            </w:r>
          </w:p>
          <w:p>
            <w:pPr>
              <w:jc w:val="both"/>
              <w:rPr>
                <w:rFonts w:ascii="Times New Roman" w:hAnsi="Times New Roman"/>
                <w:noProof/>
                <w:sz w:val="20"/>
                <w:szCs w:val="20"/>
              </w:rPr>
            </w:pPr>
            <w:r>
              <w:rPr>
                <w:rFonts w:ascii="Times New Roman" w:hAnsi="Times New Roman"/>
                <w:noProof/>
                <w:sz w:val="20"/>
                <w:szCs w:val="20"/>
              </w:rPr>
              <w:t>(базово равнище за 2020 г.: 0)</w:t>
            </w:r>
            <w:r>
              <w:rPr>
                <w:rStyle w:val="FootnoteReference"/>
                <w:rFonts w:ascii="Times New Roman" w:hAnsi="Times New Roman"/>
                <w:noProof/>
                <w:sz w:val="20"/>
                <w:szCs w:val="20"/>
              </w:rPr>
              <w:t xml:space="preserve"> </w:t>
            </w:r>
          </w:p>
        </w:tc>
        <w:tc>
          <w:tcPr>
            <w:tcW w:w="1701" w:type="dxa"/>
            <w:tcBorders>
              <w:bottom w:val="single" w:sz="4" w:space="0" w:color="auto"/>
            </w:tcBorders>
          </w:tcPr>
          <w:p>
            <w:pPr>
              <w:jc w:val="both"/>
              <w:rPr>
                <w:rFonts w:ascii="Times New Roman" w:hAnsi="Times New Roman"/>
                <w:noProof/>
                <w:sz w:val="20"/>
                <w:szCs w:val="20"/>
              </w:rPr>
            </w:pPr>
            <w:r>
              <w:rPr>
                <w:rFonts w:ascii="Times New Roman" w:hAnsi="Times New Roman"/>
                <w:noProof/>
                <w:sz w:val="20"/>
                <w:szCs w:val="20"/>
              </w:rPr>
              <w:t>Годишно проучване на внедряването на периферни изчислителни услуги по МСЕ2 (за 2022 г.)</w:t>
            </w:r>
          </w:p>
        </w:tc>
      </w:tr>
      <w:tr>
        <w:trPr>
          <w:trHeight w:val="543"/>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Квантова изчислителна технология</w:t>
            </w:r>
          </w:p>
        </w:tc>
        <w:tc>
          <w:tcPr>
            <w:tcW w:w="5528" w:type="dxa"/>
            <w:tcBorders>
              <w:bottom w:val="single" w:sz="4" w:space="0" w:color="auto"/>
            </w:tcBorders>
            <w:shd w:val="clear" w:color="auto" w:fill="auto"/>
          </w:tcPr>
          <w:p>
            <w:pPr>
              <w:jc w:val="both"/>
              <w:rPr>
                <w:rFonts w:ascii="Times New Roman" w:hAnsi="Times New Roman"/>
                <w:b/>
                <w:i/>
                <w:noProof/>
                <w:sz w:val="20"/>
                <w:szCs w:val="20"/>
              </w:rPr>
            </w:pPr>
            <w:r>
              <w:rPr>
                <w:rFonts w:ascii="Times New Roman" w:hAnsi="Times New Roman"/>
                <w:b/>
                <w:noProof/>
                <w:sz w:val="20"/>
                <w:szCs w:val="20"/>
              </w:rPr>
              <w:t>До 2025 г.</w:t>
            </w:r>
            <w:r>
              <w:rPr>
                <w:rFonts w:ascii="Times New Roman" w:hAnsi="Times New Roman"/>
                <w:noProof/>
                <w:sz w:val="20"/>
                <w:szCs w:val="20"/>
              </w:rPr>
              <w:t xml:space="preserve"> Европа ще разполага със </w:t>
            </w:r>
            <w:r>
              <w:rPr>
                <w:rFonts w:ascii="Times New Roman" w:hAnsi="Times New Roman"/>
                <w:b/>
                <w:noProof/>
                <w:sz w:val="20"/>
                <w:szCs w:val="20"/>
              </w:rPr>
              <w:t>своя първи компютър с квантово</w:t>
            </w:r>
            <w:r>
              <w:rPr>
                <w:rFonts w:ascii="Times New Roman" w:hAnsi="Times New Roman"/>
                <w:noProof/>
                <w:sz w:val="20"/>
                <w:szCs w:val="20"/>
              </w:rPr>
              <w:t xml:space="preserve"> ускоряване, което ще ѝ позволи да заеме водеща позиция в областта на квантовите изчислителни технологии до 2030 г.</w:t>
            </w:r>
            <w:r>
              <w:rPr>
                <w:noProof/>
              </w:rPr>
              <w:t xml:space="preserve"> </w:t>
            </w:r>
          </w:p>
          <w:p>
            <w:pPr>
              <w:jc w:val="both"/>
              <w:rPr>
                <w:rFonts w:ascii="Times New Roman" w:hAnsi="Times New Roman"/>
                <w:noProof/>
                <w:sz w:val="20"/>
                <w:szCs w:val="20"/>
              </w:rPr>
            </w:pPr>
            <w:r>
              <w:rPr>
                <w:rFonts w:ascii="Times New Roman" w:hAnsi="Times New Roman"/>
                <w:noProof/>
                <w:sz w:val="20"/>
                <w:szCs w:val="20"/>
              </w:rPr>
              <w:t>(базово равнище за 2020 г.: 0)</w:t>
            </w:r>
          </w:p>
        </w:tc>
        <w:tc>
          <w:tcPr>
            <w:tcW w:w="1701" w:type="dxa"/>
            <w:tcBorders>
              <w:bottom w:val="single" w:sz="4" w:space="0" w:color="auto"/>
            </w:tcBorders>
          </w:tcPr>
          <w:p>
            <w:pPr>
              <w:rPr>
                <w:rFonts w:ascii="Times New Roman" w:hAnsi="Times New Roman"/>
                <w:noProof/>
                <w:sz w:val="20"/>
                <w:szCs w:val="20"/>
              </w:rPr>
            </w:pPr>
            <w:r>
              <w:rPr>
                <w:rFonts w:ascii="Times New Roman" w:hAnsi="Times New Roman"/>
                <w:noProof/>
                <w:sz w:val="20"/>
                <w:szCs w:val="20"/>
              </w:rPr>
              <w:t>Източникът на данни ще бъде потвърден в програмата за цифровата политика</w:t>
            </w:r>
          </w:p>
        </w:tc>
      </w:tr>
    </w:tbl>
    <w:p>
      <w:pPr>
        <w:rPr>
          <w:rFonts w:ascii="Times New Roman" w:hAnsi="Times New Roman" w:cs="Times New Roman"/>
          <w:noProof/>
        </w:rPr>
        <w:sectPr>
          <w:headerReference w:type="even" r:id="rId26"/>
          <w:headerReference w:type="default" r:id="rId27"/>
          <w:footerReference w:type="even" r:id="rId28"/>
          <w:footerReference w:type="default" r:id="rId29"/>
          <w:headerReference w:type="first" r:id="rId30"/>
          <w:footerReference w:type="first" r:id="rId31"/>
          <w:footnotePr>
            <w:pos w:val="beneathText"/>
          </w:footnotePr>
          <w:pgSz w:w="11906" w:h="16838"/>
          <w:pgMar w:top="1417" w:right="1417" w:bottom="1417" w:left="1417" w:header="708" w:footer="708" w:gutter="0"/>
          <w:cols w:space="720"/>
          <w:docGrid w:linePitch="360"/>
        </w:sectPr>
      </w:pPr>
    </w:p>
    <w:p>
      <w:pPr>
        <w:spacing w:after="120"/>
        <w:jc w:val="both"/>
        <w:rPr>
          <w:rFonts w:ascii="Times New Roman" w:hAnsi="Times New Roman" w:cs="Times New Roman"/>
          <w:noProof/>
          <w:u w:val="single"/>
        </w:rPr>
      </w:pPr>
      <w:r>
        <w:rPr>
          <w:rFonts w:ascii="Times New Roman" w:hAnsi="Times New Roman"/>
          <w:noProof/>
          <w:u w:val="single"/>
        </w:rPr>
        <w:t>Цели на основно направление 3: Цифрова трансформация на предприятията</w:t>
      </w:r>
    </w:p>
    <w:tbl>
      <w:tblPr>
        <w:tblStyle w:val="TableGrid"/>
        <w:tblW w:w="9180" w:type="dxa"/>
        <w:tblLayout w:type="fixed"/>
        <w:tblLook w:val="04A0" w:firstRow="1" w:lastRow="0" w:firstColumn="1" w:lastColumn="0" w:noHBand="0" w:noVBand="1"/>
      </w:tblPr>
      <w:tblGrid>
        <w:gridCol w:w="1951"/>
        <w:gridCol w:w="5528"/>
        <w:gridCol w:w="1701"/>
      </w:tblGrid>
      <w:tr>
        <w:trPr>
          <w:trHeight w:val="334"/>
        </w:trPr>
        <w:tc>
          <w:tcPr>
            <w:tcW w:w="9180" w:type="dxa"/>
            <w:gridSpan w:val="3"/>
            <w:shd w:val="clear" w:color="auto" w:fill="C6D9F1" w:themeFill="text2" w:themeFillTint="33"/>
          </w:tcPr>
          <w:p>
            <w:pPr>
              <w:rPr>
                <w:rFonts w:ascii="Times New Roman" w:hAnsi="Times New Roman"/>
                <w:b/>
                <w:i/>
                <w:noProof/>
                <w:sz w:val="20"/>
                <w:szCs w:val="20"/>
              </w:rPr>
            </w:pPr>
            <w:r>
              <w:rPr>
                <w:rFonts w:ascii="Times New Roman" w:hAnsi="Times New Roman"/>
                <w:b/>
                <w:i/>
                <w:noProof/>
                <w:sz w:val="20"/>
                <w:szCs w:val="20"/>
              </w:rPr>
              <w:t xml:space="preserve">Цел на ЕС за 2030 г.: „Континент с </w:t>
            </w:r>
            <w:r>
              <w:rPr>
                <w:rFonts w:ascii="Times New Roman" w:hAnsi="Times New Roman"/>
                <w:b/>
                <w:bCs/>
                <w:i/>
                <w:iCs/>
                <w:noProof/>
                <w:sz w:val="20"/>
                <w:szCs w:val="20"/>
              </w:rPr>
              <w:t xml:space="preserve">висок дял на цифровизираните </w:t>
            </w:r>
            <w:r>
              <w:rPr>
                <w:rFonts w:ascii="Times New Roman" w:hAnsi="Times New Roman"/>
                <w:b/>
                <w:i/>
                <w:noProof/>
                <w:sz w:val="20"/>
                <w:szCs w:val="20"/>
              </w:rPr>
              <w:t>предприятия“</w:t>
            </w:r>
          </w:p>
        </w:tc>
      </w:tr>
      <w:tr>
        <w:trPr>
          <w:trHeight w:val="334"/>
        </w:trPr>
        <w:tc>
          <w:tcPr>
            <w:tcW w:w="1951" w:type="dxa"/>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Измерение</w:t>
            </w:r>
          </w:p>
        </w:tc>
        <w:tc>
          <w:tcPr>
            <w:tcW w:w="5528" w:type="dxa"/>
            <w:tcBorders>
              <w:bottom w:val="single" w:sz="4" w:space="0" w:color="auto"/>
            </w:tcBorders>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Сравнение на целите на ЕС за 2030 г. с базовото равнище</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Източник</w:t>
            </w:r>
          </w:p>
        </w:tc>
      </w:tr>
      <w:tr>
        <w:trPr>
          <w:trHeight w:val="1189"/>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 xml:space="preserve">Използване на цифрови технологии </w:t>
            </w:r>
          </w:p>
        </w:tc>
        <w:tc>
          <w:tcPr>
            <w:tcW w:w="5528" w:type="dxa"/>
            <w:shd w:val="clear" w:color="auto" w:fill="auto"/>
          </w:tcPr>
          <w:p>
            <w:pPr>
              <w:pStyle w:val="ListParagraph"/>
              <w:spacing w:after="0" w:line="240" w:lineRule="auto"/>
              <w:ind w:left="37"/>
              <w:contextualSpacing w:val="0"/>
              <w:rPr>
                <w:rFonts w:ascii="Times New Roman" w:hAnsi="Times New Roman"/>
                <w:noProof/>
                <w:sz w:val="20"/>
                <w:szCs w:val="20"/>
              </w:rPr>
            </w:pPr>
            <w:r>
              <w:rPr>
                <w:rFonts w:ascii="Times New Roman" w:hAnsi="Times New Roman"/>
                <w:b/>
                <w:noProof/>
                <w:sz w:val="20"/>
                <w:szCs w:val="20"/>
              </w:rPr>
              <w:t>75 % от европейските предприятия</w:t>
            </w:r>
            <w:r>
              <w:rPr>
                <w:rFonts w:ascii="Times New Roman" w:hAnsi="Times New Roman"/>
                <w:noProof/>
                <w:sz w:val="20"/>
                <w:szCs w:val="20"/>
              </w:rPr>
              <w:t xml:space="preserve"> използват:</w:t>
            </w:r>
          </w:p>
          <w:p>
            <w:pPr>
              <w:pStyle w:val="ListParagraph"/>
              <w:numPr>
                <w:ilvl w:val="0"/>
                <w:numId w:val="2"/>
              </w:numPr>
              <w:spacing w:after="0" w:line="240" w:lineRule="auto"/>
              <w:ind w:left="395" w:hanging="179"/>
              <w:contextualSpacing w:val="0"/>
              <w:rPr>
                <w:rFonts w:ascii="Times New Roman" w:hAnsi="Times New Roman"/>
                <w:noProof/>
                <w:sz w:val="20"/>
                <w:szCs w:val="20"/>
              </w:rPr>
            </w:pPr>
            <w:r>
              <w:rPr>
                <w:rFonts w:ascii="Times New Roman" w:hAnsi="Times New Roman"/>
                <w:noProof/>
                <w:sz w:val="20"/>
                <w:szCs w:val="20"/>
              </w:rPr>
              <w:t>компютърни услуги „в облак“</w:t>
            </w:r>
            <w:r>
              <w:rPr>
                <w:rFonts w:ascii="Times New Roman" w:hAnsi="Times New Roman"/>
                <w:b/>
                <w:noProof/>
                <w:sz w:val="20"/>
                <w:szCs w:val="20"/>
              </w:rPr>
              <w:t xml:space="preserve"> </w:t>
            </w:r>
            <w:r>
              <w:rPr>
                <w:rFonts w:ascii="Times New Roman" w:hAnsi="Times New Roman"/>
                <w:noProof/>
                <w:sz w:val="20"/>
                <w:szCs w:val="20"/>
              </w:rPr>
              <w:t>(базово равнище за 2020 г.: 26 %)</w:t>
            </w:r>
          </w:p>
          <w:p>
            <w:pPr>
              <w:pStyle w:val="ListParagraph"/>
              <w:numPr>
                <w:ilvl w:val="0"/>
                <w:numId w:val="2"/>
              </w:numPr>
              <w:spacing w:after="0" w:line="240" w:lineRule="auto"/>
              <w:ind w:left="395" w:hanging="179"/>
              <w:contextualSpacing w:val="0"/>
              <w:rPr>
                <w:rFonts w:ascii="Times New Roman" w:hAnsi="Times New Roman"/>
                <w:noProof/>
                <w:sz w:val="20"/>
                <w:szCs w:val="20"/>
              </w:rPr>
            </w:pPr>
            <w:r>
              <w:rPr>
                <w:rFonts w:ascii="Times New Roman" w:hAnsi="Times New Roman"/>
                <w:noProof/>
                <w:sz w:val="20"/>
                <w:szCs w:val="20"/>
              </w:rPr>
              <w:t>големи информационни масиви (базово равнище за 2020 г.: 14 %)</w:t>
            </w:r>
          </w:p>
          <w:p>
            <w:pPr>
              <w:pStyle w:val="ListParagraph"/>
              <w:numPr>
                <w:ilvl w:val="0"/>
                <w:numId w:val="1"/>
              </w:numPr>
              <w:spacing w:after="0" w:line="240" w:lineRule="auto"/>
              <w:ind w:left="398" w:hanging="142"/>
              <w:contextualSpacing w:val="0"/>
              <w:rPr>
                <w:rFonts w:ascii="Times New Roman" w:hAnsi="Times New Roman"/>
                <w:noProof/>
                <w:sz w:val="20"/>
                <w:szCs w:val="20"/>
              </w:rPr>
            </w:pPr>
            <w:r>
              <w:rPr>
                <w:rFonts w:ascii="Times New Roman" w:hAnsi="Times New Roman"/>
                <w:noProof/>
                <w:sz w:val="20"/>
                <w:szCs w:val="20"/>
              </w:rPr>
              <w:t>изкуствен интелект (ИИ) (базово равнище за 2020 г.: 25 %)</w:t>
            </w:r>
          </w:p>
        </w:tc>
        <w:tc>
          <w:tcPr>
            <w:tcW w:w="1701" w:type="dxa"/>
          </w:tcPr>
          <w:p>
            <w:pPr>
              <w:pStyle w:val="ListParagraph"/>
              <w:spacing w:after="0" w:line="240" w:lineRule="auto"/>
              <w:ind w:left="37"/>
              <w:contextualSpacing w:val="0"/>
              <w:rPr>
                <w:rFonts w:ascii="Times New Roman" w:hAnsi="Times New Roman"/>
                <w:noProof/>
                <w:sz w:val="20"/>
                <w:szCs w:val="20"/>
              </w:rPr>
            </w:pPr>
            <w:r>
              <w:rPr>
                <w:rFonts w:ascii="Times New Roman" w:hAnsi="Times New Roman"/>
                <w:noProof/>
                <w:sz w:val="20"/>
                <w:szCs w:val="20"/>
              </w:rPr>
              <w:t>ESTAT, IPSOS</w:t>
            </w:r>
          </w:p>
        </w:tc>
      </w:tr>
      <w:tr>
        <w:trPr>
          <w:trHeight w:val="198"/>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Късно въвеждане на цифрови технологии</w:t>
            </w:r>
          </w:p>
        </w:tc>
        <w:tc>
          <w:tcPr>
            <w:tcW w:w="5528" w:type="dxa"/>
            <w:tcBorders>
              <w:bottom w:val="single" w:sz="4" w:space="0" w:color="auto"/>
            </w:tcBorders>
            <w:shd w:val="clear" w:color="auto" w:fill="auto"/>
          </w:tcPr>
          <w:p>
            <w:pPr>
              <w:rPr>
                <w:rFonts w:ascii="Times New Roman" w:hAnsi="Times New Roman"/>
                <w:noProof/>
                <w:sz w:val="20"/>
                <w:szCs w:val="20"/>
              </w:rPr>
            </w:pPr>
            <w:r>
              <w:rPr>
                <w:rFonts w:ascii="Times New Roman" w:hAnsi="Times New Roman"/>
                <w:b/>
                <w:noProof/>
                <w:sz w:val="20"/>
                <w:szCs w:val="20"/>
              </w:rPr>
              <w:t>Над 90 % от европейските МСП</w:t>
            </w:r>
            <w:r>
              <w:rPr>
                <w:rFonts w:ascii="Times New Roman" w:hAnsi="Times New Roman"/>
                <w:noProof/>
                <w:sz w:val="20"/>
                <w:szCs w:val="20"/>
              </w:rPr>
              <w:t xml:space="preserve"> да достигнат поне базово равнище на цифров интензитет</w:t>
            </w:r>
            <w:r>
              <w:rPr>
                <w:rStyle w:val="FootnoteReference"/>
                <w:rFonts w:ascii="Times New Roman" w:hAnsi="Times New Roman"/>
                <w:noProof/>
                <w:sz w:val="20"/>
                <w:szCs w:val="20"/>
                <w:lang w:val="en-GB"/>
              </w:rPr>
              <w:footnoteReference w:id="10"/>
            </w:r>
          </w:p>
          <w:p>
            <w:pPr>
              <w:rPr>
                <w:rFonts w:ascii="Times New Roman" w:hAnsi="Times New Roman"/>
                <w:noProof/>
                <w:sz w:val="20"/>
                <w:szCs w:val="20"/>
              </w:rPr>
            </w:pPr>
            <w:r>
              <w:rPr>
                <w:rFonts w:ascii="Times New Roman" w:hAnsi="Times New Roman"/>
                <w:noProof/>
                <w:sz w:val="20"/>
                <w:szCs w:val="20"/>
              </w:rPr>
              <w:t>(базово равнище за 2019 г.: 60,6 %)</w:t>
            </w:r>
          </w:p>
          <w:p>
            <w:pPr>
              <w:rPr>
                <w:rFonts w:ascii="Times New Roman" w:hAnsi="Times New Roman"/>
                <w:noProof/>
                <w:sz w:val="20"/>
                <w:szCs w:val="20"/>
                <w:lang w:val="en-GB"/>
              </w:rPr>
            </w:pPr>
          </w:p>
        </w:tc>
        <w:tc>
          <w:tcPr>
            <w:tcW w:w="1701" w:type="dxa"/>
            <w:tcBorders>
              <w:bottom w:val="single" w:sz="4" w:space="0" w:color="auto"/>
            </w:tcBorders>
          </w:tcPr>
          <w:p>
            <w:pPr>
              <w:rPr>
                <w:rFonts w:ascii="Times New Roman" w:hAnsi="Times New Roman"/>
                <w:noProof/>
                <w:sz w:val="20"/>
                <w:szCs w:val="20"/>
              </w:rPr>
            </w:pPr>
            <w:r>
              <w:rPr>
                <w:rFonts w:ascii="Times New Roman" w:hAnsi="Times New Roman"/>
                <w:noProof/>
                <w:sz w:val="20"/>
                <w:szCs w:val="20"/>
              </w:rPr>
              <w:t>DII, ESTAT</w:t>
            </w:r>
          </w:p>
        </w:tc>
      </w:tr>
      <w:tr>
        <w:trPr>
          <w:trHeight w:val="471"/>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Иновативни предприятия/разрастващи се предприятия</w:t>
            </w:r>
          </w:p>
        </w:tc>
        <w:tc>
          <w:tcPr>
            <w:tcW w:w="5528" w:type="dxa"/>
            <w:tcBorders>
              <w:bottom w:val="single" w:sz="4" w:space="0" w:color="auto"/>
            </w:tcBorders>
            <w:shd w:val="clear" w:color="auto" w:fill="auto"/>
          </w:tcPr>
          <w:p>
            <w:pPr>
              <w:rPr>
                <w:rFonts w:ascii="Times New Roman" w:hAnsi="Times New Roman"/>
                <w:noProof/>
                <w:sz w:val="20"/>
                <w:szCs w:val="20"/>
              </w:rPr>
            </w:pPr>
            <w:r>
              <w:rPr>
                <w:rFonts w:ascii="Times New Roman" w:hAnsi="Times New Roman"/>
                <w:noProof/>
                <w:sz w:val="20"/>
                <w:szCs w:val="20"/>
              </w:rPr>
              <w:t xml:space="preserve">Европа ще разширява непрекъснатия поток от иновативни разрастващи се предприятия и ще подобрява достъпа им до финансиране, като по този начин ще постигне </w:t>
            </w:r>
            <w:r>
              <w:rPr>
                <w:rFonts w:ascii="Times New Roman" w:hAnsi="Times New Roman"/>
                <w:b/>
                <w:noProof/>
                <w:sz w:val="20"/>
                <w:szCs w:val="20"/>
              </w:rPr>
              <w:t>удвояване на броя на фирмите „еднорози“</w:t>
            </w:r>
            <w:r>
              <w:rPr>
                <w:rStyle w:val="FootnoteReference"/>
                <w:rFonts w:ascii="Times New Roman" w:hAnsi="Times New Roman"/>
                <w:noProof/>
                <w:sz w:val="20"/>
                <w:szCs w:val="20"/>
                <w:lang w:val="en-GB"/>
              </w:rPr>
              <w:footnoteReference w:id="11"/>
            </w:r>
          </w:p>
          <w:p>
            <w:pPr>
              <w:rPr>
                <w:rFonts w:ascii="Times New Roman" w:hAnsi="Times New Roman"/>
                <w:noProof/>
                <w:sz w:val="20"/>
                <w:szCs w:val="20"/>
              </w:rPr>
            </w:pPr>
            <w:r>
              <w:rPr>
                <w:rFonts w:ascii="Times New Roman" w:hAnsi="Times New Roman"/>
                <w:noProof/>
                <w:sz w:val="20"/>
                <w:szCs w:val="20"/>
              </w:rPr>
              <w:t>(базово равнище за 2021 г.: 122)</w:t>
            </w:r>
          </w:p>
        </w:tc>
        <w:tc>
          <w:tcPr>
            <w:tcW w:w="1701" w:type="dxa"/>
            <w:tcBorders>
              <w:bottom w:val="single" w:sz="4" w:space="0" w:color="auto"/>
            </w:tcBorders>
          </w:tcPr>
          <w:p>
            <w:pPr>
              <w:rPr>
                <w:rFonts w:ascii="Times New Roman" w:hAnsi="Times New Roman"/>
                <w:noProof/>
                <w:sz w:val="20"/>
              </w:rPr>
            </w:pPr>
            <w:r>
              <w:rPr>
                <w:rFonts w:ascii="Times New Roman" w:hAnsi="Times New Roman"/>
                <w:noProof/>
                <w:sz w:val="20"/>
                <w:szCs w:val="20"/>
              </w:rPr>
              <w:t>Dealroom (използван от Atomico в доклада „State of European Tech“ (Състояние на европейските технологии))</w:t>
            </w:r>
          </w:p>
        </w:tc>
      </w:tr>
    </w:tbl>
    <w:p>
      <w:pPr>
        <w:jc w:val="both"/>
        <w:rPr>
          <w:rFonts w:ascii="Times New Roman" w:hAnsi="Times New Roman" w:cs="Times New Roman"/>
          <w:b/>
          <w:caps/>
          <w:noProof/>
        </w:rPr>
      </w:pPr>
    </w:p>
    <w:p>
      <w:pPr>
        <w:jc w:val="both"/>
        <w:rPr>
          <w:rFonts w:ascii="Times New Roman" w:hAnsi="Times New Roman" w:cs="Times New Roman"/>
          <w:b/>
          <w:caps/>
          <w:noProof/>
        </w:rPr>
        <w:sectPr>
          <w:headerReference w:type="even" r:id="rId32"/>
          <w:headerReference w:type="default" r:id="rId33"/>
          <w:footerReference w:type="even" r:id="rId34"/>
          <w:footerReference w:type="default" r:id="rId35"/>
          <w:headerReference w:type="first" r:id="rId36"/>
          <w:footerReference w:type="first" r:id="rId37"/>
          <w:footnotePr>
            <w:pos w:val="beneathText"/>
          </w:footnotePr>
          <w:pgSz w:w="11906" w:h="16838"/>
          <w:pgMar w:top="1417" w:right="1417" w:bottom="1417" w:left="1417" w:header="708" w:footer="708" w:gutter="0"/>
          <w:cols w:space="720"/>
          <w:docGrid w:linePitch="360"/>
        </w:sectPr>
      </w:pPr>
    </w:p>
    <w:p>
      <w:pPr>
        <w:spacing w:after="120"/>
        <w:jc w:val="both"/>
        <w:rPr>
          <w:rFonts w:ascii="Times New Roman" w:hAnsi="Times New Roman" w:cs="Times New Roman"/>
          <w:noProof/>
          <w:u w:val="single"/>
        </w:rPr>
      </w:pPr>
      <w:r>
        <w:rPr>
          <w:rFonts w:ascii="Times New Roman" w:hAnsi="Times New Roman"/>
          <w:noProof/>
          <w:u w:val="single"/>
        </w:rPr>
        <w:t>Цели на основно направление 4: Цифровизация на обществените услуги</w:t>
      </w:r>
    </w:p>
    <w:tbl>
      <w:tblPr>
        <w:tblStyle w:val="TableGrid"/>
        <w:tblW w:w="9180" w:type="dxa"/>
        <w:tblLayout w:type="fixed"/>
        <w:tblLook w:val="04A0" w:firstRow="1" w:lastRow="0" w:firstColumn="1" w:lastColumn="0" w:noHBand="0" w:noVBand="1"/>
      </w:tblPr>
      <w:tblGrid>
        <w:gridCol w:w="1951"/>
        <w:gridCol w:w="5528"/>
        <w:gridCol w:w="1701"/>
      </w:tblGrid>
      <w:tr>
        <w:trPr>
          <w:trHeight w:val="370"/>
        </w:trPr>
        <w:tc>
          <w:tcPr>
            <w:tcW w:w="9180" w:type="dxa"/>
            <w:gridSpan w:val="3"/>
            <w:shd w:val="clear" w:color="auto" w:fill="C6D9F1" w:themeFill="text2" w:themeFillTint="33"/>
          </w:tcPr>
          <w:p>
            <w:pPr>
              <w:rPr>
                <w:rFonts w:ascii="Times New Roman" w:hAnsi="Times New Roman"/>
                <w:noProof/>
                <w:sz w:val="20"/>
                <w:szCs w:val="20"/>
              </w:rPr>
            </w:pPr>
            <w:r>
              <w:rPr>
                <w:rFonts w:ascii="Times New Roman" w:hAnsi="Times New Roman"/>
                <w:b/>
                <w:i/>
                <w:noProof/>
                <w:sz w:val="20"/>
                <w:szCs w:val="20"/>
              </w:rPr>
              <w:t>Цел на ЕС за 2030 г.: „Модернизирани обществени услуги, отговарящи на обществените потребности“</w:t>
            </w:r>
          </w:p>
          <w:p>
            <w:pPr>
              <w:rPr>
                <w:rFonts w:ascii="Times New Roman" w:hAnsi="Times New Roman"/>
                <w:b/>
                <w:i/>
                <w:noProof/>
                <w:sz w:val="20"/>
              </w:rPr>
            </w:pPr>
          </w:p>
        </w:tc>
      </w:tr>
      <w:tr>
        <w:trPr>
          <w:trHeight w:val="290"/>
        </w:trPr>
        <w:tc>
          <w:tcPr>
            <w:tcW w:w="1951" w:type="dxa"/>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Измерение</w:t>
            </w:r>
          </w:p>
        </w:tc>
        <w:tc>
          <w:tcPr>
            <w:tcW w:w="5528" w:type="dxa"/>
            <w:tcBorders>
              <w:bottom w:val="single" w:sz="4" w:space="0" w:color="auto"/>
            </w:tcBorders>
            <w:shd w:val="clear" w:color="auto" w:fill="D9D9D9" w:themeFill="background1" w:themeFillShade="D9"/>
          </w:tcPr>
          <w:p>
            <w:pPr>
              <w:rPr>
                <w:rFonts w:ascii="Times New Roman" w:hAnsi="Times New Roman"/>
                <w:noProof/>
                <w:sz w:val="20"/>
                <w:szCs w:val="20"/>
              </w:rPr>
            </w:pPr>
            <w:r>
              <w:rPr>
                <w:rFonts w:ascii="Times New Roman" w:hAnsi="Times New Roman"/>
                <w:b/>
                <w:noProof/>
                <w:sz w:val="20"/>
                <w:szCs w:val="20"/>
              </w:rPr>
              <w:t>Сравнение на целите на ЕС за 2030 г. с базовото равнище</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rPr>
            </w:pPr>
            <w:r>
              <w:rPr>
                <w:rFonts w:ascii="Times New Roman" w:hAnsi="Times New Roman"/>
                <w:b/>
                <w:noProof/>
                <w:sz w:val="20"/>
                <w:szCs w:val="20"/>
              </w:rPr>
              <w:t>Източник</w:t>
            </w:r>
          </w:p>
        </w:tc>
      </w:tr>
      <w:tr>
        <w:trPr>
          <w:trHeight w:val="535"/>
        </w:trPr>
        <w:tc>
          <w:tcPr>
            <w:tcW w:w="1951" w:type="dxa"/>
            <w:shd w:val="clear" w:color="auto" w:fill="auto"/>
          </w:tcPr>
          <w:p>
            <w:pPr>
              <w:rPr>
                <w:rFonts w:ascii="Times New Roman" w:hAnsi="Times New Roman"/>
                <w:noProof/>
                <w:sz w:val="20"/>
                <w:szCs w:val="20"/>
              </w:rPr>
            </w:pPr>
            <w:r>
              <w:rPr>
                <w:rFonts w:ascii="Times New Roman" w:hAnsi="Times New Roman"/>
                <w:noProof/>
                <w:sz w:val="20"/>
                <w:szCs w:val="20"/>
              </w:rPr>
              <w:t>Управлението като платформа</w:t>
            </w:r>
          </w:p>
        </w:tc>
        <w:tc>
          <w:tcPr>
            <w:tcW w:w="5528" w:type="dxa"/>
            <w:tcBorders>
              <w:bottom w:val="single" w:sz="4" w:space="0" w:color="auto"/>
            </w:tcBorders>
            <w:shd w:val="clear" w:color="auto" w:fill="auto"/>
          </w:tcPr>
          <w:p>
            <w:pPr>
              <w:rPr>
                <w:rFonts w:ascii="Times New Roman" w:hAnsi="Times New Roman"/>
                <w:noProof/>
                <w:sz w:val="20"/>
                <w:szCs w:val="20"/>
              </w:rPr>
            </w:pPr>
            <w:r>
              <w:rPr>
                <w:rFonts w:ascii="Times New Roman" w:hAnsi="Times New Roman"/>
                <w:noProof/>
                <w:sz w:val="20"/>
                <w:szCs w:val="20"/>
              </w:rPr>
              <w:t>— 100 % от основните обществени услуги</w:t>
            </w:r>
            <w:r>
              <w:rPr>
                <w:rStyle w:val="FootnoteReference"/>
                <w:rFonts w:ascii="Times New Roman" w:hAnsi="Times New Roman"/>
                <w:noProof/>
                <w:sz w:val="20"/>
                <w:szCs w:val="20"/>
                <w:lang w:val="en-GB"/>
              </w:rPr>
              <w:footnoteReference w:id="12"/>
            </w:r>
            <w:r>
              <w:rPr>
                <w:rFonts w:ascii="Times New Roman" w:hAnsi="Times New Roman"/>
                <w:noProof/>
                <w:sz w:val="20"/>
                <w:szCs w:val="20"/>
              </w:rPr>
              <w:t xml:space="preserve"> са на разположение на европейските граждани и предприятия онлайн</w:t>
            </w:r>
          </w:p>
          <w:p>
            <w:pPr>
              <w:rPr>
                <w:rFonts w:ascii="Times New Roman" w:hAnsi="Times New Roman"/>
                <w:noProof/>
                <w:sz w:val="20"/>
                <w:szCs w:val="20"/>
              </w:rPr>
            </w:pPr>
            <w:r>
              <w:rPr>
                <w:rFonts w:ascii="Times New Roman" w:hAnsi="Times New Roman"/>
                <w:noProof/>
                <w:sz w:val="20"/>
                <w:szCs w:val="20"/>
              </w:rPr>
              <w:t xml:space="preserve">— 100 % от европейските граждани имат достъп до медицинските си досиета (електронни медицински картони) </w:t>
            </w:r>
          </w:p>
          <w:p>
            <w:pPr>
              <w:rPr>
                <w:rFonts w:ascii="Times New Roman" w:hAnsi="Times New Roman"/>
                <w:noProof/>
                <w:sz w:val="20"/>
                <w:szCs w:val="20"/>
              </w:rPr>
            </w:pPr>
            <w:r>
              <w:rPr>
                <w:rFonts w:ascii="Times New Roman" w:hAnsi="Times New Roman"/>
                <w:noProof/>
                <w:sz w:val="20"/>
                <w:szCs w:val="20"/>
              </w:rPr>
              <w:t xml:space="preserve">— 80 % от гражданите използват цифрово решение за идентификация на самоличността си </w:t>
            </w:r>
          </w:p>
          <w:p>
            <w:pPr>
              <w:rPr>
                <w:rFonts w:ascii="Times New Roman" w:hAnsi="Times New Roman"/>
                <w:noProof/>
                <w:sz w:val="20"/>
              </w:rPr>
            </w:pPr>
          </w:p>
          <w:p>
            <w:pPr>
              <w:rPr>
                <w:rFonts w:ascii="Times New Roman" w:hAnsi="Times New Roman"/>
                <w:noProof/>
                <w:sz w:val="20"/>
                <w:szCs w:val="20"/>
              </w:rPr>
            </w:pPr>
            <w:r>
              <w:rPr>
                <w:rFonts w:ascii="Times New Roman" w:hAnsi="Times New Roman"/>
                <w:noProof/>
                <w:sz w:val="20"/>
                <w:szCs w:val="20"/>
              </w:rPr>
              <w:t>Базови равнища за 2020 г.:</w:t>
            </w:r>
          </w:p>
          <w:p>
            <w:pPr>
              <w:rPr>
                <w:rFonts w:ascii="Times New Roman" w:hAnsi="Times New Roman"/>
                <w:noProof/>
                <w:sz w:val="20"/>
                <w:szCs w:val="20"/>
              </w:rPr>
            </w:pPr>
            <w:r>
              <w:rPr>
                <w:rFonts w:ascii="Times New Roman" w:hAnsi="Times New Roman"/>
                <w:b/>
                <w:noProof/>
                <w:sz w:val="20"/>
                <w:szCs w:val="20"/>
              </w:rPr>
              <w:t>—</w:t>
            </w:r>
            <w:r>
              <w:rPr>
                <w:rFonts w:ascii="Times New Roman" w:hAnsi="Times New Roman"/>
                <w:noProof/>
                <w:sz w:val="20"/>
                <w:szCs w:val="20"/>
              </w:rPr>
              <w:t> основни цифрови обществени услуги: 75 % (граждани), 84 % (фирми)</w:t>
            </w:r>
          </w:p>
          <w:p>
            <w:pPr>
              <w:rPr>
                <w:rFonts w:ascii="Times New Roman" w:hAnsi="Times New Roman"/>
                <w:noProof/>
                <w:sz w:val="20"/>
                <w:szCs w:val="20"/>
              </w:rPr>
            </w:pPr>
            <w:r>
              <w:rPr>
                <w:rFonts w:ascii="Times New Roman" w:hAnsi="Times New Roman"/>
                <w:noProof/>
                <w:sz w:val="20"/>
                <w:szCs w:val="20"/>
              </w:rPr>
              <w:t>— граждани с достъп до медицински досиета: няма данни</w:t>
            </w:r>
            <w:r>
              <w:rPr>
                <w:rStyle w:val="FootnoteReference"/>
                <w:rFonts w:ascii="Times New Roman" w:hAnsi="Times New Roman"/>
                <w:noProof/>
                <w:sz w:val="20"/>
                <w:szCs w:val="20"/>
                <w:lang w:val="en-GB"/>
              </w:rPr>
              <w:footnoteReference w:id="13"/>
            </w:r>
          </w:p>
          <w:p>
            <w:pPr>
              <w:rPr>
                <w:rFonts w:ascii="Times New Roman" w:hAnsi="Times New Roman"/>
                <w:noProof/>
                <w:sz w:val="20"/>
              </w:rPr>
            </w:pPr>
            <w:r>
              <w:rPr>
                <w:rFonts w:ascii="Times New Roman" w:hAnsi="Times New Roman"/>
                <w:noProof/>
                <w:sz w:val="20"/>
                <w:szCs w:val="20"/>
              </w:rPr>
              <w:t>— цифрова самоличност: понастоящем няма базово равнище за използването на цифровата самоличност</w:t>
            </w:r>
            <w:r>
              <w:rPr>
                <w:rStyle w:val="FootnoteReference"/>
                <w:rFonts w:ascii="Times New Roman" w:hAnsi="Times New Roman"/>
                <w:noProof/>
                <w:sz w:val="20"/>
                <w:szCs w:val="20"/>
                <w:lang w:val="en-GB"/>
              </w:rPr>
              <w:footnoteReference w:id="14"/>
            </w:r>
            <w:r>
              <w:rPr>
                <w:rFonts w:ascii="Times New Roman" w:hAnsi="Times New Roman"/>
                <w:noProof/>
                <w:sz w:val="20"/>
                <w:szCs w:val="20"/>
              </w:rPr>
              <w:t xml:space="preserve"> </w:t>
            </w:r>
            <w:r>
              <w:rPr>
                <w:rFonts w:ascii="Times New Roman" w:hAnsi="Times New Roman"/>
                <w:noProof/>
                <w:sz w:val="20"/>
              </w:rPr>
              <w:t xml:space="preserve"> </w:t>
            </w:r>
          </w:p>
        </w:tc>
        <w:tc>
          <w:tcPr>
            <w:tcW w:w="1701" w:type="dxa"/>
            <w:tcBorders>
              <w:bottom w:val="single" w:sz="4" w:space="0" w:color="auto"/>
            </w:tcBorders>
          </w:tcPr>
          <w:p>
            <w:pPr>
              <w:rPr>
                <w:rFonts w:ascii="Times New Roman" w:hAnsi="Times New Roman"/>
                <w:noProof/>
                <w:sz w:val="20"/>
                <w:szCs w:val="20"/>
              </w:rPr>
            </w:pPr>
            <w:r>
              <w:rPr>
                <w:rFonts w:ascii="Times New Roman" w:hAnsi="Times New Roman"/>
                <w:noProof/>
                <w:sz w:val="20"/>
                <w:szCs w:val="20"/>
              </w:rPr>
              <w:t xml:space="preserve">Показател за извършени онлайн услуги, </w:t>
            </w:r>
          </w:p>
          <w:p>
            <w:pPr>
              <w:rPr>
                <w:rFonts w:ascii="Times New Roman" w:hAnsi="Times New Roman"/>
                <w:b/>
                <w:noProof/>
                <w:sz w:val="20"/>
                <w:szCs w:val="20"/>
              </w:rPr>
            </w:pPr>
            <w:r>
              <w:rPr>
                <w:rFonts w:ascii="Times New Roman" w:hAnsi="Times New Roman"/>
                <w:noProof/>
                <w:sz w:val="20"/>
                <w:szCs w:val="20"/>
              </w:rPr>
              <w:t>сравнителен анализ за електронно управление</w:t>
            </w:r>
            <w:r>
              <w:rPr>
                <w:rStyle w:val="FootnoteReference"/>
                <w:rFonts w:ascii="Times New Roman" w:hAnsi="Times New Roman"/>
                <w:noProof/>
                <w:sz w:val="20"/>
                <w:szCs w:val="20"/>
                <w:lang w:val="en-GB"/>
              </w:rPr>
              <w:footnoteReference w:id="15"/>
            </w:r>
            <w:r>
              <w:rPr>
                <w:rFonts w:ascii="Times New Roman" w:hAnsi="Times New Roman"/>
                <w:noProof/>
                <w:sz w:val="20"/>
                <w:szCs w:val="20"/>
              </w:rPr>
              <w:t xml:space="preserve"> </w:t>
            </w:r>
          </w:p>
        </w:tc>
      </w:tr>
    </w:tbl>
    <w:p>
      <w:pPr>
        <w:rPr>
          <w:rFonts w:ascii="Times New Roman" w:hAnsi="Times New Roman" w:cs="Times New Roman"/>
          <w:noProof/>
          <w:sz w:val="20"/>
          <w:szCs w:val="20"/>
        </w:rPr>
      </w:pPr>
    </w:p>
    <w:sectPr>
      <w:headerReference w:type="even" r:id="rId38"/>
      <w:headerReference w:type="default" r:id="rId39"/>
      <w:footerReference w:type="even" r:id="rId40"/>
      <w:footerReference w:type="default" r:id="rId41"/>
      <w:headerReference w:type="first" r:id="rId42"/>
      <w:footerReference w:type="first" r:id="rId43"/>
      <w:footnotePr>
        <w:pos w:val="beneathText"/>
      </w:footnotePr>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24443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4</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19765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5</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4503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6392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120"/>
        <w:ind w:left="567" w:hanging="567"/>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DESI представлява съставен индекс, който обобщава десетки важни показатели за резултатите на Европа при използването на цифровите технологии и отразява развитието на държавите—членки на ЕС в пет основни направления: свързаност, човешки капитал, използване на интернет, внедряване на цифрови технологии и цифрови обществени услуги. От 2014 г., когато бе публикуван за пръв път, DESI непрекъснато се развива. Той е основният аналитичен инструмент, разработен от службите на Европейската комисия, предназначен да дава основана на данни информация, която служи при оценяването на цифровото развитие в ЕС като цяло, както и в отделните държави членки. Включените в DESI данни се събират предимно от държавите членки чрез службите на Европейската комисия Евростат и Генерална дирекция „Съобщителни мрежи, съдържание и технологии“ и чрез изследвания, провеждани по конкретен повод от службите на Комисията. DESI е динамичен индекс. Влизащите в състава му показатели се разширяват и променят с цел отразяване на новите приоритети и променящите се тенденции. Списъкът на показателите се преразглежда и подобрява ежегодно, за да бъде в крак с най-новите технологии и политически приоритети</w:t>
      </w:r>
      <w:r>
        <w:t>.</w:t>
      </w:r>
    </w:p>
  </w:footnote>
  <w:footnote w:id="3">
    <w:p>
      <w:pPr>
        <w:pStyle w:val="FootnoteText"/>
        <w:spacing w:after="120"/>
        <w:ind w:left="567" w:hanging="567"/>
        <w:rPr>
          <w:rFonts w:ascii="Times New Roman" w:hAnsi="Times New Roman" w:cs="Times New Roman"/>
        </w:rPr>
      </w:pPr>
      <w:r>
        <w:rPr>
          <w:rStyle w:val="FootnoteReference"/>
        </w:rPr>
        <w:footnoteRef/>
      </w:r>
      <w:r>
        <w:t xml:space="preserve"> </w:t>
      </w:r>
      <w:r>
        <w:tab/>
      </w:r>
      <w:r>
        <w:rPr>
          <w:rFonts w:ascii="Times New Roman" w:hAnsi="Times New Roman"/>
        </w:rPr>
        <w:t>В допълнение към целта по отношение на основните цифрови умения, заложена в Плана за действие в областта на европейския стълб на социалните права, 80 % от гражданите на възраст между 16 и 79 години да имат поне основни цифрови умения (базово равнище за 2020 г.: 58,3 %).</w:t>
      </w:r>
    </w:p>
  </w:footnote>
  <w:footnote w:id="4">
    <w:p>
      <w:pPr>
        <w:pStyle w:val="FootnoteText"/>
        <w:spacing w:after="120"/>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Показател на DESI „2b1“. В момента делът на жените от общия брой заети специалисти по ИКТ е само 18 %.</w:t>
      </w:r>
    </w:p>
  </w:footnote>
  <w:footnote w:id="5">
    <w:p>
      <w:pPr>
        <w:pStyle w:val="FootnoteText"/>
        <w:spacing w:after="120"/>
        <w:ind w:left="567" w:hanging="567"/>
        <w:jc w:val="both"/>
      </w:pPr>
      <w:r>
        <w:rPr>
          <w:rStyle w:val="FootnoteReference"/>
        </w:rPr>
        <w:footnoteRef/>
      </w:r>
      <w:r>
        <w:t xml:space="preserve"> </w:t>
      </w:r>
      <w:r>
        <w:tab/>
      </w:r>
      <w:r>
        <w:rPr>
          <w:rFonts w:ascii="Times New Roman" w:hAnsi="Times New Roman"/>
        </w:rPr>
        <w:t>Продължение и разширяване на целите за 2025 г. за общество на гигабитов интернет, които са всички европейски домакинства — както градски, така и селски, да имат достъп до интернет свързаност със скорост от най-малко „100 Mbps, с възможност за достигане на гигабитова скорост“ и „гигабитова свързаност на движещите сили на социално-икономическото развитие (…), както и предприятията, използващи интензивно цифрови технологии“. Осигуряване на непрекъснато 5G покритие за всички градски райони и основните сухопътни транспортни маршрути до 2025 г.</w:t>
      </w:r>
    </w:p>
  </w:footnote>
  <w:footnote w:id="6">
    <w:p>
      <w:pPr>
        <w:pStyle w:val="FootnoteText"/>
        <w:spacing w:after="120"/>
        <w:ind w:left="567" w:hanging="567"/>
        <w:jc w:val="both"/>
      </w:pPr>
      <w:r>
        <w:rPr>
          <w:rStyle w:val="FootnoteReference"/>
        </w:rPr>
        <w:footnoteRef/>
      </w:r>
      <w:r>
        <w:t xml:space="preserve"> </w:t>
      </w:r>
      <w:r>
        <w:tab/>
      </w:r>
      <w:r>
        <w:rPr>
          <w:rFonts w:ascii="Times New Roman" w:hAnsi="Times New Roman"/>
        </w:rPr>
        <w:t xml:space="preserve">Моля, забележете, че понастоящем измерванията стават чрез </w:t>
      </w:r>
      <w:r>
        <w:t xml:space="preserve"> </w:t>
      </w:r>
      <w:r>
        <w:rPr>
          <w:rFonts w:ascii="Times New Roman" w:hAnsi="Times New Roman"/>
        </w:rPr>
        <w:t>показателя на DESI „1b2“ (покритие на домакинства, обхванати от стационарни мрежи с много голям капацитет (VHCN) от всякакъв вид). Технологиите, които на сегашния етап на развитие се считат за мрежи с много голям капацитет, са „оптична линия до дома“ (Fiber to the Home (FTTH)), „оптична линия до сградата“ (Fiber to the building (FTTB) и кабелна „Docsis 3.1“, тъй като всички тези технологии могат да осигурят 1 Gbps в права посока. Разположените в космоса съоръжения могат да бъдат важни фактори, допринасящи за постигането на целта от 100 % покритие, като осигуряват покритие в отдалечените и/или рядко населени райони, които трудно могат да бъдат достигнати по друг начин. За правно определение за мрежи с много голям капацитет вж. член 2, параграф 2 от Директива (ЕС) 2018/1972: „мрежа с много голям капацитет“ означава или електронна съобщителна мрежа, която се състои изцяло от елементи от оптични влакна най-малко до разпределителната точка в обслужвания район, или електронна съобщителна мрежа, която е в състояние да осигурява при обичайни условия на върхово натоварване сходни мрежови показатели по отношение на наличната широчина на честотната лента за предаването в права и обратна посока, стабилността, свързаните с грешките параметри, закъснението и промяната му; мрежовите показатели могат да се считат за сходни, независимо дали използването от страна на крайния ползвател се различава поради изначално различните характеристики на носителя, чрез който мрежата накрая се свързва с крайната точка на мрежата.</w:t>
      </w:r>
    </w:p>
  </w:footnote>
  <w:footnote w:id="7">
    <w:p>
      <w:pPr>
        <w:pStyle w:val="FootnoteText"/>
        <w:spacing w:after="120"/>
        <w:ind w:left="567" w:hanging="567"/>
        <w:jc w:val="both"/>
      </w:pPr>
      <w:r>
        <w:rPr>
          <w:rStyle w:val="FootnoteReference"/>
        </w:rPr>
        <w:footnoteRef/>
      </w:r>
      <w:r>
        <w:t xml:space="preserve"> </w:t>
      </w:r>
      <w:r>
        <w:tab/>
      </w:r>
      <w:r>
        <w:rPr>
          <w:rFonts w:ascii="Times New Roman" w:hAnsi="Times New Roman"/>
        </w:rPr>
        <w:t>Процент на населените райони (т.е. процент на всички места, където се намират домакинства, включително отдалечени райони), имащи покритие от 5G, измерено като общо покритие на далекосъобщителните оператори във всяка държава.</w:t>
      </w:r>
    </w:p>
  </w:footnote>
  <w:footnote w:id="8">
    <w:p>
      <w:pPr>
        <w:pStyle w:val="FootnoteText"/>
        <w:spacing w:after="120"/>
        <w:ind w:left="567" w:hanging="567"/>
        <w:jc w:val="both"/>
      </w:pPr>
      <w:r>
        <w:rPr>
          <w:rStyle w:val="FootnoteReference"/>
        </w:rPr>
        <w:footnoteRef/>
      </w:r>
      <w:r>
        <w:t xml:space="preserve"> </w:t>
      </w:r>
      <w:r>
        <w:tab/>
      </w:r>
      <w:r>
        <w:rPr>
          <w:rFonts w:ascii="Times New Roman" w:hAnsi="Times New Roman"/>
        </w:rPr>
        <w:t>Това означава производствен капацитет за технологии с размер на структурите под 5 nm, с тенденция към 2 nm, и десетократно по-висока енергийна ефективност от днешната. Колкото по-малък е този размер в нанометри, толкова по-малък е размерът на компонента, което намалява размера на транзисторите и ги прави по-бързи и по-ефективни.</w:t>
      </w:r>
    </w:p>
  </w:footnote>
  <w:footnote w:id="9">
    <w:p>
      <w:pPr>
        <w:pStyle w:val="FootnoteText"/>
        <w:spacing w:after="120"/>
        <w:ind w:left="567" w:hanging="567"/>
        <w:jc w:val="both"/>
        <w:rPr>
          <w:rFonts w:ascii="Times New Roman" w:hAnsi="Times New Roman" w:cs="Times New Roman"/>
        </w:rPr>
      </w:pPr>
      <w:r>
        <w:rPr>
          <w:rStyle w:val="FootnoteReference"/>
        </w:rPr>
        <w:footnoteRef/>
      </w:r>
      <w:r>
        <w:tab/>
      </w:r>
      <w:r>
        <w:rPr>
          <w:rFonts w:ascii="Times New Roman" w:hAnsi="Times New Roman"/>
        </w:rPr>
        <w:t>Целта е да се осъществи визията, изложена в стратегията за данните, която предвижда 80 % от обработката на данни да се извършва в периферията до 2025 г. Много от бъдещите услуги за данни и приложения на 5G, като например свързаното автоматизирано шофиране, интелигентното земеделие, интелигентното управление на енергийните мрежи, интелигентното промишлено производство, допускат закъснение от едва няколко милисекунди. За постигането на толкова малко закъснение е необходимо на всеки 100 km да е разположен периферен възел. От 8 до 10 хиляди периферни възела са необходими за изграждане на мрежа с възли на всеки 100 km. Тази плътност на периферните възли на свой ред ще стимулира търсенето сред европейския потребителски отрасъл на нови и новаторски цифрови услуги, основаващи се на локална обработка на данните и ще даде на тези потребители повече възможности за контрол върху данните им. Сегашното базово равнище е нула, тъй като тази технология тепърва възниква и са осъществени едва няколко пилотни проекта (проучването на IDATE от 2019 г. идентифицира 62 случая на внедряване в Европа).</w:t>
      </w:r>
    </w:p>
  </w:footnote>
  <w:footnote w:id="10">
    <w:p>
      <w:pPr>
        <w:pStyle w:val="FootnoteText"/>
        <w:spacing w:after="120"/>
        <w:ind w:left="567" w:hanging="567"/>
        <w:jc w:val="both"/>
      </w:pPr>
      <w:r>
        <w:rPr>
          <w:rStyle w:val="FootnoteReference"/>
        </w:rPr>
        <w:footnoteRef/>
      </w:r>
      <w:r>
        <w:t xml:space="preserve"> </w:t>
      </w:r>
      <w:r>
        <w:tab/>
      </w:r>
      <w:r>
        <w:rPr>
          <w:rFonts w:ascii="Times New Roman" w:hAnsi="Times New Roman"/>
        </w:rPr>
        <w:t>Индексът на цифров интензитет (DII) е индекс на основата на микро-показатели, който отчита наличието на ниво фирми на 12 различни цифрови технологии: интернет за поне 50 % от заетите лица, достъп до специалисти по ИКТ, бърз широколентов интернет (30 Mbps или повече), мобилни интернет устройства за поне 20 % от заетите лица, уебсайт, уебсайт със сложни функции, социални медии, заплащане за реклама в интернет; закупуване на напреднали компютърни услуги в облак; изпращане на електронни фактури, дял на оборота от електронна търговия в размер над 1 % от общия оборот и продажби онлайн „от фирма към потребител“ (B2C) с дял над 10 % от общия размер на оборота на продажбите от уебсайт. По тази причина стойността на индекса варира от 0 до 12. Списъкът на горепосочените 12 показателя се преразглежда и подобрява ежегодно, за да бъде в крак с най-новите технологии и политически приоритети.</w:t>
      </w:r>
    </w:p>
  </w:footnote>
  <w:footnote w:id="11">
    <w:p>
      <w:pPr>
        <w:pStyle w:val="FootnoteText"/>
        <w:spacing w:after="120"/>
        <w:ind w:left="567" w:hanging="567"/>
        <w:jc w:val="both"/>
        <w:rPr>
          <w:rFonts w:ascii="Times New Roman" w:hAnsi="Times New Roman" w:cs="Times New Roman"/>
        </w:rPr>
      </w:pPr>
      <w:r>
        <w:rPr>
          <w:rStyle w:val="FootnoteReference"/>
        </w:rPr>
        <w:footnoteRef/>
      </w:r>
      <w:r>
        <w:tab/>
      </w:r>
      <w:r>
        <w:rPr>
          <w:rFonts w:ascii="Times New Roman" w:hAnsi="Times New Roman"/>
        </w:rPr>
        <w:t>Под „еднорози“ тук разбираме както: 1) реализирани „еднорози“, т.е. фирми, създадени след 1990 г., които са осъществили ППП или търговска продажба в размер над 1 милиард щатски долара, така и 2) нереализирани „еднорози“, т.е. фирми, които са оценени на 1 милиард щатски долара или повече последния път, когато са ползвали частно рисково финансиране (което означава, че оценката не е била потвърдена чрез вторична сделка). През 2019 г. имаше 703 фирми „еднорози“ в САЩ и 206 в Китай</w:t>
      </w:r>
      <w:r>
        <w:t xml:space="preserve"> (</w:t>
      </w:r>
      <w:r>
        <w:rPr>
          <w:rFonts w:ascii="Times New Roman" w:hAnsi="Times New Roman"/>
        </w:rPr>
        <w:t>https://blog.dealroom.co/uk-unicorn-tech-update-for-london-tech-week/).</w:t>
      </w:r>
    </w:p>
  </w:footnote>
  <w:footnote w:id="12">
    <w:p>
      <w:pPr>
        <w:pStyle w:val="FootnoteText"/>
        <w:spacing w:after="120"/>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„Основни обществени услуги“ са услугите, свързани със следните „житейски ситуации“: нормална стопанска дейност, преместване, собственост и шофиране на лек автомобил, започване на процедура по иск с малък материален интерес, започване на бизнес, семеен живот, загуба и намиране на работа и учене (източник: e-Government Benchmark (Сравнителен анализ за електронното управление).  </w:t>
      </w:r>
    </w:p>
  </w:footnote>
  <w:footnote w:id="13">
    <w:p>
      <w:pPr>
        <w:pStyle w:val="FootnoteText"/>
        <w:spacing w:after="120"/>
        <w:ind w:left="567" w:hanging="567"/>
      </w:pPr>
      <w:r>
        <w:rPr>
          <w:rStyle w:val="FootnoteReference"/>
        </w:rPr>
        <w:footnoteRef/>
      </w:r>
      <w:r>
        <w:t xml:space="preserve"> </w:t>
      </w:r>
      <w:r>
        <w:tab/>
      </w:r>
      <w:r>
        <w:rPr>
          <w:rFonts w:ascii="Times New Roman" w:hAnsi="Times New Roman"/>
        </w:rPr>
        <w:t>Могат да бъдат получени чрез инструмента за сравнителен анализ за електронно управление e-Government Benchmark или от административни източници.</w:t>
      </w:r>
    </w:p>
  </w:footnote>
  <w:footnote w:id="14">
    <w:p>
      <w:pPr>
        <w:pStyle w:val="FootnoteText"/>
        <w:spacing w:after="120"/>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Базовото равнище по отношение на наличността на основни услуги, които могат да се използват чрез електронна самоличност, е 58 % (услуги, достъпни в страната) и 9 % (услуги с трансграничен достъп).</w:t>
      </w:r>
    </w:p>
  </w:footnote>
  <w:footnote w:id="15">
    <w:p>
      <w:pPr>
        <w:pStyle w:val="FootnoteText"/>
        <w:spacing w:after="120"/>
        <w:ind w:left="567" w:hanging="567"/>
      </w:pPr>
      <w:r>
        <w:rPr>
          <w:rStyle w:val="FootnoteReference"/>
        </w:rPr>
        <w:footnoteRef/>
      </w:r>
      <w:r>
        <w:t xml:space="preserve"> </w:t>
      </w:r>
      <w:r>
        <w:tab/>
      </w:r>
      <w:r>
        <w:rPr>
          <w:rFonts w:ascii="Times New Roman" w:hAnsi="Times New Roman"/>
        </w:rPr>
        <w:t>Преработен показател за извършени онлайн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9B6"/>
    <w:multiLevelType w:val="hybridMultilevel"/>
    <w:tmpl w:val="0F546690"/>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B134CF2"/>
    <w:multiLevelType w:val="hybridMultilevel"/>
    <w:tmpl w:val="406A81FE"/>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en-CA" w:vendorID="64" w:dllVersion="131078" w:nlCheck="1" w:checkStyle="1"/>
  <w:revisionView w:markup="0"/>
  <w:defaultTabStop w:val="720"/>
  <w:hyphenationZone w:val="425"/>
  <w:characterSpacingControl w:val="doNotCompress"/>
  <w:hdrShapeDefaults>
    <o:shapedefaults v:ext="edit" spidmax="16385"/>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453EB40-A3DF-439E-80D9-CA0F53721CD4"/>
    <w:docVar w:name="LW_COVERPAGE_TYPE" w:val="1"/>
    <w:docVar w:name="LW_CROSSREFERENCE" w:val="&lt;UNUSED&gt;"/>
    <w:docVar w:name="LW_DocType" w:val="NORMAL"/>
    <w:docVar w:name="LW_EMISSION" w:val="9.3.2021"/>
    <w:docVar w:name="LW_EMISSION_ISODATE" w:val="2021-03-09"/>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62?\u1080?\u1092?\u1088?\u1086?\u1074? \u1082?\u1086?\u1084?\u1087?\u1072?\u1089? \u1076?\u1086? 2030 \u1075?.: \u1045?\u1074?\u1088?\u1086?\u1087?\u1077?\u1081?\u1089?\u1082?\u1080?\u1103?\u1090? \u1087?\u1098?\u1090? \u1079?\u1072? \u1094?\u1080?\u1092?\u1088?\u1086?\u1074?\u1086?\u1090?\u1086? \u1076?\u1077?\u1089?\u1077?\u1090?\u1080?\u1083?\u1077?\u1090?\u1080?\u1077?&lt;/FMT&gt;"/>
    <w:docVar w:name="LW_PART_NBR" w:val="1"/>
    <w:docVar w:name="LW_PART_NBR_TOTAL" w:val="1"/>
    <w:docVar w:name="LW_REF.INST.NEW" w:val="COM"/>
    <w:docVar w:name="LW_REF.INST.NEW_ADOPTED" w:val="final"/>
    <w:docVar w:name="LW_REF.INST.NEW_TEXT" w:val="(2021)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98?\u1086?\u1073?\u1097?\u1077?\u1085?\u1080?\u1077? \u1085?\u1072? \u1050?\u1086?\u1084?\u1080?\u1089?\u1080?\u1103?\u1090?\u1072? \u1076?\u1086? \u1045?\u1074?\u1088?\u1086?\u1087?\u1077?\u1081?\u1089?\u1082?\u1080?\u1103? \u1087?\u1072?\u1088?\u1083?\u1072?\u1084?\u1077?\u1085?\u1090?, \u1057?\u1098?\u1074?\u1077?\u1090?\u1072?, \u1045?\u1074?\u1088?\u1086?\u1087?\u1077?\u1081?\u1089?\u1082?\u1080?\u1103? \u1080?\u1082?\u1086?\u1085?\u1086?\u1084?\u1080?\u1095?\u1077?\u1089?\u1082?\u1080? \u1080? \u1089?\u1086?\u1094?\u1080?\u1072?\u1083?\u1077?\u1085? \u1082?\u1086?\u1084?\u1080?\u1090?\u1077?\u1090? \u1080? \u1050?\u1086?\u1084?\u1080?\u1090?\u1077?\u1090?\u1072? \u1085?\u1072? \u1088?\u1077?\u1075?\u1080?\u1086?\u1085?\u1080?\u1090?\u1077?"/>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eastAsia="fr-FR"/>
    </w:rPr>
  </w:style>
  <w:style w:type="paragraph" w:styleId="Heading1">
    <w:name w:val="heading 1"/>
    <w:basedOn w:val="Normal"/>
    <w:next w:val="Normal"/>
    <w:link w:val="Heading1Char"/>
    <w:uiPriority w:val="7"/>
    <w:qFormat/>
    <w:pPr>
      <w:spacing w:before="240" w:after="240"/>
      <w:ind w:left="360" w:hanging="360"/>
      <w:outlineLvl w:val="0"/>
    </w:pPr>
    <w:rPr>
      <w:rFonts w:ascii="Times New Roman" w:eastAsiaTheme="majorEastAsia" w:hAnsi="Times New Roman" w:cs="Times New Roman"/>
      <w:b/>
      <w:smallCaps/>
      <w:lang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bg-B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bg-BG"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bg-BG"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bg-BG"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ind w:left="0" w:firstLine="0"/>
      <w:outlineLvl w:val="9"/>
    </w:pPr>
    <w:rPr>
      <w:rFonts w:asciiTheme="majorHAnsi"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bg-BG"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eastAsia="fr-FR"/>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Theme="minorEastAsia"/>
      <w:sz w:val="20"/>
      <w:szCs w:val="20"/>
      <w:lang w:val="bg-BG" w:eastAsia="fr-FR"/>
    </w:rPr>
  </w:style>
  <w:style w:type="character" w:styleId="EndnoteReference">
    <w:name w:val="endnote reference"/>
    <w:basedOn w:val="DefaultParagraphFont"/>
    <w:uiPriority w:val="99"/>
    <w:semiHidden/>
    <w:unhideWhenUsed/>
    <w:rPr>
      <w:vertAlign w:val="superscript"/>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eastAsia="fr-FR"/>
    </w:rPr>
  </w:style>
  <w:style w:type="paragraph" w:styleId="Heading1">
    <w:name w:val="heading 1"/>
    <w:basedOn w:val="Normal"/>
    <w:next w:val="Normal"/>
    <w:link w:val="Heading1Char"/>
    <w:uiPriority w:val="7"/>
    <w:qFormat/>
    <w:pPr>
      <w:spacing w:before="240" w:after="240"/>
      <w:ind w:left="360" w:hanging="360"/>
      <w:outlineLvl w:val="0"/>
    </w:pPr>
    <w:rPr>
      <w:rFonts w:ascii="Times New Roman" w:eastAsiaTheme="majorEastAsia" w:hAnsi="Times New Roman" w:cs="Times New Roman"/>
      <w:b/>
      <w:smallCaps/>
      <w:lang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bg-B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bg-BG"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bg-BG"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bg-BG"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ind w:left="0" w:firstLine="0"/>
      <w:outlineLvl w:val="9"/>
    </w:pPr>
    <w:rPr>
      <w:rFonts w:asciiTheme="majorHAnsi"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bg-BG"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eastAsia="fr-FR"/>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Theme="minorEastAsia"/>
      <w:sz w:val="20"/>
      <w:szCs w:val="20"/>
      <w:lang w:val="bg-BG" w:eastAsia="fr-FR"/>
    </w:rPr>
  </w:style>
  <w:style w:type="character" w:styleId="EndnoteReference">
    <w:name w:val="endnote reference"/>
    <w:basedOn w:val="DefaultParagraphFont"/>
    <w:uiPriority w:val="99"/>
    <w:semiHidden/>
    <w:unhideWhenUsed/>
    <w:rPr>
      <w:vertAlign w:val="superscript"/>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660">
      <w:bodyDiv w:val="1"/>
      <w:marLeft w:val="0"/>
      <w:marRight w:val="0"/>
      <w:marTop w:val="0"/>
      <w:marBottom w:val="0"/>
      <w:divBdr>
        <w:top w:val="none" w:sz="0" w:space="0" w:color="auto"/>
        <w:left w:val="none" w:sz="0" w:space="0" w:color="auto"/>
        <w:bottom w:val="none" w:sz="0" w:space="0" w:color="auto"/>
        <w:right w:val="none" w:sz="0" w:space="0" w:color="auto"/>
      </w:divBdr>
    </w:div>
    <w:div w:id="71851623">
      <w:bodyDiv w:val="1"/>
      <w:marLeft w:val="0"/>
      <w:marRight w:val="0"/>
      <w:marTop w:val="0"/>
      <w:marBottom w:val="0"/>
      <w:divBdr>
        <w:top w:val="none" w:sz="0" w:space="0" w:color="auto"/>
        <w:left w:val="none" w:sz="0" w:space="0" w:color="auto"/>
        <w:bottom w:val="none" w:sz="0" w:space="0" w:color="auto"/>
        <w:right w:val="none" w:sz="0" w:space="0" w:color="auto"/>
      </w:divBdr>
    </w:div>
    <w:div w:id="161743082">
      <w:bodyDiv w:val="1"/>
      <w:marLeft w:val="0"/>
      <w:marRight w:val="0"/>
      <w:marTop w:val="0"/>
      <w:marBottom w:val="0"/>
      <w:divBdr>
        <w:top w:val="none" w:sz="0" w:space="0" w:color="auto"/>
        <w:left w:val="none" w:sz="0" w:space="0" w:color="auto"/>
        <w:bottom w:val="none" w:sz="0" w:space="0" w:color="auto"/>
        <w:right w:val="none" w:sz="0" w:space="0" w:color="auto"/>
      </w:divBdr>
    </w:div>
    <w:div w:id="233006492">
      <w:bodyDiv w:val="1"/>
      <w:marLeft w:val="0"/>
      <w:marRight w:val="0"/>
      <w:marTop w:val="0"/>
      <w:marBottom w:val="0"/>
      <w:divBdr>
        <w:top w:val="none" w:sz="0" w:space="0" w:color="auto"/>
        <w:left w:val="none" w:sz="0" w:space="0" w:color="auto"/>
        <w:bottom w:val="none" w:sz="0" w:space="0" w:color="auto"/>
        <w:right w:val="none" w:sz="0" w:space="0" w:color="auto"/>
      </w:divBdr>
    </w:div>
    <w:div w:id="235938950">
      <w:bodyDiv w:val="1"/>
      <w:marLeft w:val="0"/>
      <w:marRight w:val="0"/>
      <w:marTop w:val="0"/>
      <w:marBottom w:val="0"/>
      <w:divBdr>
        <w:top w:val="none" w:sz="0" w:space="0" w:color="auto"/>
        <w:left w:val="none" w:sz="0" w:space="0" w:color="auto"/>
        <w:bottom w:val="none" w:sz="0" w:space="0" w:color="auto"/>
        <w:right w:val="none" w:sz="0" w:space="0" w:color="auto"/>
      </w:divBdr>
    </w:div>
    <w:div w:id="407771225">
      <w:bodyDiv w:val="1"/>
      <w:marLeft w:val="0"/>
      <w:marRight w:val="0"/>
      <w:marTop w:val="0"/>
      <w:marBottom w:val="0"/>
      <w:divBdr>
        <w:top w:val="none" w:sz="0" w:space="0" w:color="auto"/>
        <w:left w:val="none" w:sz="0" w:space="0" w:color="auto"/>
        <w:bottom w:val="none" w:sz="0" w:space="0" w:color="auto"/>
        <w:right w:val="none" w:sz="0" w:space="0" w:color="auto"/>
      </w:divBdr>
    </w:div>
    <w:div w:id="521863843">
      <w:bodyDiv w:val="1"/>
      <w:marLeft w:val="0"/>
      <w:marRight w:val="0"/>
      <w:marTop w:val="0"/>
      <w:marBottom w:val="0"/>
      <w:divBdr>
        <w:top w:val="none" w:sz="0" w:space="0" w:color="auto"/>
        <w:left w:val="none" w:sz="0" w:space="0" w:color="auto"/>
        <w:bottom w:val="none" w:sz="0" w:space="0" w:color="auto"/>
        <w:right w:val="none" w:sz="0" w:space="0" w:color="auto"/>
      </w:divBdr>
    </w:div>
    <w:div w:id="568077917">
      <w:bodyDiv w:val="1"/>
      <w:marLeft w:val="0"/>
      <w:marRight w:val="0"/>
      <w:marTop w:val="0"/>
      <w:marBottom w:val="0"/>
      <w:divBdr>
        <w:top w:val="none" w:sz="0" w:space="0" w:color="auto"/>
        <w:left w:val="none" w:sz="0" w:space="0" w:color="auto"/>
        <w:bottom w:val="none" w:sz="0" w:space="0" w:color="auto"/>
        <w:right w:val="none" w:sz="0" w:space="0" w:color="auto"/>
      </w:divBdr>
    </w:div>
    <w:div w:id="589200445">
      <w:bodyDiv w:val="1"/>
      <w:marLeft w:val="0"/>
      <w:marRight w:val="0"/>
      <w:marTop w:val="0"/>
      <w:marBottom w:val="0"/>
      <w:divBdr>
        <w:top w:val="none" w:sz="0" w:space="0" w:color="auto"/>
        <w:left w:val="none" w:sz="0" w:space="0" w:color="auto"/>
        <w:bottom w:val="none" w:sz="0" w:space="0" w:color="auto"/>
        <w:right w:val="none" w:sz="0" w:space="0" w:color="auto"/>
      </w:divBdr>
    </w:div>
    <w:div w:id="633218720">
      <w:bodyDiv w:val="1"/>
      <w:marLeft w:val="0"/>
      <w:marRight w:val="0"/>
      <w:marTop w:val="0"/>
      <w:marBottom w:val="0"/>
      <w:divBdr>
        <w:top w:val="none" w:sz="0" w:space="0" w:color="auto"/>
        <w:left w:val="none" w:sz="0" w:space="0" w:color="auto"/>
        <w:bottom w:val="none" w:sz="0" w:space="0" w:color="auto"/>
        <w:right w:val="none" w:sz="0" w:space="0" w:color="auto"/>
      </w:divBdr>
    </w:div>
    <w:div w:id="762920725">
      <w:bodyDiv w:val="1"/>
      <w:marLeft w:val="0"/>
      <w:marRight w:val="0"/>
      <w:marTop w:val="0"/>
      <w:marBottom w:val="0"/>
      <w:divBdr>
        <w:top w:val="none" w:sz="0" w:space="0" w:color="auto"/>
        <w:left w:val="none" w:sz="0" w:space="0" w:color="auto"/>
        <w:bottom w:val="none" w:sz="0" w:space="0" w:color="auto"/>
        <w:right w:val="none" w:sz="0" w:space="0" w:color="auto"/>
      </w:divBdr>
    </w:div>
    <w:div w:id="930891890">
      <w:bodyDiv w:val="1"/>
      <w:marLeft w:val="0"/>
      <w:marRight w:val="0"/>
      <w:marTop w:val="0"/>
      <w:marBottom w:val="0"/>
      <w:divBdr>
        <w:top w:val="none" w:sz="0" w:space="0" w:color="auto"/>
        <w:left w:val="none" w:sz="0" w:space="0" w:color="auto"/>
        <w:bottom w:val="none" w:sz="0" w:space="0" w:color="auto"/>
        <w:right w:val="none" w:sz="0" w:space="0" w:color="auto"/>
      </w:divBdr>
    </w:div>
    <w:div w:id="1040471206">
      <w:bodyDiv w:val="1"/>
      <w:marLeft w:val="0"/>
      <w:marRight w:val="0"/>
      <w:marTop w:val="0"/>
      <w:marBottom w:val="0"/>
      <w:divBdr>
        <w:top w:val="none" w:sz="0" w:space="0" w:color="auto"/>
        <w:left w:val="none" w:sz="0" w:space="0" w:color="auto"/>
        <w:bottom w:val="none" w:sz="0" w:space="0" w:color="auto"/>
        <w:right w:val="none" w:sz="0" w:space="0" w:color="auto"/>
      </w:divBdr>
    </w:div>
    <w:div w:id="1109813018">
      <w:bodyDiv w:val="1"/>
      <w:marLeft w:val="0"/>
      <w:marRight w:val="0"/>
      <w:marTop w:val="0"/>
      <w:marBottom w:val="0"/>
      <w:divBdr>
        <w:top w:val="none" w:sz="0" w:space="0" w:color="auto"/>
        <w:left w:val="none" w:sz="0" w:space="0" w:color="auto"/>
        <w:bottom w:val="none" w:sz="0" w:space="0" w:color="auto"/>
        <w:right w:val="none" w:sz="0" w:space="0" w:color="auto"/>
      </w:divBdr>
    </w:div>
    <w:div w:id="1135560934">
      <w:bodyDiv w:val="1"/>
      <w:marLeft w:val="0"/>
      <w:marRight w:val="0"/>
      <w:marTop w:val="0"/>
      <w:marBottom w:val="0"/>
      <w:divBdr>
        <w:top w:val="none" w:sz="0" w:space="0" w:color="auto"/>
        <w:left w:val="none" w:sz="0" w:space="0" w:color="auto"/>
        <w:bottom w:val="none" w:sz="0" w:space="0" w:color="auto"/>
        <w:right w:val="none" w:sz="0" w:space="0" w:color="auto"/>
      </w:divBdr>
    </w:div>
    <w:div w:id="1220895468">
      <w:bodyDiv w:val="1"/>
      <w:marLeft w:val="0"/>
      <w:marRight w:val="0"/>
      <w:marTop w:val="0"/>
      <w:marBottom w:val="0"/>
      <w:divBdr>
        <w:top w:val="none" w:sz="0" w:space="0" w:color="auto"/>
        <w:left w:val="none" w:sz="0" w:space="0" w:color="auto"/>
        <w:bottom w:val="none" w:sz="0" w:space="0" w:color="auto"/>
        <w:right w:val="none" w:sz="0" w:space="0" w:color="auto"/>
      </w:divBdr>
    </w:div>
    <w:div w:id="1546871540">
      <w:bodyDiv w:val="1"/>
      <w:marLeft w:val="0"/>
      <w:marRight w:val="0"/>
      <w:marTop w:val="0"/>
      <w:marBottom w:val="0"/>
      <w:divBdr>
        <w:top w:val="none" w:sz="0" w:space="0" w:color="auto"/>
        <w:left w:val="none" w:sz="0" w:space="0" w:color="auto"/>
        <w:bottom w:val="none" w:sz="0" w:space="0" w:color="auto"/>
        <w:right w:val="none" w:sz="0" w:space="0" w:color="auto"/>
      </w:divBdr>
    </w:div>
    <w:div w:id="1569925579">
      <w:bodyDiv w:val="1"/>
      <w:marLeft w:val="0"/>
      <w:marRight w:val="0"/>
      <w:marTop w:val="0"/>
      <w:marBottom w:val="0"/>
      <w:divBdr>
        <w:top w:val="none" w:sz="0" w:space="0" w:color="auto"/>
        <w:left w:val="none" w:sz="0" w:space="0" w:color="auto"/>
        <w:bottom w:val="none" w:sz="0" w:space="0" w:color="auto"/>
        <w:right w:val="none" w:sz="0" w:space="0" w:color="auto"/>
      </w:divBdr>
    </w:div>
    <w:div w:id="1585912011">
      <w:bodyDiv w:val="1"/>
      <w:marLeft w:val="0"/>
      <w:marRight w:val="0"/>
      <w:marTop w:val="0"/>
      <w:marBottom w:val="0"/>
      <w:divBdr>
        <w:top w:val="none" w:sz="0" w:space="0" w:color="auto"/>
        <w:left w:val="none" w:sz="0" w:space="0" w:color="auto"/>
        <w:bottom w:val="none" w:sz="0" w:space="0" w:color="auto"/>
        <w:right w:val="none" w:sz="0" w:space="0" w:color="auto"/>
      </w:divBdr>
    </w:div>
    <w:div w:id="1627857305">
      <w:bodyDiv w:val="1"/>
      <w:marLeft w:val="0"/>
      <w:marRight w:val="0"/>
      <w:marTop w:val="0"/>
      <w:marBottom w:val="0"/>
      <w:divBdr>
        <w:top w:val="none" w:sz="0" w:space="0" w:color="auto"/>
        <w:left w:val="none" w:sz="0" w:space="0" w:color="auto"/>
        <w:bottom w:val="none" w:sz="0" w:space="0" w:color="auto"/>
        <w:right w:val="none" w:sz="0" w:space="0" w:color="auto"/>
      </w:divBdr>
    </w:div>
    <w:div w:id="1636133646">
      <w:bodyDiv w:val="1"/>
      <w:marLeft w:val="0"/>
      <w:marRight w:val="0"/>
      <w:marTop w:val="0"/>
      <w:marBottom w:val="0"/>
      <w:divBdr>
        <w:top w:val="none" w:sz="0" w:space="0" w:color="auto"/>
        <w:left w:val="none" w:sz="0" w:space="0" w:color="auto"/>
        <w:bottom w:val="none" w:sz="0" w:space="0" w:color="auto"/>
        <w:right w:val="none" w:sz="0" w:space="0" w:color="auto"/>
      </w:divBdr>
    </w:div>
    <w:div w:id="1640956907">
      <w:bodyDiv w:val="1"/>
      <w:marLeft w:val="0"/>
      <w:marRight w:val="0"/>
      <w:marTop w:val="0"/>
      <w:marBottom w:val="0"/>
      <w:divBdr>
        <w:top w:val="none" w:sz="0" w:space="0" w:color="auto"/>
        <w:left w:val="none" w:sz="0" w:space="0" w:color="auto"/>
        <w:bottom w:val="none" w:sz="0" w:space="0" w:color="auto"/>
        <w:right w:val="none" w:sz="0" w:space="0" w:color="auto"/>
      </w:divBdr>
    </w:div>
    <w:div w:id="1864325583">
      <w:bodyDiv w:val="1"/>
      <w:marLeft w:val="0"/>
      <w:marRight w:val="0"/>
      <w:marTop w:val="0"/>
      <w:marBottom w:val="0"/>
      <w:divBdr>
        <w:top w:val="none" w:sz="0" w:space="0" w:color="auto"/>
        <w:left w:val="none" w:sz="0" w:space="0" w:color="auto"/>
        <w:bottom w:val="none" w:sz="0" w:space="0" w:color="auto"/>
        <w:right w:val="none" w:sz="0" w:space="0" w:color="auto"/>
      </w:divBdr>
    </w:div>
    <w:div w:id="1884903638">
      <w:bodyDiv w:val="1"/>
      <w:marLeft w:val="0"/>
      <w:marRight w:val="0"/>
      <w:marTop w:val="0"/>
      <w:marBottom w:val="0"/>
      <w:divBdr>
        <w:top w:val="none" w:sz="0" w:space="0" w:color="auto"/>
        <w:left w:val="none" w:sz="0" w:space="0" w:color="auto"/>
        <w:bottom w:val="none" w:sz="0" w:space="0" w:color="auto"/>
        <w:right w:val="none" w:sz="0" w:space="0" w:color="auto"/>
      </w:divBdr>
    </w:div>
    <w:div w:id="1961720504">
      <w:bodyDiv w:val="1"/>
      <w:marLeft w:val="0"/>
      <w:marRight w:val="0"/>
      <w:marTop w:val="0"/>
      <w:marBottom w:val="0"/>
      <w:divBdr>
        <w:top w:val="none" w:sz="0" w:space="0" w:color="auto"/>
        <w:left w:val="none" w:sz="0" w:space="0" w:color="auto"/>
        <w:bottom w:val="none" w:sz="0" w:space="0" w:color="auto"/>
        <w:right w:val="none" w:sz="0" w:space="0" w:color="auto"/>
      </w:divBdr>
    </w:div>
    <w:div w:id="2032684056">
      <w:bodyDiv w:val="1"/>
      <w:marLeft w:val="0"/>
      <w:marRight w:val="0"/>
      <w:marTop w:val="0"/>
      <w:marBottom w:val="0"/>
      <w:divBdr>
        <w:top w:val="none" w:sz="0" w:space="0" w:color="auto"/>
        <w:left w:val="none" w:sz="0" w:space="0" w:color="auto"/>
        <w:bottom w:val="none" w:sz="0" w:space="0" w:color="auto"/>
        <w:right w:val="none" w:sz="0" w:space="0" w:color="auto"/>
      </w:divBdr>
    </w:div>
    <w:div w:id="2050715365">
      <w:bodyDiv w:val="1"/>
      <w:marLeft w:val="0"/>
      <w:marRight w:val="0"/>
      <w:marTop w:val="0"/>
      <w:marBottom w:val="0"/>
      <w:divBdr>
        <w:top w:val="none" w:sz="0" w:space="0" w:color="auto"/>
        <w:left w:val="none" w:sz="0" w:space="0" w:color="auto"/>
        <w:bottom w:val="none" w:sz="0" w:space="0" w:color="auto"/>
        <w:right w:val="none" w:sz="0" w:space="0" w:color="auto"/>
      </w:divBdr>
    </w:div>
    <w:div w:id="2051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c58fb0a-f2a5-4659-bfcb-224b1188052b">EN</EC_Collab_DocumentLanguage>
    <EC_Collab_Reference xmlns="3c58fb0a-f2a5-4659-bfcb-224b1188052b" xsi:nil="true"/>
    <_dlc_DocId xmlns="866aabb8-7ec2-447a-a7ff-f911015037e7">UVNUSV5RWJH5-313226191-369</_dlc_DocId>
    <_dlc_DocIdUrl xmlns="866aabb8-7ec2-447a-a7ff-f911015037e7">
      <Url>https://myintracomm-collab.ec.europa.eu/dg/CONNECT/directorateD/UnitD2/_layouts/15/DocIdRedir.aspx?ID=UVNUSV5RWJH5-313226191-369</Url>
      <Description>UVNUSV5RWJH5-313226191-369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1AEB709759A124D988071725F534713" ma:contentTypeVersion="10" ma:contentTypeDescription="Create a new document." ma:contentTypeScope="" ma:versionID="89e82d61b918f29f97e1a861fd63c6dc">
  <xsd:schema xmlns:xsd="http://www.w3.org/2001/XMLSchema" xmlns:xs="http://www.w3.org/2001/XMLSchema" xmlns:p="http://schemas.microsoft.com/office/2006/metadata/properties" xmlns:ns3="3c58fb0a-f2a5-4659-bfcb-224b1188052b" xmlns:ns4="866aabb8-7ec2-447a-a7ff-f911015037e7" targetNamespace="http://schemas.microsoft.com/office/2006/metadata/properties" ma:root="true" ma:fieldsID="9cf0bc32cd5c870d7ec488eff2046474" ns3:_="" ns4:_="">
    <xsd:import namespace="3c58fb0a-f2a5-4659-bfcb-224b1188052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b0a-f2a5-4659-bfcb-224b1188052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9221-E80F-4F47-AD2E-6AB510A393C9}">
  <ds:schemaRefs>
    <ds:schemaRef ds:uri="http://schemas.microsoft.com/sharepoint/v3/contenttype/forms"/>
  </ds:schemaRefs>
</ds:datastoreItem>
</file>

<file path=customXml/itemProps2.xml><?xml version="1.0" encoding="utf-8"?>
<ds:datastoreItem xmlns:ds="http://schemas.openxmlformats.org/officeDocument/2006/customXml" ds:itemID="{159718B0-82B6-493A-9EBF-CD0D05E534AA}">
  <ds:schemaRefs>
    <ds:schemaRef ds:uri="http://purl.org/dc/elements/1.1/"/>
    <ds:schemaRef ds:uri="http://schemas.microsoft.com/office/2006/metadata/properties"/>
    <ds:schemaRef ds:uri="3c58fb0a-f2a5-4659-bfcb-224b118805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6aabb8-7ec2-447a-a7ff-f911015037e7"/>
    <ds:schemaRef ds:uri="http://www.w3.org/XML/1998/namespace"/>
    <ds:schemaRef ds:uri="http://purl.org/dc/dcmitype/"/>
  </ds:schemaRefs>
</ds:datastoreItem>
</file>

<file path=customXml/itemProps3.xml><?xml version="1.0" encoding="utf-8"?>
<ds:datastoreItem xmlns:ds="http://schemas.openxmlformats.org/officeDocument/2006/customXml" ds:itemID="{62EB289F-E935-4527-9E25-9A29F06B1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b0a-f2a5-4659-bfcb-224b1188052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DCF71-D93C-422F-B9F6-4606E06FB65C}">
  <ds:schemaRefs>
    <ds:schemaRef ds:uri="http://schemas.microsoft.com/sharepoint/events"/>
  </ds:schemaRefs>
</ds:datastoreItem>
</file>

<file path=customXml/itemProps5.xml><?xml version="1.0" encoding="utf-8"?>
<ds:datastoreItem xmlns:ds="http://schemas.openxmlformats.org/officeDocument/2006/customXml" ds:itemID="{E4ED247C-9BA2-43E5-BED3-B7AEAC82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764</Words>
  <Characters>4344</Characters>
  <Application>Microsoft Office Word</Application>
  <DocSecurity>0</DocSecurity>
  <Lines>173</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Eric (CNECT)</dc:creator>
  <cp:keywords/>
  <dc:description/>
  <cp:lastModifiedBy>WES PDFC Administrator</cp:lastModifiedBy>
  <cp:revision>12</cp:revision>
  <dcterms:created xsi:type="dcterms:W3CDTF">2021-03-08T15:49:00Z</dcterms:created>
  <dcterms:modified xsi:type="dcterms:W3CDTF">2021-03-24T16:59:00Z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First annex">
    <vt:lpwstr>1</vt:lpwstr>
  </property>
  <property fmtid="{D5CDD505-2E9C-101B-9397-08002B2CF9AE}" pid="10" name="Last annex">
    <vt:lpwstr>1</vt:lpwstr>
  </property>
  <property fmtid="{D5CDD505-2E9C-101B-9397-08002B2CF9AE}" pid="11" name="Unique annex">
    <vt:lpwstr>1</vt:lpwstr>
  </property>
  <property fmtid="{D5CDD505-2E9C-101B-9397-08002B2CF9AE}" pid="12" name="_dlc_DocIdItemGuid">
    <vt:lpwstr>cdee2c8b-cf5b-40c5-ba8f-c5fea8b3ef2d</vt:lpwstr>
  </property>
  <property fmtid="{D5CDD505-2E9C-101B-9397-08002B2CF9AE}" pid="13" name="_LW_INVALIDATED__LW_INVALIDATED__LW_INVALIDATED__LW_INVALIDATED__LW_INVALIDATED__LW_INVALIDATED__LW_INVALIDATED__LW_INVALIDATED__LW_INVALIDATED_ContentTypeId">
    <vt:lpwstr>0x010100258AA79CEB83498886A3A0868112325000E1AEB709759A124D988071725F534713</vt:lpwstr>
  </property>
  <property fmtid="{D5CDD505-2E9C-101B-9397-08002B2CF9AE}" pid="14" name="_LW_INVALIDATED__LW_INVALIDATED__LW_INVALIDATED__LW_INVALIDATED__LW_INVALIDATED_ContentTypeId">
    <vt:lpwstr>0x010100258AA79CEB83498886A3A0868112325000E1AEB709759A124D988071725F534713</vt:lpwstr>
  </property>
  <property fmtid="{D5CDD505-2E9C-101B-9397-08002B2CF9AE}" pid="15" name="_LW_INVALIDATED__LW_INVALIDATED__LW_INVALIDATED_ContentTypeId">
    <vt:lpwstr>0x010100258AA79CEB83498886A3A0868112325000E1AEB709759A124D988071725F534713</vt:lpwstr>
  </property>
</Properties>
</file>