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CFD93123-DF2F-4F92-A683-86FD43F60353" style="width:450.75pt;height:379.5pt">
            <v:imagedata r:id="rId13" o:title=""/>
          </v:shape>
        </w:pict>
      </w:r>
    </w:p>
    <w:bookmarkEnd w:id="0"/>
    <w:p>
      <w:pPr>
        <w:rPr>
          <w:noProof/>
          <w:lang w:val="en-GB"/>
        </w:rPr>
        <w:sectPr>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6" w:h="16838"/>
          <w:pgMar w:top="1134" w:right="1417" w:bottom="1134" w:left="1417" w:header="709" w:footer="709" w:gutter="0"/>
          <w:pgNumType w:start="0"/>
          <w:cols w:space="720"/>
          <w:docGrid w:linePitch="360"/>
        </w:sectPr>
      </w:pPr>
    </w:p>
    <w:p>
      <w:pPr>
        <w:spacing w:after="240"/>
        <w:jc w:val="center"/>
        <w:rPr>
          <w:rFonts w:ascii="Times New Roman" w:hAnsi="Times New Roman" w:cs="Times New Roman"/>
          <w:b/>
          <w:noProof/>
          <w:u w:val="single"/>
        </w:rPr>
      </w:pPr>
      <w:bookmarkStart w:id="1" w:name="_GoBack"/>
      <w:bookmarkEnd w:id="1"/>
      <w:r>
        <w:rPr>
          <w:rFonts w:ascii="Times New Roman" w:hAnsi="Times New Roman"/>
          <w:b/>
          <w:noProof/>
        </w:rPr>
        <w:lastRenderedPageBreak/>
        <w:t>Proposition d’objectifs communs pour mobiliser les acteurs publics et privés</w:t>
      </w:r>
      <w:r>
        <w:rPr>
          <w:rFonts w:ascii="Times New Roman" w:hAnsi="Times New Roman"/>
          <w:b/>
          <w:bCs/>
          <w:noProof/>
        </w:rPr>
        <w:t xml:space="preserve"> </w:t>
      </w:r>
    </w:p>
    <w:p>
      <w:pPr>
        <w:spacing w:after="240"/>
        <w:jc w:val="both"/>
        <w:rPr>
          <w:rFonts w:ascii="Times New Roman" w:hAnsi="Times New Roman" w:cs="Times New Roman"/>
          <w:noProof/>
        </w:rPr>
      </w:pPr>
      <w:r>
        <w:rPr>
          <w:rFonts w:ascii="Times New Roman" w:hAnsi="Times New Roman"/>
          <w:noProof/>
        </w:rPr>
        <w:t xml:space="preserve">Lors de la sélection des </w:t>
      </w:r>
      <w:r>
        <w:rPr>
          <w:rFonts w:ascii="Times New Roman" w:hAnsi="Times New Roman"/>
          <w:b/>
          <w:bCs/>
          <w:noProof/>
        </w:rPr>
        <w:t>objectifs</w:t>
      </w:r>
      <w:r>
        <w:rPr>
          <w:rFonts w:ascii="Times New Roman" w:hAnsi="Times New Roman"/>
          <w:noProof/>
        </w:rPr>
        <w:t xml:space="preserve">, la Commission a examiné les </w:t>
      </w:r>
      <w:r>
        <w:rPr>
          <w:rFonts w:ascii="Times New Roman" w:hAnsi="Times New Roman"/>
          <w:b/>
          <w:bCs/>
          <w:noProof/>
        </w:rPr>
        <w:t>indicateurs clés de performance</w:t>
      </w:r>
      <w:r>
        <w:rPr>
          <w:rFonts w:ascii="Times New Roman" w:hAnsi="Times New Roman"/>
          <w:noProof/>
        </w:rPr>
        <w:t xml:space="preserve"> (ICP) existants, en gardant à l’esprit qu’il faut pouvoir mesurer les objectifs pour en assurer le suivi. Le niveau de référence et la source des données sont indiqués pour chaque objectif. Le choix des principaux ICP énumérés ci-après a été effectué en partie sur la base des ICP existants faisant l’objet d’un suivi, par exemple dans le cadre du système de suivi de l’indice relatif à l’économie et à la société numériques (DESI) mis en place par la Commission en 2014. Toutefois, il existe également des ICP potentiels pour lesquels il faudrait encore disposer d’études (en cours ou à venir) ou d’autres sources, mettre au point des méthodes ou obtenir des données pertinentes. En outre, il convient de rappeler que même si un ICP donné ne figure pas dans la liste des principaux ICP présentée ci-dessous, cela ne signifie pas qu’il ne fait pas l’objet d’un suivi. De nombreux autres ICP continueront à faire l’objet d’un suivi et de rapports dans le cadre d’un DESI renforcé</w:t>
      </w:r>
      <w:r>
        <w:rPr>
          <w:rStyle w:val="FootnoteReference"/>
          <w:rFonts w:ascii="Times New Roman" w:hAnsi="Times New Roman" w:cs="Times New Roman"/>
          <w:noProof/>
          <w:lang w:val="en-GB"/>
        </w:rPr>
        <w:footnoteReference w:id="2"/>
      </w:r>
      <w:r>
        <w:rPr>
          <w:rFonts w:ascii="Times New Roman" w:hAnsi="Times New Roman"/>
          <w:noProof/>
        </w:rPr>
        <w:t xml:space="preserve">. </w:t>
      </w:r>
    </w:p>
    <w:p>
      <w:pPr>
        <w:spacing w:after="120"/>
        <w:jc w:val="both"/>
        <w:rPr>
          <w:rFonts w:ascii="Times New Roman" w:hAnsi="Times New Roman" w:cs="Times New Roman"/>
          <w:noProof/>
          <w:u w:val="single"/>
        </w:rPr>
      </w:pPr>
      <w:r>
        <w:rPr>
          <w:rFonts w:ascii="Times New Roman" w:hAnsi="Times New Roman"/>
          <w:noProof/>
          <w:u w:val="single"/>
        </w:rPr>
        <w:t>Objectifs de l’axe principal 1: Une population disposant de compétences numériques et des professionnels du numérique hautement qualifiés</w:t>
      </w:r>
    </w:p>
    <w:tbl>
      <w:tblPr>
        <w:tblStyle w:val="TableGrid"/>
        <w:tblW w:w="9180" w:type="dxa"/>
        <w:tblLayout w:type="fixed"/>
        <w:tblLook w:val="04A0" w:firstRow="1" w:lastRow="0" w:firstColumn="1" w:lastColumn="0" w:noHBand="0" w:noVBand="1"/>
      </w:tblPr>
      <w:tblGrid>
        <w:gridCol w:w="1951"/>
        <w:gridCol w:w="5528"/>
        <w:gridCol w:w="1701"/>
      </w:tblGrid>
      <w:tr>
        <w:trPr>
          <w:trHeight w:val="315"/>
        </w:trPr>
        <w:tc>
          <w:tcPr>
            <w:tcW w:w="9180" w:type="dxa"/>
            <w:gridSpan w:val="3"/>
            <w:shd w:val="clear" w:color="auto" w:fill="C6D9F1" w:themeFill="text2" w:themeFillTint="33"/>
          </w:tcPr>
          <w:p>
            <w:pPr>
              <w:rPr>
                <w:rFonts w:ascii="Times New Roman" w:hAnsi="Times New Roman"/>
                <w:b/>
                <w:i/>
                <w:noProof/>
                <w:sz w:val="20"/>
                <w:szCs w:val="20"/>
              </w:rPr>
            </w:pPr>
            <w:r>
              <w:rPr>
                <w:rFonts w:ascii="Times New Roman" w:hAnsi="Times New Roman"/>
                <w:b/>
                <w:i/>
                <w:noProof/>
                <w:sz w:val="20"/>
                <w:szCs w:val="20"/>
              </w:rPr>
              <w:t xml:space="preserve">Objectif de l’UE pour 2030: «Un continent à l’aise avec la technologie où l’autonomie par le numérique est une réalité pour tous» </w:t>
            </w:r>
          </w:p>
        </w:tc>
      </w:tr>
      <w:tr>
        <w:trPr>
          <w:trHeight w:val="315"/>
        </w:trPr>
        <w:tc>
          <w:tcPr>
            <w:tcW w:w="1951" w:type="dxa"/>
            <w:shd w:val="clear" w:color="auto" w:fill="D9D9D9" w:themeFill="background1" w:themeFillShade="D9"/>
          </w:tcPr>
          <w:p>
            <w:pPr>
              <w:rPr>
                <w:rFonts w:ascii="Times New Roman" w:hAnsi="Times New Roman"/>
                <w:noProof/>
                <w:sz w:val="20"/>
                <w:szCs w:val="20"/>
              </w:rPr>
            </w:pPr>
            <w:r>
              <w:rPr>
                <w:rFonts w:ascii="Times New Roman" w:hAnsi="Times New Roman"/>
                <w:b/>
                <w:noProof/>
                <w:sz w:val="20"/>
                <w:szCs w:val="20"/>
              </w:rPr>
              <w:t>Dimension</w:t>
            </w:r>
          </w:p>
        </w:tc>
        <w:tc>
          <w:tcPr>
            <w:tcW w:w="5528" w:type="dxa"/>
            <w:tcBorders>
              <w:bottom w:val="single" w:sz="4" w:space="0" w:color="auto"/>
            </w:tcBorders>
            <w:shd w:val="clear" w:color="auto" w:fill="D9D9D9" w:themeFill="background1" w:themeFillShade="D9"/>
          </w:tcPr>
          <w:p>
            <w:pPr>
              <w:rPr>
                <w:rFonts w:ascii="Times New Roman" w:hAnsi="Times New Roman"/>
                <w:noProof/>
                <w:sz w:val="20"/>
                <w:szCs w:val="20"/>
              </w:rPr>
            </w:pPr>
            <w:r>
              <w:rPr>
                <w:rFonts w:ascii="Times New Roman" w:hAnsi="Times New Roman"/>
                <w:b/>
                <w:noProof/>
                <w:sz w:val="20"/>
                <w:szCs w:val="20"/>
              </w:rPr>
              <w:t>Objectif 2030 de l’UE par rapport au niveau de référence</w:t>
            </w:r>
          </w:p>
        </w:tc>
        <w:tc>
          <w:tcPr>
            <w:tcW w:w="1701" w:type="dxa"/>
            <w:tcBorders>
              <w:bottom w:val="single" w:sz="4" w:space="0" w:color="auto"/>
            </w:tcBorders>
            <w:shd w:val="clear" w:color="auto" w:fill="D9D9D9" w:themeFill="background1" w:themeFillShade="D9"/>
          </w:tcPr>
          <w:p>
            <w:pPr>
              <w:rPr>
                <w:rFonts w:ascii="Times New Roman" w:hAnsi="Times New Roman"/>
                <w:b/>
                <w:noProof/>
                <w:sz w:val="20"/>
                <w:szCs w:val="20"/>
              </w:rPr>
            </w:pPr>
            <w:r>
              <w:rPr>
                <w:rFonts w:ascii="Times New Roman" w:hAnsi="Times New Roman"/>
                <w:b/>
                <w:noProof/>
                <w:sz w:val="20"/>
                <w:szCs w:val="20"/>
              </w:rPr>
              <w:t xml:space="preserve">Source </w:t>
            </w:r>
          </w:p>
        </w:tc>
      </w:tr>
      <w:tr>
        <w:trPr>
          <w:trHeight w:val="164"/>
        </w:trPr>
        <w:tc>
          <w:tcPr>
            <w:tcW w:w="1951" w:type="dxa"/>
            <w:shd w:val="clear" w:color="auto" w:fill="auto"/>
          </w:tcPr>
          <w:p>
            <w:pPr>
              <w:rPr>
                <w:rFonts w:ascii="Times New Roman" w:hAnsi="Times New Roman"/>
                <w:noProof/>
                <w:sz w:val="20"/>
                <w:szCs w:val="20"/>
              </w:rPr>
            </w:pPr>
            <w:r>
              <w:rPr>
                <w:rFonts w:ascii="Times New Roman" w:hAnsi="Times New Roman"/>
                <w:noProof/>
                <w:sz w:val="20"/>
                <w:szCs w:val="20"/>
              </w:rPr>
              <w:t>Spécialistes des TIC</w:t>
            </w:r>
            <w:r>
              <w:rPr>
                <w:rStyle w:val="FootnoteReference"/>
                <w:rFonts w:ascii="Times New Roman" w:hAnsi="Times New Roman"/>
                <w:noProof/>
                <w:sz w:val="20"/>
                <w:szCs w:val="20"/>
                <w:lang w:val="en-GB"/>
              </w:rPr>
              <w:footnoteReference w:id="3"/>
            </w:r>
          </w:p>
        </w:tc>
        <w:tc>
          <w:tcPr>
            <w:tcW w:w="5528" w:type="dxa"/>
            <w:shd w:val="clear" w:color="auto" w:fill="auto"/>
          </w:tcPr>
          <w:p>
            <w:pPr>
              <w:rPr>
                <w:rFonts w:ascii="Times New Roman" w:hAnsi="Times New Roman"/>
                <w:noProof/>
                <w:sz w:val="20"/>
                <w:szCs w:val="20"/>
              </w:rPr>
            </w:pPr>
            <w:r>
              <w:rPr>
                <w:rFonts w:ascii="Times New Roman" w:hAnsi="Times New Roman"/>
                <w:b/>
                <w:noProof/>
                <w:sz w:val="20"/>
                <w:szCs w:val="20"/>
              </w:rPr>
              <w:t>20 millions</w:t>
            </w:r>
            <w:r>
              <w:rPr>
                <w:rFonts w:ascii="Times New Roman" w:hAnsi="Times New Roman"/>
                <w:noProof/>
                <w:sz w:val="20"/>
                <w:szCs w:val="20"/>
              </w:rPr>
              <w:t xml:space="preserve"> de spécialistes employés dans le secteur des TIC, avec parité entre les femmes et les hommes</w:t>
            </w:r>
            <w:r>
              <w:rPr>
                <w:rStyle w:val="FootnoteReference"/>
                <w:rFonts w:ascii="Times New Roman" w:hAnsi="Times New Roman"/>
                <w:noProof/>
                <w:sz w:val="20"/>
                <w:szCs w:val="20"/>
                <w:lang w:val="en-GB"/>
              </w:rPr>
              <w:footnoteReference w:id="4"/>
            </w:r>
            <w:r>
              <w:rPr>
                <w:rFonts w:ascii="Times New Roman" w:hAnsi="Times New Roman"/>
                <w:noProof/>
                <w:sz w:val="20"/>
                <w:szCs w:val="20"/>
              </w:rPr>
              <w:t xml:space="preserve"> (niveau de référence de 2019: 7,8 millions)</w:t>
            </w:r>
          </w:p>
        </w:tc>
        <w:tc>
          <w:tcPr>
            <w:tcW w:w="1701" w:type="dxa"/>
          </w:tcPr>
          <w:p>
            <w:pPr>
              <w:rPr>
                <w:rFonts w:ascii="Times New Roman" w:hAnsi="Times New Roman"/>
                <w:noProof/>
                <w:sz w:val="20"/>
                <w:szCs w:val="20"/>
              </w:rPr>
            </w:pPr>
            <w:r>
              <w:rPr>
                <w:rFonts w:ascii="Times New Roman" w:hAnsi="Times New Roman"/>
                <w:noProof/>
                <w:sz w:val="20"/>
                <w:szCs w:val="20"/>
              </w:rPr>
              <w:t>DESI, ESTAT</w:t>
            </w:r>
          </w:p>
        </w:tc>
      </w:tr>
    </w:tbl>
    <w:p>
      <w:pPr>
        <w:spacing w:after="120"/>
        <w:jc w:val="both"/>
        <w:rPr>
          <w:rFonts w:ascii="Times New Roman" w:hAnsi="Times New Roman" w:cs="Times New Roman"/>
          <w:noProof/>
          <w:u w:val="single"/>
          <w:lang w:val="en-GB"/>
        </w:rPr>
        <w:sectPr>
          <w:headerReference w:type="even" r:id="rId20"/>
          <w:headerReference w:type="default" r:id="rId21"/>
          <w:footerReference w:type="even" r:id="rId22"/>
          <w:footerReference w:type="default" r:id="rId23"/>
          <w:headerReference w:type="first" r:id="rId24"/>
          <w:footerReference w:type="first" r:id="rId25"/>
          <w:footnotePr>
            <w:pos w:val="beneathText"/>
          </w:footnotePr>
          <w:pgSz w:w="11906" w:h="16838"/>
          <w:pgMar w:top="1417" w:right="1417" w:bottom="1417" w:left="1417" w:header="708" w:footer="708" w:gutter="0"/>
          <w:cols w:space="720"/>
          <w:docGrid w:linePitch="360"/>
        </w:sectPr>
      </w:pPr>
    </w:p>
    <w:p>
      <w:pPr>
        <w:spacing w:after="120"/>
        <w:rPr>
          <w:rFonts w:ascii="Times New Roman" w:hAnsi="Times New Roman" w:cs="Times New Roman"/>
          <w:noProof/>
          <w:u w:val="single"/>
        </w:rPr>
      </w:pPr>
      <w:r>
        <w:rPr>
          <w:rFonts w:ascii="Times New Roman" w:hAnsi="Times New Roman"/>
          <w:noProof/>
          <w:u w:val="single"/>
        </w:rPr>
        <w:t xml:space="preserve">Objectifs de l’axe principal 2: Des infrastructures numériques durables, sûres et efficaces </w:t>
      </w:r>
    </w:p>
    <w:tbl>
      <w:tblPr>
        <w:tblStyle w:val="TableGrid"/>
        <w:tblW w:w="9180" w:type="dxa"/>
        <w:tblLayout w:type="fixed"/>
        <w:tblLook w:val="04A0" w:firstRow="1" w:lastRow="0" w:firstColumn="1" w:lastColumn="0" w:noHBand="0" w:noVBand="1"/>
      </w:tblPr>
      <w:tblGrid>
        <w:gridCol w:w="1951"/>
        <w:gridCol w:w="5528"/>
        <w:gridCol w:w="1701"/>
      </w:tblGrid>
      <w:tr>
        <w:trPr>
          <w:trHeight w:val="197"/>
        </w:trPr>
        <w:tc>
          <w:tcPr>
            <w:tcW w:w="9180" w:type="dxa"/>
            <w:gridSpan w:val="3"/>
            <w:shd w:val="clear" w:color="auto" w:fill="C6D9F1" w:themeFill="text2" w:themeFillTint="33"/>
          </w:tcPr>
          <w:p>
            <w:pPr>
              <w:shd w:val="clear" w:color="auto" w:fill="C6D9F1" w:themeFill="text2" w:themeFillTint="33"/>
              <w:rPr>
                <w:rFonts w:ascii="Times New Roman" w:hAnsi="Times New Roman"/>
                <w:b/>
                <w:i/>
                <w:noProof/>
                <w:sz w:val="20"/>
                <w:szCs w:val="20"/>
              </w:rPr>
            </w:pPr>
            <w:r>
              <w:rPr>
                <w:rFonts w:ascii="Times New Roman" w:hAnsi="Times New Roman"/>
                <w:b/>
                <w:i/>
                <w:noProof/>
                <w:sz w:val="20"/>
                <w:szCs w:val="20"/>
              </w:rPr>
              <w:t>Objectif de l’UE pour 2030: «Des infrastructures numériques haut de gamme, fiables et sûres»</w:t>
            </w:r>
          </w:p>
        </w:tc>
      </w:tr>
      <w:tr>
        <w:trPr>
          <w:trHeight w:val="220"/>
        </w:trPr>
        <w:tc>
          <w:tcPr>
            <w:tcW w:w="1951" w:type="dxa"/>
            <w:shd w:val="clear" w:color="auto" w:fill="D9D9D9" w:themeFill="background1" w:themeFillShade="D9"/>
          </w:tcPr>
          <w:p>
            <w:pPr>
              <w:rPr>
                <w:rFonts w:ascii="Times New Roman" w:hAnsi="Times New Roman"/>
                <w:b/>
                <w:noProof/>
                <w:sz w:val="20"/>
                <w:szCs w:val="20"/>
              </w:rPr>
            </w:pPr>
            <w:r>
              <w:rPr>
                <w:rFonts w:ascii="Times New Roman" w:hAnsi="Times New Roman"/>
                <w:b/>
                <w:noProof/>
                <w:sz w:val="20"/>
                <w:szCs w:val="20"/>
              </w:rPr>
              <w:t>Dimension</w:t>
            </w:r>
          </w:p>
        </w:tc>
        <w:tc>
          <w:tcPr>
            <w:tcW w:w="5528" w:type="dxa"/>
            <w:tcBorders>
              <w:bottom w:val="single" w:sz="4" w:space="0" w:color="auto"/>
            </w:tcBorders>
            <w:shd w:val="clear" w:color="auto" w:fill="D9D9D9" w:themeFill="background1" w:themeFillShade="D9"/>
          </w:tcPr>
          <w:p>
            <w:pPr>
              <w:rPr>
                <w:rFonts w:ascii="Times New Roman" w:hAnsi="Times New Roman"/>
                <w:b/>
                <w:noProof/>
                <w:sz w:val="20"/>
                <w:szCs w:val="20"/>
              </w:rPr>
            </w:pPr>
            <w:r>
              <w:rPr>
                <w:rFonts w:ascii="Times New Roman" w:hAnsi="Times New Roman"/>
                <w:b/>
                <w:noProof/>
                <w:sz w:val="20"/>
                <w:szCs w:val="20"/>
              </w:rPr>
              <w:t>Objectif 2030 de l’UE par rapport au niveau de référence</w:t>
            </w:r>
          </w:p>
        </w:tc>
        <w:tc>
          <w:tcPr>
            <w:tcW w:w="1701" w:type="dxa"/>
            <w:tcBorders>
              <w:bottom w:val="single" w:sz="4" w:space="0" w:color="auto"/>
            </w:tcBorders>
            <w:shd w:val="clear" w:color="auto" w:fill="D9D9D9" w:themeFill="background1" w:themeFillShade="D9"/>
          </w:tcPr>
          <w:p>
            <w:pPr>
              <w:rPr>
                <w:rFonts w:ascii="Times New Roman" w:hAnsi="Times New Roman"/>
                <w:b/>
                <w:noProof/>
                <w:sz w:val="20"/>
                <w:szCs w:val="20"/>
              </w:rPr>
            </w:pPr>
            <w:r>
              <w:rPr>
                <w:rFonts w:ascii="Times New Roman" w:hAnsi="Times New Roman"/>
                <w:b/>
                <w:noProof/>
                <w:sz w:val="20"/>
                <w:szCs w:val="20"/>
              </w:rPr>
              <w:t>Source</w:t>
            </w:r>
          </w:p>
        </w:tc>
      </w:tr>
      <w:tr>
        <w:trPr>
          <w:trHeight w:val="1196"/>
        </w:trPr>
        <w:tc>
          <w:tcPr>
            <w:tcW w:w="1951" w:type="dxa"/>
          </w:tcPr>
          <w:p>
            <w:pPr>
              <w:rPr>
                <w:rFonts w:ascii="Times New Roman" w:hAnsi="Times New Roman"/>
                <w:b/>
                <w:noProof/>
                <w:sz w:val="20"/>
                <w:szCs w:val="20"/>
              </w:rPr>
            </w:pPr>
            <w:r>
              <w:rPr>
                <w:rFonts w:ascii="Times New Roman" w:hAnsi="Times New Roman"/>
                <w:noProof/>
                <w:sz w:val="20"/>
                <w:szCs w:val="20"/>
              </w:rPr>
              <w:t>Connectivité</w:t>
            </w:r>
          </w:p>
        </w:tc>
        <w:tc>
          <w:tcPr>
            <w:tcW w:w="5528" w:type="dxa"/>
            <w:shd w:val="clear" w:color="auto" w:fill="auto"/>
          </w:tcPr>
          <w:p>
            <w:pPr>
              <w:rPr>
                <w:rFonts w:ascii="Times New Roman" w:hAnsi="Times New Roman"/>
                <w:noProof/>
                <w:sz w:val="20"/>
                <w:szCs w:val="20"/>
              </w:rPr>
            </w:pPr>
            <w:r>
              <w:rPr>
                <w:rFonts w:ascii="Times New Roman" w:hAnsi="Times New Roman"/>
                <w:noProof/>
                <w:sz w:val="20"/>
                <w:szCs w:val="20"/>
              </w:rPr>
              <w:t xml:space="preserve">Couverture de </w:t>
            </w:r>
            <w:r>
              <w:rPr>
                <w:rFonts w:ascii="Times New Roman" w:hAnsi="Times New Roman"/>
                <w:b/>
                <w:noProof/>
                <w:sz w:val="20"/>
                <w:szCs w:val="20"/>
              </w:rPr>
              <w:t>tous les ménages européens</w:t>
            </w:r>
            <w:r>
              <w:rPr>
                <w:rFonts w:ascii="Times New Roman" w:hAnsi="Times New Roman"/>
                <w:noProof/>
                <w:sz w:val="20"/>
                <w:szCs w:val="20"/>
              </w:rPr>
              <w:t xml:space="preserve"> par</w:t>
            </w:r>
            <w:r>
              <w:rPr>
                <w:rFonts w:ascii="Times New Roman" w:hAnsi="Times New Roman"/>
                <w:b/>
                <w:noProof/>
                <w:sz w:val="20"/>
                <w:szCs w:val="20"/>
              </w:rPr>
              <w:t xml:space="preserve"> un réseau en gigabit</w:t>
            </w:r>
            <w:r>
              <w:rPr>
                <w:rFonts w:ascii="Times New Roman" w:hAnsi="Times New Roman"/>
                <w:noProof/>
                <w:sz w:val="20"/>
                <w:szCs w:val="20"/>
              </w:rPr>
              <w:t xml:space="preserve">, </w:t>
            </w:r>
            <w:r>
              <w:rPr>
                <w:rFonts w:ascii="Times New Roman" w:hAnsi="Times New Roman"/>
                <w:b/>
                <w:noProof/>
                <w:sz w:val="20"/>
                <w:szCs w:val="20"/>
              </w:rPr>
              <w:t>toutes les zones habitées</w:t>
            </w:r>
            <w:r>
              <w:rPr>
                <w:rFonts w:ascii="Times New Roman" w:hAnsi="Times New Roman"/>
                <w:noProof/>
                <w:sz w:val="20"/>
                <w:szCs w:val="20"/>
              </w:rPr>
              <w:t xml:space="preserve"> étant couvertes par la </w:t>
            </w:r>
            <w:r>
              <w:rPr>
                <w:rFonts w:ascii="Times New Roman" w:hAnsi="Times New Roman"/>
                <w:b/>
                <w:noProof/>
                <w:sz w:val="20"/>
                <w:szCs w:val="20"/>
              </w:rPr>
              <w:t>5G</w:t>
            </w:r>
            <w:r>
              <w:rPr>
                <w:rStyle w:val="FootnoteReference"/>
                <w:rFonts w:ascii="Times New Roman" w:hAnsi="Times New Roman"/>
                <w:noProof/>
                <w:sz w:val="20"/>
                <w:szCs w:val="20"/>
                <w:lang w:val="en-GB"/>
              </w:rPr>
              <w:footnoteReference w:id="5"/>
            </w:r>
            <w:r>
              <w:rPr>
                <w:rFonts w:ascii="Times New Roman" w:hAnsi="Times New Roman"/>
                <w:noProof/>
                <w:sz w:val="20"/>
                <w:szCs w:val="20"/>
              </w:rPr>
              <w:t>.</w:t>
            </w:r>
          </w:p>
          <w:p>
            <w:pPr>
              <w:rPr>
                <w:rFonts w:ascii="Times New Roman" w:hAnsi="Times New Roman"/>
                <w:noProof/>
                <w:sz w:val="20"/>
                <w:szCs w:val="20"/>
              </w:rPr>
            </w:pPr>
            <w:r>
              <w:rPr>
                <w:rFonts w:ascii="Times New Roman" w:hAnsi="Times New Roman"/>
                <w:noProof/>
                <w:sz w:val="20"/>
                <w:szCs w:val="20"/>
              </w:rPr>
              <w:t>Niveau de référence:</w:t>
            </w:r>
          </w:p>
          <w:p>
            <w:pPr>
              <w:ind w:left="37"/>
              <w:rPr>
                <w:rFonts w:ascii="Times New Roman" w:hAnsi="Times New Roman"/>
                <w:noProof/>
                <w:sz w:val="20"/>
                <w:szCs w:val="20"/>
              </w:rPr>
            </w:pPr>
            <w:r>
              <w:rPr>
                <w:rFonts w:ascii="Times New Roman" w:hAnsi="Times New Roman"/>
                <w:noProof/>
                <w:sz w:val="20"/>
                <w:szCs w:val="20"/>
              </w:rPr>
              <w:t>- Couverture en gigabit (niveau de référence 2020</w:t>
            </w:r>
            <w:r>
              <w:rPr>
                <w:rStyle w:val="FootnoteReference"/>
                <w:rFonts w:ascii="Times New Roman" w:hAnsi="Times New Roman"/>
                <w:noProof/>
                <w:sz w:val="20"/>
                <w:szCs w:val="20"/>
                <w:lang w:val="en-GB"/>
              </w:rPr>
              <w:footnoteReference w:id="6"/>
            </w:r>
            <w:r>
              <w:rPr>
                <w:rFonts w:ascii="Times New Roman" w:hAnsi="Times New Roman"/>
                <w:noProof/>
                <w:sz w:val="20"/>
                <w:szCs w:val="20"/>
              </w:rPr>
              <w:t>: 59 %)</w:t>
            </w:r>
          </w:p>
          <w:p>
            <w:pPr>
              <w:ind w:left="37"/>
              <w:rPr>
                <w:rFonts w:ascii="Times New Roman" w:hAnsi="Times New Roman"/>
                <w:noProof/>
                <w:sz w:val="20"/>
                <w:szCs w:val="20"/>
              </w:rPr>
            </w:pPr>
            <w:r>
              <w:rPr>
                <w:rFonts w:ascii="Times New Roman" w:hAnsi="Times New Roman"/>
                <w:noProof/>
                <w:sz w:val="20"/>
                <w:szCs w:val="20"/>
              </w:rPr>
              <w:t>- Couverture 5G dans les zones habitées</w:t>
            </w:r>
            <w:r>
              <w:rPr>
                <w:rStyle w:val="FootnoteReference"/>
                <w:rFonts w:ascii="Times New Roman" w:hAnsi="Times New Roman"/>
                <w:noProof/>
                <w:sz w:val="20"/>
                <w:szCs w:val="20"/>
                <w:lang w:val="en-GB"/>
              </w:rPr>
              <w:footnoteReference w:id="7"/>
            </w:r>
            <w:r>
              <w:rPr>
                <w:rFonts w:ascii="Times New Roman" w:hAnsi="Times New Roman"/>
                <w:noProof/>
                <w:sz w:val="20"/>
                <w:szCs w:val="20"/>
              </w:rPr>
              <w:t xml:space="preserve"> (niveau de référence 2021: 14 %)</w:t>
            </w:r>
          </w:p>
        </w:tc>
        <w:tc>
          <w:tcPr>
            <w:tcW w:w="1701" w:type="dxa"/>
          </w:tcPr>
          <w:p>
            <w:pPr>
              <w:rPr>
                <w:rFonts w:ascii="Times New Roman" w:hAnsi="Times New Roman"/>
                <w:noProof/>
                <w:sz w:val="20"/>
                <w:szCs w:val="20"/>
              </w:rPr>
            </w:pPr>
            <w:r>
              <w:rPr>
                <w:rFonts w:ascii="Times New Roman" w:hAnsi="Times New Roman"/>
                <w:noProof/>
                <w:sz w:val="20"/>
                <w:szCs w:val="20"/>
              </w:rPr>
              <w:t xml:space="preserve">DESI </w:t>
            </w:r>
          </w:p>
          <w:p>
            <w:pPr>
              <w:rPr>
                <w:rFonts w:ascii="Times New Roman" w:hAnsi="Times New Roman"/>
                <w:noProof/>
                <w:sz w:val="20"/>
                <w:szCs w:val="20"/>
              </w:rPr>
            </w:pPr>
            <w:r>
              <w:rPr>
                <w:rFonts w:ascii="Times New Roman" w:hAnsi="Times New Roman"/>
                <w:noProof/>
                <w:sz w:val="20"/>
                <w:szCs w:val="20"/>
              </w:rPr>
              <w:t>Étude d’Omdia sur la couverture par le haut débit en Europe</w:t>
            </w:r>
          </w:p>
        </w:tc>
      </w:tr>
      <w:tr>
        <w:trPr>
          <w:trHeight w:val="203"/>
        </w:trPr>
        <w:tc>
          <w:tcPr>
            <w:tcW w:w="1951" w:type="dxa"/>
            <w:shd w:val="clear" w:color="auto" w:fill="auto"/>
          </w:tcPr>
          <w:p>
            <w:pPr>
              <w:rPr>
                <w:rFonts w:ascii="Times New Roman" w:hAnsi="Times New Roman"/>
                <w:noProof/>
                <w:sz w:val="20"/>
                <w:szCs w:val="20"/>
              </w:rPr>
            </w:pPr>
            <w:r>
              <w:rPr>
                <w:rFonts w:ascii="Times New Roman" w:hAnsi="Times New Roman"/>
                <w:noProof/>
                <w:sz w:val="20"/>
                <w:szCs w:val="20"/>
              </w:rPr>
              <w:t>Semi-conducteurs</w:t>
            </w:r>
          </w:p>
        </w:tc>
        <w:tc>
          <w:tcPr>
            <w:tcW w:w="5528" w:type="dxa"/>
            <w:tcBorders>
              <w:bottom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szCs w:val="20"/>
              </w:rPr>
              <w:t xml:space="preserve">La production de semi-conducteurs durables et de pointe en Europe, y compris les processeurs, représente, en valeur, </w:t>
            </w:r>
            <w:r>
              <w:rPr>
                <w:rFonts w:ascii="Times New Roman" w:hAnsi="Times New Roman"/>
                <w:b/>
                <w:noProof/>
                <w:sz w:val="20"/>
                <w:szCs w:val="20"/>
              </w:rPr>
              <w:t>au moins 20 % de la production mondiale</w:t>
            </w:r>
            <w:r>
              <w:rPr>
                <w:rStyle w:val="FootnoteReference"/>
                <w:rFonts w:ascii="Times New Roman" w:hAnsi="Times New Roman"/>
                <w:noProof/>
                <w:sz w:val="20"/>
                <w:szCs w:val="20"/>
                <w:lang w:val="en-GB"/>
              </w:rPr>
              <w:footnoteReference w:id="8"/>
            </w:r>
            <w:r>
              <w:rPr>
                <w:rFonts w:ascii="Times New Roman" w:hAnsi="Times New Roman"/>
                <w:noProof/>
                <w:sz w:val="20"/>
                <w:szCs w:val="20"/>
              </w:rPr>
              <w:t xml:space="preserve">. </w:t>
            </w:r>
          </w:p>
          <w:p>
            <w:pPr>
              <w:jc w:val="both"/>
              <w:rPr>
                <w:rFonts w:ascii="Times New Roman" w:hAnsi="Times New Roman" w:cs="Times New Roman"/>
                <w:noProof/>
                <w:sz w:val="20"/>
                <w:szCs w:val="20"/>
              </w:rPr>
            </w:pPr>
            <w:r>
              <w:rPr>
                <w:rFonts w:ascii="Times New Roman" w:hAnsi="Times New Roman"/>
                <w:noProof/>
                <w:sz w:val="20"/>
                <w:szCs w:val="20"/>
              </w:rPr>
              <w:t>(Niveau de référence 2020: 10 %)</w:t>
            </w:r>
          </w:p>
          <w:p>
            <w:pPr>
              <w:jc w:val="both"/>
              <w:rPr>
                <w:rFonts w:ascii="Times New Roman" w:hAnsi="Times New Roman"/>
                <w:noProof/>
                <w:sz w:val="20"/>
                <w:lang w:val="en-GB"/>
              </w:rPr>
            </w:pPr>
          </w:p>
        </w:tc>
        <w:tc>
          <w:tcPr>
            <w:tcW w:w="1701" w:type="dxa"/>
            <w:tcBorders>
              <w:bottom w:val="single" w:sz="4" w:space="0" w:color="auto"/>
            </w:tcBorders>
          </w:tcPr>
          <w:p>
            <w:pPr>
              <w:rPr>
                <w:rFonts w:ascii="Times New Roman" w:hAnsi="Times New Roman"/>
                <w:noProof/>
                <w:sz w:val="20"/>
              </w:rPr>
            </w:pPr>
            <w:r>
              <w:rPr>
                <w:rFonts w:ascii="Times New Roman" w:hAnsi="Times New Roman"/>
                <w:noProof/>
                <w:sz w:val="20"/>
              </w:rPr>
              <w:t>Source de données à confirmer dans le programme d’action dans le domaine numérique</w:t>
            </w:r>
          </w:p>
        </w:tc>
      </w:tr>
      <w:tr>
        <w:trPr>
          <w:trHeight w:val="203"/>
        </w:trPr>
        <w:tc>
          <w:tcPr>
            <w:tcW w:w="1951" w:type="dxa"/>
            <w:shd w:val="clear" w:color="auto" w:fill="auto"/>
          </w:tcPr>
          <w:p>
            <w:pPr>
              <w:rPr>
                <w:rFonts w:ascii="Times New Roman" w:hAnsi="Times New Roman"/>
                <w:noProof/>
                <w:sz w:val="20"/>
                <w:szCs w:val="20"/>
              </w:rPr>
            </w:pPr>
            <w:r>
              <w:rPr>
                <w:rFonts w:ascii="Times New Roman" w:hAnsi="Times New Roman"/>
                <w:noProof/>
                <w:sz w:val="20"/>
                <w:szCs w:val="20"/>
              </w:rPr>
              <w:t>Informatique en périphérie/nuage</w:t>
            </w:r>
          </w:p>
        </w:tc>
        <w:tc>
          <w:tcPr>
            <w:tcW w:w="5528" w:type="dxa"/>
            <w:tcBorders>
              <w:bottom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szCs w:val="20"/>
              </w:rPr>
              <w:t xml:space="preserve">Déploiement dans l’UE de </w:t>
            </w:r>
            <w:r>
              <w:rPr>
                <w:rFonts w:ascii="Times New Roman" w:hAnsi="Times New Roman"/>
                <w:b/>
                <w:noProof/>
                <w:sz w:val="20"/>
                <w:szCs w:val="20"/>
              </w:rPr>
              <w:t>10 000 nœuds périphériques hautement sécurisés et neutres pour le climat</w:t>
            </w:r>
            <w:r>
              <w:rPr>
                <w:rFonts w:ascii="Times New Roman" w:hAnsi="Times New Roman"/>
                <w:noProof/>
                <w:sz w:val="20"/>
                <w:szCs w:val="20"/>
              </w:rPr>
              <w:t>, répartis de manière à garantir aux entreprises, où qu’elles se trouvent, un accès aux services de données avec une faible latence (quelques millisecondes)</w:t>
            </w:r>
            <w:r>
              <w:rPr>
                <w:rStyle w:val="FootnoteReference"/>
                <w:rFonts w:ascii="Times New Roman" w:hAnsi="Times New Roman"/>
                <w:noProof/>
                <w:sz w:val="20"/>
                <w:szCs w:val="20"/>
                <w:lang w:val="en-GB"/>
              </w:rPr>
              <w:footnoteReference w:id="9"/>
            </w:r>
            <w:r>
              <w:rPr>
                <w:rFonts w:ascii="Times New Roman" w:hAnsi="Times New Roman"/>
                <w:noProof/>
                <w:sz w:val="20"/>
                <w:szCs w:val="20"/>
              </w:rPr>
              <w:t>.</w:t>
            </w:r>
          </w:p>
          <w:p>
            <w:pPr>
              <w:jc w:val="both"/>
              <w:rPr>
                <w:rFonts w:ascii="Times New Roman" w:hAnsi="Times New Roman"/>
                <w:noProof/>
                <w:sz w:val="20"/>
                <w:szCs w:val="20"/>
              </w:rPr>
            </w:pPr>
            <w:r>
              <w:rPr>
                <w:rFonts w:ascii="Times New Roman" w:hAnsi="Times New Roman"/>
                <w:noProof/>
                <w:sz w:val="20"/>
                <w:szCs w:val="20"/>
              </w:rPr>
              <w:t>(Niveau de référence 2020: 0)</w:t>
            </w:r>
            <w:r>
              <w:rPr>
                <w:rStyle w:val="FootnoteReference"/>
                <w:rFonts w:ascii="Times New Roman" w:hAnsi="Times New Roman"/>
                <w:noProof/>
                <w:sz w:val="20"/>
                <w:szCs w:val="20"/>
              </w:rPr>
              <w:t xml:space="preserve"> </w:t>
            </w:r>
          </w:p>
        </w:tc>
        <w:tc>
          <w:tcPr>
            <w:tcW w:w="1701" w:type="dxa"/>
            <w:tcBorders>
              <w:bottom w:val="single" w:sz="4" w:space="0" w:color="auto"/>
            </w:tcBorders>
          </w:tcPr>
          <w:p>
            <w:pPr>
              <w:jc w:val="both"/>
              <w:rPr>
                <w:rFonts w:ascii="Times New Roman" w:hAnsi="Times New Roman"/>
                <w:noProof/>
                <w:sz w:val="20"/>
                <w:szCs w:val="20"/>
              </w:rPr>
            </w:pPr>
            <w:r>
              <w:rPr>
                <w:rFonts w:ascii="Times New Roman" w:hAnsi="Times New Roman"/>
                <w:noProof/>
                <w:sz w:val="20"/>
                <w:szCs w:val="20"/>
              </w:rPr>
              <w:t>Étude annuelle sur le déploiement en périphérie dans le cadre du MIE2 (à partir de 2022)</w:t>
            </w:r>
          </w:p>
        </w:tc>
      </w:tr>
      <w:tr>
        <w:trPr>
          <w:trHeight w:val="543"/>
        </w:trPr>
        <w:tc>
          <w:tcPr>
            <w:tcW w:w="1951" w:type="dxa"/>
            <w:shd w:val="clear" w:color="auto" w:fill="auto"/>
          </w:tcPr>
          <w:p>
            <w:pPr>
              <w:rPr>
                <w:rFonts w:ascii="Times New Roman" w:hAnsi="Times New Roman"/>
                <w:noProof/>
                <w:sz w:val="20"/>
                <w:szCs w:val="20"/>
              </w:rPr>
            </w:pPr>
            <w:r>
              <w:rPr>
                <w:rFonts w:ascii="Times New Roman" w:hAnsi="Times New Roman"/>
                <w:noProof/>
                <w:sz w:val="20"/>
                <w:szCs w:val="20"/>
              </w:rPr>
              <w:t>Informatique quantique</w:t>
            </w:r>
          </w:p>
        </w:tc>
        <w:tc>
          <w:tcPr>
            <w:tcW w:w="5528" w:type="dxa"/>
            <w:tcBorders>
              <w:bottom w:val="single" w:sz="4" w:space="0" w:color="auto"/>
            </w:tcBorders>
            <w:shd w:val="clear" w:color="auto" w:fill="auto"/>
          </w:tcPr>
          <w:p>
            <w:pPr>
              <w:jc w:val="both"/>
              <w:rPr>
                <w:rFonts w:ascii="Times New Roman" w:hAnsi="Times New Roman"/>
                <w:b/>
                <w:i/>
                <w:noProof/>
                <w:sz w:val="20"/>
                <w:szCs w:val="20"/>
              </w:rPr>
            </w:pPr>
            <w:r>
              <w:rPr>
                <w:rFonts w:ascii="Times New Roman" w:hAnsi="Times New Roman"/>
                <w:b/>
                <w:noProof/>
                <w:sz w:val="20"/>
                <w:szCs w:val="20"/>
              </w:rPr>
              <w:t>D’ici à 2025</w:t>
            </w:r>
            <w:r>
              <w:rPr>
                <w:rFonts w:ascii="Times New Roman" w:hAnsi="Times New Roman"/>
                <w:noProof/>
                <w:sz w:val="20"/>
                <w:szCs w:val="20"/>
              </w:rPr>
              <w:t>, l’Europe disposera de son premier ordinateur quantique qui ouvrira la voie à une Europe à la pointe des capacités quantiques à l’horizon 2030.</w:t>
            </w:r>
            <w:r>
              <w:rPr>
                <w:noProof/>
              </w:rPr>
              <w:t xml:space="preserve"> </w:t>
            </w:r>
          </w:p>
          <w:p>
            <w:pPr>
              <w:jc w:val="both"/>
              <w:rPr>
                <w:rFonts w:ascii="Times New Roman" w:hAnsi="Times New Roman"/>
                <w:noProof/>
                <w:sz w:val="20"/>
                <w:szCs w:val="20"/>
              </w:rPr>
            </w:pPr>
            <w:r>
              <w:rPr>
                <w:rFonts w:ascii="Times New Roman" w:hAnsi="Times New Roman"/>
                <w:noProof/>
                <w:sz w:val="20"/>
                <w:szCs w:val="20"/>
              </w:rPr>
              <w:t>(Niveau de référence 2020: 0)</w:t>
            </w:r>
          </w:p>
        </w:tc>
        <w:tc>
          <w:tcPr>
            <w:tcW w:w="1701" w:type="dxa"/>
            <w:tcBorders>
              <w:bottom w:val="single" w:sz="4" w:space="0" w:color="auto"/>
            </w:tcBorders>
          </w:tcPr>
          <w:p>
            <w:pPr>
              <w:rPr>
                <w:rFonts w:ascii="Times New Roman" w:hAnsi="Times New Roman"/>
                <w:noProof/>
                <w:sz w:val="20"/>
                <w:szCs w:val="20"/>
              </w:rPr>
            </w:pPr>
            <w:r>
              <w:rPr>
                <w:rFonts w:ascii="Times New Roman" w:hAnsi="Times New Roman"/>
                <w:noProof/>
                <w:sz w:val="20"/>
                <w:szCs w:val="20"/>
              </w:rPr>
              <w:t>Source de données à confirmer dans le programme d’action dans le domaine numérique</w:t>
            </w:r>
          </w:p>
        </w:tc>
      </w:tr>
    </w:tbl>
    <w:p>
      <w:pPr>
        <w:rPr>
          <w:rFonts w:ascii="Times New Roman" w:hAnsi="Times New Roman" w:cs="Times New Roman"/>
          <w:noProof/>
          <w:lang w:val="fr-BE"/>
        </w:rPr>
        <w:sectPr>
          <w:headerReference w:type="even" r:id="rId26"/>
          <w:headerReference w:type="default" r:id="rId27"/>
          <w:footerReference w:type="even" r:id="rId28"/>
          <w:footerReference w:type="default" r:id="rId29"/>
          <w:headerReference w:type="first" r:id="rId30"/>
          <w:footerReference w:type="first" r:id="rId31"/>
          <w:footnotePr>
            <w:pos w:val="beneathText"/>
          </w:footnotePr>
          <w:pgSz w:w="11906" w:h="16838"/>
          <w:pgMar w:top="1417" w:right="1417" w:bottom="1417" w:left="1417" w:header="708" w:footer="708" w:gutter="0"/>
          <w:cols w:space="720"/>
          <w:docGrid w:linePitch="360"/>
        </w:sectPr>
      </w:pPr>
    </w:p>
    <w:p>
      <w:pPr>
        <w:spacing w:after="120"/>
        <w:jc w:val="both"/>
        <w:rPr>
          <w:rFonts w:ascii="Times New Roman" w:hAnsi="Times New Roman" w:cs="Times New Roman"/>
          <w:noProof/>
          <w:u w:val="single"/>
        </w:rPr>
      </w:pPr>
      <w:r>
        <w:rPr>
          <w:rFonts w:ascii="Times New Roman" w:hAnsi="Times New Roman"/>
          <w:noProof/>
          <w:u w:val="single"/>
        </w:rPr>
        <w:t>Objectifs de l’axe principal 3: Transformation numérique des entreprises</w:t>
      </w:r>
    </w:p>
    <w:tbl>
      <w:tblPr>
        <w:tblStyle w:val="TableGrid"/>
        <w:tblW w:w="9180" w:type="dxa"/>
        <w:tblLayout w:type="fixed"/>
        <w:tblLook w:val="04A0" w:firstRow="1" w:lastRow="0" w:firstColumn="1" w:lastColumn="0" w:noHBand="0" w:noVBand="1"/>
      </w:tblPr>
      <w:tblGrid>
        <w:gridCol w:w="1951"/>
        <w:gridCol w:w="5528"/>
        <w:gridCol w:w="1701"/>
      </w:tblGrid>
      <w:tr>
        <w:trPr>
          <w:trHeight w:val="334"/>
        </w:trPr>
        <w:tc>
          <w:tcPr>
            <w:tcW w:w="9180" w:type="dxa"/>
            <w:gridSpan w:val="3"/>
            <w:shd w:val="clear" w:color="auto" w:fill="C6D9F1" w:themeFill="text2" w:themeFillTint="33"/>
          </w:tcPr>
          <w:p>
            <w:pPr>
              <w:rPr>
                <w:rFonts w:ascii="Times New Roman" w:hAnsi="Times New Roman"/>
                <w:b/>
                <w:i/>
                <w:noProof/>
                <w:sz w:val="20"/>
                <w:szCs w:val="20"/>
              </w:rPr>
            </w:pPr>
            <w:r>
              <w:rPr>
                <w:rFonts w:ascii="Times New Roman" w:hAnsi="Times New Roman"/>
                <w:b/>
                <w:i/>
                <w:noProof/>
                <w:sz w:val="20"/>
                <w:szCs w:val="20"/>
              </w:rPr>
              <w:t>Objectif de l’UE pour 2030: «Le continent qui compte une forte proportion d’entreprises numérisées»</w:t>
            </w:r>
          </w:p>
        </w:tc>
      </w:tr>
      <w:tr>
        <w:trPr>
          <w:trHeight w:val="334"/>
        </w:trPr>
        <w:tc>
          <w:tcPr>
            <w:tcW w:w="1951" w:type="dxa"/>
            <w:shd w:val="clear" w:color="auto" w:fill="D9D9D9" w:themeFill="background1" w:themeFillShade="D9"/>
          </w:tcPr>
          <w:p>
            <w:pPr>
              <w:rPr>
                <w:rFonts w:ascii="Times New Roman" w:hAnsi="Times New Roman"/>
                <w:noProof/>
                <w:sz w:val="20"/>
                <w:szCs w:val="20"/>
              </w:rPr>
            </w:pPr>
            <w:r>
              <w:rPr>
                <w:rFonts w:ascii="Times New Roman" w:hAnsi="Times New Roman"/>
                <w:b/>
                <w:noProof/>
                <w:sz w:val="20"/>
                <w:szCs w:val="20"/>
              </w:rPr>
              <w:t>Dimension</w:t>
            </w:r>
          </w:p>
        </w:tc>
        <w:tc>
          <w:tcPr>
            <w:tcW w:w="5528" w:type="dxa"/>
            <w:tcBorders>
              <w:bottom w:val="single" w:sz="4" w:space="0" w:color="auto"/>
            </w:tcBorders>
            <w:shd w:val="clear" w:color="auto" w:fill="D9D9D9" w:themeFill="background1" w:themeFillShade="D9"/>
          </w:tcPr>
          <w:p>
            <w:pPr>
              <w:rPr>
                <w:rFonts w:ascii="Times New Roman" w:hAnsi="Times New Roman"/>
                <w:noProof/>
                <w:sz w:val="20"/>
                <w:szCs w:val="20"/>
              </w:rPr>
            </w:pPr>
            <w:r>
              <w:rPr>
                <w:rFonts w:ascii="Times New Roman" w:hAnsi="Times New Roman"/>
                <w:b/>
                <w:noProof/>
                <w:sz w:val="20"/>
                <w:szCs w:val="20"/>
              </w:rPr>
              <w:t>Objectif 2030 de l’UE par rapport au niveau de référence</w:t>
            </w:r>
          </w:p>
        </w:tc>
        <w:tc>
          <w:tcPr>
            <w:tcW w:w="1701" w:type="dxa"/>
            <w:tcBorders>
              <w:bottom w:val="single" w:sz="4" w:space="0" w:color="auto"/>
            </w:tcBorders>
            <w:shd w:val="clear" w:color="auto" w:fill="D9D9D9" w:themeFill="background1" w:themeFillShade="D9"/>
          </w:tcPr>
          <w:p>
            <w:pPr>
              <w:rPr>
                <w:rFonts w:ascii="Times New Roman" w:hAnsi="Times New Roman"/>
                <w:b/>
                <w:noProof/>
                <w:sz w:val="20"/>
                <w:szCs w:val="20"/>
              </w:rPr>
            </w:pPr>
            <w:r>
              <w:rPr>
                <w:rFonts w:ascii="Times New Roman" w:hAnsi="Times New Roman"/>
                <w:b/>
                <w:noProof/>
                <w:sz w:val="20"/>
                <w:szCs w:val="20"/>
              </w:rPr>
              <w:t>Source</w:t>
            </w:r>
          </w:p>
        </w:tc>
      </w:tr>
      <w:tr>
        <w:trPr>
          <w:trHeight w:val="1189"/>
        </w:trPr>
        <w:tc>
          <w:tcPr>
            <w:tcW w:w="1951" w:type="dxa"/>
            <w:shd w:val="clear" w:color="auto" w:fill="auto"/>
          </w:tcPr>
          <w:p>
            <w:pPr>
              <w:rPr>
                <w:rFonts w:ascii="Times New Roman" w:hAnsi="Times New Roman"/>
                <w:noProof/>
                <w:sz w:val="20"/>
                <w:szCs w:val="20"/>
              </w:rPr>
            </w:pPr>
            <w:r>
              <w:rPr>
                <w:rFonts w:ascii="Times New Roman" w:hAnsi="Times New Roman"/>
                <w:noProof/>
                <w:sz w:val="20"/>
                <w:szCs w:val="20"/>
              </w:rPr>
              <w:t xml:space="preserve">Adoption des technologies numériques </w:t>
            </w:r>
          </w:p>
        </w:tc>
        <w:tc>
          <w:tcPr>
            <w:tcW w:w="5528" w:type="dxa"/>
            <w:shd w:val="clear" w:color="auto" w:fill="auto"/>
          </w:tcPr>
          <w:p>
            <w:pPr>
              <w:pStyle w:val="ListParagraph"/>
              <w:spacing w:after="0" w:line="240" w:lineRule="auto"/>
              <w:ind w:left="37"/>
              <w:contextualSpacing w:val="0"/>
              <w:rPr>
                <w:rFonts w:ascii="Times New Roman" w:hAnsi="Times New Roman"/>
                <w:noProof/>
                <w:sz w:val="20"/>
                <w:szCs w:val="20"/>
              </w:rPr>
            </w:pPr>
            <w:r>
              <w:rPr>
                <w:rFonts w:ascii="Times New Roman" w:hAnsi="Times New Roman"/>
                <w:b/>
                <w:noProof/>
                <w:sz w:val="20"/>
                <w:szCs w:val="20"/>
              </w:rPr>
              <w:t>Adoption par 75 % des entreprises européennes</w:t>
            </w:r>
            <w:r>
              <w:rPr>
                <w:rFonts w:ascii="Times New Roman" w:hAnsi="Times New Roman"/>
                <w:noProof/>
                <w:sz w:val="20"/>
                <w:szCs w:val="20"/>
              </w:rPr>
              <w:t>:</w:t>
            </w:r>
          </w:p>
          <w:p>
            <w:pPr>
              <w:pStyle w:val="ListParagraph"/>
              <w:numPr>
                <w:ilvl w:val="0"/>
                <w:numId w:val="2"/>
              </w:numPr>
              <w:spacing w:after="0" w:line="240" w:lineRule="auto"/>
              <w:ind w:left="395" w:hanging="179"/>
              <w:contextualSpacing w:val="0"/>
              <w:rPr>
                <w:rFonts w:ascii="Times New Roman" w:hAnsi="Times New Roman"/>
                <w:noProof/>
                <w:sz w:val="20"/>
                <w:szCs w:val="20"/>
              </w:rPr>
            </w:pPr>
            <w:r>
              <w:rPr>
                <w:rFonts w:ascii="Times New Roman" w:hAnsi="Times New Roman"/>
                <w:noProof/>
                <w:sz w:val="20"/>
                <w:szCs w:val="20"/>
              </w:rPr>
              <w:t xml:space="preserve">des services d’informatique en nuage (niveau de référence 2020: 26 %) </w:t>
            </w:r>
          </w:p>
          <w:p>
            <w:pPr>
              <w:pStyle w:val="ListParagraph"/>
              <w:numPr>
                <w:ilvl w:val="0"/>
                <w:numId w:val="2"/>
              </w:numPr>
              <w:spacing w:after="0" w:line="240" w:lineRule="auto"/>
              <w:ind w:left="395" w:hanging="179"/>
              <w:contextualSpacing w:val="0"/>
              <w:rPr>
                <w:rFonts w:ascii="Times New Roman" w:hAnsi="Times New Roman"/>
                <w:noProof/>
                <w:sz w:val="20"/>
                <w:szCs w:val="20"/>
              </w:rPr>
            </w:pPr>
            <w:r>
              <w:rPr>
                <w:rFonts w:ascii="Times New Roman" w:hAnsi="Times New Roman"/>
                <w:noProof/>
                <w:sz w:val="20"/>
                <w:szCs w:val="20"/>
              </w:rPr>
              <w:t>des mégadonnées (niveau de référence 2020: 14 %)</w:t>
            </w:r>
          </w:p>
          <w:p>
            <w:pPr>
              <w:pStyle w:val="ListParagraph"/>
              <w:numPr>
                <w:ilvl w:val="0"/>
                <w:numId w:val="1"/>
              </w:numPr>
              <w:spacing w:after="0" w:line="240" w:lineRule="auto"/>
              <w:ind w:left="398" w:hanging="142"/>
              <w:contextualSpacing w:val="0"/>
              <w:rPr>
                <w:rFonts w:ascii="Times New Roman" w:hAnsi="Times New Roman"/>
                <w:noProof/>
                <w:sz w:val="20"/>
                <w:szCs w:val="20"/>
              </w:rPr>
            </w:pPr>
            <w:r>
              <w:rPr>
                <w:rFonts w:ascii="Times New Roman" w:hAnsi="Times New Roman"/>
                <w:noProof/>
                <w:sz w:val="20"/>
                <w:szCs w:val="20"/>
              </w:rPr>
              <w:t>de l’intelligence artificielle (IA) (niveau de référence 2020: 25 %)</w:t>
            </w:r>
          </w:p>
        </w:tc>
        <w:tc>
          <w:tcPr>
            <w:tcW w:w="1701" w:type="dxa"/>
          </w:tcPr>
          <w:p>
            <w:pPr>
              <w:pStyle w:val="ListParagraph"/>
              <w:spacing w:after="0" w:line="240" w:lineRule="auto"/>
              <w:ind w:left="37"/>
              <w:contextualSpacing w:val="0"/>
              <w:rPr>
                <w:rFonts w:ascii="Times New Roman" w:hAnsi="Times New Roman"/>
                <w:noProof/>
                <w:sz w:val="20"/>
                <w:szCs w:val="20"/>
              </w:rPr>
            </w:pPr>
            <w:r>
              <w:rPr>
                <w:rFonts w:ascii="Times New Roman" w:hAnsi="Times New Roman"/>
                <w:noProof/>
                <w:sz w:val="20"/>
                <w:szCs w:val="20"/>
              </w:rPr>
              <w:t>ESTAT, IPSOS</w:t>
            </w:r>
          </w:p>
        </w:tc>
      </w:tr>
      <w:tr>
        <w:trPr>
          <w:trHeight w:val="198"/>
        </w:trPr>
        <w:tc>
          <w:tcPr>
            <w:tcW w:w="1951" w:type="dxa"/>
            <w:shd w:val="clear" w:color="auto" w:fill="auto"/>
          </w:tcPr>
          <w:p>
            <w:pPr>
              <w:rPr>
                <w:rFonts w:ascii="Times New Roman" w:hAnsi="Times New Roman"/>
                <w:noProof/>
                <w:sz w:val="20"/>
                <w:szCs w:val="20"/>
              </w:rPr>
            </w:pPr>
            <w:r>
              <w:rPr>
                <w:rFonts w:ascii="Times New Roman" w:hAnsi="Times New Roman"/>
                <w:noProof/>
                <w:sz w:val="20"/>
                <w:szCs w:val="20"/>
              </w:rPr>
              <w:t xml:space="preserve">Adoption tardive des technologies numériques </w:t>
            </w:r>
          </w:p>
        </w:tc>
        <w:tc>
          <w:tcPr>
            <w:tcW w:w="5528" w:type="dxa"/>
            <w:tcBorders>
              <w:bottom w:val="single" w:sz="4" w:space="0" w:color="auto"/>
            </w:tcBorders>
            <w:shd w:val="clear" w:color="auto" w:fill="auto"/>
          </w:tcPr>
          <w:p>
            <w:pPr>
              <w:rPr>
                <w:rFonts w:ascii="Times New Roman" w:hAnsi="Times New Roman"/>
                <w:noProof/>
                <w:sz w:val="20"/>
                <w:szCs w:val="20"/>
              </w:rPr>
            </w:pPr>
            <w:r>
              <w:rPr>
                <w:rFonts w:ascii="Times New Roman" w:hAnsi="Times New Roman"/>
                <w:b/>
                <w:noProof/>
                <w:sz w:val="20"/>
                <w:szCs w:val="20"/>
              </w:rPr>
              <w:t>plus de 90 % des PME européennes</w:t>
            </w:r>
            <w:r>
              <w:rPr>
                <w:rFonts w:ascii="Times New Roman" w:hAnsi="Times New Roman"/>
                <w:noProof/>
                <w:sz w:val="20"/>
                <w:szCs w:val="20"/>
              </w:rPr>
              <w:t xml:space="preserve"> atteignent au moins un niveau élémentaire d’intensité numérique</w:t>
            </w:r>
            <w:r>
              <w:rPr>
                <w:rStyle w:val="FootnoteReference"/>
                <w:rFonts w:ascii="Times New Roman" w:hAnsi="Times New Roman"/>
                <w:noProof/>
                <w:sz w:val="20"/>
                <w:szCs w:val="20"/>
                <w:lang w:val="en-GB"/>
              </w:rPr>
              <w:footnoteReference w:id="10"/>
            </w:r>
            <w:r>
              <w:rPr>
                <w:rFonts w:ascii="Times New Roman" w:hAnsi="Times New Roman"/>
                <w:noProof/>
                <w:sz w:val="20"/>
                <w:szCs w:val="20"/>
              </w:rPr>
              <w:t>;</w:t>
            </w:r>
          </w:p>
          <w:p>
            <w:pPr>
              <w:rPr>
                <w:rFonts w:ascii="Times New Roman" w:hAnsi="Times New Roman"/>
                <w:noProof/>
                <w:sz w:val="20"/>
                <w:szCs w:val="20"/>
              </w:rPr>
            </w:pPr>
            <w:r>
              <w:rPr>
                <w:rFonts w:ascii="Times New Roman" w:hAnsi="Times New Roman"/>
                <w:noProof/>
                <w:sz w:val="20"/>
                <w:szCs w:val="20"/>
              </w:rPr>
              <w:t>(Niveau de référence 2019: 60,6 %)</w:t>
            </w:r>
          </w:p>
          <w:p>
            <w:pPr>
              <w:rPr>
                <w:rFonts w:ascii="Times New Roman" w:hAnsi="Times New Roman"/>
                <w:noProof/>
                <w:sz w:val="20"/>
                <w:szCs w:val="20"/>
                <w:lang w:val="en-GB"/>
              </w:rPr>
            </w:pPr>
          </w:p>
        </w:tc>
        <w:tc>
          <w:tcPr>
            <w:tcW w:w="1701" w:type="dxa"/>
            <w:tcBorders>
              <w:bottom w:val="single" w:sz="4" w:space="0" w:color="auto"/>
            </w:tcBorders>
          </w:tcPr>
          <w:p>
            <w:pPr>
              <w:rPr>
                <w:rFonts w:ascii="Times New Roman" w:hAnsi="Times New Roman"/>
                <w:noProof/>
                <w:sz w:val="20"/>
                <w:szCs w:val="20"/>
              </w:rPr>
            </w:pPr>
            <w:r>
              <w:rPr>
                <w:rFonts w:ascii="Times New Roman" w:hAnsi="Times New Roman"/>
                <w:noProof/>
                <w:sz w:val="20"/>
                <w:szCs w:val="20"/>
              </w:rPr>
              <w:t>DII, ESTAT</w:t>
            </w:r>
          </w:p>
        </w:tc>
      </w:tr>
      <w:tr>
        <w:trPr>
          <w:trHeight w:val="471"/>
        </w:trPr>
        <w:tc>
          <w:tcPr>
            <w:tcW w:w="1951" w:type="dxa"/>
            <w:shd w:val="clear" w:color="auto" w:fill="auto"/>
          </w:tcPr>
          <w:p>
            <w:pPr>
              <w:rPr>
                <w:rFonts w:ascii="Times New Roman" w:hAnsi="Times New Roman"/>
                <w:noProof/>
                <w:sz w:val="20"/>
                <w:szCs w:val="20"/>
              </w:rPr>
            </w:pPr>
            <w:r>
              <w:rPr>
                <w:rFonts w:ascii="Times New Roman" w:hAnsi="Times New Roman"/>
                <w:noProof/>
                <w:sz w:val="20"/>
                <w:szCs w:val="20"/>
              </w:rPr>
              <w:t>Entreprises innovantes/entreprises en phase d’expansion</w:t>
            </w:r>
          </w:p>
        </w:tc>
        <w:tc>
          <w:tcPr>
            <w:tcW w:w="5528" w:type="dxa"/>
            <w:tcBorders>
              <w:bottom w:val="single" w:sz="4" w:space="0" w:color="auto"/>
            </w:tcBorders>
            <w:shd w:val="clear" w:color="auto" w:fill="auto"/>
          </w:tcPr>
          <w:p>
            <w:pPr>
              <w:rPr>
                <w:rFonts w:ascii="Times New Roman" w:hAnsi="Times New Roman"/>
                <w:noProof/>
                <w:sz w:val="20"/>
                <w:szCs w:val="20"/>
              </w:rPr>
            </w:pPr>
            <w:r>
              <w:rPr>
                <w:rFonts w:ascii="Times New Roman" w:hAnsi="Times New Roman"/>
                <w:noProof/>
                <w:sz w:val="20"/>
                <w:szCs w:val="20"/>
              </w:rPr>
              <w:t xml:space="preserve">L’Europe développe sa réserve d’entreprises innovantes en expansion et améliore leur accès au financement, </w:t>
            </w:r>
            <w:r>
              <w:rPr>
                <w:rFonts w:ascii="Times New Roman" w:hAnsi="Times New Roman"/>
                <w:b/>
                <w:noProof/>
                <w:sz w:val="20"/>
                <w:szCs w:val="20"/>
              </w:rPr>
              <w:t>doublant ainsi le nombre de licornes</w:t>
            </w:r>
            <w:r>
              <w:rPr>
                <w:rStyle w:val="FootnoteReference"/>
                <w:rFonts w:ascii="Times New Roman" w:hAnsi="Times New Roman"/>
                <w:noProof/>
                <w:sz w:val="20"/>
                <w:szCs w:val="20"/>
                <w:lang w:val="en-GB"/>
              </w:rPr>
              <w:footnoteReference w:id="11"/>
            </w:r>
            <w:r>
              <w:rPr>
                <w:rFonts w:ascii="Times New Roman" w:hAnsi="Times New Roman"/>
                <w:noProof/>
                <w:sz w:val="20"/>
                <w:szCs w:val="20"/>
              </w:rPr>
              <w:t>.</w:t>
            </w:r>
          </w:p>
          <w:p>
            <w:pPr>
              <w:rPr>
                <w:rFonts w:ascii="Times New Roman" w:hAnsi="Times New Roman"/>
                <w:noProof/>
                <w:sz w:val="20"/>
                <w:szCs w:val="20"/>
              </w:rPr>
            </w:pPr>
            <w:r>
              <w:rPr>
                <w:rFonts w:ascii="Times New Roman" w:hAnsi="Times New Roman"/>
                <w:noProof/>
                <w:sz w:val="20"/>
                <w:szCs w:val="20"/>
              </w:rPr>
              <w:t>(Niveau de référence 2021: 122)</w:t>
            </w:r>
          </w:p>
        </w:tc>
        <w:tc>
          <w:tcPr>
            <w:tcW w:w="1701" w:type="dxa"/>
            <w:tcBorders>
              <w:bottom w:val="single" w:sz="4" w:space="0" w:color="auto"/>
            </w:tcBorders>
          </w:tcPr>
          <w:p>
            <w:pPr>
              <w:rPr>
                <w:rFonts w:ascii="Times New Roman" w:hAnsi="Times New Roman"/>
                <w:noProof/>
                <w:sz w:val="20"/>
              </w:rPr>
            </w:pPr>
            <w:r>
              <w:rPr>
                <w:rFonts w:ascii="Times New Roman" w:hAnsi="Times New Roman"/>
                <w:noProof/>
                <w:sz w:val="20"/>
                <w:szCs w:val="20"/>
              </w:rPr>
              <w:t>Dealroom (utilisé par Atomico dans son rapport sur l’état de la technologie européenne)</w:t>
            </w:r>
          </w:p>
        </w:tc>
      </w:tr>
    </w:tbl>
    <w:p>
      <w:pPr>
        <w:jc w:val="both"/>
        <w:rPr>
          <w:rFonts w:ascii="Times New Roman" w:hAnsi="Times New Roman" w:cs="Times New Roman"/>
          <w:b/>
          <w:caps/>
          <w:noProof/>
          <w:lang w:val="fr-BE"/>
        </w:rPr>
      </w:pPr>
    </w:p>
    <w:p>
      <w:pPr>
        <w:jc w:val="both"/>
        <w:rPr>
          <w:rFonts w:ascii="Times New Roman" w:hAnsi="Times New Roman" w:cs="Times New Roman"/>
          <w:b/>
          <w:caps/>
          <w:noProof/>
          <w:lang w:val="fr-BE"/>
        </w:rPr>
        <w:sectPr>
          <w:headerReference w:type="even" r:id="rId32"/>
          <w:headerReference w:type="default" r:id="rId33"/>
          <w:footerReference w:type="even" r:id="rId34"/>
          <w:footerReference w:type="default" r:id="rId35"/>
          <w:headerReference w:type="first" r:id="rId36"/>
          <w:footerReference w:type="first" r:id="rId37"/>
          <w:footnotePr>
            <w:pos w:val="beneathText"/>
          </w:footnotePr>
          <w:pgSz w:w="11906" w:h="16838"/>
          <w:pgMar w:top="1417" w:right="1417" w:bottom="1417" w:left="1417" w:header="708" w:footer="708" w:gutter="0"/>
          <w:cols w:space="720"/>
          <w:docGrid w:linePitch="360"/>
        </w:sectPr>
      </w:pPr>
    </w:p>
    <w:p>
      <w:pPr>
        <w:spacing w:after="120"/>
        <w:jc w:val="both"/>
        <w:rPr>
          <w:rFonts w:ascii="Times New Roman" w:hAnsi="Times New Roman" w:cs="Times New Roman"/>
          <w:noProof/>
          <w:u w:val="single"/>
        </w:rPr>
      </w:pPr>
      <w:r>
        <w:rPr>
          <w:rFonts w:ascii="Times New Roman" w:hAnsi="Times New Roman"/>
          <w:noProof/>
          <w:u w:val="single"/>
        </w:rPr>
        <w:t>Objectifs de l’axe principal 4: Numérisation des services publics</w:t>
      </w:r>
    </w:p>
    <w:tbl>
      <w:tblPr>
        <w:tblStyle w:val="TableGrid"/>
        <w:tblW w:w="9180" w:type="dxa"/>
        <w:tblLayout w:type="fixed"/>
        <w:tblLook w:val="04A0" w:firstRow="1" w:lastRow="0" w:firstColumn="1" w:lastColumn="0" w:noHBand="0" w:noVBand="1"/>
      </w:tblPr>
      <w:tblGrid>
        <w:gridCol w:w="1951"/>
        <w:gridCol w:w="5528"/>
        <w:gridCol w:w="1701"/>
      </w:tblGrid>
      <w:tr>
        <w:trPr>
          <w:trHeight w:val="370"/>
        </w:trPr>
        <w:tc>
          <w:tcPr>
            <w:tcW w:w="9180" w:type="dxa"/>
            <w:gridSpan w:val="3"/>
            <w:shd w:val="clear" w:color="auto" w:fill="C6D9F1" w:themeFill="text2" w:themeFillTint="33"/>
          </w:tcPr>
          <w:p>
            <w:pPr>
              <w:rPr>
                <w:rFonts w:ascii="Times New Roman" w:hAnsi="Times New Roman"/>
                <w:noProof/>
                <w:sz w:val="20"/>
                <w:szCs w:val="20"/>
              </w:rPr>
            </w:pPr>
            <w:r>
              <w:rPr>
                <w:rFonts w:ascii="Times New Roman" w:hAnsi="Times New Roman"/>
                <w:b/>
                <w:i/>
                <w:noProof/>
                <w:sz w:val="20"/>
                <w:szCs w:val="20"/>
              </w:rPr>
              <w:t>Objectif de l’UE pour 2030: «Des services publics modernisés répondant aux besoins de la société»</w:t>
            </w:r>
          </w:p>
          <w:p>
            <w:pPr>
              <w:rPr>
                <w:rFonts w:ascii="Times New Roman" w:hAnsi="Times New Roman"/>
                <w:b/>
                <w:i/>
                <w:noProof/>
                <w:sz w:val="20"/>
                <w:lang w:val="fr-BE"/>
              </w:rPr>
            </w:pPr>
          </w:p>
        </w:tc>
      </w:tr>
      <w:tr>
        <w:trPr>
          <w:trHeight w:val="290"/>
        </w:trPr>
        <w:tc>
          <w:tcPr>
            <w:tcW w:w="1951" w:type="dxa"/>
            <w:shd w:val="clear" w:color="auto" w:fill="D9D9D9" w:themeFill="background1" w:themeFillShade="D9"/>
          </w:tcPr>
          <w:p>
            <w:pPr>
              <w:rPr>
                <w:rFonts w:ascii="Times New Roman" w:hAnsi="Times New Roman"/>
                <w:noProof/>
                <w:sz w:val="20"/>
                <w:szCs w:val="20"/>
              </w:rPr>
            </w:pPr>
            <w:r>
              <w:rPr>
                <w:rFonts w:ascii="Times New Roman" w:hAnsi="Times New Roman"/>
                <w:b/>
                <w:noProof/>
                <w:sz w:val="20"/>
                <w:szCs w:val="20"/>
              </w:rPr>
              <w:t>Dimension</w:t>
            </w:r>
          </w:p>
        </w:tc>
        <w:tc>
          <w:tcPr>
            <w:tcW w:w="5528" w:type="dxa"/>
            <w:tcBorders>
              <w:bottom w:val="single" w:sz="4" w:space="0" w:color="auto"/>
            </w:tcBorders>
            <w:shd w:val="clear" w:color="auto" w:fill="D9D9D9" w:themeFill="background1" w:themeFillShade="D9"/>
          </w:tcPr>
          <w:p>
            <w:pPr>
              <w:rPr>
                <w:rFonts w:ascii="Times New Roman" w:hAnsi="Times New Roman"/>
                <w:noProof/>
                <w:sz w:val="20"/>
                <w:szCs w:val="20"/>
              </w:rPr>
            </w:pPr>
            <w:r>
              <w:rPr>
                <w:rFonts w:ascii="Times New Roman" w:hAnsi="Times New Roman"/>
                <w:b/>
                <w:noProof/>
                <w:sz w:val="20"/>
                <w:szCs w:val="20"/>
              </w:rPr>
              <w:t>Objectif 2030 de l’UE par rapport au niveau de référence</w:t>
            </w:r>
          </w:p>
        </w:tc>
        <w:tc>
          <w:tcPr>
            <w:tcW w:w="1701" w:type="dxa"/>
            <w:tcBorders>
              <w:bottom w:val="single" w:sz="4" w:space="0" w:color="auto"/>
            </w:tcBorders>
            <w:shd w:val="clear" w:color="auto" w:fill="D9D9D9" w:themeFill="background1" w:themeFillShade="D9"/>
          </w:tcPr>
          <w:p>
            <w:pPr>
              <w:rPr>
                <w:rFonts w:ascii="Times New Roman" w:hAnsi="Times New Roman"/>
                <w:b/>
                <w:noProof/>
                <w:sz w:val="20"/>
                <w:szCs w:val="20"/>
              </w:rPr>
            </w:pPr>
            <w:r>
              <w:rPr>
                <w:rFonts w:ascii="Times New Roman" w:hAnsi="Times New Roman"/>
                <w:b/>
                <w:noProof/>
                <w:sz w:val="20"/>
                <w:szCs w:val="20"/>
              </w:rPr>
              <w:t>Source</w:t>
            </w:r>
          </w:p>
        </w:tc>
      </w:tr>
      <w:tr>
        <w:trPr>
          <w:trHeight w:val="535"/>
        </w:trPr>
        <w:tc>
          <w:tcPr>
            <w:tcW w:w="1951" w:type="dxa"/>
            <w:shd w:val="clear" w:color="auto" w:fill="auto"/>
          </w:tcPr>
          <w:p>
            <w:pPr>
              <w:rPr>
                <w:rFonts w:ascii="Times New Roman" w:hAnsi="Times New Roman"/>
                <w:noProof/>
                <w:sz w:val="20"/>
                <w:szCs w:val="20"/>
              </w:rPr>
            </w:pPr>
            <w:r>
              <w:rPr>
                <w:rFonts w:ascii="Times New Roman" w:hAnsi="Times New Roman"/>
                <w:noProof/>
                <w:sz w:val="20"/>
                <w:szCs w:val="20"/>
              </w:rPr>
              <w:t>Une plateforme des services publics</w:t>
            </w:r>
          </w:p>
        </w:tc>
        <w:tc>
          <w:tcPr>
            <w:tcW w:w="5528" w:type="dxa"/>
            <w:tcBorders>
              <w:bottom w:val="single" w:sz="4" w:space="0" w:color="auto"/>
            </w:tcBorders>
            <w:shd w:val="clear" w:color="auto" w:fill="auto"/>
          </w:tcPr>
          <w:p>
            <w:pPr>
              <w:rPr>
                <w:rFonts w:ascii="Times New Roman" w:hAnsi="Times New Roman"/>
                <w:noProof/>
                <w:sz w:val="20"/>
                <w:szCs w:val="20"/>
              </w:rPr>
            </w:pPr>
            <w:r>
              <w:rPr>
                <w:rFonts w:ascii="Times New Roman" w:hAnsi="Times New Roman"/>
                <w:noProof/>
                <w:sz w:val="20"/>
                <w:szCs w:val="20"/>
              </w:rPr>
              <w:t>- 100 % des services publics essentiels</w:t>
            </w:r>
            <w:r>
              <w:rPr>
                <w:rStyle w:val="FootnoteReference"/>
                <w:rFonts w:ascii="Times New Roman" w:hAnsi="Times New Roman"/>
                <w:noProof/>
                <w:sz w:val="20"/>
                <w:szCs w:val="20"/>
                <w:lang w:val="en-GB"/>
              </w:rPr>
              <w:footnoteReference w:id="12"/>
            </w:r>
            <w:r>
              <w:rPr>
                <w:rFonts w:ascii="Times New Roman" w:hAnsi="Times New Roman"/>
                <w:noProof/>
                <w:sz w:val="20"/>
                <w:szCs w:val="20"/>
              </w:rPr>
              <w:t xml:space="preserve"> fournis en ligne aux citoyens et aux entreprises européens;</w:t>
            </w:r>
          </w:p>
          <w:p>
            <w:pPr>
              <w:rPr>
                <w:rFonts w:ascii="Times New Roman" w:hAnsi="Times New Roman"/>
                <w:noProof/>
                <w:sz w:val="20"/>
                <w:szCs w:val="20"/>
              </w:rPr>
            </w:pPr>
            <w:r>
              <w:rPr>
                <w:rFonts w:ascii="Times New Roman" w:hAnsi="Times New Roman"/>
                <w:noProof/>
                <w:sz w:val="20"/>
                <w:szCs w:val="20"/>
              </w:rPr>
              <w:t xml:space="preserve">- 100 % des citoyens européens ont accès à leurs dossiers médicaux électroniques; </w:t>
            </w:r>
          </w:p>
          <w:p>
            <w:pPr>
              <w:rPr>
                <w:rFonts w:ascii="Times New Roman" w:hAnsi="Times New Roman"/>
                <w:noProof/>
                <w:sz w:val="20"/>
                <w:szCs w:val="20"/>
              </w:rPr>
            </w:pPr>
            <w:r>
              <w:rPr>
                <w:rFonts w:ascii="Times New Roman" w:hAnsi="Times New Roman"/>
                <w:noProof/>
                <w:sz w:val="20"/>
                <w:szCs w:val="20"/>
              </w:rPr>
              <w:t xml:space="preserve">- 80 % des citoyens ont recours à un moyen d’identification numérique. </w:t>
            </w:r>
          </w:p>
          <w:p>
            <w:pPr>
              <w:rPr>
                <w:rFonts w:ascii="Times New Roman" w:hAnsi="Times New Roman"/>
                <w:noProof/>
                <w:sz w:val="20"/>
                <w:lang w:val="fr-BE"/>
              </w:rPr>
            </w:pPr>
          </w:p>
          <w:p>
            <w:pPr>
              <w:rPr>
                <w:rFonts w:ascii="Times New Roman" w:hAnsi="Times New Roman"/>
                <w:noProof/>
                <w:sz w:val="20"/>
                <w:szCs w:val="20"/>
              </w:rPr>
            </w:pPr>
            <w:r>
              <w:rPr>
                <w:rFonts w:ascii="Times New Roman" w:hAnsi="Times New Roman"/>
                <w:noProof/>
                <w:sz w:val="20"/>
                <w:szCs w:val="20"/>
              </w:rPr>
              <w:t xml:space="preserve">(Niveaux de référence 2020: </w:t>
            </w:r>
          </w:p>
          <w:p>
            <w:pPr>
              <w:rPr>
                <w:rFonts w:ascii="Times New Roman" w:hAnsi="Times New Roman"/>
                <w:noProof/>
                <w:sz w:val="20"/>
                <w:szCs w:val="20"/>
              </w:rPr>
            </w:pPr>
            <w:r>
              <w:rPr>
                <w:rFonts w:ascii="Times New Roman" w:hAnsi="Times New Roman"/>
                <w:b/>
                <w:noProof/>
                <w:sz w:val="20"/>
                <w:szCs w:val="20"/>
              </w:rPr>
              <w:t>-</w:t>
            </w:r>
            <w:r>
              <w:rPr>
                <w:rFonts w:ascii="Times New Roman" w:hAnsi="Times New Roman"/>
                <w:noProof/>
                <w:sz w:val="20"/>
                <w:szCs w:val="20"/>
              </w:rPr>
              <w:t xml:space="preserve"> services publics numériques: 75/100 (particuliers), 84/100 (entreprises)</w:t>
            </w:r>
          </w:p>
          <w:p>
            <w:pPr>
              <w:rPr>
                <w:rFonts w:ascii="Times New Roman" w:hAnsi="Times New Roman"/>
                <w:noProof/>
                <w:sz w:val="20"/>
                <w:szCs w:val="20"/>
              </w:rPr>
            </w:pPr>
            <w:r>
              <w:rPr>
                <w:rFonts w:ascii="Times New Roman" w:hAnsi="Times New Roman"/>
                <w:noProof/>
                <w:sz w:val="20"/>
                <w:szCs w:val="20"/>
              </w:rPr>
              <w:t>- particuliers ayant accès aux dossiers médicaux: n.d.</w:t>
            </w:r>
            <w:r>
              <w:rPr>
                <w:rStyle w:val="FootnoteReference"/>
                <w:rFonts w:ascii="Times New Roman" w:hAnsi="Times New Roman"/>
                <w:noProof/>
                <w:sz w:val="20"/>
                <w:szCs w:val="20"/>
                <w:lang w:val="en-GB"/>
              </w:rPr>
              <w:footnoteReference w:id="13"/>
            </w:r>
          </w:p>
          <w:p>
            <w:pPr>
              <w:rPr>
                <w:rFonts w:ascii="Times New Roman" w:hAnsi="Times New Roman"/>
                <w:noProof/>
                <w:sz w:val="20"/>
              </w:rPr>
            </w:pPr>
            <w:r>
              <w:rPr>
                <w:rFonts w:ascii="Times New Roman" w:hAnsi="Times New Roman"/>
                <w:noProof/>
                <w:sz w:val="20"/>
                <w:szCs w:val="20"/>
              </w:rPr>
              <w:t>- identification numérique: actuellement, pas de niveau de référence pour l’adoption de l’identification numérique</w:t>
            </w:r>
            <w:r>
              <w:rPr>
                <w:rStyle w:val="FootnoteReference"/>
                <w:rFonts w:ascii="Times New Roman" w:hAnsi="Times New Roman"/>
                <w:noProof/>
                <w:sz w:val="20"/>
                <w:szCs w:val="20"/>
                <w:lang w:val="en-GB"/>
              </w:rPr>
              <w:footnoteReference w:id="14"/>
            </w:r>
            <w:r>
              <w:rPr>
                <w:rFonts w:ascii="Times New Roman" w:hAnsi="Times New Roman"/>
                <w:noProof/>
                <w:sz w:val="20"/>
                <w:szCs w:val="20"/>
              </w:rPr>
              <w:t xml:space="preserve"> </w:t>
            </w:r>
            <w:r>
              <w:rPr>
                <w:rFonts w:ascii="Times New Roman" w:hAnsi="Times New Roman"/>
                <w:noProof/>
                <w:sz w:val="20"/>
              </w:rPr>
              <w:t xml:space="preserve"> </w:t>
            </w:r>
          </w:p>
        </w:tc>
        <w:tc>
          <w:tcPr>
            <w:tcW w:w="1701" w:type="dxa"/>
            <w:tcBorders>
              <w:bottom w:val="single" w:sz="4" w:space="0" w:color="auto"/>
            </w:tcBorders>
          </w:tcPr>
          <w:p>
            <w:pPr>
              <w:rPr>
                <w:rFonts w:ascii="Times New Roman" w:hAnsi="Times New Roman"/>
                <w:noProof/>
                <w:sz w:val="20"/>
                <w:szCs w:val="20"/>
              </w:rPr>
            </w:pPr>
            <w:r>
              <w:rPr>
                <w:rFonts w:ascii="Times New Roman" w:hAnsi="Times New Roman"/>
                <w:noProof/>
                <w:sz w:val="20"/>
                <w:szCs w:val="20"/>
              </w:rPr>
              <w:t xml:space="preserve">Indicateur relatif à l’étendue des services en ligne, </w:t>
            </w:r>
          </w:p>
          <w:p>
            <w:pPr>
              <w:rPr>
                <w:rFonts w:ascii="Times New Roman" w:hAnsi="Times New Roman"/>
                <w:b/>
                <w:noProof/>
                <w:sz w:val="20"/>
                <w:szCs w:val="20"/>
              </w:rPr>
            </w:pPr>
            <w:r>
              <w:rPr>
                <w:rFonts w:ascii="Times New Roman" w:hAnsi="Times New Roman"/>
                <w:noProof/>
                <w:sz w:val="20"/>
                <w:szCs w:val="20"/>
              </w:rPr>
              <w:t>évaluation comparative pour l’administration en ligne «e-Government Benchmark»</w:t>
            </w:r>
            <w:r>
              <w:rPr>
                <w:rStyle w:val="FootnoteReference"/>
                <w:rFonts w:ascii="Times New Roman" w:hAnsi="Times New Roman"/>
                <w:noProof/>
                <w:sz w:val="20"/>
                <w:szCs w:val="20"/>
                <w:lang w:val="en-GB"/>
              </w:rPr>
              <w:footnoteReference w:id="15"/>
            </w:r>
            <w:r>
              <w:rPr>
                <w:rFonts w:ascii="Times New Roman" w:hAnsi="Times New Roman"/>
                <w:noProof/>
                <w:sz w:val="20"/>
                <w:szCs w:val="20"/>
              </w:rPr>
              <w:t xml:space="preserve"> </w:t>
            </w:r>
          </w:p>
        </w:tc>
      </w:tr>
    </w:tbl>
    <w:p>
      <w:pPr>
        <w:rPr>
          <w:rFonts w:ascii="Times New Roman" w:hAnsi="Times New Roman" w:cs="Times New Roman"/>
          <w:noProof/>
          <w:sz w:val="20"/>
          <w:szCs w:val="20"/>
          <w:lang w:val="fr-BE"/>
        </w:rPr>
      </w:pPr>
    </w:p>
    <w:sectPr>
      <w:headerReference w:type="even" r:id="rId38"/>
      <w:headerReference w:type="default" r:id="rId39"/>
      <w:footerReference w:type="even" r:id="rId40"/>
      <w:footerReference w:type="default" r:id="rId41"/>
      <w:headerReference w:type="first" r:id="rId42"/>
      <w:footerReference w:type="first" r:id="rId43"/>
      <w:footnotePr>
        <w:pos w:val="beneathText"/>
      </w:footnotePr>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24443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4</w:t>
        </w:r>
        <w: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19765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5</w:t>
        </w:r>
        <w: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54503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63925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3</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120"/>
        <w:ind w:left="567" w:hanging="567"/>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Le DESI est un indice composite qui synthétise des dizaines d’indicateurs pertinents sur la performance numérique de l’Europe et suit l’évolution des États membres sur cinq principaux volets: connectivité, capital humain, utilisation de l’internet, intégration des technologies numériques et services publics numériques. Le DESI est en constante évolution depuis sa première publication en 2014. Il s’agit du principal outil analytique mis au point par les services de la Commission européenne pour fournir une contribution fondée sur des données probantes aux fins de l’évaluation du développement numérique, tant dans l’ensemble de l’UE que dans les États membres. Les données intégrées dans le DESI sont essentiellement recueillies auprès des États membres par l’intermédiaire de services de la Commission européenne (Eurostat et la DG Connect) et d’études ad hoc lancées par les services de la Commission. Le DESI est un indice dynamique. Les indicateurs qui le composent sont étendus et modifiés en fonction des nouvelles priorités et de l’évolution des tendances. La liste des indicateurs est revue et améliorée chaque année afin de rester en phase avec les technologies et les priorités d’action les plus récentes</w:t>
      </w:r>
      <w:r>
        <w:t>.</w:t>
      </w:r>
    </w:p>
  </w:footnote>
  <w:footnote w:id="3">
    <w:p>
      <w:pPr>
        <w:pStyle w:val="FootnoteText"/>
        <w:spacing w:after="120"/>
        <w:ind w:left="567" w:hanging="567"/>
        <w:rPr>
          <w:rFonts w:ascii="Times New Roman" w:hAnsi="Times New Roman" w:cs="Times New Roman"/>
        </w:rPr>
      </w:pPr>
      <w:r>
        <w:rPr>
          <w:rStyle w:val="FootnoteReference"/>
        </w:rPr>
        <w:footnoteRef/>
      </w:r>
      <w:r>
        <w:tab/>
      </w:r>
      <w:r>
        <w:rPr>
          <w:rFonts w:ascii="Times New Roman" w:hAnsi="Times New Roman"/>
        </w:rPr>
        <w:t>En sus de l’objectif relatif aux compétences numériques de base établi dans le plan d’action relatif au socle européen des droits sociaux, qui prévoit que 80 % des citoyens âgés de 16 à 79 ans possèdent au moins des compétences numériques de base (niveau de référence de 2020: 58,3 %)</w:t>
      </w:r>
    </w:p>
  </w:footnote>
  <w:footnote w:id="4">
    <w:p>
      <w:pPr>
        <w:pStyle w:val="FootnoteText"/>
        <w:spacing w:after="120"/>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Indicateur DESI «2b1». À l’heure actuelle, les femmes représentent seulement 18 % des spécialistes des TIC occupant un emploi.</w:t>
      </w:r>
    </w:p>
  </w:footnote>
  <w:footnote w:id="5">
    <w:p>
      <w:pPr>
        <w:pStyle w:val="FootnoteText"/>
        <w:spacing w:after="120"/>
        <w:ind w:left="567" w:hanging="567"/>
        <w:jc w:val="both"/>
      </w:pPr>
      <w:r>
        <w:rPr>
          <w:rStyle w:val="FootnoteReference"/>
        </w:rPr>
        <w:footnoteRef/>
      </w:r>
      <w:r>
        <w:tab/>
      </w:r>
      <w:r>
        <w:rPr>
          <w:rFonts w:ascii="Times New Roman" w:hAnsi="Times New Roman"/>
        </w:rPr>
        <w:t>Poursuite et extension des objectifs de la société du gigabit pour 2025, à savoir accès à une connectivité internet d’au moins 100 Mbps pouvant évoluer vers un débit en gigabit pour tous les ménages européens, en zone urbaine et rurale, et «accès à une connectivité en gigabit pour l'ensemble des principaux pôles de l'activité socioéconomique (...) ainsi que pour les entreprises à forte intensité numérique»</w:t>
      </w:r>
      <w:r>
        <w:t>.</w:t>
      </w:r>
      <w:r>
        <w:rPr>
          <w:rFonts w:ascii="Times New Roman" w:hAnsi="Times New Roman"/>
        </w:rPr>
        <w:t xml:space="preserve"> Toutes les zones urbaines et l’ensemble des grands axes de transport terrestre bénéficieront d’une couverture 5G ininterrompue d’ici à 2025.</w:t>
      </w:r>
    </w:p>
  </w:footnote>
  <w:footnote w:id="6">
    <w:p>
      <w:pPr>
        <w:pStyle w:val="FootnoteText"/>
        <w:spacing w:after="120"/>
        <w:ind w:left="567" w:hanging="567"/>
        <w:jc w:val="both"/>
      </w:pPr>
      <w:r>
        <w:rPr>
          <w:rStyle w:val="FootnoteReference"/>
        </w:rPr>
        <w:footnoteRef/>
      </w:r>
      <w:r>
        <w:t xml:space="preserve"> </w:t>
      </w:r>
      <w:r>
        <w:tab/>
      </w:r>
      <w:r>
        <w:rPr>
          <w:rFonts w:ascii="Times New Roman" w:hAnsi="Times New Roman"/>
        </w:rPr>
        <w:t xml:space="preserve">Il convient de noter, que dans l’indice DESI actuel, la mesure s’effectue par l’intermédiaire de l’indicateur </w:t>
      </w:r>
      <w:r>
        <w:t xml:space="preserve"> </w:t>
      </w:r>
      <w:r>
        <w:rPr>
          <w:rFonts w:ascii="Times New Roman" w:hAnsi="Times New Roman"/>
        </w:rPr>
        <w:t>DESI «1b2» [Ménages couverts par tout type de réseau fixe à très haute capacité (VHCN)]. Compte tenu de l’état actuel de développement, les technologies prises en considération pour les VHCN sont la fibre jusqu’au domicile (FTTH), la fibre jusqu’à l’immeuble (FTTB) et le câble «Docsis 3.1», étant donné que toutes ces technologies permettent de fournir une liaison descendante de 1 Gbps. Les capacités spatiales peuvent apporter une contribution importante à la réalisation de l’objectif de 100 % car elles permettent de couvrir les zones éloignées et/ou faiblement peuplées difficiles à atteindre autrement. Pour une définition juridique des VHCN, voir l’article 2, point 2), de la directive (UE) 2018/1972: «réseau à très haute capacité», soit un réseau de communications électroniques qui est entièrement composé d’éléments de fibre optique au moins jusqu’au point de distribution au lieu de desserte, soit un réseau de communications électroniques qui est capable d’offrir, dans des conditions d’heures de pointe habituelles, une performance du réseau comparable en termes de débit descendant et ascendant, de résilience, de paramètres liés aux erreurs, de latence et de gigue; la performance du réseau peut être jugée comparable indépendamment des variations de l’expérience de l’utilisateur final qui sont dues aux caractéristiques intrinsèquement différentes du support par lequel se fait la connexion ultime du réseau au point de terminaison du réseau.</w:t>
      </w:r>
    </w:p>
  </w:footnote>
  <w:footnote w:id="7">
    <w:p>
      <w:pPr>
        <w:pStyle w:val="FootnoteText"/>
        <w:spacing w:after="120"/>
        <w:ind w:left="567" w:hanging="567"/>
        <w:jc w:val="both"/>
      </w:pPr>
      <w:r>
        <w:rPr>
          <w:rStyle w:val="FootnoteReference"/>
        </w:rPr>
        <w:footnoteRef/>
      </w:r>
      <w:r>
        <w:tab/>
      </w:r>
      <w:r>
        <w:rPr>
          <w:rFonts w:ascii="Times New Roman" w:hAnsi="Times New Roman"/>
        </w:rPr>
        <w:t>Pourcentage de zones habitées (c’est-à-dire le pourcentage de tous les endroits, y compris isolés, où se trouvent des ménages) couvertes par la 5G - mesure correspondant à la couverture totale assurée par les opérateurs de télécommunications dans chaque pays.</w:t>
      </w:r>
    </w:p>
  </w:footnote>
  <w:footnote w:id="8">
    <w:p>
      <w:pPr>
        <w:pStyle w:val="FootnoteText"/>
        <w:spacing w:after="120"/>
        <w:ind w:left="567" w:hanging="567"/>
        <w:jc w:val="both"/>
      </w:pPr>
      <w:r>
        <w:rPr>
          <w:rStyle w:val="FootnoteReference"/>
        </w:rPr>
        <w:footnoteRef/>
      </w:r>
      <w:r>
        <w:t xml:space="preserve"> </w:t>
      </w:r>
      <w:r>
        <w:tab/>
      </w:r>
      <w:r>
        <w:rPr>
          <w:rFonts w:ascii="Times New Roman" w:hAnsi="Times New Roman"/>
        </w:rPr>
        <w:t>C’est-à-dire des installations permettant de produire des nœuds de taille inférieure à 5 nm, avec l’ambition de passer à 2 nm, et qui soient 10 fois plus économes en énergie qu’aujourd’hui. Diminuer la taille du nœud permet de réduire les dimensions de l’élément et de produire des transistors plus petits, plus rapides et plus efficaces.</w:t>
      </w:r>
    </w:p>
  </w:footnote>
  <w:footnote w:id="9">
    <w:p>
      <w:pPr>
        <w:pStyle w:val="FootnoteText"/>
        <w:spacing w:after="120"/>
        <w:ind w:left="567" w:hanging="567"/>
        <w:jc w:val="both"/>
        <w:rPr>
          <w:rFonts w:ascii="Times New Roman" w:hAnsi="Times New Roman" w:cs="Times New Roman"/>
        </w:rPr>
      </w:pPr>
      <w:r>
        <w:rPr>
          <w:rStyle w:val="FootnoteReference"/>
        </w:rPr>
        <w:footnoteRef/>
      </w:r>
      <w:r>
        <w:tab/>
      </w:r>
      <w:r>
        <w:rPr>
          <w:rFonts w:ascii="Times New Roman" w:hAnsi="Times New Roman"/>
        </w:rPr>
        <w:t>L’objectif est de concrétiser la vision exposée dans la stratégie pour les données, à savoir faire en sorte que 80 % des traitements de données soient effectués en périphérie de réseau d’ici à 2025. Bon nombre des futurs services de données et applications 5G, tels que la conduite automatisée connectée, l’agriculture intelligente, la gestion intelligente des réseaux énergétiques ou la fabrication intelligente nécessitent une latence de quelques millisecondes. Pour parvenir à de tels temps de latence en retour, il faut un nœud périphérique tous les 100 km. Il faut entre 8 000 et 10 000 nœuds périphériques pour déployer un réseau maillé comportant un nœud tous les 100 km. Inversement, cette densité de nœuds stimulera la demande de services numériques innovants et novateurs fondés sur le traitement local des données émanant des secteurs économiques européens utilisateurs, et permettra à ces derniers de mieux maîtriser leurs données. Le niveau de référence actuel est de 0, étant donné que la technologie émerge à peine et qu’il n’y a eu que quelques projets pilotes (une étude IDATE de 2019 a recensé 62 mises en œuvre en Europe).</w:t>
      </w:r>
    </w:p>
  </w:footnote>
  <w:footnote w:id="10">
    <w:p>
      <w:pPr>
        <w:pStyle w:val="FootnoteText"/>
        <w:spacing w:after="120"/>
        <w:ind w:left="567" w:hanging="567"/>
        <w:jc w:val="both"/>
      </w:pPr>
      <w:r>
        <w:rPr>
          <w:rStyle w:val="FootnoteReference"/>
        </w:rPr>
        <w:footnoteRef/>
      </w:r>
      <w:r>
        <w:tab/>
      </w:r>
      <w:r>
        <w:rPr>
          <w:rFonts w:ascii="Times New Roman" w:hAnsi="Times New Roman"/>
        </w:rPr>
        <w:t>L’indice d’intensité numérique est un indice microéconomique qui mesure la disponibilité de 12 technologies numériques différentes au niveau des entreprises: internet pour au moins 50 % des employés, recours à des spécialistes des TIC, haut débit rapide (30 Mbps ou plus), appareils internet mobiles pour au moins 20 % des employés, site web, site web à fonctions sophistiquées, médias sociaux, dépenses pour faire de la publicité sur internet, achat de services avancés d’informatique en nuage, envoi de factures électroniques, chiffre d’affaires du commerce électronique représentant plus de 1 % du chiffre d’affaires total et ventes en ligne entre entreprises et consommateurs (B2C) supérieures à 10 % du total des ventes en ligne. Pour cet indice, la valeur varie donc de 0 à 12. La liste de ces 12 indicateurs est revue et améliorée chaque année afin de rester en phase avec les technologies et les priorités d’action les plus récentes.</w:t>
      </w:r>
    </w:p>
  </w:footnote>
  <w:footnote w:id="11">
    <w:p>
      <w:pPr>
        <w:pStyle w:val="FootnoteText"/>
        <w:spacing w:after="120"/>
        <w:ind w:left="567" w:hanging="567"/>
        <w:jc w:val="both"/>
        <w:rPr>
          <w:rFonts w:ascii="Times New Roman" w:hAnsi="Times New Roman" w:cs="Times New Roman"/>
        </w:rPr>
      </w:pPr>
      <w:r>
        <w:rPr>
          <w:rStyle w:val="FootnoteReference"/>
        </w:rPr>
        <w:footnoteRef/>
      </w:r>
      <w:r>
        <w:tab/>
      </w:r>
      <w:r>
        <w:rPr>
          <w:rFonts w:ascii="Times New Roman" w:hAnsi="Times New Roman"/>
        </w:rPr>
        <w:t>Par «licornes», on entend ici aussi bien: 1) les licornes réalisées, à savoir les entreprises créées après 1990 qui ont réalisé une introduction en bourse ou une vente commerciale supérieure à 1 milliard de dollars que 2) les licornes latentes, à savoir les entreprises qui ont été valorisées à 1 milliard de dollars ou davantage lors de leur dernier cycle de financement de capital-risque privé (ce qui signifie que la valorisation n’a pas été confirmée dans le cadre d’une transaction secondaire). En 2019, il y avait 703 licornes aux États-Unis et 206 en Chine</w:t>
      </w:r>
      <w:r>
        <w:t xml:space="preserve"> (</w:t>
      </w:r>
      <w:r>
        <w:rPr>
          <w:rFonts w:ascii="Times New Roman" w:hAnsi="Times New Roman"/>
        </w:rPr>
        <w:t>https://blog.dealroom.co/uk-unicorn-tech-update-for-london-tech-week/).</w:t>
      </w:r>
    </w:p>
  </w:footnote>
  <w:footnote w:id="12">
    <w:p>
      <w:pPr>
        <w:pStyle w:val="FootnoteText"/>
        <w:spacing w:after="120"/>
        <w:ind w:left="567" w:hanging="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les «services publics clés» sont des services liés aux «événements de la vie» suivants: opérations commerciales régulières, déménagement, questions liées à la propriété et à la conduite d’une voiture, lancement d’une procédure de règlement des petits litiges, démarrage d’une entreprise, vie familiale, perte et recherche d’un emploi et formation. (Source: évaluation comparative pour l’administration en ligne «e-Government Benchmark»).  </w:t>
      </w:r>
    </w:p>
  </w:footnote>
  <w:footnote w:id="13">
    <w:p>
      <w:pPr>
        <w:pStyle w:val="FootnoteText"/>
        <w:spacing w:after="120"/>
        <w:ind w:left="567" w:hanging="567"/>
      </w:pPr>
      <w:r>
        <w:rPr>
          <w:rStyle w:val="FootnoteReference"/>
        </w:rPr>
        <w:footnoteRef/>
      </w:r>
      <w:r>
        <w:tab/>
      </w:r>
      <w:r>
        <w:rPr>
          <w:rFonts w:ascii="Times New Roman" w:hAnsi="Times New Roman"/>
        </w:rPr>
        <w:t>Peut être obtenu au moyen de l’évaluation comparative pour l’administration en ligne ou de sources administratives.</w:t>
      </w:r>
    </w:p>
  </w:footnote>
  <w:footnote w:id="14">
    <w:p>
      <w:pPr>
        <w:pStyle w:val="FootnoteText"/>
        <w:spacing w:after="120"/>
        <w:ind w:left="567" w:hanging="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En ce qui concerne la disponibilité, le niveau de référence actuel pour le pourcentage de services essentiels dépendant de l’identification électronique est de 58 % (services accessibles au niveau national) et de 9 % (services accessibles depuis l’étranger).</w:t>
      </w:r>
    </w:p>
  </w:footnote>
  <w:footnote w:id="15">
    <w:p>
      <w:pPr>
        <w:pStyle w:val="FootnoteText"/>
        <w:spacing w:after="120"/>
        <w:ind w:left="567" w:hanging="567"/>
      </w:pPr>
      <w:r>
        <w:rPr>
          <w:rStyle w:val="FootnoteReference"/>
        </w:rPr>
        <w:footnoteRef/>
      </w:r>
      <w:r>
        <w:tab/>
      </w:r>
      <w:r>
        <w:rPr>
          <w:rFonts w:ascii="Times New Roman" w:hAnsi="Times New Roman"/>
        </w:rPr>
        <w:t>Indicateur révisé relatif à l’étendue des services en ligne.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379B6"/>
    <w:multiLevelType w:val="hybridMultilevel"/>
    <w:tmpl w:val="0F546690"/>
    <w:lvl w:ilvl="0" w:tplc="623E66CE">
      <w:start w:val="3"/>
      <w:numFmt w:val="bullet"/>
      <w:lvlText w:val="-"/>
      <w:lvlJc w:val="left"/>
      <w:pPr>
        <w:ind w:left="720" w:hanging="360"/>
      </w:pPr>
      <w:rPr>
        <w:rFonts w:ascii="Times New Roman" w:eastAsiaTheme="minorEastAsi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4B134CF2"/>
    <w:multiLevelType w:val="hybridMultilevel"/>
    <w:tmpl w:val="406A81FE"/>
    <w:lvl w:ilvl="0" w:tplc="623E66CE">
      <w:start w:val="3"/>
      <w:numFmt w:val="bullet"/>
      <w:lvlText w:val="-"/>
      <w:lvlJc w:val="left"/>
      <w:pPr>
        <w:ind w:left="720" w:hanging="360"/>
      </w:pPr>
      <w:rPr>
        <w:rFonts w:ascii="Times New Roman" w:eastAsiaTheme="minorEastAsi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DE" w:vendorID="64" w:dllVersion="131078" w:nlCheck="1" w:checkStyle="0"/>
  <w:activeWritingStyle w:appName="MSWord" w:lang="en-CA" w:vendorID="64" w:dllVersion="131078" w:nlCheck="1" w:checkStyle="1"/>
  <w:revisionView w:markup="0"/>
  <w:defaultTabStop w:val="720"/>
  <w:hyphenationZone w:val="425"/>
  <w:characterSpacingControl w:val="doNotCompress"/>
  <w:hdrShapeDefaults>
    <o:shapedefaults v:ext="edit" spidmax="16385"/>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1"/>
    <w:docVar w:name="LW_ANNEX_UNIQUE" w:val="1"/>
    <w:docVar w:name="LW_CORRIGENDUM" w:val="&lt;UNUSED&gt;"/>
    <w:docVar w:name="LW_COVERPAGE_EXISTS" w:val="True"/>
    <w:docVar w:name="LW_COVERPAGE_GUID" w:val="CFD93123-DF2F-4F92-A683-86FD43F60353"/>
    <w:docVar w:name="LW_COVERPAGE_TYPE" w:val="1"/>
    <w:docVar w:name="LW_CROSSREFERENCE" w:val="&lt;UNUSED&gt;"/>
    <w:docVar w:name="LW_DocType" w:val="NORMAL"/>
    <w:docVar w:name="LW_EMISSION" w:val="9.3.2021"/>
    <w:docVar w:name="LW_EMISSION_ISODATE" w:val="2021-03-09"/>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Une boussole numérique pour 2030 : l\u8217?Europe balise la décennie numérique"/>
    <w:docVar w:name="LW_PART_NBR" w:val="1"/>
    <w:docVar w:name="LW_PART_NBR_TOTAL" w:val="1"/>
    <w:docVar w:name="LW_REF.INST.NEW" w:val="COM"/>
    <w:docVar w:name="LW_REF.INST.NEW_ADOPTED" w:val="final"/>
    <w:docVar w:name="LW_REF.INST.NEW_TEXT" w:val="(2021) 1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Communication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heme="minorEastAsia"/>
      <w:sz w:val="24"/>
      <w:szCs w:val="24"/>
      <w:lang w:eastAsia="fr-FR"/>
    </w:rPr>
  </w:style>
  <w:style w:type="paragraph" w:styleId="Heading1">
    <w:name w:val="heading 1"/>
    <w:basedOn w:val="Normal"/>
    <w:next w:val="Normal"/>
    <w:link w:val="Heading1Char"/>
    <w:uiPriority w:val="7"/>
    <w:qFormat/>
    <w:pPr>
      <w:spacing w:before="240" w:after="240"/>
      <w:ind w:left="360" w:hanging="360"/>
      <w:outlineLvl w:val="0"/>
    </w:pPr>
    <w:rPr>
      <w:rFonts w:ascii="Times New Roman" w:eastAsiaTheme="majorEastAsia" w:hAnsi="Times New Roman" w:cs="Times New Roman"/>
      <w:b/>
      <w:smallCaps/>
      <w:lang w:eastAsia="en-US"/>
    </w:rPr>
  </w:style>
  <w:style w:type="paragraph" w:styleId="Heading2">
    <w:name w:val="heading 2"/>
    <w:basedOn w:val="Heading1"/>
    <w:next w:val="Normal"/>
    <w:link w:val="Heading2Char"/>
    <w:uiPriority w:val="9"/>
    <w:unhideWhenUsed/>
    <w:qFormat/>
    <w:pPr>
      <w:ind w:left="716" w:hanging="432"/>
      <w:outlineLvl w:val="1"/>
    </w:pPr>
    <w:rPr>
      <w:i/>
      <w:smallCaps w:val="0"/>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Pr>
      <w:rFonts w:ascii="Times New Roman" w:eastAsiaTheme="majorEastAsia" w:hAnsi="Times New Roman" w:cs="Times New Roman"/>
      <w:b/>
      <w:smallCap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
      <w:i/>
      <w:sz w:val="24"/>
      <w:szCs w:val="24"/>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N,L,Task Body"/>
    <w:basedOn w:val="Normal"/>
    <w:link w:val="ListParagraphChar"/>
    <w:uiPriority w:val="34"/>
    <w:qFormat/>
    <w:pPr>
      <w:spacing w:after="200" w:line="275" w:lineRule="auto"/>
      <w:ind w:left="720"/>
      <w:contextualSpacing/>
    </w:pPr>
    <w:rPr>
      <w:rFonts w:eastAsiaTheme="minorHAnsi"/>
      <w:sz w:val="22"/>
      <w:szCs w:val="22"/>
      <w:lang w:eastAsia="en-US"/>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basedOn w:val="DefaultParagraphFont"/>
    <w:link w:val="ListParagraph"/>
    <w:uiPriority w:val="34"/>
    <w:qFormat/>
    <w:locked/>
  </w:style>
  <w:style w:type="character" w:styleId="FootnoteReference">
    <w:name w:val="footnote reference"/>
    <w:aliases w:val="Footnote symbol,Footnote reference number,Footnote,Times 10 Point,Exposant 3 Point,Ref,de nota al pie,note TESI,SUPERS,EN Footnote Reference,EN Footnote text,-E Fußnotenzeichen,BVI fnr,Footnote number,Footnote Reference Number,FR,fr,o"/>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rFonts w:eastAsiaTheme="minorHAnsi"/>
      <w:sz w:val="22"/>
      <w:szCs w:val="22"/>
      <w:vertAlign w:val="superscript"/>
      <w:lang w:eastAsia="en-US"/>
    </w:rPr>
  </w:style>
  <w:style w:type="paragraph" w:styleId="FootnoteText">
    <w:name w:val="footnote text"/>
    <w:aliases w:val="Schriftart: 9 pt,Schriftart: 10 pt,Schriftart: 8 pt,WB-Fußnotentext,FoodNote,ft,Footnote text,Footnote Text Char Char,Footnote Text Char1 Char Char,Footnote Text Char Char Char Char,fn,f,Footnotes,Footnote ak,C,Fußnotentextf,Fußnote"/>
    <w:basedOn w:val="Normal"/>
    <w:link w:val="FootnoteTextChar"/>
    <w:uiPriority w:val="99"/>
    <w:unhideWhenUsed/>
    <w:qFormat/>
    <w:rPr>
      <w:rFonts w:eastAsiaTheme="minorHAnsi"/>
      <w:sz w:val="20"/>
      <w:szCs w:val="20"/>
      <w:lang w:eastAsia="en-US"/>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qFormat/>
    <w:rPr>
      <w:sz w:val="20"/>
      <w:szCs w:val="20"/>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eastAsiaTheme="minorHAnsi"/>
      <w:sz w:val="20"/>
      <w:szCs w:val="20"/>
      <w:lang w:eastAsia="en-US"/>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eastAsiaTheme="minorEastAsia" w:hAnsi="Lucida Grande" w:cs="Lucida Grande"/>
      <w:sz w:val="18"/>
      <w:szCs w:val="18"/>
      <w:lang w:val="fr-FR"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eastAsiaTheme="minorEastAsia"/>
      <w:sz w:val="24"/>
      <w:szCs w:val="24"/>
      <w:lang w:val="fr-FR" w:eastAsia="fr-FR"/>
    </w:rPr>
  </w:style>
  <w:style w:type="character" w:styleId="PageNumber">
    <w:name w:val="page number"/>
    <w:basedOn w:val="DefaultParagraphFont"/>
    <w:uiPriority w:val="99"/>
    <w:semiHidden/>
    <w:unhideWhenUsed/>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lang w:val="fr-FR" w:eastAsia="fr-FR"/>
    </w:rPr>
  </w:style>
  <w:style w:type="paragraph" w:styleId="CommentSubject">
    <w:name w:val="annotation subject"/>
    <w:basedOn w:val="CommentText"/>
    <w:next w:val="CommentText"/>
    <w:link w:val="CommentSubjectChar"/>
    <w:uiPriority w:val="99"/>
    <w:semiHidden/>
    <w:unhideWhenUsed/>
    <w:pPr>
      <w:spacing w:after="0"/>
    </w:pPr>
    <w:rPr>
      <w:rFonts w:eastAsiaTheme="minorEastAsia"/>
      <w:b/>
      <w:bCs/>
      <w:lang w:eastAsia="fr-FR"/>
    </w:rPr>
  </w:style>
  <w:style w:type="character" w:customStyle="1" w:styleId="CommentSubjectChar">
    <w:name w:val="Comment Subject Char"/>
    <w:basedOn w:val="CommentTextChar"/>
    <w:link w:val="CommentSubject"/>
    <w:uiPriority w:val="99"/>
    <w:semiHidden/>
    <w:rPr>
      <w:rFonts w:eastAsiaTheme="minorEastAsia"/>
      <w:b/>
      <w:bCs/>
      <w:sz w:val="20"/>
      <w:szCs w:val="20"/>
      <w:lang w:val="fr-FR" w:eastAsia="fr-FR"/>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pPr>
      <w:keepNext/>
      <w:keepLines/>
      <w:spacing w:line="259" w:lineRule="auto"/>
      <w:ind w:left="0" w:firstLine="0"/>
      <w:outlineLvl w:val="9"/>
    </w:pPr>
    <w:rPr>
      <w:rFonts w:asciiTheme="majorHAnsi" w:hAnsiTheme="majorHAnsi" w:cstheme="majorBidi"/>
      <w:b w:val="0"/>
      <w:color w:val="365F91" w:themeColor="accent1" w:themeShade="BF"/>
      <w:sz w:val="32"/>
      <w:szCs w:val="32"/>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lang w:val="fr-FR" w:eastAsia="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eastAsiaTheme="minorEastAsia"/>
      <w:sz w:val="24"/>
      <w:szCs w:val="24"/>
      <w:lang w:eastAsia="fr-FR"/>
    </w:rPr>
  </w:style>
  <w:style w:type="character" w:customStyle="1" w:styleId="MarkingLabel">
    <w:name w:val="MarkingLabel"/>
    <w:semiHidden/>
    <w:rPr>
      <w:b/>
      <w:caps/>
      <w:sz w:val="2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eastAsiaTheme="minorEastAsia" w:hAnsi="Times New Roman" w:cs="Times New Roman"/>
      <w:sz w:val="24"/>
      <w:szCs w:val="24"/>
      <w:lang w:eastAsia="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Theme="minorEastAsia" w:hAnsi="Times New Roman" w:cs="Times New Roman"/>
      <w:b/>
      <w:sz w:val="32"/>
      <w:szCs w:val="24"/>
      <w:lang w:eastAsia="fr-FR"/>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eastAsiaTheme="minorEastAsia" w:hAnsi="Times New Roman" w:cs="Times New Roman"/>
      <w:sz w:val="24"/>
      <w:szCs w:val="24"/>
      <w:lang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Theme="minorEastAsia" w:hAnsi="Times New Roman" w:cs="Times New Roman"/>
      <w:b/>
      <w:sz w:val="32"/>
      <w:szCs w:val="24"/>
      <w:lang w:eastAsia="fr-FR"/>
    </w:rPr>
  </w:style>
  <w:style w:type="paragraph" w:customStyle="1" w:styleId="HeaderSensitivityRight">
    <w:name w:val="Header Sensitivity Right"/>
    <w:basedOn w:val="Normal"/>
    <w:link w:val="HeaderSensitivityRightChar"/>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eastAsiaTheme="minorEastAsia" w:hAnsi="Times New Roman" w:cs="Times New Roman"/>
      <w:sz w:val="28"/>
      <w:szCs w:val="24"/>
      <w:lang w:eastAsia="fr-FR"/>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eastAsiaTheme="minorEastAsia"/>
      <w:sz w:val="20"/>
      <w:szCs w:val="20"/>
      <w:lang w:val="fr-FR" w:eastAsia="fr-FR"/>
    </w:rPr>
  </w:style>
  <w:style w:type="character" w:styleId="EndnoteReference">
    <w:name w:val="endnote reference"/>
    <w:basedOn w:val="DefaultParagraphFont"/>
    <w:uiPriority w:val="99"/>
    <w:semiHidden/>
    <w:unhideWhenUsed/>
    <w:rPr>
      <w:vertAlign w:val="superscript"/>
    </w:rPr>
  </w:style>
  <w:style w:type="paragraph" w:customStyle="1" w:styleId="SecurityMarking">
    <w:name w:val="SecurityMarking"/>
    <w:basedOn w:val="Normal"/>
    <w:pPr>
      <w:spacing w:line="276" w:lineRule="auto"/>
      <w:ind w:left="5103"/>
    </w:pPr>
    <w:rPr>
      <w:rFonts w:ascii="Times New Roman" w:eastAsiaTheme="minorHAnsi" w:hAnsi="Times New Roman" w:cs="Times New Roman"/>
      <w:sz w:val="28"/>
      <w:szCs w:val="22"/>
      <w:lang w:eastAsia="en-US"/>
    </w:rPr>
  </w:style>
  <w:style w:type="paragraph" w:customStyle="1" w:styleId="DateMarking">
    <w:name w:val="DateMarking"/>
    <w:basedOn w:val="Normal"/>
    <w:pPr>
      <w:spacing w:line="276" w:lineRule="auto"/>
      <w:ind w:left="5103"/>
    </w:pPr>
    <w:rPr>
      <w:rFonts w:ascii="Times New Roman" w:eastAsiaTheme="minorHAnsi" w:hAnsi="Times New Roman" w:cs="Times New Roman"/>
      <w:i/>
      <w:sz w:val="28"/>
      <w:szCs w:val="22"/>
      <w:lang w:eastAsia="en-US"/>
    </w:rPr>
  </w:style>
  <w:style w:type="paragraph" w:customStyle="1" w:styleId="ReleasableTo">
    <w:name w:val="ReleasableTo"/>
    <w:basedOn w:val="Normal"/>
    <w:pPr>
      <w:spacing w:line="276" w:lineRule="auto"/>
      <w:ind w:left="5103"/>
    </w:pPr>
    <w:rPr>
      <w:rFonts w:ascii="Times New Roman" w:eastAsiaTheme="minorHAnsi" w:hAnsi="Times New Roman" w:cs="Times New Roman"/>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heme="minorEastAsia"/>
      <w:sz w:val="24"/>
      <w:szCs w:val="24"/>
      <w:lang w:eastAsia="fr-FR"/>
    </w:rPr>
  </w:style>
  <w:style w:type="paragraph" w:styleId="Heading1">
    <w:name w:val="heading 1"/>
    <w:basedOn w:val="Normal"/>
    <w:next w:val="Normal"/>
    <w:link w:val="Heading1Char"/>
    <w:uiPriority w:val="7"/>
    <w:qFormat/>
    <w:pPr>
      <w:spacing w:before="240" w:after="240"/>
      <w:ind w:left="360" w:hanging="360"/>
      <w:outlineLvl w:val="0"/>
    </w:pPr>
    <w:rPr>
      <w:rFonts w:ascii="Times New Roman" w:eastAsiaTheme="majorEastAsia" w:hAnsi="Times New Roman" w:cs="Times New Roman"/>
      <w:b/>
      <w:smallCaps/>
      <w:lang w:eastAsia="en-US"/>
    </w:rPr>
  </w:style>
  <w:style w:type="paragraph" w:styleId="Heading2">
    <w:name w:val="heading 2"/>
    <w:basedOn w:val="Heading1"/>
    <w:next w:val="Normal"/>
    <w:link w:val="Heading2Char"/>
    <w:uiPriority w:val="9"/>
    <w:unhideWhenUsed/>
    <w:qFormat/>
    <w:pPr>
      <w:ind w:left="716" w:hanging="432"/>
      <w:outlineLvl w:val="1"/>
    </w:pPr>
    <w:rPr>
      <w:i/>
      <w:smallCaps w:val="0"/>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Pr>
      <w:rFonts w:ascii="Times New Roman" w:eastAsiaTheme="majorEastAsia" w:hAnsi="Times New Roman" w:cs="Times New Roman"/>
      <w:b/>
      <w:smallCap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
      <w:i/>
      <w:sz w:val="24"/>
      <w:szCs w:val="24"/>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N,L,Task Body"/>
    <w:basedOn w:val="Normal"/>
    <w:link w:val="ListParagraphChar"/>
    <w:uiPriority w:val="34"/>
    <w:qFormat/>
    <w:pPr>
      <w:spacing w:after="200" w:line="275" w:lineRule="auto"/>
      <w:ind w:left="720"/>
      <w:contextualSpacing/>
    </w:pPr>
    <w:rPr>
      <w:rFonts w:eastAsiaTheme="minorHAnsi"/>
      <w:sz w:val="22"/>
      <w:szCs w:val="22"/>
      <w:lang w:eastAsia="en-US"/>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basedOn w:val="DefaultParagraphFont"/>
    <w:link w:val="ListParagraph"/>
    <w:uiPriority w:val="34"/>
    <w:qFormat/>
    <w:locked/>
  </w:style>
  <w:style w:type="character" w:styleId="FootnoteReference">
    <w:name w:val="footnote reference"/>
    <w:aliases w:val="Footnote symbol,Footnote reference number,Footnote,Times 10 Point,Exposant 3 Point,Ref,de nota al pie,note TESI,SUPERS,EN Footnote Reference,EN Footnote text,-E Fußnotenzeichen,BVI fnr,Footnote number,Footnote Reference Number,FR,fr,o"/>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rFonts w:eastAsiaTheme="minorHAnsi"/>
      <w:sz w:val="22"/>
      <w:szCs w:val="22"/>
      <w:vertAlign w:val="superscript"/>
      <w:lang w:eastAsia="en-US"/>
    </w:rPr>
  </w:style>
  <w:style w:type="paragraph" w:styleId="FootnoteText">
    <w:name w:val="footnote text"/>
    <w:aliases w:val="Schriftart: 9 pt,Schriftart: 10 pt,Schriftart: 8 pt,WB-Fußnotentext,FoodNote,ft,Footnote text,Footnote Text Char Char,Footnote Text Char1 Char Char,Footnote Text Char Char Char Char,fn,f,Footnotes,Footnote ak,C,Fußnotentextf,Fußnote"/>
    <w:basedOn w:val="Normal"/>
    <w:link w:val="FootnoteTextChar"/>
    <w:uiPriority w:val="99"/>
    <w:unhideWhenUsed/>
    <w:qFormat/>
    <w:rPr>
      <w:rFonts w:eastAsiaTheme="minorHAnsi"/>
      <w:sz w:val="20"/>
      <w:szCs w:val="20"/>
      <w:lang w:eastAsia="en-US"/>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qFormat/>
    <w:rPr>
      <w:sz w:val="20"/>
      <w:szCs w:val="20"/>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eastAsiaTheme="minorHAnsi"/>
      <w:sz w:val="20"/>
      <w:szCs w:val="20"/>
      <w:lang w:eastAsia="en-US"/>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eastAsiaTheme="minorEastAsia" w:hAnsi="Lucida Grande" w:cs="Lucida Grande"/>
      <w:sz w:val="18"/>
      <w:szCs w:val="18"/>
      <w:lang w:val="fr-FR"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eastAsiaTheme="minorEastAsia"/>
      <w:sz w:val="24"/>
      <w:szCs w:val="24"/>
      <w:lang w:val="fr-FR" w:eastAsia="fr-FR"/>
    </w:rPr>
  </w:style>
  <w:style w:type="character" w:styleId="PageNumber">
    <w:name w:val="page number"/>
    <w:basedOn w:val="DefaultParagraphFont"/>
    <w:uiPriority w:val="99"/>
    <w:semiHidden/>
    <w:unhideWhenUsed/>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lang w:val="fr-FR" w:eastAsia="fr-FR"/>
    </w:rPr>
  </w:style>
  <w:style w:type="paragraph" w:styleId="CommentSubject">
    <w:name w:val="annotation subject"/>
    <w:basedOn w:val="CommentText"/>
    <w:next w:val="CommentText"/>
    <w:link w:val="CommentSubjectChar"/>
    <w:uiPriority w:val="99"/>
    <w:semiHidden/>
    <w:unhideWhenUsed/>
    <w:pPr>
      <w:spacing w:after="0"/>
    </w:pPr>
    <w:rPr>
      <w:rFonts w:eastAsiaTheme="minorEastAsia"/>
      <w:b/>
      <w:bCs/>
      <w:lang w:eastAsia="fr-FR"/>
    </w:rPr>
  </w:style>
  <w:style w:type="character" w:customStyle="1" w:styleId="CommentSubjectChar">
    <w:name w:val="Comment Subject Char"/>
    <w:basedOn w:val="CommentTextChar"/>
    <w:link w:val="CommentSubject"/>
    <w:uiPriority w:val="99"/>
    <w:semiHidden/>
    <w:rPr>
      <w:rFonts w:eastAsiaTheme="minorEastAsia"/>
      <w:b/>
      <w:bCs/>
      <w:sz w:val="20"/>
      <w:szCs w:val="20"/>
      <w:lang w:val="fr-FR" w:eastAsia="fr-FR"/>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pPr>
      <w:keepNext/>
      <w:keepLines/>
      <w:spacing w:line="259" w:lineRule="auto"/>
      <w:ind w:left="0" w:firstLine="0"/>
      <w:outlineLvl w:val="9"/>
    </w:pPr>
    <w:rPr>
      <w:rFonts w:asciiTheme="majorHAnsi" w:hAnsiTheme="majorHAnsi" w:cstheme="majorBidi"/>
      <w:b w:val="0"/>
      <w:color w:val="365F91" w:themeColor="accent1" w:themeShade="BF"/>
      <w:sz w:val="32"/>
      <w:szCs w:val="32"/>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lang w:val="fr-FR" w:eastAsia="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eastAsiaTheme="minorEastAsia"/>
      <w:sz w:val="24"/>
      <w:szCs w:val="24"/>
      <w:lang w:eastAsia="fr-FR"/>
    </w:rPr>
  </w:style>
  <w:style w:type="character" w:customStyle="1" w:styleId="MarkingLabel">
    <w:name w:val="MarkingLabel"/>
    <w:semiHidden/>
    <w:rPr>
      <w:b/>
      <w:caps/>
      <w:sz w:val="2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eastAsiaTheme="minorEastAsia" w:hAnsi="Times New Roman" w:cs="Times New Roman"/>
      <w:sz w:val="24"/>
      <w:szCs w:val="24"/>
      <w:lang w:eastAsia="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Theme="minorEastAsia" w:hAnsi="Times New Roman" w:cs="Times New Roman"/>
      <w:b/>
      <w:sz w:val="32"/>
      <w:szCs w:val="24"/>
      <w:lang w:eastAsia="fr-FR"/>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eastAsiaTheme="minorEastAsia" w:hAnsi="Times New Roman" w:cs="Times New Roman"/>
      <w:sz w:val="24"/>
      <w:szCs w:val="24"/>
      <w:lang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Theme="minorEastAsia" w:hAnsi="Times New Roman" w:cs="Times New Roman"/>
      <w:b/>
      <w:sz w:val="32"/>
      <w:szCs w:val="24"/>
      <w:lang w:eastAsia="fr-FR"/>
    </w:rPr>
  </w:style>
  <w:style w:type="paragraph" w:customStyle="1" w:styleId="HeaderSensitivityRight">
    <w:name w:val="Header Sensitivity Right"/>
    <w:basedOn w:val="Normal"/>
    <w:link w:val="HeaderSensitivityRightChar"/>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eastAsiaTheme="minorEastAsia" w:hAnsi="Times New Roman" w:cs="Times New Roman"/>
      <w:sz w:val="28"/>
      <w:szCs w:val="24"/>
      <w:lang w:eastAsia="fr-FR"/>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eastAsiaTheme="minorEastAsia"/>
      <w:sz w:val="20"/>
      <w:szCs w:val="20"/>
      <w:lang w:val="fr-FR" w:eastAsia="fr-FR"/>
    </w:rPr>
  </w:style>
  <w:style w:type="character" w:styleId="EndnoteReference">
    <w:name w:val="endnote reference"/>
    <w:basedOn w:val="DefaultParagraphFont"/>
    <w:uiPriority w:val="99"/>
    <w:semiHidden/>
    <w:unhideWhenUsed/>
    <w:rPr>
      <w:vertAlign w:val="superscript"/>
    </w:rPr>
  </w:style>
  <w:style w:type="paragraph" w:customStyle="1" w:styleId="SecurityMarking">
    <w:name w:val="SecurityMarking"/>
    <w:basedOn w:val="Normal"/>
    <w:pPr>
      <w:spacing w:line="276" w:lineRule="auto"/>
      <w:ind w:left="5103"/>
    </w:pPr>
    <w:rPr>
      <w:rFonts w:ascii="Times New Roman" w:eastAsiaTheme="minorHAnsi" w:hAnsi="Times New Roman" w:cs="Times New Roman"/>
      <w:sz w:val="28"/>
      <w:szCs w:val="22"/>
      <w:lang w:eastAsia="en-US"/>
    </w:rPr>
  </w:style>
  <w:style w:type="paragraph" w:customStyle="1" w:styleId="DateMarking">
    <w:name w:val="DateMarking"/>
    <w:basedOn w:val="Normal"/>
    <w:pPr>
      <w:spacing w:line="276" w:lineRule="auto"/>
      <w:ind w:left="5103"/>
    </w:pPr>
    <w:rPr>
      <w:rFonts w:ascii="Times New Roman" w:eastAsiaTheme="minorHAnsi" w:hAnsi="Times New Roman" w:cs="Times New Roman"/>
      <w:i/>
      <w:sz w:val="28"/>
      <w:szCs w:val="22"/>
      <w:lang w:eastAsia="en-US"/>
    </w:rPr>
  </w:style>
  <w:style w:type="paragraph" w:customStyle="1" w:styleId="ReleasableTo">
    <w:name w:val="ReleasableTo"/>
    <w:basedOn w:val="Normal"/>
    <w:pPr>
      <w:spacing w:line="276" w:lineRule="auto"/>
      <w:ind w:left="5103"/>
    </w:pPr>
    <w:rPr>
      <w:rFonts w:ascii="Times New Roman" w:eastAsiaTheme="minorHAnsi" w:hAnsi="Times New Roman" w:cs="Times New Roman"/>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0660">
      <w:bodyDiv w:val="1"/>
      <w:marLeft w:val="0"/>
      <w:marRight w:val="0"/>
      <w:marTop w:val="0"/>
      <w:marBottom w:val="0"/>
      <w:divBdr>
        <w:top w:val="none" w:sz="0" w:space="0" w:color="auto"/>
        <w:left w:val="none" w:sz="0" w:space="0" w:color="auto"/>
        <w:bottom w:val="none" w:sz="0" w:space="0" w:color="auto"/>
        <w:right w:val="none" w:sz="0" w:space="0" w:color="auto"/>
      </w:divBdr>
    </w:div>
    <w:div w:id="71851623">
      <w:bodyDiv w:val="1"/>
      <w:marLeft w:val="0"/>
      <w:marRight w:val="0"/>
      <w:marTop w:val="0"/>
      <w:marBottom w:val="0"/>
      <w:divBdr>
        <w:top w:val="none" w:sz="0" w:space="0" w:color="auto"/>
        <w:left w:val="none" w:sz="0" w:space="0" w:color="auto"/>
        <w:bottom w:val="none" w:sz="0" w:space="0" w:color="auto"/>
        <w:right w:val="none" w:sz="0" w:space="0" w:color="auto"/>
      </w:divBdr>
    </w:div>
    <w:div w:id="161743082">
      <w:bodyDiv w:val="1"/>
      <w:marLeft w:val="0"/>
      <w:marRight w:val="0"/>
      <w:marTop w:val="0"/>
      <w:marBottom w:val="0"/>
      <w:divBdr>
        <w:top w:val="none" w:sz="0" w:space="0" w:color="auto"/>
        <w:left w:val="none" w:sz="0" w:space="0" w:color="auto"/>
        <w:bottom w:val="none" w:sz="0" w:space="0" w:color="auto"/>
        <w:right w:val="none" w:sz="0" w:space="0" w:color="auto"/>
      </w:divBdr>
    </w:div>
    <w:div w:id="233006492">
      <w:bodyDiv w:val="1"/>
      <w:marLeft w:val="0"/>
      <w:marRight w:val="0"/>
      <w:marTop w:val="0"/>
      <w:marBottom w:val="0"/>
      <w:divBdr>
        <w:top w:val="none" w:sz="0" w:space="0" w:color="auto"/>
        <w:left w:val="none" w:sz="0" w:space="0" w:color="auto"/>
        <w:bottom w:val="none" w:sz="0" w:space="0" w:color="auto"/>
        <w:right w:val="none" w:sz="0" w:space="0" w:color="auto"/>
      </w:divBdr>
    </w:div>
    <w:div w:id="235938950">
      <w:bodyDiv w:val="1"/>
      <w:marLeft w:val="0"/>
      <w:marRight w:val="0"/>
      <w:marTop w:val="0"/>
      <w:marBottom w:val="0"/>
      <w:divBdr>
        <w:top w:val="none" w:sz="0" w:space="0" w:color="auto"/>
        <w:left w:val="none" w:sz="0" w:space="0" w:color="auto"/>
        <w:bottom w:val="none" w:sz="0" w:space="0" w:color="auto"/>
        <w:right w:val="none" w:sz="0" w:space="0" w:color="auto"/>
      </w:divBdr>
    </w:div>
    <w:div w:id="407771225">
      <w:bodyDiv w:val="1"/>
      <w:marLeft w:val="0"/>
      <w:marRight w:val="0"/>
      <w:marTop w:val="0"/>
      <w:marBottom w:val="0"/>
      <w:divBdr>
        <w:top w:val="none" w:sz="0" w:space="0" w:color="auto"/>
        <w:left w:val="none" w:sz="0" w:space="0" w:color="auto"/>
        <w:bottom w:val="none" w:sz="0" w:space="0" w:color="auto"/>
        <w:right w:val="none" w:sz="0" w:space="0" w:color="auto"/>
      </w:divBdr>
    </w:div>
    <w:div w:id="521863843">
      <w:bodyDiv w:val="1"/>
      <w:marLeft w:val="0"/>
      <w:marRight w:val="0"/>
      <w:marTop w:val="0"/>
      <w:marBottom w:val="0"/>
      <w:divBdr>
        <w:top w:val="none" w:sz="0" w:space="0" w:color="auto"/>
        <w:left w:val="none" w:sz="0" w:space="0" w:color="auto"/>
        <w:bottom w:val="none" w:sz="0" w:space="0" w:color="auto"/>
        <w:right w:val="none" w:sz="0" w:space="0" w:color="auto"/>
      </w:divBdr>
    </w:div>
    <w:div w:id="568077917">
      <w:bodyDiv w:val="1"/>
      <w:marLeft w:val="0"/>
      <w:marRight w:val="0"/>
      <w:marTop w:val="0"/>
      <w:marBottom w:val="0"/>
      <w:divBdr>
        <w:top w:val="none" w:sz="0" w:space="0" w:color="auto"/>
        <w:left w:val="none" w:sz="0" w:space="0" w:color="auto"/>
        <w:bottom w:val="none" w:sz="0" w:space="0" w:color="auto"/>
        <w:right w:val="none" w:sz="0" w:space="0" w:color="auto"/>
      </w:divBdr>
    </w:div>
    <w:div w:id="589200445">
      <w:bodyDiv w:val="1"/>
      <w:marLeft w:val="0"/>
      <w:marRight w:val="0"/>
      <w:marTop w:val="0"/>
      <w:marBottom w:val="0"/>
      <w:divBdr>
        <w:top w:val="none" w:sz="0" w:space="0" w:color="auto"/>
        <w:left w:val="none" w:sz="0" w:space="0" w:color="auto"/>
        <w:bottom w:val="none" w:sz="0" w:space="0" w:color="auto"/>
        <w:right w:val="none" w:sz="0" w:space="0" w:color="auto"/>
      </w:divBdr>
    </w:div>
    <w:div w:id="633218720">
      <w:bodyDiv w:val="1"/>
      <w:marLeft w:val="0"/>
      <w:marRight w:val="0"/>
      <w:marTop w:val="0"/>
      <w:marBottom w:val="0"/>
      <w:divBdr>
        <w:top w:val="none" w:sz="0" w:space="0" w:color="auto"/>
        <w:left w:val="none" w:sz="0" w:space="0" w:color="auto"/>
        <w:bottom w:val="none" w:sz="0" w:space="0" w:color="auto"/>
        <w:right w:val="none" w:sz="0" w:space="0" w:color="auto"/>
      </w:divBdr>
    </w:div>
    <w:div w:id="762920725">
      <w:bodyDiv w:val="1"/>
      <w:marLeft w:val="0"/>
      <w:marRight w:val="0"/>
      <w:marTop w:val="0"/>
      <w:marBottom w:val="0"/>
      <w:divBdr>
        <w:top w:val="none" w:sz="0" w:space="0" w:color="auto"/>
        <w:left w:val="none" w:sz="0" w:space="0" w:color="auto"/>
        <w:bottom w:val="none" w:sz="0" w:space="0" w:color="auto"/>
        <w:right w:val="none" w:sz="0" w:space="0" w:color="auto"/>
      </w:divBdr>
    </w:div>
    <w:div w:id="930891890">
      <w:bodyDiv w:val="1"/>
      <w:marLeft w:val="0"/>
      <w:marRight w:val="0"/>
      <w:marTop w:val="0"/>
      <w:marBottom w:val="0"/>
      <w:divBdr>
        <w:top w:val="none" w:sz="0" w:space="0" w:color="auto"/>
        <w:left w:val="none" w:sz="0" w:space="0" w:color="auto"/>
        <w:bottom w:val="none" w:sz="0" w:space="0" w:color="auto"/>
        <w:right w:val="none" w:sz="0" w:space="0" w:color="auto"/>
      </w:divBdr>
    </w:div>
    <w:div w:id="1040471206">
      <w:bodyDiv w:val="1"/>
      <w:marLeft w:val="0"/>
      <w:marRight w:val="0"/>
      <w:marTop w:val="0"/>
      <w:marBottom w:val="0"/>
      <w:divBdr>
        <w:top w:val="none" w:sz="0" w:space="0" w:color="auto"/>
        <w:left w:val="none" w:sz="0" w:space="0" w:color="auto"/>
        <w:bottom w:val="none" w:sz="0" w:space="0" w:color="auto"/>
        <w:right w:val="none" w:sz="0" w:space="0" w:color="auto"/>
      </w:divBdr>
    </w:div>
    <w:div w:id="1109813018">
      <w:bodyDiv w:val="1"/>
      <w:marLeft w:val="0"/>
      <w:marRight w:val="0"/>
      <w:marTop w:val="0"/>
      <w:marBottom w:val="0"/>
      <w:divBdr>
        <w:top w:val="none" w:sz="0" w:space="0" w:color="auto"/>
        <w:left w:val="none" w:sz="0" w:space="0" w:color="auto"/>
        <w:bottom w:val="none" w:sz="0" w:space="0" w:color="auto"/>
        <w:right w:val="none" w:sz="0" w:space="0" w:color="auto"/>
      </w:divBdr>
    </w:div>
    <w:div w:id="1135560934">
      <w:bodyDiv w:val="1"/>
      <w:marLeft w:val="0"/>
      <w:marRight w:val="0"/>
      <w:marTop w:val="0"/>
      <w:marBottom w:val="0"/>
      <w:divBdr>
        <w:top w:val="none" w:sz="0" w:space="0" w:color="auto"/>
        <w:left w:val="none" w:sz="0" w:space="0" w:color="auto"/>
        <w:bottom w:val="none" w:sz="0" w:space="0" w:color="auto"/>
        <w:right w:val="none" w:sz="0" w:space="0" w:color="auto"/>
      </w:divBdr>
    </w:div>
    <w:div w:id="1220895468">
      <w:bodyDiv w:val="1"/>
      <w:marLeft w:val="0"/>
      <w:marRight w:val="0"/>
      <w:marTop w:val="0"/>
      <w:marBottom w:val="0"/>
      <w:divBdr>
        <w:top w:val="none" w:sz="0" w:space="0" w:color="auto"/>
        <w:left w:val="none" w:sz="0" w:space="0" w:color="auto"/>
        <w:bottom w:val="none" w:sz="0" w:space="0" w:color="auto"/>
        <w:right w:val="none" w:sz="0" w:space="0" w:color="auto"/>
      </w:divBdr>
    </w:div>
    <w:div w:id="1546871540">
      <w:bodyDiv w:val="1"/>
      <w:marLeft w:val="0"/>
      <w:marRight w:val="0"/>
      <w:marTop w:val="0"/>
      <w:marBottom w:val="0"/>
      <w:divBdr>
        <w:top w:val="none" w:sz="0" w:space="0" w:color="auto"/>
        <w:left w:val="none" w:sz="0" w:space="0" w:color="auto"/>
        <w:bottom w:val="none" w:sz="0" w:space="0" w:color="auto"/>
        <w:right w:val="none" w:sz="0" w:space="0" w:color="auto"/>
      </w:divBdr>
    </w:div>
    <w:div w:id="1569925579">
      <w:bodyDiv w:val="1"/>
      <w:marLeft w:val="0"/>
      <w:marRight w:val="0"/>
      <w:marTop w:val="0"/>
      <w:marBottom w:val="0"/>
      <w:divBdr>
        <w:top w:val="none" w:sz="0" w:space="0" w:color="auto"/>
        <w:left w:val="none" w:sz="0" w:space="0" w:color="auto"/>
        <w:bottom w:val="none" w:sz="0" w:space="0" w:color="auto"/>
        <w:right w:val="none" w:sz="0" w:space="0" w:color="auto"/>
      </w:divBdr>
    </w:div>
    <w:div w:id="1585912011">
      <w:bodyDiv w:val="1"/>
      <w:marLeft w:val="0"/>
      <w:marRight w:val="0"/>
      <w:marTop w:val="0"/>
      <w:marBottom w:val="0"/>
      <w:divBdr>
        <w:top w:val="none" w:sz="0" w:space="0" w:color="auto"/>
        <w:left w:val="none" w:sz="0" w:space="0" w:color="auto"/>
        <w:bottom w:val="none" w:sz="0" w:space="0" w:color="auto"/>
        <w:right w:val="none" w:sz="0" w:space="0" w:color="auto"/>
      </w:divBdr>
    </w:div>
    <w:div w:id="1627857305">
      <w:bodyDiv w:val="1"/>
      <w:marLeft w:val="0"/>
      <w:marRight w:val="0"/>
      <w:marTop w:val="0"/>
      <w:marBottom w:val="0"/>
      <w:divBdr>
        <w:top w:val="none" w:sz="0" w:space="0" w:color="auto"/>
        <w:left w:val="none" w:sz="0" w:space="0" w:color="auto"/>
        <w:bottom w:val="none" w:sz="0" w:space="0" w:color="auto"/>
        <w:right w:val="none" w:sz="0" w:space="0" w:color="auto"/>
      </w:divBdr>
    </w:div>
    <w:div w:id="1636133646">
      <w:bodyDiv w:val="1"/>
      <w:marLeft w:val="0"/>
      <w:marRight w:val="0"/>
      <w:marTop w:val="0"/>
      <w:marBottom w:val="0"/>
      <w:divBdr>
        <w:top w:val="none" w:sz="0" w:space="0" w:color="auto"/>
        <w:left w:val="none" w:sz="0" w:space="0" w:color="auto"/>
        <w:bottom w:val="none" w:sz="0" w:space="0" w:color="auto"/>
        <w:right w:val="none" w:sz="0" w:space="0" w:color="auto"/>
      </w:divBdr>
    </w:div>
    <w:div w:id="1640956907">
      <w:bodyDiv w:val="1"/>
      <w:marLeft w:val="0"/>
      <w:marRight w:val="0"/>
      <w:marTop w:val="0"/>
      <w:marBottom w:val="0"/>
      <w:divBdr>
        <w:top w:val="none" w:sz="0" w:space="0" w:color="auto"/>
        <w:left w:val="none" w:sz="0" w:space="0" w:color="auto"/>
        <w:bottom w:val="none" w:sz="0" w:space="0" w:color="auto"/>
        <w:right w:val="none" w:sz="0" w:space="0" w:color="auto"/>
      </w:divBdr>
    </w:div>
    <w:div w:id="1864325583">
      <w:bodyDiv w:val="1"/>
      <w:marLeft w:val="0"/>
      <w:marRight w:val="0"/>
      <w:marTop w:val="0"/>
      <w:marBottom w:val="0"/>
      <w:divBdr>
        <w:top w:val="none" w:sz="0" w:space="0" w:color="auto"/>
        <w:left w:val="none" w:sz="0" w:space="0" w:color="auto"/>
        <w:bottom w:val="none" w:sz="0" w:space="0" w:color="auto"/>
        <w:right w:val="none" w:sz="0" w:space="0" w:color="auto"/>
      </w:divBdr>
    </w:div>
    <w:div w:id="1884903638">
      <w:bodyDiv w:val="1"/>
      <w:marLeft w:val="0"/>
      <w:marRight w:val="0"/>
      <w:marTop w:val="0"/>
      <w:marBottom w:val="0"/>
      <w:divBdr>
        <w:top w:val="none" w:sz="0" w:space="0" w:color="auto"/>
        <w:left w:val="none" w:sz="0" w:space="0" w:color="auto"/>
        <w:bottom w:val="none" w:sz="0" w:space="0" w:color="auto"/>
        <w:right w:val="none" w:sz="0" w:space="0" w:color="auto"/>
      </w:divBdr>
    </w:div>
    <w:div w:id="1961720504">
      <w:bodyDiv w:val="1"/>
      <w:marLeft w:val="0"/>
      <w:marRight w:val="0"/>
      <w:marTop w:val="0"/>
      <w:marBottom w:val="0"/>
      <w:divBdr>
        <w:top w:val="none" w:sz="0" w:space="0" w:color="auto"/>
        <w:left w:val="none" w:sz="0" w:space="0" w:color="auto"/>
        <w:bottom w:val="none" w:sz="0" w:space="0" w:color="auto"/>
        <w:right w:val="none" w:sz="0" w:space="0" w:color="auto"/>
      </w:divBdr>
    </w:div>
    <w:div w:id="2032684056">
      <w:bodyDiv w:val="1"/>
      <w:marLeft w:val="0"/>
      <w:marRight w:val="0"/>
      <w:marTop w:val="0"/>
      <w:marBottom w:val="0"/>
      <w:divBdr>
        <w:top w:val="none" w:sz="0" w:space="0" w:color="auto"/>
        <w:left w:val="none" w:sz="0" w:space="0" w:color="auto"/>
        <w:bottom w:val="none" w:sz="0" w:space="0" w:color="auto"/>
        <w:right w:val="none" w:sz="0" w:space="0" w:color="auto"/>
      </w:divBdr>
    </w:div>
    <w:div w:id="2050715365">
      <w:bodyDiv w:val="1"/>
      <w:marLeft w:val="0"/>
      <w:marRight w:val="0"/>
      <w:marTop w:val="0"/>
      <w:marBottom w:val="0"/>
      <w:divBdr>
        <w:top w:val="none" w:sz="0" w:space="0" w:color="auto"/>
        <w:left w:val="none" w:sz="0" w:space="0" w:color="auto"/>
        <w:bottom w:val="none" w:sz="0" w:space="0" w:color="auto"/>
        <w:right w:val="none" w:sz="0" w:space="0" w:color="auto"/>
      </w:divBdr>
    </w:div>
    <w:div w:id="205114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header" Target="header1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3c58fb0a-f2a5-4659-bfcb-224b1188052b">EN</EC_Collab_DocumentLanguage>
    <EC_Collab_Reference xmlns="3c58fb0a-f2a5-4659-bfcb-224b1188052b" xsi:nil="true"/>
    <_dlc_DocId xmlns="866aabb8-7ec2-447a-a7ff-f911015037e7">UVNUSV5RWJH5-313226191-369</_dlc_DocId>
    <_dlc_DocIdUrl xmlns="866aabb8-7ec2-447a-a7ff-f911015037e7">
      <Url>https://myintracomm-collab.ec.europa.eu/dg/CONNECT/directorateD/UnitD2/_layouts/15/DocIdRedir.aspx?ID=UVNUSV5RWJH5-313226191-369</Url>
      <Description>UVNUSV5RWJH5-313226191-369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E1AEB709759A124D988071725F534713" ma:contentTypeVersion="10" ma:contentTypeDescription="Create a new document." ma:contentTypeScope="" ma:versionID="89e82d61b918f29f97e1a861fd63c6dc">
  <xsd:schema xmlns:xsd="http://www.w3.org/2001/XMLSchema" xmlns:xs="http://www.w3.org/2001/XMLSchema" xmlns:p="http://schemas.microsoft.com/office/2006/metadata/properties" xmlns:ns3="3c58fb0a-f2a5-4659-bfcb-224b1188052b" xmlns:ns4="866aabb8-7ec2-447a-a7ff-f911015037e7" targetNamespace="http://schemas.microsoft.com/office/2006/metadata/properties" ma:root="true" ma:fieldsID="9cf0bc32cd5c870d7ec488eff2046474" ns3:_="" ns4:_="">
    <xsd:import namespace="3c58fb0a-f2a5-4659-bfcb-224b1188052b"/>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8fb0a-f2a5-4659-bfcb-224b1188052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F9221-E80F-4F47-AD2E-6AB510A393C9}">
  <ds:schemaRefs>
    <ds:schemaRef ds:uri="http://schemas.microsoft.com/sharepoint/v3/contenttype/forms"/>
  </ds:schemaRefs>
</ds:datastoreItem>
</file>

<file path=customXml/itemProps2.xml><?xml version="1.0" encoding="utf-8"?>
<ds:datastoreItem xmlns:ds="http://schemas.openxmlformats.org/officeDocument/2006/customXml" ds:itemID="{159718B0-82B6-493A-9EBF-CD0D05E534AA}">
  <ds:schemaRefs>
    <ds:schemaRef ds:uri="http://purl.org/dc/elements/1.1/"/>
    <ds:schemaRef ds:uri="http://schemas.microsoft.com/office/2006/metadata/properties"/>
    <ds:schemaRef ds:uri="3c58fb0a-f2a5-4659-bfcb-224b118805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66aabb8-7ec2-447a-a7ff-f911015037e7"/>
    <ds:schemaRef ds:uri="http://www.w3.org/XML/1998/namespace"/>
    <ds:schemaRef ds:uri="http://purl.org/dc/dcmitype/"/>
  </ds:schemaRefs>
</ds:datastoreItem>
</file>

<file path=customXml/itemProps3.xml><?xml version="1.0" encoding="utf-8"?>
<ds:datastoreItem xmlns:ds="http://schemas.openxmlformats.org/officeDocument/2006/customXml" ds:itemID="{62EB289F-E935-4527-9E25-9A29F06B1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8fb0a-f2a5-4659-bfcb-224b1188052b"/>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8DCF71-D93C-422F-B9F6-4606E06FB65C}">
  <ds:schemaRefs>
    <ds:schemaRef ds:uri="http://schemas.microsoft.com/sharepoint/events"/>
  </ds:schemaRefs>
</ds:datastoreItem>
</file>

<file path=customXml/itemProps5.xml><?xml version="1.0" encoding="utf-8"?>
<ds:datastoreItem xmlns:ds="http://schemas.openxmlformats.org/officeDocument/2006/customXml" ds:itemID="{821B5411-1199-4DCE-A8AA-F075E84E2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818</Words>
  <Characters>4495</Characters>
  <Application>Microsoft Office Word</Application>
  <DocSecurity>0</DocSecurity>
  <Lines>160</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Eric (CNECT)</dc:creator>
  <cp:keywords/>
  <dc:description/>
  <cp:lastModifiedBy>WES PDFC Administrator</cp:lastModifiedBy>
  <cp:revision>12</cp:revision>
  <dcterms:created xsi:type="dcterms:W3CDTF">2021-03-08T15:49:00Z</dcterms:created>
  <dcterms:modified xsi:type="dcterms:W3CDTF">2021-03-24T16:59:00Z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CP-039</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First annex">
    <vt:lpwstr>1</vt:lpwstr>
  </property>
  <property fmtid="{D5CDD505-2E9C-101B-9397-08002B2CF9AE}" pid="10" name="Last annex">
    <vt:lpwstr>1</vt:lpwstr>
  </property>
  <property fmtid="{D5CDD505-2E9C-101B-9397-08002B2CF9AE}" pid="11" name="Unique annex">
    <vt:lpwstr>1</vt:lpwstr>
  </property>
  <property fmtid="{D5CDD505-2E9C-101B-9397-08002B2CF9AE}" pid="12" name="_dlc_DocIdItemGuid">
    <vt:lpwstr>cdee2c8b-cf5b-40c5-ba8f-c5fea8b3ef2d</vt:lpwstr>
  </property>
  <property fmtid="{D5CDD505-2E9C-101B-9397-08002B2CF9AE}" pid="13" name="_LW_INVALIDATED__LW_INVALIDATED__LW_INVALIDATED__LW_INVALIDATED__LW_INVALIDATED__LW_INVALIDATED__LW_INVALIDATED__LW_INVALIDATED_ContentTypeId">
    <vt:lpwstr>0x010100258AA79CEB83498886A3A0868112325000E1AEB709759A124D988071725F534713</vt:lpwstr>
  </property>
  <property fmtid="{D5CDD505-2E9C-101B-9397-08002B2CF9AE}" pid="14" name="_LW_INVALIDATED__LW_INVALIDATED__LW_INVALIDATED__LW_INVALIDATED_ContentTypeId">
    <vt:lpwstr>0x010100258AA79CEB83498886A3A0868112325000E1AEB709759A124D988071725F534713</vt:lpwstr>
  </property>
  <property fmtid="{D5CDD505-2E9C-101B-9397-08002B2CF9AE}" pid="15" name="_LW_INVALIDATED__LW_INVALIDATED_ContentTypeId">
    <vt:lpwstr>0x010100258AA79CEB83498886A3A0868112325000E1AEB709759A124D988071725F534713</vt:lpwstr>
  </property>
</Properties>
</file>