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6678242-F7B8-49E0-8049-CB413591DC7D" style="width:450.75pt;height:461.2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tbl>
      <w:tblPr>
        <w:tblStyle w:val="TableGrid"/>
        <w:tblW w:w="14088" w:type="dxa"/>
        <w:tblLook w:val="04A0" w:firstRow="1" w:lastRow="0" w:firstColumn="1" w:lastColumn="0" w:noHBand="0" w:noVBand="1"/>
      </w:tblPr>
      <w:tblGrid>
        <w:gridCol w:w="1611"/>
        <w:gridCol w:w="3302"/>
        <w:gridCol w:w="4321"/>
        <w:gridCol w:w="4854"/>
      </w:tblGrid>
      <w:tr>
        <w:tc>
          <w:tcPr>
            <w:tcW w:w="14088" w:type="dxa"/>
            <w:gridSpan w:val="4"/>
            <w:tcBorders>
              <w:top w:val="nil"/>
              <w:left w:val="nil"/>
              <w:bottom w:val="single" w:sz="4" w:space="0" w:color="auto"/>
              <w:right w:val="nil"/>
            </w:tcBorders>
          </w:tcPr>
          <w:p>
            <w:pPr>
              <w:jc w:val="center"/>
              <w:rPr>
                <w:rFonts w:ascii="Times New Roman" w:hAnsi="Times New Roman" w:cs="Times New Roman"/>
                <w:b/>
                <w:noProof/>
                <w:sz w:val="24"/>
                <w:szCs w:val="24"/>
                <w:lang w:val="en-IE"/>
              </w:rPr>
            </w:pPr>
            <w:bookmarkStart w:id="1" w:name="_GoBack"/>
            <w:bookmarkEnd w:id="1"/>
            <w:r>
              <w:rPr>
                <w:rFonts w:ascii="Times New Roman" w:hAnsi="Times New Roman" w:cs="Times New Roman"/>
                <w:b/>
                <w:noProof/>
                <w:sz w:val="24"/>
                <w:szCs w:val="24"/>
                <w:lang w:val="en-IE"/>
              </w:rPr>
              <w:lastRenderedPageBreak/>
              <w:t>Rights of the Child – EU and international frameworks</w:t>
            </w:r>
          </w:p>
          <w:p>
            <w:pPr>
              <w:jc w:val="center"/>
              <w:rPr>
                <w:rFonts w:ascii="Times New Roman" w:hAnsi="Times New Roman" w:cs="Times New Roman"/>
                <w:noProof/>
                <w:szCs w:val="20"/>
                <w:lang w:val="en-IE"/>
              </w:rPr>
            </w:pPr>
          </w:p>
          <w:p>
            <w:pPr>
              <w:jc w:val="center"/>
              <w:rPr>
                <w:rFonts w:ascii="Times New Roman" w:hAnsi="Times New Roman" w:cs="Times New Roman"/>
                <w:noProof/>
                <w:szCs w:val="20"/>
                <w:lang w:val="en-IE"/>
              </w:rPr>
            </w:pPr>
          </w:p>
          <w:p>
            <w:pPr>
              <w:jc w:val="center"/>
              <w:rPr>
                <w:rFonts w:ascii="Times New Roman" w:hAnsi="Times New Roman" w:cs="Times New Roman"/>
                <w:noProof/>
                <w:szCs w:val="20"/>
                <w:lang w:val="en-IE"/>
              </w:rPr>
            </w:pPr>
            <w:r>
              <w:rPr>
                <w:rFonts w:ascii="Times New Roman" w:hAnsi="Times New Roman" w:cs="Times New Roman"/>
                <w:noProof/>
                <w:szCs w:val="20"/>
                <w:lang w:val="en-IE"/>
              </w:rPr>
              <w:t>This Annex presents in detail the relevant rights enshrined in the Charter of Fundamental Rights of the EU, the UN Convention on the Rights of the Child and the goals and targets of the UN Sustainable Development Goals protected and promoted by the different strands of the EU Strategy on the rights of the child.</w:t>
            </w:r>
          </w:p>
          <w:p>
            <w:pPr>
              <w:rPr>
                <w:rFonts w:ascii="Times New Roman" w:eastAsia="Calibri" w:hAnsi="Times New Roman" w:cs="Times New Roman"/>
                <w:b/>
                <w:noProof/>
                <w:sz w:val="20"/>
                <w:szCs w:val="20"/>
                <w:lang w:val="en-IE"/>
              </w:rPr>
            </w:pPr>
          </w:p>
        </w:tc>
      </w:tr>
      <w:tr>
        <w:tc>
          <w:tcPr>
            <w:tcW w:w="1611" w:type="dxa"/>
            <w:tcBorders>
              <w:top w:val="single" w:sz="4" w:space="0" w:color="auto"/>
            </w:tcBorders>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 xml:space="preserve">EU strategy on the rights of the child </w:t>
            </w:r>
          </w:p>
        </w:tc>
        <w:tc>
          <w:tcPr>
            <w:tcW w:w="3302" w:type="dxa"/>
            <w:tcBorders>
              <w:top w:val="single" w:sz="4" w:space="0" w:color="auto"/>
            </w:tcBorders>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Charter of Fundamental Rights of the European Union</w:t>
            </w:r>
            <w:r>
              <w:rPr>
                <w:rFonts w:ascii="Times New Roman" w:eastAsia="Calibri" w:hAnsi="Times New Roman" w:cs="Times New Roman"/>
                <w:b/>
                <w:noProof/>
                <w:sz w:val="20"/>
                <w:szCs w:val="20"/>
                <w:vertAlign w:val="superscript"/>
                <w:lang w:val="en-IE"/>
              </w:rPr>
              <w:footnoteReference w:id="1"/>
            </w:r>
          </w:p>
        </w:tc>
        <w:tc>
          <w:tcPr>
            <w:tcW w:w="4321" w:type="dxa"/>
            <w:tcBorders>
              <w:top w:val="single" w:sz="4" w:space="0" w:color="auto"/>
            </w:tcBorders>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UN Convention on the Rights of the Child</w:t>
            </w:r>
            <w:r>
              <w:rPr>
                <w:rStyle w:val="FootnoteReference"/>
                <w:rFonts w:ascii="Times New Roman" w:eastAsia="Calibri" w:hAnsi="Times New Roman" w:cs="Times New Roman"/>
                <w:b/>
                <w:noProof/>
                <w:sz w:val="20"/>
                <w:szCs w:val="20"/>
                <w:lang w:val="en-IE"/>
              </w:rPr>
              <w:footnoteReference w:id="2"/>
            </w:r>
          </w:p>
        </w:tc>
        <w:tc>
          <w:tcPr>
            <w:tcW w:w="4854" w:type="dxa"/>
            <w:tcBorders>
              <w:top w:val="single" w:sz="4" w:space="0" w:color="auto"/>
            </w:tcBorders>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UN 2030 Sustainable Development Goals (SDGs)</w:t>
            </w:r>
            <w:r>
              <w:rPr>
                <w:rFonts w:ascii="Times New Roman" w:eastAsia="Calibri" w:hAnsi="Times New Roman" w:cs="Times New Roman"/>
                <w:b/>
                <w:noProof/>
                <w:sz w:val="20"/>
                <w:szCs w:val="20"/>
                <w:vertAlign w:val="superscript"/>
                <w:lang w:val="en-IE"/>
              </w:rPr>
              <w:t xml:space="preserve">  </w:t>
            </w:r>
          </w:p>
        </w:tc>
      </w:tr>
      <w:tr>
        <w:tc>
          <w:tcPr>
            <w:tcW w:w="1611" w:type="dxa"/>
          </w:tcPr>
          <w:p>
            <w:pPr>
              <w:spacing w:after="120" w:line="288" w:lineRule="auto"/>
              <w:jc w:val="both"/>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 xml:space="preserve">Introduction </w:t>
            </w:r>
          </w:p>
        </w:tc>
        <w:tc>
          <w:tcPr>
            <w:tcW w:w="3302" w:type="dxa"/>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24: The rights of the child</w:t>
            </w:r>
          </w:p>
          <w:p>
            <w:pPr>
              <w:ind w:left="708"/>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24.2: Best interests of the child</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              Art. 24.1.1: Right of the child to protection and care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20: Equality before the law</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21: Non-discrimination</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23: Equality between women and men</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26: Integration of persons with disabilities</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2: Right to life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tc>
        <w:tc>
          <w:tcPr>
            <w:tcW w:w="4321" w:type="dxa"/>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1: Definition of the child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General principles: </w:t>
            </w:r>
          </w:p>
          <w:p>
            <w:pPr>
              <w:rPr>
                <w:rFonts w:ascii="Times New Roman" w:eastAsia="Calibri" w:hAnsi="Times New Roman" w:cs="Times New Roman"/>
                <w:noProof/>
                <w:sz w:val="20"/>
                <w:szCs w:val="20"/>
                <w:lang w:val="en-IE"/>
              </w:rPr>
            </w:pPr>
          </w:p>
          <w:p>
            <w:pPr>
              <w:pStyle w:val="ListParagraph"/>
              <w:numPr>
                <w:ilvl w:val="0"/>
                <w:numId w:val="3"/>
              </w:numPr>
              <w:spacing w:after="0" w:line="240" w:lineRule="auto"/>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 Non-discrimination</w:t>
            </w:r>
          </w:p>
          <w:p>
            <w:pPr>
              <w:pStyle w:val="ListParagraph"/>
              <w:numPr>
                <w:ilvl w:val="0"/>
                <w:numId w:val="3"/>
              </w:numPr>
              <w:spacing w:after="0" w:line="240" w:lineRule="auto"/>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 Best interests of the child</w:t>
            </w:r>
          </w:p>
          <w:p>
            <w:pPr>
              <w:pStyle w:val="ListParagraph"/>
              <w:numPr>
                <w:ilvl w:val="0"/>
                <w:numId w:val="3"/>
              </w:numPr>
              <w:spacing w:after="0" w:line="240" w:lineRule="auto"/>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6: The right to life, survival and development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23: Children with disabilities and measures taken to ensure their dignity, self-reliance and active participation in the community, through access to all kinds of services, transportation and institutions, and in particular to education and cultural activities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7 UNCRPD: Children with disabilities</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30: Children belonging to a minority or an indigenous group;</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bCs/>
                <w:noProof/>
                <w:color w:val="000000"/>
                <w:sz w:val="20"/>
                <w:szCs w:val="20"/>
                <w:shd w:val="clear" w:color="auto" w:fill="FFFFFF"/>
                <w:lang w:val="en-IE"/>
              </w:rPr>
            </w:pPr>
          </w:p>
          <w:p>
            <w:pPr>
              <w:rPr>
                <w:rFonts w:ascii="Times New Roman" w:eastAsia="Calibri" w:hAnsi="Times New Roman" w:cs="Times New Roman"/>
                <w:bCs/>
                <w:noProof/>
                <w:color w:val="000000"/>
                <w:sz w:val="20"/>
                <w:szCs w:val="20"/>
                <w:shd w:val="clear" w:color="auto" w:fill="FFFFFF"/>
                <w:lang w:val="en-IE"/>
              </w:rPr>
            </w:pPr>
            <w:r>
              <w:rPr>
                <w:rFonts w:ascii="Times New Roman" w:eastAsia="Calibri" w:hAnsi="Times New Roman" w:cs="Times New Roman"/>
                <w:bCs/>
                <w:noProof/>
                <w:color w:val="000000"/>
                <w:sz w:val="20"/>
                <w:szCs w:val="20"/>
                <w:shd w:val="clear" w:color="auto" w:fill="FFFFFF"/>
                <w:lang w:val="en-IE"/>
              </w:rPr>
              <w:t xml:space="preserve">General measures of implementation </w:t>
            </w:r>
          </w:p>
          <w:p>
            <w:pPr>
              <w:pStyle w:val="ListParagraph"/>
              <w:numPr>
                <w:ilvl w:val="0"/>
                <w:numId w:val="4"/>
              </w:numPr>
              <w:spacing w:after="0" w:line="240" w:lineRule="auto"/>
              <w:rPr>
                <w:rFonts w:ascii="Times New Roman" w:eastAsia="Calibri" w:hAnsi="Times New Roman" w:cs="Times New Roman"/>
                <w:bCs/>
                <w:noProof/>
                <w:color w:val="000000"/>
                <w:sz w:val="20"/>
                <w:szCs w:val="20"/>
                <w:shd w:val="clear" w:color="auto" w:fill="FFFFFF"/>
                <w:lang w:val="en-IE"/>
              </w:rPr>
            </w:pPr>
            <w:r>
              <w:rPr>
                <w:rFonts w:ascii="Times New Roman" w:eastAsia="Calibri" w:hAnsi="Times New Roman" w:cs="Times New Roman"/>
                <w:bCs/>
                <w:noProof/>
                <w:color w:val="000000"/>
                <w:sz w:val="20"/>
                <w:szCs w:val="20"/>
                <w:shd w:val="clear" w:color="auto" w:fill="FFFFFF"/>
                <w:lang w:val="en-IE"/>
              </w:rPr>
              <w:t xml:space="preserve">Art. 4: Implementation of the Convention </w:t>
            </w:r>
          </w:p>
          <w:p>
            <w:pPr>
              <w:pStyle w:val="ListParagraph"/>
              <w:numPr>
                <w:ilvl w:val="0"/>
                <w:numId w:val="4"/>
              </w:numPr>
              <w:spacing w:after="0" w:line="240" w:lineRule="auto"/>
              <w:rPr>
                <w:rFonts w:ascii="Times New Roman" w:eastAsia="Calibri" w:hAnsi="Times New Roman" w:cs="Times New Roman"/>
                <w:bCs/>
                <w:noProof/>
                <w:color w:val="000000"/>
                <w:sz w:val="20"/>
                <w:szCs w:val="20"/>
                <w:shd w:val="clear" w:color="auto" w:fill="FFFFFF"/>
                <w:lang w:val="en-IE"/>
              </w:rPr>
            </w:pPr>
            <w:r>
              <w:rPr>
                <w:rFonts w:ascii="Times New Roman" w:eastAsia="Calibri" w:hAnsi="Times New Roman" w:cs="Times New Roman"/>
                <w:noProof/>
                <w:sz w:val="20"/>
                <w:szCs w:val="20"/>
                <w:lang w:val="en-IE"/>
              </w:rPr>
              <w:t>Art. 4: International cooperation</w:t>
            </w:r>
          </w:p>
          <w:p>
            <w:pPr>
              <w:pStyle w:val="ListParagraph"/>
              <w:numPr>
                <w:ilvl w:val="0"/>
                <w:numId w:val="4"/>
              </w:numPr>
              <w:spacing w:after="0" w:line="240" w:lineRule="auto"/>
              <w:rPr>
                <w:rFonts w:ascii="Times New Roman" w:eastAsia="Calibri" w:hAnsi="Times New Roman" w:cs="Times New Roman"/>
                <w:bCs/>
                <w:noProof/>
                <w:color w:val="000000"/>
                <w:sz w:val="20"/>
                <w:szCs w:val="20"/>
                <w:shd w:val="clear" w:color="auto" w:fill="FFFFFF"/>
                <w:lang w:val="en-IE"/>
              </w:rPr>
            </w:pPr>
            <w:r>
              <w:rPr>
                <w:rFonts w:ascii="Times New Roman" w:eastAsia="Calibri" w:hAnsi="Times New Roman" w:cs="Times New Roman"/>
                <w:bCs/>
                <w:noProof/>
                <w:color w:val="000000"/>
                <w:sz w:val="20"/>
                <w:szCs w:val="20"/>
                <w:shd w:val="clear" w:color="auto" w:fill="FFFFFF"/>
                <w:lang w:val="en-IE"/>
              </w:rPr>
              <w:t>Art. 44.6: Make UNCRC reports available to the public</w:t>
            </w:r>
          </w:p>
        </w:tc>
        <w:tc>
          <w:tcPr>
            <w:tcW w:w="4854" w:type="dxa"/>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10: Reduce inequality</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10.3:  Ensure  equal  opportunity  and  reduce  inequalities  of  outcome, including by eliminating discriminatory laws, policies, and practices  and  promoting  appropriate  legislation,  policies,  and  action  in this regard</w:t>
            </w:r>
          </w:p>
          <w:p>
            <w:pPr>
              <w:rPr>
                <w:rFonts w:ascii="Times New Roman" w:eastAsia="Calibri" w:hAnsi="Times New Roman" w:cs="Times New Roman"/>
                <w:b/>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Target 10.2: Empower and promote the social, economic and political inclusion  of  all,  irrespective  of  age,  sex,  disability,  race,  ethnicity,  origin, religion, or economic or other status </w:t>
            </w:r>
          </w:p>
          <w:p>
            <w:pPr>
              <w:rPr>
                <w:rFonts w:ascii="Times New Roman" w:eastAsia="Calibri" w:hAnsi="Times New Roman" w:cs="Times New Roman"/>
                <w:b/>
                <w:noProof/>
                <w:sz w:val="20"/>
                <w:szCs w:val="20"/>
                <w:lang w:val="en-IE"/>
              </w:rPr>
            </w:pPr>
          </w:p>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5: Gender equality</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5.1: End all forms of discrimination against all women and girls everywhere</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5.c: Adopt and strengthen sound policies and enforceable legislation for the promotion of gender equality and the empowerment of all women and girls at all levels</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 xml:space="preserve">SDG 17: Partnerships for the Goals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17.2. Implement all development assistance commitments</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17.3. Mobilise financial resources for developing countries</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tc>
      </w:tr>
      <w:tr>
        <w:tc>
          <w:tcPr>
            <w:tcW w:w="1611" w:type="dxa"/>
          </w:tcPr>
          <w:p>
            <w:pPr>
              <w:keepNext/>
              <w:keepLines/>
              <w:spacing w:after="120" w:line="288" w:lineRule="auto"/>
              <w:jc w:val="both"/>
              <w:outlineLvl w:val="1"/>
              <w:rPr>
                <w:rFonts w:ascii="Times New Roman" w:eastAsia="Times New Roman" w:hAnsi="Times New Roman" w:cs="Times New Roman"/>
                <w:b/>
                <w:noProof/>
                <w:sz w:val="20"/>
                <w:szCs w:val="20"/>
                <w:lang w:val="en-IE"/>
              </w:rPr>
            </w:pPr>
            <w:r>
              <w:rPr>
                <w:rFonts w:ascii="Times New Roman" w:eastAsia="Times New Roman" w:hAnsi="Times New Roman" w:cs="Times New Roman"/>
                <w:b/>
                <w:noProof/>
                <w:sz w:val="20"/>
                <w:szCs w:val="20"/>
                <w:lang w:val="en-IE"/>
              </w:rPr>
              <w:t>Child participation in  political and democratic life</w:t>
            </w:r>
          </w:p>
          <w:p>
            <w:pPr>
              <w:ind w:left="360"/>
              <w:rPr>
                <w:rFonts w:ascii="Times New Roman" w:eastAsia="Calibri" w:hAnsi="Times New Roman" w:cs="Times New Roman"/>
                <w:b/>
                <w:noProof/>
                <w:sz w:val="20"/>
                <w:szCs w:val="20"/>
                <w:lang w:val="en-IE"/>
              </w:rPr>
            </w:pPr>
          </w:p>
        </w:tc>
        <w:tc>
          <w:tcPr>
            <w:tcW w:w="3302" w:type="dxa"/>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24.1: Right of the child to express his/her views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10: Freedom of thought, conscience and religion</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12: Freedom of assembly and of association</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22: Cultural, religious and linguistic diversity</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tc>
        <w:tc>
          <w:tcPr>
            <w:tcW w:w="4321" w:type="dxa"/>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12: Respect for the views of the child</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7.3 UNCRPD: Right of children with disabilities to express their views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color w:val="000000"/>
                <w:sz w:val="20"/>
                <w:szCs w:val="20"/>
                <w:lang w:val="en-IE"/>
              </w:rPr>
            </w:pPr>
          </w:p>
          <w:p>
            <w:pPr>
              <w:rPr>
                <w:rFonts w:ascii="Times New Roman" w:eastAsia="Calibri" w:hAnsi="Times New Roman" w:cs="Times New Roman"/>
                <w:noProof/>
                <w:color w:val="000000"/>
                <w:sz w:val="20"/>
                <w:szCs w:val="20"/>
                <w:lang w:val="en-IE"/>
              </w:rPr>
            </w:pPr>
            <w:r>
              <w:rPr>
                <w:rFonts w:ascii="Times New Roman" w:eastAsia="Calibri" w:hAnsi="Times New Roman" w:cs="Times New Roman"/>
                <w:noProof/>
                <w:color w:val="000000"/>
                <w:sz w:val="20"/>
                <w:szCs w:val="20"/>
                <w:lang w:val="en-IE"/>
              </w:rPr>
              <w:t xml:space="preserve">Art. 13: Freedom of expression and the right to seek, receive and impart information </w:t>
            </w:r>
          </w:p>
          <w:p>
            <w:pPr>
              <w:rPr>
                <w:rFonts w:ascii="Times New Roman" w:eastAsia="Calibri" w:hAnsi="Times New Roman" w:cs="Times New Roman"/>
                <w:noProof/>
                <w:color w:val="000000"/>
                <w:sz w:val="20"/>
                <w:szCs w:val="20"/>
                <w:lang w:val="en-IE"/>
              </w:rPr>
            </w:pPr>
            <w:r>
              <w:rPr>
                <w:rFonts w:ascii="Times New Roman" w:eastAsia="Calibri" w:hAnsi="Times New Roman" w:cs="Times New Roman"/>
                <w:noProof/>
                <w:color w:val="000000"/>
                <w:sz w:val="20"/>
                <w:szCs w:val="20"/>
                <w:lang w:val="en-IE"/>
              </w:rPr>
              <w:t xml:space="preserve">Art. 14: Freedom of thought, conscience and religion </w:t>
            </w:r>
          </w:p>
          <w:p>
            <w:pPr>
              <w:rPr>
                <w:rFonts w:ascii="Times New Roman" w:eastAsia="Calibri" w:hAnsi="Times New Roman" w:cs="Times New Roman"/>
                <w:noProof/>
                <w:sz w:val="20"/>
                <w:szCs w:val="20"/>
                <w:lang w:val="en-IE"/>
              </w:rPr>
            </w:pPr>
            <w:r>
              <w:rPr>
                <w:rFonts w:ascii="Times New Roman" w:eastAsia="Calibri" w:hAnsi="Times New Roman" w:cs="Times New Roman"/>
                <w:noProof/>
                <w:color w:val="000000"/>
                <w:sz w:val="20"/>
                <w:szCs w:val="20"/>
                <w:lang w:val="en-IE"/>
              </w:rPr>
              <w:t>Art. 15: Freedom of association and of peaceful assembly</w:t>
            </w:r>
          </w:p>
          <w:p>
            <w:pPr>
              <w:spacing w:before="100" w:beforeAutospacing="1" w:after="100" w:afterAutospacing="1"/>
              <w:rPr>
                <w:rFonts w:ascii="Times New Roman" w:eastAsia="Times New Roman" w:hAnsi="Times New Roman" w:cs="Times New Roman"/>
                <w:noProof/>
                <w:color w:val="000000"/>
                <w:sz w:val="20"/>
                <w:szCs w:val="20"/>
                <w:lang w:val="en-IE" w:eastAsia="es-ES"/>
              </w:rPr>
            </w:pPr>
            <w:r>
              <w:rPr>
                <w:rFonts w:ascii="Times New Roman" w:eastAsia="Times New Roman" w:hAnsi="Times New Roman" w:cs="Times New Roman"/>
                <w:noProof/>
                <w:color w:val="000000"/>
                <w:sz w:val="20"/>
                <w:szCs w:val="20"/>
                <w:lang w:val="en-IE" w:eastAsia="es-ES"/>
              </w:rPr>
              <w:t>Art. 42: Knowledge of rights</w:t>
            </w:r>
          </w:p>
        </w:tc>
        <w:tc>
          <w:tcPr>
            <w:tcW w:w="4854" w:type="dxa"/>
          </w:tcPr>
          <w:p>
            <w:pPr>
              <w:rPr>
                <w:rFonts w:ascii="Times New Roman" w:eastAsia="Calibri" w:hAnsi="Times New Roman" w:cs="Times New Roman"/>
                <w:noProof/>
                <w:sz w:val="20"/>
                <w:szCs w:val="20"/>
                <w:lang w:val="en-IE"/>
              </w:rPr>
            </w:pPr>
            <w:r>
              <w:rPr>
                <w:rFonts w:ascii="Times New Roman" w:eastAsia="Calibri" w:hAnsi="Times New Roman" w:cs="Times New Roman"/>
                <w:b/>
                <w:noProof/>
                <w:sz w:val="20"/>
                <w:szCs w:val="20"/>
                <w:lang w:val="en-IE"/>
              </w:rPr>
              <w:t>SDG 16: Peace, justice and strong institutions</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Target 16.7: Ensure responsive, inclusive, participatory and representative decision-making at all levels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Target 16.10: Ensure public access to  information  (…), in  accordance with national legislation and  international agreements </w:t>
            </w:r>
          </w:p>
          <w:p>
            <w:pPr>
              <w:rPr>
                <w:rFonts w:ascii="Times New Roman" w:eastAsia="Calibri" w:hAnsi="Times New Roman" w:cs="Times New Roman"/>
                <w:noProof/>
                <w:sz w:val="20"/>
                <w:szCs w:val="20"/>
                <w:lang w:val="en-IE"/>
              </w:rPr>
            </w:pPr>
          </w:p>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 xml:space="preserve">SDG 4: Quality education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Target 4.7: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 </w:t>
            </w:r>
          </w:p>
          <w:p>
            <w:pPr>
              <w:rPr>
                <w:rFonts w:ascii="Times New Roman" w:eastAsia="Calibri" w:hAnsi="Times New Roman" w:cs="Times New Roman"/>
                <w:noProof/>
                <w:sz w:val="20"/>
                <w:szCs w:val="20"/>
                <w:lang w:val="en-IE"/>
              </w:rPr>
            </w:pPr>
          </w:p>
        </w:tc>
      </w:tr>
      <w:tr>
        <w:tc>
          <w:tcPr>
            <w:tcW w:w="1611" w:type="dxa"/>
          </w:tcPr>
          <w:p>
            <w:pPr>
              <w:contextualSpacing/>
              <w:jc w:val="both"/>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Socio-economic inclusion</w:t>
            </w:r>
          </w:p>
        </w:tc>
        <w:tc>
          <w:tcPr>
            <w:tcW w:w="3302" w:type="dxa"/>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7: Respect for private and family life</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9: Right to marry and right to found a family (in relation to their parents)</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24.3: Right of the child to maintain on a regular basis a personal relationship and direct contact with parents</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33: Protection of family and professional life</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34: Social security and social assistance</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32: Protection of young people at work</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36: Access to services of general economic interest</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38: Consumer protection</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spacing w:before="100" w:beforeAutospacing="1" w:after="100" w:afterAutospacing="1"/>
              <w:rPr>
                <w:rFonts w:ascii="Times New Roman" w:eastAsia="Times New Roman" w:hAnsi="Times New Roman" w:cs="Times New Roman"/>
                <w:noProof/>
                <w:sz w:val="20"/>
                <w:szCs w:val="20"/>
                <w:lang w:val="en-IE" w:eastAsia="es-ES"/>
              </w:rPr>
            </w:pPr>
          </w:p>
        </w:tc>
        <w:tc>
          <w:tcPr>
            <w:tcW w:w="4321" w:type="dxa"/>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5: Family environment and parental guidance in a manner consistent with the evolving capacities of the child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18: Parents’ common responsibilities, assistance to parents and provision of childcare services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Article 23 UNCRPD - Respect for home and the family</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26 and Art. 18.3: Social security and childcare services and facilities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27.1-3: Standard of living and measures taken, including material assistance and support programmes with regard to nutrition, clothing and housing, to ensure children’s physical, mental, spiritual, moral and social development, and to reduce poverty and inequality</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Children in street situations;</w:t>
            </w:r>
          </w:p>
          <w:p>
            <w:pPr>
              <w:spacing w:before="100" w:beforeAutospacing="1" w:after="100" w:afterAutospacing="1"/>
              <w:rPr>
                <w:rFonts w:ascii="Times New Roman" w:eastAsia="Times New Roman" w:hAnsi="Times New Roman" w:cs="Times New Roman"/>
                <w:noProof/>
                <w:color w:val="000000"/>
                <w:sz w:val="20"/>
                <w:szCs w:val="20"/>
                <w:lang w:val="en-IE" w:eastAsia="es-ES"/>
              </w:rPr>
            </w:pPr>
          </w:p>
        </w:tc>
        <w:tc>
          <w:tcPr>
            <w:tcW w:w="4854" w:type="dxa"/>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1: End poverty</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1.1:  Eradicate  extreme  poverty  for  all  people  everywhere,  currently measured as people living on less than $1.25 a day</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1.2: Reduce at least by half the proportion of men, women and children of all ages living in poverty in all its dimensions according to national definitions</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1.3: Implement  nationally  appropriate  social  protection  systems and measures for all, including floors, and by 2030 achieve substantial coverage of the poor and the vulnerable</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1.5: Build the resilience of the poor and those in vulnerable situations and reduce their exposure and vulnerability to climate-related extreme events and other economic, social and environmental shocks and disasters.</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7: Energy</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7.1: Ensure universal access to affordable, reliable and modern energy services</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11: Sustainable cities</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11.1:  Ensure  access  for  all  to  adequate,  safe  and  affordable  housing and basic services</w:t>
            </w:r>
            <w:r>
              <w:rPr>
                <w:noProof/>
                <w:lang w:val="en-IE"/>
              </w:rPr>
              <w:t xml:space="preserve"> </w:t>
            </w:r>
            <w:r>
              <w:rPr>
                <w:rFonts w:ascii="Times New Roman" w:eastAsia="Calibri" w:hAnsi="Times New Roman" w:cs="Times New Roman"/>
                <w:noProof/>
                <w:sz w:val="20"/>
                <w:szCs w:val="20"/>
                <w:lang w:val="en-IE"/>
              </w:rPr>
              <w:t>and upgrade slums</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11.2:  Provide  access  to  safe,  affordable,  accessible  and  sustainable transport systems for all, improving road safety, notably by expanding public transport with special attention to the needs of those in vulnerable situations, (…) children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11.7: By 2030, provide universal access to safe, inclusive and accessible, green and public spaces, in particular for women and children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8.b: By 2020, develop and operationalise a global strategy for youth employment</w:t>
            </w:r>
          </w:p>
          <w:p>
            <w:pPr>
              <w:rPr>
                <w:rFonts w:ascii="Times New Roman" w:eastAsia="Calibri" w:hAnsi="Times New Roman" w:cs="Times New Roman"/>
                <w:b/>
                <w:noProof/>
                <w:sz w:val="20"/>
                <w:szCs w:val="20"/>
                <w:lang w:val="en-IE"/>
              </w:rPr>
            </w:pPr>
          </w:p>
        </w:tc>
      </w:tr>
      <w:tr>
        <w:tc>
          <w:tcPr>
            <w:tcW w:w="1611" w:type="dxa"/>
          </w:tcPr>
          <w:p>
            <w:pPr>
              <w:contextualSpacing/>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Health</w:t>
            </w:r>
          </w:p>
        </w:tc>
        <w:tc>
          <w:tcPr>
            <w:tcW w:w="3302" w:type="dxa"/>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3: Right to integrity of the person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35: Health care</w:t>
            </w:r>
          </w:p>
          <w:p>
            <w:pPr>
              <w:spacing w:before="100" w:beforeAutospacing="1" w:after="100" w:afterAutospacing="1"/>
              <w:rPr>
                <w:rFonts w:ascii="Times New Roman" w:eastAsia="Times New Roman" w:hAnsi="Times New Roman" w:cs="Times New Roman"/>
                <w:noProof/>
                <w:sz w:val="20"/>
                <w:szCs w:val="20"/>
                <w:lang w:val="en-IE" w:eastAsia="es-ES"/>
              </w:rPr>
            </w:pPr>
            <w:r>
              <w:rPr>
                <w:rFonts w:ascii="Times New Roman" w:eastAsia="Calibri" w:hAnsi="Times New Roman" w:cs="Times New Roman"/>
                <w:noProof/>
                <w:sz w:val="20"/>
                <w:szCs w:val="20"/>
                <w:lang w:val="en-IE"/>
              </w:rPr>
              <w:t>Art. 37: Environmental protection</w:t>
            </w:r>
          </w:p>
        </w:tc>
        <w:tc>
          <w:tcPr>
            <w:tcW w:w="4321" w:type="dxa"/>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6.2: Survival and development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24: Health and health services, in particular primary health care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33: Efforts to address the most prevalent health challenges, to promote the physical and mental health and well-being of children and to prevent and deal with communicable and non-communicable diseases;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33: Reproductive health rights of adolescents and measures to promote a healthy lifestyle;</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33: Measures to protect children from substance abuse </w:t>
            </w:r>
          </w:p>
          <w:p>
            <w:pPr>
              <w:spacing w:before="100" w:beforeAutospacing="1" w:after="100" w:afterAutospacing="1"/>
              <w:rPr>
                <w:rFonts w:ascii="Times New Roman" w:eastAsia="Times New Roman" w:hAnsi="Times New Roman" w:cs="Times New Roman"/>
                <w:noProof/>
                <w:color w:val="000000"/>
                <w:sz w:val="20"/>
                <w:szCs w:val="20"/>
                <w:lang w:val="en-IE" w:eastAsia="es-ES"/>
              </w:rPr>
            </w:pPr>
            <w:r>
              <w:rPr>
                <w:rFonts w:ascii="Times New Roman" w:eastAsia="Calibri" w:hAnsi="Times New Roman" w:cs="Times New Roman"/>
                <w:noProof/>
                <w:sz w:val="20"/>
                <w:szCs w:val="20"/>
                <w:lang w:val="en-IE"/>
              </w:rPr>
              <w:t xml:space="preserve"> </w:t>
            </w:r>
          </w:p>
        </w:tc>
        <w:tc>
          <w:tcPr>
            <w:tcW w:w="4854" w:type="dxa"/>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2: End hunger</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2.1: End hunger and ensure access by all people, in particular the poor and people in vulnerable situations, including infants, to safe, nutritious and sufficient food all year round</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2.2: End all forms of malnutrition, including achieving, by 2025, the internationally agreed targets on stunting and wasting in children under 5 years of age, and address the nutritional needs of adolescent girls and pregnant and lactating women.</w:t>
            </w:r>
          </w:p>
          <w:p>
            <w:pPr>
              <w:rPr>
                <w:rFonts w:ascii="Times New Roman" w:eastAsia="Calibri" w:hAnsi="Times New Roman" w:cs="Times New Roman"/>
                <w:noProof/>
                <w:sz w:val="20"/>
                <w:szCs w:val="20"/>
                <w:lang w:val="en-IE"/>
              </w:rPr>
            </w:pPr>
          </w:p>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3: Healthy lives</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3.1: Reduce the global maternal mortality ratio to less than 70 per 100,000 live births</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3.2: End preventable deaths of newborns and children under 5 years of age, with all countries aiming to reduce neonatal mortality to at least as low as 12 per 1,000 live births and under-5 mortality to at least as low as 25 per 1,000 live births</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3.7: Ensure universal access to sexual and reproductive health-care services, including for family planning, information and education, and the integration of reproductive health into national strategies and programmes</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3.8: Achieve universal health coverage (...) access to quality essential health-care services and access to safe, effective, quality and affordable essential medicines and vaccines for all</w:t>
            </w:r>
          </w:p>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5: Gender equality</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Target 5.6: 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 </w:t>
            </w:r>
          </w:p>
          <w:p>
            <w:pPr>
              <w:rPr>
                <w:rFonts w:ascii="Times New Roman" w:eastAsia="Calibri" w:hAnsi="Times New Roman" w:cs="Times New Roman"/>
                <w:noProof/>
                <w:sz w:val="20"/>
                <w:szCs w:val="20"/>
                <w:lang w:val="en-IE"/>
              </w:rPr>
            </w:pPr>
          </w:p>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6: Water and sanitation</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6.1: Achieve universal and equitable access to safe and affordable drinking water for all</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6.2: Achieve access to adequate and equitable sanitation and hygiene for all and end open defecation, paying special attention to the needs of women and girls and those in vulnerable situations</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6.b: Support and strengthen the participation of local communities for improving water and sanitation management</w:t>
            </w:r>
          </w:p>
          <w:p>
            <w:pPr>
              <w:rPr>
                <w:rFonts w:ascii="Times New Roman" w:eastAsia="Calibri" w:hAnsi="Times New Roman" w:cs="Times New Roman"/>
                <w:noProof/>
                <w:sz w:val="20"/>
                <w:szCs w:val="20"/>
                <w:lang w:val="en-IE"/>
              </w:rPr>
            </w:pPr>
          </w:p>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13: Climate change</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13.3:  Improve  education,  awareness-raising  and  human  and  institutional  capacity  on  climate  change  mitigation,  adaptation,  impact reduction and early warning</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13.b:  Promote  mechanisms  for  raising  capacity  for  effective  climate change-related planning and management in least developed countries  and  small  island  developing  States,  including  focusing  on  women, youth and local and marginalized communities</w:t>
            </w:r>
          </w:p>
          <w:p>
            <w:pPr>
              <w:rPr>
                <w:rFonts w:ascii="Times New Roman" w:eastAsia="Calibri" w:hAnsi="Times New Roman" w:cs="Times New Roman"/>
                <w:b/>
                <w:noProof/>
                <w:sz w:val="20"/>
                <w:szCs w:val="20"/>
                <w:lang w:val="en-IE"/>
              </w:rPr>
            </w:pPr>
          </w:p>
        </w:tc>
      </w:tr>
      <w:tr>
        <w:tc>
          <w:tcPr>
            <w:tcW w:w="1611" w:type="dxa"/>
            <w:tcBorders>
              <w:bottom w:val="single" w:sz="4" w:space="0" w:color="auto"/>
            </w:tcBorders>
          </w:tcPr>
          <w:p>
            <w:pPr>
              <w:contextualSpacing/>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Education</w:t>
            </w:r>
          </w:p>
        </w:tc>
        <w:tc>
          <w:tcPr>
            <w:tcW w:w="3302" w:type="dxa"/>
            <w:tcBorders>
              <w:bottom w:val="single" w:sz="4" w:space="0" w:color="auto"/>
            </w:tcBorders>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14: Right to education</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spacing w:before="100" w:beforeAutospacing="1" w:after="100" w:afterAutospacing="1"/>
              <w:rPr>
                <w:rFonts w:ascii="Times New Roman" w:eastAsia="Times New Roman" w:hAnsi="Times New Roman" w:cs="Times New Roman"/>
                <w:noProof/>
                <w:color w:val="000000"/>
                <w:sz w:val="20"/>
                <w:szCs w:val="20"/>
                <w:lang w:val="en-IE" w:eastAsia="es-ES"/>
              </w:rPr>
            </w:pPr>
          </w:p>
        </w:tc>
        <w:tc>
          <w:tcPr>
            <w:tcW w:w="4321" w:type="dxa"/>
            <w:tcBorders>
              <w:bottom w:val="single" w:sz="4" w:space="0" w:color="auto"/>
            </w:tcBorders>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28: The right to education, including vocational training and guidance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29: The aims of education with reference also to the quality of education;</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30: Cultural rights of children belonging to indigenous and minority groups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Education on human rights and civic education;</w:t>
            </w:r>
          </w:p>
          <w:p>
            <w:pPr>
              <w:spacing w:before="100" w:beforeAutospacing="1" w:after="100" w:afterAutospacing="1"/>
              <w:outlineLvl w:val="2"/>
              <w:rPr>
                <w:rFonts w:ascii="Times New Roman" w:eastAsia="Times New Roman" w:hAnsi="Times New Roman" w:cs="Times New Roman"/>
                <w:bCs/>
                <w:noProof/>
                <w:sz w:val="20"/>
                <w:szCs w:val="20"/>
                <w:lang w:val="en-IE" w:eastAsia="es-ES"/>
              </w:rPr>
            </w:pPr>
            <w:bookmarkStart w:id="2" w:name="24"/>
            <w:r>
              <w:rPr>
                <w:rFonts w:ascii="Times New Roman" w:eastAsia="Times New Roman" w:hAnsi="Times New Roman" w:cs="Times New Roman"/>
                <w:bCs/>
                <w:noProof/>
                <w:sz w:val="20"/>
                <w:szCs w:val="20"/>
                <w:lang w:val="en-IE" w:eastAsia="es-ES"/>
              </w:rPr>
              <w:t xml:space="preserve">Art. 24 UNCRPD: Education </w:t>
            </w:r>
            <w:bookmarkEnd w:id="2"/>
          </w:p>
          <w:p>
            <w:pPr>
              <w:spacing w:before="100" w:beforeAutospacing="1" w:after="100" w:afterAutospacing="1"/>
              <w:rPr>
                <w:rFonts w:ascii="Times New Roman" w:eastAsia="Times New Roman" w:hAnsi="Times New Roman" w:cs="Times New Roman"/>
                <w:noProof/>
                <w:color w:val="000000"/>
                <w:sz w:val="20"/>
                <w:szCs w:val="20"/>
                <w:lang w:val="en-IE" w:eastAsia="es-ES"/>
              </w:rPr>
            </w:pPr>
            <w:r>
              <w:rPr>
                <w:rFonts w:ascii="Times New Roman" w:eastAsia="Calibri" w:hAnsi="Times New Roman" w:cs="Times New Roman"/>
                <w:noProof/>
                <w:sz w:val="20"/>
                <w:szCs w:val="20"/>
                <w:lang w:val="en-IE"/>
              </w:rPr>
              <w:t xml:space="preserve">Art. 31: Rest, play, leisure, recreation and cultural and artistic activities </w:t>
            </w:r>
          </w:p>
        </w:tc>
        <w:tc>
          <w:tcPr>
            <w:tcW w:w="4854" w:type="dxa"/>
            <w:tcBorders>
              <w:bottom w:val="single" w:sz="4" w:space="0" w:color="auto"/>
            </w:tcBorders>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4: Quality education</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4.1:  Ensure  that  all  girls  and  boys  complete  free,  equitable  and  quality  primary  and  secondary  education  leading  to  relevant  and effective learning outcomes</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Target 4.2: Ensure that all girls and boys have access to quality early childhood development, care and pre-primary education so that they are ready for primary education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Target 4.4:  Substantially  increase  the  number  of  youth  and  adults  who have relevant skills, including technical and vocational skills, for employment, decent jobs and entrepreneurship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Target 4.5:  Eliminate  gender  disparities  in  education  and  ensure  equal access to all levels of education and vocational training for the vulnerable,  including  persons  with  disabilities,  indigenous  peoples  and children in vulnerable situations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4.6: Ensure that all youth (...) achieve literacy and numeracy</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4.a:  Build and upgrade education facilities that are child, disability and gender sensitive and provide  safe, non-violent, inclusive and effective learning environments for all.</w:t>
            </w:r>
          </w:p>
          <w:p>
            <w:pPr>
              <w:rPr>
                <w:rFonts w:ascii="Times New Roman" w:eastAsia="Calibri" w:hAnsi="Times New Roman" w:cs="Times New Roman"/>
                <w:noProof/>
                <w:sz w:val="20"/>
                <w:szCs w:val="20"/>
                <w:lang w:val="en-IE"/>
              </w:rPr>
            </w:pPr>
          </w:p>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8: Economic growth and decent work</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8.5: Achieve full and productive employment and decent work for all women and men, including for young people and persons with disabilities, and equal pay for work of equal value</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8.6: By 2020, substantially reduce the proportion of youth not in employment, education or training</w:t>
            </w:r>
          </w:p>
          <w:p>
            <w:pPr>
              <w:rPr>
                <w:rFonts w:ascii="Times New Roman" w:eastAsia="Calibri" w:hAnsi="Times New Roman" w:cs="Times New Roman"/>
                <w:noProof/>
                <w:sz w:val="20"/>
                <w:szCs w:val="20"/>
                <w:lang w:val="en-IE"/>
              </w:rPr>
            </w:pPr>
          </w:p>
        </w:tc>
      </w:tr>
      <w:tr>
        <w:tc>
          <w:tcPr>
            <w:tcW w:w="1611" w:type="dxa"/>
            <w:tcBorders>
              <w:bottom w:val="single" w:sz="4" w:space="0" w:color="auto"/>
            </w:tcBorders>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Combating violence against children and child protection</w:t>
            </w:r>
          </w:p>
          <w:p>
            <w:pPr>
              <w:ind w:left="720"/>
              <w:contextualSpacing/>
              <w:rPr>
                <w:rFonts w:ascii="Times New Roman" w:eastAsia="Calibri" w:hAnsi="Times New Roman" w:cs="Times New Roman"/>
                <w:b/>
                <w:noProof/>
                <w:sz w:val="20"/>
                <w:szCs w:val="20"/>
                <w:lang w:val="en-IE"/>
              </w:rPr>
            </w:pPr>
          </w:p>
        </w:tc>
        <w:tc>
          <w:tcPr>
            <w:tcW w:w="3302" w:type="dxa"/>
            <w:tcBorders>
              <w:bottom w:val="single" w:sz="4" w:space="0" w:color="auto"/>
            </w:tcBorders>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1: Human dignity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 Right to integrity of the person</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24.1: Right of the child to protection and care</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4: Prohibition of torture and inhuman or degrading treatment or punishment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5: Prohibition of slavery / forced Labour</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32.1: Prohibition of child labour</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tc>
        <w:tc>
          <w:tcPr>
            <w:tcW w:w="4321" w:type="dxa"/>
            <w:tcBorders>
              <w:bottom w:val="single" w:sz="4" w:space="0" w:color="auto"/>
            </w:tcBorders>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19: Abuse and neglect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9: Separation from parents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20: Children deprived of a family environment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25: Periodic review of placement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24.3: Measures to prohibit and eliminate all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forms of harmful practices, including, but not limited to, female genital mutilation and early and forced marriages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34: Sexual exploitation and sexual abuse</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37.a and Art. 28.2: The right not to be subjected to torture or other cruel, inhuman or degrading treatment or punishment, including corporal punishment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39: Measures to promote the physical and psychological recovery and social reintegration of child victims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The availability of helplines for children</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22: Children outside their country of origin seeking refugee protection, unaccompanied asylum-seeking children, internally displaced children, migrant children and children affected by migration;</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Children in situations of exploitation, including measures for their physical and psychological recovery and social reintegration:</w:t>
            </w:r>
          </w:p>
          <w:p>
            <w:pPr>
              <w:numPr>
                <w:ilvl w:val="0"/>
                <w:numId w:val="1"/>
              </w:numPr>
              <w:contextualSpacing/>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32: Economic exploitation, including child labour with specific reference to applicable minimum ages;</w:t>
            </w:r>
          </w:p>
          <w:p>
            <w:pPr>
              <w:numPr>
                <w:ilvl w:val="0"/>
                <w:numId w:val="1"/>
              </w:numPr>
              <w:contextualSpacing/>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33: Use of children in the illicit production and trafficking of narcotic drugs and psychotropic substances </w:t>
            </w:r>
          </w:p>
          <w:p>
            <w:pPr>
              <w:numPr>
                <w:ilvl w:val="0"/>
                <w:numId w:val="1"/>
              </w:numPr>
              <w:contextualSpacing/>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34: Sexual exploitation and sexual abuse</w:t>
            </w:r>
          </w:p>
          <w:p>
            <w:pPr>
              <w:numPr>
                <w:ilvl w:val="0"/>
                <w:numId w:val="1"/>
              </w:numPr>
              <w:contextualSpacing/>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35: Sale, trafficking and abduction </w:t>
            </w:r>
          </w:p>
          <w:p>
            <w:pPr>
              <w:numPr>
                <w:ilvl w:val="0"/>
                <w:numId w:val="1"/>
              </w:numPr>
              <w:contextualSpacing/>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36: Other forms of exploitation</w:t>
            </w:r>
          </w:p>
          <w:p>
            <w:pPr>
              <w:numPr>
                <w:ilvl w:val="0"/>
                <w:numId w:val="1"/>
              </w:numPr>
              <w:contextualSpacing/>
              <w:rPr>
                <w:rFonts w:ascii="Times New Roman" w:eastAsia="Calibri" w:hAnsi="Times New Roman" w:cs="Times New Roman"/>
                <w:noProof/>
                <w:sz w:val="20"/>
                <w:szCs w:val="20"/>
                <w:lang w:val="en-IE"/>
              </w:rPr>
            </w:pPr>
            <w:r>
              <w:rPr>
                <w:rFonts w:ascii="Times New Roman" w:eastAsia="Calibri" w:hAnsi="Times New Roman" w:cs="Times New Roman"/>
                <w:noProof/>
                <w:color w:val="000000"/>
                <w:sz w:val="20"/>
                <w:szCs w:val="20"/>
                <w:shd w:val="clear" w:color="auto" w:fill="FFFFFF"/>
                <w:lang w:val="en-IE"/>
              </w:rPr>
              <w:t>Child victims and witnesses of crimes:</w:t>
            </w:r>
          </w:p>
          <w:p>
            <w:pPr>
              <w:ind w:left="360"/>
              <w:contextualSpacing/>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 Art. 39: Physical and psychological recovery and social reintegration </w:t>
            </w:r>
          </w:p>
          <w:p>
            <w:pPr>
              <w:ind w:left="360"/>
              <w:contextualSpacing/>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 The training activities developed for all professionals involved (…) in the field of juvenile justice, including the Guidelines on Justice in Matters involving Child Victims and Witnesses of Crime </w:t>
            </w:r>
          </w:p>
          <w:p>
            <w:pPr>
              <w:numPr>
                <w:ilvl w:val="0"/>
                <w:numId w:val="1"/>
              </w:numPr>
              <w:contextualSpacing/>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38: Children in armed conflicts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Follow-up to the Optional Protocol to the UNCRC I and II on the sale of children, child prostitution and child pornography and on the involvement of children in armed conflict</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bookmarkStart w:id="3" w:name="16"/>
            <w:r>
              <w:rPr>
                <w:rFonts w:ascii="Times New Roman" w:eastAsia="Times New Roman" w:hAnsi="Times New Roman" w:cs="Times New Roman"/>
                <w:bCs/>
                <w:noProof/>
                <w:sz w:val="20"/>
                <w:szCs w:val="20"/>
                <w:lang w:val="en-IE" w:eastAsia="es-ES"/>
              </w:rPr>
              <w:t>Article 16 UNCRPD: Freedom from exploitation, violence and abuse</w:t>
            </w:r>
            <w:bookmarkEnd w:id="3"/>
          </w:p>
        </w:tc>
        <w:tc>
          <w:tcPr>
            <w:tcW w:w="4854" w:type="dxa"/>
            <w:tcBorders>
              <w:bottom w:val="single" w:sz="4" w:space="0" w:color="auto"/>
            </w:tcBorders>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 xml:space="preserve">SDG 16: Peace, justice and strong institutions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16.2: End  abuse,  exploitations,  trafficking  and  all  forms  of  violence against and torture of children</w:t>
            </w:r>
          </w:p>
          <w:p>
            <w:pPr>
              <w:rPr>
                <w:rFonts w:ascii="Times New Roman" w:eastAsia="Calibri" w:hAnsi="Times New Roman" w:cs="Times New Roman"/>
                <w:noProof/>
                <w:sz w:val="20"/>
                <w:szCs w:val="20"/>
                <w:lang w:val="en-IE"/>
              </w:rPr>
            </w:pPr>
          </w:p>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5: Gender equality</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5.2: Eliminate all forms of violence against all women and girls in the public and private spheres, including trafficking and sexual and other types of exploitation</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5.3: Eliminate all harmful practices, such as child, early and forced marriage and female genital mutilation</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8.7: Take immediate and effective measures to eradicate forced labour, end modern slavery and human trafficking and secure the prohibition and elimination of the worst forms of child labour, including recruitment and use of child soldiers, and by 2025 end child labour in all its forms</w:t>
            </w:r>
          </w:p>
          <w:p>
            <w:pPr>
              <w:rPr>
                <w:rFonts w:ascii="Times New Roman" w:eastAsia="Calibri" w:hAnsi="Times New Roman" w:cs="Times New Roman"/>
                <w:noProof/>
                <w:sz w:val="20"/>
                <w:szCs w:val="20"/>
                <w:lang w:val="en-IE"/>
              </w:rPr>
            </w:pPr>
          </w:p>
        </w:tc>
      </w:tr>
      <w:tr>
        <w:tc>
          <w:tcPr>
            <w:tcW w:w="1611" w:type="dxa"/>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Child-friendly justice</w:t>
            </w:r>
          </w:p>
        </w:tc>
        <w:tc>
          <w:tcPr>
            <w:tcW w:w="3302" w:type="dxa"/>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24.1.2: Right of the child to express his/her views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24.3:  Right of the child to maintain on a regular basis a personal relationship and direct contact with parents</w:t>
            </w:r>
          </w:p>
          <w:p>
            <w:pPr>
              <w:rPr>
                <w:rFonts w:ascii="Times New Roman" w:eastAsia="Calibri" w:hAnsi="Times New Roman" w:cs="Times New Roman"/>
                <w:noProof/>
                <w:sz w:val="20"/>
                <w:szCs w:val="20"/>
                <w:highlight w:val="yellow"/>
                <w:lang w:val="en-IE"/>
              </w:rPr>
            </w:pPr>
          </w:p>
          <w:p>
            <w:pPr>
              <w:rPr>
                <w:rFonts w:ascii="Times New Roman" w:eastAsia="Calibri" w:hAnsi="Times New Roman" w:cs="Times New Roman"/>
                <w:noProof/>
                <w:sz w:val="20"/>
                <w:szCs w:val="20"/>
                <w:highlight w:val="yellow"/>
                <w:lang w:val="en-IE"/>
              </w:rPr>
            </w:pPr>
          </w:p>
          <w:p>
            <w:pPr>
              <w:rPr>
                <w:rFonts w:ascii="Times New Roman" w:eastAsia="Calibri" w:hAnsi="Times New Roman" w:cs="Times New Roman"/>
                <w:noProof/>
                <w:sz w:val="20"/>
                <w:szCs w:val="20"/>
                <w:highlight w:val="yellow"/>
                <w:lang w:val="en-IE"/>
              </w:rPr>
            </w:pPr>
          </w:p>
          <w:p>
            <w:pPr>
              <w:rPr>
                <w:rFonts w:ascii="Times New Roman" w:eastAsia="Calibri" w:hAnsi="Times New Roman" w:cs="Times New Roman"/>
                <w:noProof/>
                <w:sz w:val="20"/>
                <w:szCs w:val="20"/>
                <w:highlight w:val="yellow"/>
                <w:lang w:val="en-IE"/>
              </w:rPr>
            </w:pPr>
          </w:p>
          <w:p>
            <w:pPr>
              <w:rPr>
                <w:rFonts w:ascii="Times New Roman" w:eastAsia="Calibri" w:hAnsi="Times New Roman" w:cs="Times New Roman"/>
                <w:noProof/>
                <w:sz w:val="20"/>
                <w:szCs w:val="20"/>
                <w:highlight w:val="yellow"/>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6: Right to liberty and security</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18: Right to asylum</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19: Protection in the event of removal, expulsion or extradition</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Article 43: European Ombudsman</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45: Freedom of movement and of residence</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46: Diplomatic and consular protection</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47: Right to an effective remedy and to a fair trial</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Article 48: Presumption of innocence and right of defence</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49: Principles of legality and proportionality of criminal offences and penalties</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tc>
        <w:tc>
          <w:tcPr>
            <w:tcW w:w="4321" w:type="dxa"/>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7: Birth registration, name and nationality</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8: Preservation of identity</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9: Separation from parents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10: Family reunification </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11: Illicit transfer and non-return;</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Measures to ensure the protection of children with incarcerated parents and children living in prison with their mothers.</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27.4: Recovery of maintenance for the child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21: Adoption (national and intercountry)</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Article 23 UNCRPD - Respect for home and the family</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Children in conflict with the law, child victims and witnesses of crimes and juvenile justice:</w:t>
            </w:r>
          </w:p>
          <w:p>
            <w:pPr>
              <w:numPr>
                <w:ilvl w:val="0"/>
                <w:numId w:val="2"/>
              </w:numPr>
              <w:ind w:left="282" w:hanging="282"/>
              <w:contextualSpacing/>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40: The administration of juvenile justice, the existence of specialized and separate courts and the applicable minimum age of criminal responsibility</w:t>
            </w:r>
          </w:p>
          <w:p>
            <w:pPr>
              <w:numPr>
                <w:ilvl w:val="0"/>
                <w:numId w:val="2"/>
              </w:numPr>
              <w:ind w:left="282" w:hanging="282"/>
              <w:contextualSpacing/>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Art. 37.b-d: Children deprived of their liberty and measures to ensure that any arrest, detention or imprisonment of a child shall be used as measures of last resort and for the shortest amount of time and that legal and other assistance is promptly provided </w:t>
            </w:r>
          </w:p>
          <w:p>
            <w:pPr>
              <w:numPr>
                <w:ilvl w:val="0"/>
                <w:numId w:val="2"/>
              </w:numPr>
              <w:ind w:left="282" w:hanging="282"/>
              <w:contextualSpacing/>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37.a: The sentencing of children, in particular the prohibition of capital punishment and life imprisonment and the existence of alternative sanctions based on a restorative approach</w:t>
            </w:r>
          </w:p>
          <w:p>
            <w:pPr>
              <w:numPr>
                <w:ilvl w:val="0"/>
                <w:numId w:val="2"/>
              </w:numPr>
              <w:ind w:left="282" w:hanging="282"/>
              <w:contextualSpacing/>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39: Physical and psychological recovery and social reintegration</w:t>
            </w:r>
          </w:p>
        </w:tc>
        <w:tc>
          <w:tcPr>
            <w:tcW w:w="4854" w:type="dxa"/>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 xml:space="preserve">SDG 16: Peace, justice and strong institutions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16.3: Promote the rule of law at the national and international levels and ensure equal access to justice for all</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16.9: Provide legal identity for all, including birth registration</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 xml:space="preserve">Target 16.10:  (…) Protect  fundamental freedoms, in  accordance with national legislation and  international agreements  </w:t>
            </w:r>
          </w:p>
          <w:p>
            <w:pPr>
              <w:rPr>
                <w:rFonts w:ascii="Times New Roman" w:eastAsia="Calibri" w:hAnsi="Times New Roman" w:cs="Times New Roman"/>
                <w:noProof/>
                <w:sz w:val="20"/>
                <w:szCs w:val="20"/>
                <w:lang w:val="en-IE"/>
              </w:rPr>
            </w:pPr>
          </w:p>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 xml:space="preserve">SDG 10: Reduce inequality </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10.7 Facilitate orderly, safe, regular and responsible migration and mobility of people, including through the implementation of planned and well-managed migration policies.</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tc>
      </w:tr>
      <w:tr>
        <w:tc>
          <w:tcPr>
            <w:tcW w:w="1611" w:type="dxa"/>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 xml:space="preserve">Digital and information society </w:t>
            </w:r>
          </w:p>
          <w:p>
            <w:pPr>
              <w:rPr>
                <w:rFonts w:ascii="Times New Roman" w:eastAsia="Calibri" w:hAnsi="Times New Roman" w:cs="Times New Roman"/>
                <w:b/>
                <w:noProof/>
                <w:sz w:val="20"/>
                <w:szCs w:val="20"/>
                <w:lang w:val="en-IE"/>
              </w:rPr>
            </w:pPr>
          </w:p>
        </w:tc>
        <w:tc>
          <w:tcPr>
            <w:tcW w:w="3302" w:type="dxa"/>
          </w:tcPr>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8: Protection of personal data</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Art. 11: Freedom of expression and information</w:t>
            </w:r>
          </w:p>
          <w:p>
            <w:pPr>
              <w:rPr>
                <w:rFonts w:ascii="Times New Roman" w:eastAsia="Calibri" w:hAnsi="Times New Roman" w:cs="Times New Roman"/>
                <w:noProof/>
                <w:sz w:val="20"/>
                <w:szCs w:val="20"/>
                <w:lang w:val="en-IE"/>
              </w:rPr>
            </w:pPr>
          </w:p>
          <w:p>
            <w:pPr>
              <w:rPr>
                <w:rFonts w:ascii="Times New Roman" w:eastAsia="Calibri" w:hAnsi="Times New Roman" w:cs="Times New Roman"/>
                <w:noProof/>
                <w:sz w:val="20"/>
                <w:szCs w:val="20"/>
                <w:lang w:val="en-IE"/>
              </w:rPr>
            </w:pPr>
          </w:p>
        </w:tc>
        <w:tc>
          <w:tcPr>
            <w:tcW w:w="4321" w:type="dxa"/>
          </w:tcPr>
          <w:p>
            <w:pPr>
              <w:spacing w:before="100" w:beforeAutospacing="1" w:after="100" w:afterAutospacing="1"/>
              <w:rPr>
                <w:rFonts w:ascii="Times New Roman" w:eastAsia="Times New Roman" w:hAnsi="Times New Roman" w:cs="Times New Roman"/>
                <w:noProof/>
                <w:color w:val="000000"/>
                <w:sz w:val="20"/>
                <w:szCs w:val="20"/>
                <w:lang w:val="en-IE" w:eastAsia="es-ES"/>
              </w:rPr>
            </w:pPr>
            <w:r>
              <w:rPr>
                <w:rFonts w:ascii="Times New Roman" w:eastAsia="Times New Roman" w:hAnsi="Times New Roman" w:cs="Times New Roman"/>
                <w:noProof/>
                <w:color w:val="000000"/>
                <w:sz w:val="20"/>
                <w:szCs w:val="20"/>
                <w:lang w:val="en-IE" w:eastAsia="es-ES"/>
              </w:rPr>
              <w:t xml:space="preserve">Art. 16: Protection of privacy and protection of image </w:t>
            </w:r>
          </w:p>
          <w:p>
            <w:pPr>
              <w:rPr>
                <w:rFonts w:ascii="Times New Roman" w:eastAsia="Calibri" w:hAnsi="Times New Roman" w:cs="Times New Roman"/>
                <w:noProof/>
                <w:sz w:val="20"/>
                <w:szCs w:val="20"/>
                <w:lang w:val="en-IE"/>
              </w:rPr>
            </w:pPr>
            <w:r>
              <w:rPr>
                <w:rFonts w:ascii="Times New Roman" w:eastAsia="Calibri" w:hAnsi="Times New Roman" w:cs="Times New Roman"/>
                <w:noProof/>
                <w:color w:val="000000"/>
                <w:sz w:val="20"/>
                <w:szCs w:val="20"/>
                <w:lang w:val="en-IE"/>
              </w:rPr>
              <w:t>Art. 17: Access to information from a diversity of sources and protection from material harmful to a child’s well-being</w:t>
            </w:r>
          </w:p>
        </w:tc>
        <w:tc>
          <w:tcPr>
            <w:tcW w:w="4854" w:type="dxa"/>
          </w:tcPr>
          <w:p>
            <w:pPr>
              <w:rPr>
                <w:rFonts w:ascii="Times New Roman" w:eastAsia="Calibri" w:hAnsi="Times New Roman" w:cs="Times New Roman"/>
                <w:b/>
                <w:noProof/>
                <w:sz w:val="20"/>
                <w:szCs w:val="20"/>
                <w:lang w:val="en-IE"/>
              </w:rPr>
            </w:pPr>
            <w:r>
              <w:rPr>
                <w:rFonts w:ascii="Times New Roman" w:eastAsia="Calibri" w:hAnsi="Times New Roman" w:cs="Times New Roman"/>
                <w:b/>
                <w:noProof/>
                <w:sz w:val="20"/>
                <w:szCs w:val="20"/>
                <w:lang w:val="en-IE"/>
              </w:rPr>
              <w:t>SDG 9: Resilient infrastructure/innovation</w:t>
            </w:r>
          </w:p>
          <w:p>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Target 9.c: Significantly increase access to ICT and strive to provide universal and affordable access to the Internet in least developed countries by 2020</w:t>
            </w:r>
          </w:p>
          <w:p>
            <w:pPr>
              <w:rPr>
                <w:rFonts w:ascii="Times New Roman" w:eastAsia="Calibri" w:hAnsi="Times New Roman" w:cs="Times New Roman"/>
                <w:b/>
                <w:noProof/>
                <w:sz w:val="20"/>
                <w:szCs w:val="20"/>
                <w:lang w:val="en-IE"/>
              </w:rPr>
            </w:pPr>
          </w:p>
        </w:tc>
      </w:tr>
      <w:tr>
        <w:tc>
          <w:tcPr>
            <w:tcW w:w="1611" w:type="dxa"/>
          </w:tcPr>
          <w:p>
            <w:pPr>
              <w:rPr>
                <w:rFonts w:ascii="Times New Roman" w:eastAsia="Calibri" w:hAnsi="Times New Roman" w:cs="Times New Roman"/>
                <w:b/>
                <w:noProof/>
                <w:sz w:val="20"/>
                <w:szCs w:val="20"/>
                <w:highlight w:val="yellow"/>
                <w:lang w:val="en-IE"/>
              </w:rPr>
            </w:pPr>
          </w:p>
          <w:p>
            <w:pPr>
              <w:rPr>
                <w:rFonts w:ascii="Times New Roman" w:eastAsia="Calibri" w:hAnsi="Times New Roman" w:cs="Times New Roman"/>
                <w:b/>
                <w:noProof/>
                <w:sz w:val="20"/>
                <w:szCs w:val="20"/>
                <w:highlight w:val="yellow"/>
                <w:lang w:val="en-IE"/>
              </w:rPr>
            </w:pPr>
            <w:r>
              <w:rPr>
                <w:rFonts w:ascii="Times New Roman" w:eastAsia="Calibri" w:hAnsi="Times New Roman" w:cs="Times New Roman"/>
                <w:b/>
                <w:noProof/>
                <w:sz w:val="20"/>
                <w:szCs w:val="20"/>
                <w:lang w:val="en-IE"/>
              </w:rPr>
              <w:t>Global dimension</w:t>
            </w:r>
          </w:p>
        </w:tc>
        <w:tc>
          <w:tcPr>
            <w:tcW w:w="12477" w:type="dxa"/>
            <w:gridSpan w:val="3"/>
          </w:tcPr>
          <w:p>
            <w:pPr>
              <w:jc w:val="center"/>
              <w:rPr>
                <w:rFonts w:ascii="Times New Roman" w:eastAsia="Calibri" w:hAnsi="Times New Roman" w:cs="Times New Roman"/>
                <w:i/>
                <w:noProof/>
                <w:sz w:val="20"/>
                <w:szCs w:val="20"/>
                <w:highlight w:val="yellow"/>
                <w:lang w:val="en-IE"/>
              </w:rPr>
            </w:pPr>
          </w:p>
          <w:p>
            <w:pPr>
              <w:jc w:val="center"/>
              <w:rPr>
                <w:rFonts w:ascii="Times New Roman" w:eastAsia="Calibri" w:hAnsi="Times New Roman" w:cs="Times New Roman"/>
                <w:i/>
                <w:noProof/>
                <w:sz w:val="20"/>
                <w:szCs w:val="20"/>
                <w:lang w:val="en-IE"/>
              </w:rPr>
            </w:pPr>
            <w:r>
              <w:rPr>
                <w:rFonts w:ascii="Times New Roman" w:eastAsia="Calibri" w:hAnsi="Times New Roman" w:cs="Times New Roman"/>
                <w:i/>
                <w:noProof/>
                <w:sz w:val="20"/>
                <w:szCs w:val="20"/>
                <w:lang w:val="en-IE"/>
              </w:rPr>
              <w:t>The above rights enshrined in the Charter of Fundamental Rights of the EU, the UN Convention on the Rights of the Child and the goals and targets of the UN Sustainable Development Goals are also relevant for all actions included in the Global dimension section of the strategy.</w:t>
            </w:r>
          </w:p>
          <w:p>
            <w:pPr>
              <w:rPr>
                <w:rFonts w:ascii="Times New Roman" w:eastAsia="Calibri" w:hAnsi="Times New Roman" w:cs="Times New Roman"/>
                <w:noProof/>
                <w:sz w:val="20"/>
                <w:szCs w:val="20"/>
                <w:lang w:val="en-IE"/>
              </w:rPr>
            </w:pPr>
          </w:p>
        </w:tc>
      </w:tr>
    </w:tbl>
    <w:p>
      <w:pPr>
        <w:rPr>
          <w:noProof/>
          <w:lang w:val="en-IE"/>
        </w:rPr>
      </w:pPr>
    </w:p>
    <w:p>
      <w:pPr>
        <w:tabs>
          <w:tab w:val="left" w:pos="2090"/>
        </w:tabs>
        <w:rPr>
          <w:noProof/>
          <w:lang w:val="en-IE"/>
        </w:rPr>
        <w:sectPr>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418" w:bottom="1418" w:left="1418" w:header="709" w:footer="709" w:gutter="0"/>
          <w:cols w:space="720"/>
          <w:docGrid w:linePitch="360"/>
        </w:sectPr>
      </w:pPr>
    </w:p>
    <w:p>
      <w:pPr>
        <w:rPr>
          <w:noProof/>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474717"/>
      <w:docPartObj>
        <w:docPartGallery w:val="Page Numbers (Bottom of Page)"/>
        <w:docPartUnique/>
      </w:docPartObj>
    </w:sdtPr>
    <w:sdtEndPr>
      <w:rPr>
        <w:rFonts w:ascii="Times New Roman" w:hAnsi="Times New Roman" w:cs="Times New Roman"/>
        <w:noProof/>
        <w:sz w:val="18"/>
        <w:szCs w:val="18"/>
      </w:rPr>
    </w:sdtEndPr>
    <w:sdtContent>
      <w:p>
        <w:pPr>
          <w:pStyle w:val="Footer"/>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noProof/>
            <w:sz w:val="18"/>
            <w:szCs w:val="18"/>
          </w:rPr>
          <w:t>1</w:t>
        </w:r>
        <w:r>
          <w:rPr>
            <w:rFonts w:ascii="Times New Roman" w:hAnsi="Times New Roman" w:cs="Times New Roman"/>
            <w:noProof/>
            <w:sz w:val="18"/>
            <w:szCs w:val="18"/>
          </w:rPr>
          <w:fldChar w:fldCharType="end"/>
        </w:r>
      </w:p>
    </w:sdtContent>
  </w:sdt>
  <w:bookmarkStart w:id="4" w:name="_MON_1677396855"/>
  <w:bookmarkEnd w:id="4"/>
  <w:p>
    <w:pPr>
      <w:pStyle w:val="Footer"/>
    </w:pPr>
    <w:r>
      <w:object w:dxaOrig="9072" w:dyaOrig="8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75pt;height:418.5pt" o:ole="">
          <v:imagedata r:id="rId1" o:title=""/>
        </v:shape>
        <o:OLEObject Type="Embed" ProgID="Word.Document.12" ShapeID="_x0000_i1026" DrawAspect="Content" ObjectID="_1678032338" r:id="rId2">
          <o:FieldCodes>\s</o:FieldCodes>
        </o:OLEObject>
      </w:obje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sz w:val="18"/>
          <w:lang w:val="en-IE"/>
        </w:rPr>
      </w:pPr>
      <w:r>
        <w:rPr>
          <w:rStyle w:val="FootnoteReference"/>
          <w:rFonts w:ascii="Times New Roman" w:hAnsi="Times New Roman" w:cs="Times New Roman"/>
          <w:sz w:val="18"/>
        </w:rPr>
        <w:footnoteRef/>
      </w:r>
      <w:r>
        <w:rPr>
          <w:rFonts w:ascii="Times New Roman" w:hAnsi="Times New Roman" w:cs="Times New Roman"/>
          <w:sz w:val="18"/>
          <w:lang w:val="en-IE"/>
        </w:rPr>
        <w:t xml:space="preserve"> The Charter of Fundamental Rights of the European Union applies to Member States </w:t>
      </w:r>
      <w:r>
        <w:rPr>
          <w:rFonts w:ascii="Times New Roman" w:hAnsi="Times New Roman" w:cs="Times New Roman"/>
          <w:sz w:val="18"/>
          <w:u w:val="single"/>
          <w:lang w:val="en-IE"/>
        </w:rPr>
        <w:t>only</w:t>
      </w:r>
      <w:r>
        <w:rPr>
          <w:rFonts w:ascii="Times New Roman" w:hAnsi="Times New Roman" w:cs="Times New Roman"/>
          <w:sz w:val="18"/>
          <w:lang w:val="en-IE"/>
        </w:rPr>
        <w:t xml:space="preserve"> when they are implementing European Union law.</w:t>
      </w:r>
    </w:p>
  </w:footnote>
  <w:footnote w:id="2">
    <w:p>
      <w:pPr>
        <w:pStyle w:val="FootnoteText"/>
        <w:rPr>
          <w:lang w:val="en-IE"/>
        </w:rPr>
      </w:pPr>
      <w:r>
        <w:rPr>
          <w:rStyle w:val="FootnoteReference"/>
        </w:rPr>
        <w:footnoteRef/>
      </w:r>
      <w:r>
        <w:t xml:space="preserve"> </w:t>
      </w:r>
      <w:r>
        <w:rPr>
          <w:rFonts w:ascii="Times New Roman" w:hAnsi="Times New Roman" w:cs="Times New Roman"/>
          <w:sz w:val="18"/>
          <w:szCs w:val="18"/>
          <w:lang w:val="en-IE"/>
        </w:rPr>
        <w:t>The EU is party to the UN Convention on Rights of Persons with Disabilities (UNCRPD). Relevant Articles of this Convention are also mentioned in this column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B2FFE"/>
    <w:multiLevelType w:val="hybridMultilevel"/>
    <w:tmpl w:val="BDAE5A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005F17"/>
    <w:multiLevelType w:val="hybridMultilevel"/>
    <w:tmpl w:val="7FD0B8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C372DEC"/>
    <w:multiLevelType w:val="hybridMultilevel"/>
    <w:tmpl w:val="CD2EE6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682F1C72"/>
    <w:multiLevelType w:val="hybridMultilevel"/>
    <w:tmpl w:val="FA2C16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1"/>
    <w:docVar w:name="LW_ANNEX_UNIQUE" w:val="0"/>
    <w:docVar w:name="LW_CORRIGENDUM" w:val="&lt;UNUSED&gt;"/>
    <w:docVar w:name="LW_COVERPAGE_EXISTS" w:val="True"/>
    <w:docVar w:name="LW_COVERPAGE_GUID" w:val="86678242-F7B8-49E0-8049-CB413591DC7D"/>
    <w:docVar w:name="LW_COVERPAGE_TYPE" w:val="1"/>
    <w:docVar w:name="LW_CROSSREFERENCE" w:val="&lt;UNUSED&gt;"/>
    <w:docVar w:name="LW_DocType" w:val="NORMAL"/>
    <w:docVar w:name="LW_EMISSION" w:val="24.3.2021"/>
    <w:docVar w:name="LW_EMISSION_ISODATE" w:val="2021-03-24"/>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EU strategy on the rights of the child_x000d__x000d__x000d__x000d__x000d__x000b__x000d__x000d__x000d__x000d__x000d__x000b__x000d__x000d__x000d__x000d__x000d__x000b__x000d__x000d__x000d__x000d__x000d__x000b__x000d__x000d__x000d__x000d__x000d__x000d__x000b_"/>
    <w:docVar w:name="LW_PART_NBR" w:val="1"/>
    <w:docVar w:name="LW_PART_NBR_TOTAL" w:val="1"/>
    <w:docVar w:name="LW_REF.INST.NEW" w:val="COM"/>
    <w:docVar w:name="LW_REF.INST.NEW_ADOPTED" w:val="final"/>
    <w:docVar w:name="LW_REF.INST.NEW_TEXT" w:val="(2021) 1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UNICATION FROM THE COMMISSION TO THE EUROPEAN PARLIAMENT, THE COUNCIL, THE EUROPEAN ECONOMIC AND SOCIAL COMMITTEE AND THE COMMITTEE OF THE REGION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lang w:val="es-E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FootnoteText">
    <w:name w:val="footnote text"/>
    <w:basedOn w:val="Normal"/>
    <w:link w:val="FootnoteTextChar"/>
    <w:uiPriority w:val="99"/>
    <w:semiHidden/>
    <w:unhideWhenUsed/>
    <w:pPr>
      <w:spacing w:after="0" w:line="240" w:lineRule="auto"/>
    </w:pPr>
    <w:rPr>
      <w:sz w:val="20"/>
      <w:szCs w:val="20"/>
      <w:lang w:val="es-ES"/>
    </w:rPr>
  </w:style>
  <w:style w:type="character" w:customStyle="1" w:styleId="FootnoteTextChar">
    <w:name w:val="Footnote Text Char"/>
    <w:basedOn w:val="DefaultParagraphFont"/>
    <w:link w:val="FootnoteText"/>
    <w:uiPriority w:val="99"/>
    <w:semiHidden/>
    <w:rPr>
      <w:sz w:val="20"/>
      <w:szCs w:val="20"/>
      <w:lang w:val="es-ES"/>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line="240" w:lineRule="auto"/>
    </w:pPr>
    <w:rPr>
      <w:sz w:val="20"/>
      <w:szCs w:val="20"/>
      <w:lang w:val="es-ES"/>
    </w:rPr>
  </w:style>
  <w:style w:type="character" w:customStyle="1" w:styleId="CommentTextChar">
    <w:name w:val="Comment Text Char"/>
    <w:basedOn w:val="DefaultParagraphFont"/>
    <w:link w:val="CommentText"/>
    <w:uiPriority w:val="99"/>
    <w:semiHidden/>
    <w:rPr>
      <w:sz w:val="20"/>
      <w:szCs w:val="20"/>
      <w:lang w:val="es-E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lang w:val="es-E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FootnoteText">
    <w:name w:val="footnote text"/>
    <w:basedOn w:val="Normal"/>
    <w:link w:val="FootnoteTextChar"/>
    <w:uiPriority w:val="99"/>
    <w:semiHidden/>
    <w:unhideWhenUsed/>
    <w:pPr>
      <w:spacing w:after="0" w:line="240" w:lineRule="auto"/>
    </w:pPr>
    <w:rPr>
      <w:sz w:val="20"/>
      <w:szCs w:val="20"/>
      <w:lang w:val="es-ES"/>
    </w:rPr>
  </w:style>
  <w:style w:type="character" w:customStyle="1" w:styleId="FootnoteTextChar">
    <w:name w:val="Footnote Text Char"/>
    <w:basedOn w:val="DefaultParagraphFont"/>
    <w:link w:val="FootnoteText"/>
    <w:uiPriority w:val="99"/>
    <w:semiHidden/>
    <w:rPr>
      <w:sz w:val="20"/>
      <w:szCs w:val="20"/>
      <w:lang w:val="es-ES"/>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line="240" w:lineRule="auto"/>
    </w:pPr>
    <w:rPr>
      <w:sz w:val="20"/>
      <w:szCs w:val="20"/>
      <w:lang w:val="es-ES"/>
    </w:rPr>
  </w:style>
  <w:style w:type="character" w:customStyle="1" w:styleId="CommentTextChar">
    <w:name w:val="Comment Text Char"/>
    <w:basedOn w:val="DefaultParagraphFont"/>
    <w:link w:val="CommentText"/>
    <w:uiPriority w:val="99"/>
    <w:semiHidden/>
    <w:rPr>
      <w:sz w:val="20"/>
      <w:szCs w:val="20"/>
      <w:lang w:val="es-E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8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er5.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B531A37-60FF-4A2F-A5BB-F1E5EF9F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2700</Words>
  <Characters>15180</Characters>
  <Application>Microsoft Office Word</Application>
  <DocSecurity>0</DocSecurity>
  <Lines>632</Lines>
  <Paragraphs>238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GEDEI Ottilia (JUST)</dc:creator>
  <cp:keywords/>
  <dc:description/>
  <cp:lastModifiedBy>WES PDFC Administrator</cp:lastModifiedBy>
  <cp:revision>7</cp:revision>
  <dcterms:created xsi:type="dcterms:W3CDTF">2021-03-22T17:30:00Z</dcterms:created>
  <dcterms:modified xsi:type="dcterms:W3CDTF">2021-03-23T18:19:00Z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7.0, Build 20190717</vt:lpwstr>
  </property>
  <property fmtid="{D5CDD505-2E9C-101B-9397-08002B2CF9AE}" pid="11" name="Created using">
    <vt:lpwstr>LW 7.0, Build 20190717</vt:lpwstr>
  </property>
</Properties>
</file>