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6E45B96-207B-472F-AA91-380E15B287D6" style="width:450.35pt;height:37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Default"/>
        <w:rPr>
          <w:rFonts w:ascii="Times New Roman" w:eastAsiaTheme="minorHAnsi" w:hAnsi="Times New Roman" w:cs="Times New Roman"/>
          <w:noProof/>
        </w:rPr>
      </w:pPr>
    </w:p>
    <w:p>
      <w:pPr>
        <w:pStyle w:val="ManualHeading1"/>
        <w:rPr>
          <w:noProof/>
        </w:rPr>
      </w:pPr>
      <w:r>
        <w:t>1.</w:t>
      </w:r>
      <w:r>
        <w:tab/>
      </w:r>
      <w:r>
        <w:rPr>
          <w:noProof/>
        </w:rPr>
        <w:t>OBJET DE LA PROPOSITION</w:t>
      </w:r>
    </w:p>
    <w:p>
      <w:pPr>
        <w:spacing w:before="0" w:after="200" w:line="276" w:lineRule="auto"/>
        <w:rPr>
          <w:noProof/>
          <w:szCs w:val="24"/>
        </w:rPr>
      </w:pPr>
      <w:r>
        <w:rPr>
          <w:noProof/>
        </w:rPr>
        <w:t xml:space="preserve">La présente proposition concerne la décision établissant la position à prendre, au nom de l’Union, au sein du comité mixte des produits biologiques (ci-après le «comité mixte») institué par l’accord entre l’Union européenne, d’une part, et la République du Chili, d’autre part, dans la perspective de l’adoption envisagée de son règlement intérieur. </w:t>
      </w:r>
    </w:p>
    <w:p>
      <w:pPr>
        <w:pStyle w:val="ManualHeading1"/>
        <w:rPr>
          <w:noProof/>
        </w:rPr>
      </w:pPr>
      <w:r>
        <w:t>2.</w:t>
      </w:r>
      <w:r>
        <w:tab/>
      </w:r>
      <w:r>
        <w:rPr>
          <w:noProof/>
        </w:rPr>
        <w:t xml:space="preserve">CONTEXTE DE LA PROPOSITION </w:t>
      </w:r>
    </w:p>
    <w:p>
      <w:pPr>
        <w:pStyle w:val="ManualHeading2"/>
        <w:rPr>
          <w:rFonts w:eastAsia="Arial Unicode MS"/>
          <w:noProof/>
        </w:rPr>
      </w:pPr>
      <w:r>
        <w:rPr>
          <w:noProof/>
          <w:color w:val="000000"/>
          <w:u w:color="000000"/>
          <w:bdr w:val="nil"/>
        </w:rPr>
        <w:t>2.1 L’accord entre l’UE et la République du Chili sur le commerce des produits biologiques</w:t>
      </w:r>
    </w:p>
    <w:p>
      <w:pPr>
        <w:pBdr>
          <w:top w:val="nil"/>
          <w:left w:val="nil"/>
          <w:bottom w:val="nil"/>
          <w:right w:val="nil"/>
          <w:between w:val="nil"/>
          <w:bar w:val="nil"/>
        </w:pBdr>
        <w:spacing w:before="0"/>
        <w:rPr>
          <w:rFonts w:eastAsia="Arial Unicode MS"/>
          <w:noProof/>
          <w:szCs w:val="24"/>
        </w:rPr>
      </w:pPr>
      <w:r>
        <w:rPr>
          <w:noProof/>
        </w:rPr>
        <w:t>L'accord entre l'Union européenne et la République du Chili sur le commerce des produits biologiques institue le comité mixte.</w:t>
      </w:r>
    </w:p>
    <w:p>
      <w:pPr>
        <w:pBdr>
          <w:top w:val="nil"/>
          <w:left w:val="nil"/>
          <w:bottom w:val="nil"/>
          <w:right w:val="nil"/>
          <w:between w:val="nil"/>
          <w:bar w:val="nil"/>
        </w:pBdr>
        <w:spacing w:before="0"/>
        <w:rPr>
          <w:rFonts w:eastAsia="Arial Unicode MS"/>
          <w:noProof/>
          <w:szCs w:val="24"/>
        </w:rPr>
      </w:pPr>
      <w:r>
        <w:rPr>
          <w:noProof/>
        </w:rPr>
        <w:t>Le présent acte établit le règlement intérieur de ce comité. L’adoption de règles justes et claires conduira à des discussions fructueuses au sein du comité mixte UE-Chili des produits biologiques.</w:t>
      </w:r>
    </w:p>
    <w:p>
      <w:pPr>
        <w:pStyle w:val="ManualHeading2"/>
        <w:rPr>
          <w:noProof/>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szCs w:val="24"/>
        </w:rPr>
      </w:pPr>
      <w:r>
        <w:rPr>
          <w:noProof/>
        </w:rPr>
        <w:t>C’est la première fois qu’un comité mixte a été mis en place entre des partenaires commerciaux dans le domaine des produits biologiques; toutefois, il s’agit d’une pratique courante dans d’autres accords commerciaux internationaux. L’accord UE-Chili est le premier accord international signé sur le commerce des produits biologiques.</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ManualHeading1"/>
        <w:rPr>
          <w:noProof/>
        </w:rPr>
      </w:pPr>
      <w:r>
        <w:t>3.</w:t>
      </w:r>
      <w:r>
        <w:tab/>
      </w:r>
      <w:r>
        <w:rPr>
          <w:noProof/>
        </w:rPr>
        <w:t>BASE JURIDIQUE, SUBSIDIARITÉ ET PROPORTIONNALITÉ</w:t>
      </w:r>
    </w:p>
    <w:p>
      <w:pPr>
        <w:pStyle w:val="ManualHeading1"/>
        <w:rPr>
          <w:noProof/>
        </w:rPr>
      </w:pPr>
      <w:r>
        <w:t>4.</w:t>
      </w:r>
      <w:r>
        <w:tab/>
      </w:r>
      <w:r>
        <w:rPr>
          <w:noProof/>
          <w:u w:color="000000"/>
          <w:bdr w:val="nil"/>
        </w:rPr>
        <w:t>•</w:t>
      </w:r>
      <w:r>
        <w:rPr>
          <w:noProof/>
        </w:rPr>
        <w:tab/>
        <w:t>Base juridique</w:t>
      </w:r>
    </w:p>
    <w:p>
      <w:pPr>
        <w:autoSpaceDE w:val="0"/>
        <w:autoSpaceDN w:val="0"/>
        <w:adjustRightInd w:val="0"/>
        <w:spacing w:before="0" w:after="0"/>
        <w:jc w:val="left"/>
        <w:rPr>
          <w:noProof/>
        </w:rPr>
      </w:pPr>
      <w:r>
        <w:rPr>
          <w:noProof/>
        </w:rPr>
        <w:t>Conformément à la décision (UE) 2017/436 du Conseil</w:t>
      </w:r>
      <w:r>
        <w:rPr>
          <w:rStyle w:val="FootnoteReference"/>
          <w:noProof/>
        </w:rPr>
        <w:footnoteReference w:id="1"/>
      </w:r>
      <w:r>
        <w:rPr>
          <w:noProof/>
        </w:rPr>
        <w:t>, l’accord a été signé le 27 avril 2017 et, conformément à la décision (UE) 2017/2307 du Conseil</w:t>
      </w:r>
      <w:r>
        <w:rPr>
          <w:rStyle w:val="FootnoteReference"/>
          <w:noProof/>
          <w:lang w:eastAsia="en-GB"/>
        </w:rPr>
        <w:footnoteReference w:id="2"/>
      </w:r>
      <w:r>
        <w:rPr>
          <w:noProof/>
        </w:rPr>
        <w:t xml:space="preserve"> relative à sa conclusion, l’accord a été approuvé et est entré en vigueur le 1</w:t>
      </w:r>
      <w:r>
        <w:rPr>
          <w:noProof/>
          <w:vertAlign w:val="superscript"/>
        </w:rPr>
        <w:t>er</w:t>
      </w:r>
      <w:r>
        <w:rPr>
          <w:noProof/>
        </w:rPr>
        <w:t xml:space="preserve"> janvier 2018</w:t>
      </w:r>
      <w:r>
        <w:rPr>
          <w:rStyle w:val="FootnoteReference"/>
          <w:noProof/>
          <w:lang w:eastAsia="en-GB"/>
        </w:rPr>
        <w:footnoteReference w:id="3"/>
      </w:r>
      <w:r>
        <w:rPr>
          <w:noProof/>
        </w:rPr>
        <w:t xml:space="preserve">. </w:t>
      </w:r>
    </w:p>
    <w:p>
      <w:pPr>
        <w:pStyle w:val="ManualHeading2"/>
        <w:rPr>
          <w:bCs/>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iCs/>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lastRenderedPageBreak/>
        <w:t>La notion d’«</w:t>
      </w:r>
      <w:r>
        <w:rPr>
          <w:i/>
          <w:iCs/>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iCs/>
          <w:noProof/>
        </w:rPr>
        <w:t>vocation à influencer de manière déterminante le contenu de la réglementation adoptée par le législateur de l’Union</w:t>
      </w:r>
      <w:r>
        <w:rPr>
          <w:noProof/>
        </w:rPr>
        <w:t>»</w:t>
      </w:r>
      <w:r>
        <w:rPr>
          <w:rStyle w:val="FootnoteReference"/>
          <w:noProof/>
        </w:rPr>
        <w:footnoteReference w:id="4"/>
      </w:r>
      <w:r>
        <w:rPr>
          <w:noProof/>
        </w:rPr>
        <w:t>.</w:t>
      </w:r>
    </w:p>
    <w:p>
      <w:pPr>
        <w:pStyle w:val="ManualHeading3"/>
        <w:rPr>
          <w:bCs/>
          <w:noProof/>
        </w:rPr>
      </w:pPr>
      <w:r>
        <w:t>4.1.2.</w:t>
      </w:r>
      <w:r>
        <w:tab/>
      </w:r>
      <w:r>
        <w:rPr>
          <w:noProof/>
        </w:rPr>
        <w:t>Application en l’espèce</w:t>
      </w:r>
    </w:p>
    <w:p>
      <w:pPr>
        <w:rPr>
          <w:noProof/>
        </w:rPr>
      </w:pPr>
      <w:r>
        <w:rPr>
          <w:noProof/>
        </w:rPr>
        <w:t>Le comité mixte est une instance créée par un accord, à savoir l’accord entre l’Union européenne et la République du Chili sur le commerce des produits biologiques.</w:t>
      </w:r>
    </w:p>
    <w:p>
      <w:pPr>
        <w:rPr>
          <w:noProof/>
          <w:color w:val="008000"/>
        </w:rPr>
      </w:pPr>
      <w:r>
        <w:rPr>
          <w:noProof/>
        </w:rPr>
        <w:t>L’acte que le comité mixte est appelé à adopter est un acte ayant des effets juridiques. L’acte envisagé aura un effet contraignant en vertu du droit international, conformément à l’article 8 de l’accord entre l’Union européenne et la République du Chili sur le commerce des produits biologiques.</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bCs/>
          <w:noProof/>
        </w:rPr>
      </w:pPr>
      <w:r>
        <w:t>4.2.</w:t>
      </w:r>
      <w:r>
        <w:tab/>
      </w:r>
      <w:r>
        <w:rPr>
          <w:noProof/>
        </w:rPr>
        <w:t>Base juridique matérielle</w:t>
      </w:r>
    </w:p>
    <w:p>
      <w:pPr>
        <w:pStyle w:val="ManualHeading3"/>
        <w:rPr>
          <w:bCs/>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à propos duquel une position est prise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bCs/>
          <w:noProof/>
        </w:rPr>
      </w:pPr>
      <w:r>
        <w:t>4.2.2.</w:t>
      </w:r>
      <w:r>
        <w:tab/>
      </w:r>
      <w:r>
        <w:rPr>
          <w:noProof/>
        </w:rPr>
        <w:t>Application en l’espèce</w:t>
      </w:r>
    </w:p>
    <w:p>
      <w:pPr>
        <w:rPr>
          <w:noProof/>
        </w:rPr>
      </w:pPr>
      <w:r>
        <w:rPr>
          <w:noProof/>
        </w:rPr>
        <w:t>L’acte envisagé poursuit des finalités et comporte des composantes dans le domaine de la politique commerciale commune. Ces aspects de l’acte envisagé sont liés de façon indissociable, sans que l’un soit accessoire par rapport à l’autre.</w:t>
      </w:r>
    </w:p>
    <w:p>
      <w:pPr>
        <w:rPr>
          <w:noProof/>
        </w:rPr>
      </w:pPr>
      <w:r>
        <w:rPr>
          <w:noProof/>
        </w:rPr>
        <w:t>En conséquence, la base juridique matérielle pour la décision proposée est constituée des dispositions suivantes: 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en liaison avec l’article 218, paragraphe 9, du TFUE.</w:t>
      </w:r>
    </w:p>
    <w:p>
      <w:pPr>
        <w:pStyle w:val="ManualHeading1"/>
        <w:rPr>
          <w:noProof/>
        </w:rPr>
      </w:pPr>
      <w:r>
        <w:t>5.</w:t>
      </w:r>
      <w:r>
        <w:tab/>
      </w:r>
      <w:r>
        <w:rPr>
          <w:noProof/>
        </w:rPr>
        <w:t>PUBLICATION DE L’ACTE ENVISAGÉ</w:t>
      </w:r>
    </w:p>
    <w:p>
      <w:pPr>
        <w:rPr>
          <w:noProof/>
          <w:szCs w:val="24"/>
        </w:rPr>
      </w:pPr>
      <w:r>
        <w:rPr>
          <w:noProof/>
        </w:rPr>
        <w:t>Sans objet.</w:t>
      </w:r>
    </w:p>
    <w:p>
      <w:pPr>
        <w:rPr>
          <w:noProof/>
          <w:szCs w:val="24"/>
        </w:rPr>
      </w:pPr>
    </w:p>
    <w:p>
      <w:pPr>
        <w:rPr>
          <w:noProof/>
        </w:rPr>
        <w:sectPr>
          <w:footerReference w:type="default" r:id="rId11"/>
          <w:footerReference w:type="first" r:id="rId12"/>
          <w:footnotePr>
            <w:numRestart w:val="eachSect"/>
          </w:footnotePr>
          <w:pgSz w:w="11900" w:h="16838"/>
          <w:pgMar w:top="1440" w:right="1440" w:bottom="515" w:left="1440" w:header="0" w:footer="621" w:gutter="0"/>
          <w:cols w:space="0" w:equalWidth="0">
            <w:col w:w="9026"/>
          </w:cols>
          <w:docGrid w:linePitch="360"/>
        </w:sectPr>
      </w:pPr>
    </w:p>
    <w:p>
      <w:pPr>
        <w:pStyle w:val="Rfrenceinterinstitutionnelle"/>
        <w:rPr>
          <w:noProof/>
        </w:rPr>
      </w:pPr>
      <w:r>
        <w:rPr>
          <w:noProof/>
        </w:rPr>
        <w:lastRenderedPageBreak/>
        <w:t>2021/0072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des produits biologiques institué par l’accord entre l’Union européenne et la République du Chili sur le commerce des produits biologiques, en ce qui concerne l’adoption de son règlement intérieur</w:t>
      </w:r>
    </w:p>
    <w:p>
      <w:pPr>
        <w:pStyle w:val="Institutionquiagit"/>
        <w:rPr>
          <w:noProof/>
        </w:rPr>
      </w:pPr>
      <w:r>
        <w:rPr>
          <w:noProof/>
        </w:rPr>
        <w:t>LE CONSEIL DE L'UNION EUROPÉENNE,</w:t>
      </w:r>
    </w:p>
    <w:p>
      <w:pPr>
        <w:rPr>
          <w:noProof/>
        </w:rPr>
      </w:pPr>
      <w:r>
        <w:rPr>
          <w:noProof/>
        </w:rPr>
        <w:t>vu le traité sur le fonctionnement de l'Union européenne, et notamment son article </w:t>
      </w:r>
      <w:r>
        <w:t>207</w:t>
      </w:r>
      <w:r>
        <w:rPr>
          <w:noProof/>
        </w:rPr>
        <w:t>,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bookmarkStart w:id="1" w:name="DQPStarAt1DQPStarAt27EAAEBD20DF4D5290796"/>
      <w:r>
        <w:t>(1)</w:t>
      </w:r>
      <w:r>
        <w:tab/>
      </w:r>
      <w:r>
        <w:rPr>
          <w:noProof/>
        </w:rPr>
        <w:t>L’accord entre l’Union européenne et la République du Chili sur le commerce des produits biologiques (ci-après l’«accord») a été conclu par l’Union par la décision (UE) 2017/2307 du Conseil</w:t>
      </w:r>
      <w:r>
        <w:rPr>
          <w:rStyle w:val="FootnoteReference"/>
          <w:noProof/>
          <w:lang w:eastAsia="en-GB"/>
        </w:rPr>
        <w:footnoteReference w:id="5"/>
      </w:r>
      <w:r>
        <w:rPr>
          <w:noProof/>
        </w:rPr>
        <w:t xml:space="preserve"> et est entré en vigueur le 1</w:t>
      </w:r>
      <w:r>
        <w:rPr>
          <w:noProof/>
          <w:vertAlign w:val="superscript"/>
        </w:rPr>
        <w:t>er</w:t>
      </w:r>
      <w:r>
        <w:rPr>
          <w:noProof/>
        </w:rPr>
        <w:t xml:space="preserve"> janvier 2018.</w:t>
      </w:r>
    </w:p>
    <w:p>
      <w:pPr>
        <w:pStyle w:val="ManualConsidrant"/>
        <w:rPr>
          <w:noProof/>
        </w:rPr>
      </w:pPr>
      <w:r>
        <w:t>(2)</w:t>
      </w:r>
      <w:r>
        <w:tab/>
      </w:r>
      <w:r>
        <w:rPr>
          <w:noProof/>
        </w:rPr>
        <w:t>L’article 8 de l’accord institue un comité mixte des produits biologiques (ci-après dénommé le «comité mixte») chargé de gérer l’accord et de prendre les décisions nécessaires à sa mise en œuvre et à son bon fonctionnement.</w:t>
      </w:r>
    </w:p>
    <w:bookmarkEnd w:id="1"/>
    <w:p>
      <w:pPr>
        <w:pStyle w:val="ManualConsidrant"/>
        <w:rPr>
          <w:noProof/>
        </w:rPr>
      </w:pPr>
      <w:r>
        <w:t>(3)</w:t>
      </w:r>
      <w:r>
        <w:tab/>
      </w:r>
      <w:r>
        <w:rPr>
          <w:noProof/>
        </w:rPr>
        <w:t>En vertu de l'article 8.5 de l’accord, le comité mixte adopte son propre règlement intérieur.</w:t>
      </w:r>
    </w:p>
    <w:p>
      <w:pPr>
        <w:pStyle w:val="ManualConsidrant"/>
        <w:rPr>
          <w:noProof/>
        </w:rPr>
      </w:pPr>
      <w:r>
        <w:t>(4)</w:t>
      </w:r>
      <w:r>
        <w:tab/>
      </w:r>
      <w:r>
        <w:rPr>
          <w:noProof/>
        </w:rPr>
        <w:t>Afin de garantir la mise en œuvre correcte de l’accord, il convient d’adopter le règlement intérieur du comité mixte.</w:t>
      </w:r>
    </w:p>
    <w:p>
      <w:pPr>
        <w:pStyle w:val="ManualConsidrant"/>
        <w:rPr>
          <w:noProof/>
        </w:rPr>
      </w:pPr>
      <w:r>
        <w:t>(5)</w:t>
      </w:r>
      <w:r>
        <w:tab/>
      </w:r>
      <w:r>
        <w:rPr>
          <w:noProof/>
        </w:rPr>
        <w:t>Il y a lieu d'arrêter la position à prendre, au nom de l'Union, au sein du comité mixte, en ce qui concerne son règlement intérieur dès lors que celui-ci est contraignant pour l'Union,</w:t>
      </w:r>
    </w:p>
    <w:p>
      <w:pPr>
        <w:pStyle w:val="Formuledadoption"/>
        <w:rPr>
          <w:noProof/>
        </w:rPr>
      </w:pPr>
      <w:r>
        <w:rPr>
          <w:noProof/>
        </w:rPr>
        <w:t xml:space="preserve">A ADOPTÉ LA PRÉSENTE DÉCISION: </w:t>
      </w:r>
    </w:p>
    <w:p>
      <w:pPr>
        <w:pStyle w:val="Titrearticle"/>
        <w:rPr>
          <w:noProof/>
        </w:rPr>
      </w:pPr>
      <w:r>
        <w:rPr>
          <w:noProof/>
        </w:rPr>
        <w:t>Article premier</w:t>
      </w:r>
    </w:p>
    <w:p>
      <w:pPr>
        <w:spacing w:line="237" w:lineRule="auto"/>
        <w:ind w:right="266"/>
        <w:rPr>
          <w:rFonts w:eastAsia="Times New Roman"/>
          <w:noProof/>
        </w:rPr>
      </w:pPr>
      <w:r>
        <w:rPr>
          <w:noProof/>
        </w:rPr>
        <w:t>La position à prendre, au nom de l’Union européenne, au sein du comité mixte des produits biologiques institué par l’accord entre l’Union européenne et la République du Chili sur le commerce des produits biologiques, en ce qui concerne l’adoption de son règlement intérieur est fondée sur le projet de décision dudit comité mixte, conformément à l’annexe de la présente décision.</w:t>
      </w:r>
    </w:p>
    <w:p>
      <w:pPr>
        <w:pStyle w:val="Titrearticle"/>
        <w:rPr>
          <w:noProof/>
        </w:rPr>
      </w:pPr>
      <w:r>
        <w:rPr>
          <w:noProof/>
        </w:rPr>
        <w:lastRenderedPageBreak/>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pStyle w:val="Personnequisigne"/>
        <w:rPr>
          <w:noProof/>
        </w:rPr>
      </w:pPr>
      <w:r>
        <w:rPr>
          <w:noProof/>
        </w:rPr>
        <w:tab/>
      </w:r>
    </w:p>
    <w:sectPr>
      <w:footnotePr>
        <w:numRestart w:val="eachPage"/>
      </w:footnotePr>
      <w:pgSz w:w="11900" w:h="16838"/>
      <w:pgMar w:top="1440" w:right="1440" w:bottom="851" w:left="1440" w:header="0" w:footer="621" w:gutter="0"/>
      <w:cols w:space="0" w:equalWidth="0">
        <w:col w:w="902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67 du 14.3.2017, p. 33.</w:t>
      </w:r>
    </w:p>
  </w:footnote>
  <w:footnote w:id="2">
    <w:p>
      <w:pPr>
        <w:pStyle w:val="FootnoteText"/>
      </w:pPr>
      <w:r>
        <w:rPr>
          <w:rStyle w:val="FootnoteReference"/>
        </w:rPr>
        <w:footnoteRef/>
      </w:r>
      <w:r>
        <w:tab/>
        <w:t>JO L 331 du 14.12.2017, p. 1.</w:t>
      </w:r>
    </w:p>
  </w:footnote>
  <w:footnote w:id="3">
    <w:p>
      <w:pPr>
        <w:pStyle w:val="FootnoteText"/>
      </w:pPr>
      <w:r>
        <w:rPr>
          <w:rStyle w:val="FootnoteReference"/>
        </w:rPr>
        <w:footnoteRef/>
      </w:r>
      <w:r>
        <w:tab/>
        <w:t>JO L 331 du 14.12.2017, p. 4.</w:t>
      </w:r>
    </w:p>
  </w:footnote>
  <w:footnote w:id="4">
    <w:p>
      <w:pPr>
        <w:pStyle w:val="FootnoteText"/>
      </w:pPr>
      <w:r>
        <w:rPr>
          <w:rStyle w:val="FootnoteReference"/>
        </w:rPr>
        <w:footnoteRef/>
      </w:r>
      <w:r>
        <w:tab/>
        <w:t>Arrêt de la Cour de justice du 7 octobre 2014, Allemagne/Conseil, C-399/12, ECLI:EU:C:2014:2258, points 61 à 64.</w:t>
      </w:r>
    </w:p>
  </w:footnote>
  <w:footnote w:id="5">
    <w:p>
      <w:pPr>
        <w:pStyle w:val="FootnoteText"/>
      </w:pPr>
      <w:r>
        <w:rPr>
          <w:rStyle w:val="FootnoteReference"/>
        </w:rPr>
        <w:footnoteRef/>
      </w:r>
      <w:r>
        <w:tab/>
        <w:t xml:space="preserve">Décision (UE) 2017/2307 du Conseil du 9 octobre 2017 relative à la conclusion de l'accord entre l'Union européenne et la République du Chili sur le commerce des produits biologiques  </w:t>
      </w:r>
    </w:p>
    <w:p>
      <w:pPr>
        <w:pStyle w:val="FootnoteText"/>
      </w:pPr>
      <w:r>
        <w:t xml:space="preserve">              (JO L 331 du 14.12.2017,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8884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DDA4E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C234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F0BE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1ABB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1CDE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54DE60"/>
    <w:lvl w:ilvl="0">
      <w:start w:val="1"/>
      <w:numFmt w:val="decimal"/>
      <w:pStyle w:val="ListNumber"/>
      <w:lvlText w:val="%1."/>
      <w:lvlJc w:val="left"/>
      <w:pPr>
        <w:tabs>
          <w:tab w:val="num" w:pos="360"/>
        </w:tabs>
        <w:ind w:left="360" w:hanging="360"/>
      </w:pPr>
    </w:lvl>
  </w:abstractNum>
  <w:abstractNum w:abstractNumId="7">
    <w:nsid w:val="FFFFFF89"/>
    <w:multiLevelType w:val="singleLevel"/>
    <w:tmpl w:val="93326C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1:04: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56E45B96-207B-472F-AA91-380E15B287D6"/>
    <w:docVar w:name="LW_COVERPAGE_TYPE" w:val="1"/>
    <w:docVar w:name="LW_CROSSREFERENCE" w:val="&lt;UNUSED&gt;"/>
    <w:docVar w:name="LW_DocType" w:val="COM"/>
    <w:docVar w:name="LW_EMISSION" w:val="26.3.2021"/>
    <w:docVar w:name="LW_EMISSION_ISODATE" w:val="2021-03-2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2"/>
    <w:docVar w:name="LW_REF.II.NEW.CP_YEAR" w:val="2021"/>
    <w:docVar w:name="LW_REF.INST.NEW" w:val="COM"/>
    <w:docVar w:name="LW_REF.INST.NEW_ADOPTED" w:val="final"/>
    <w:docVar w:name="LW_REF.INST.NEW_TEXT" w:val="(2021)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des produits biologiques institué par l\u8217?accord entre l\u8217?Union européenne et la République du Chili sur le commerce des produits biologiques, en ce qui concerne l\u8217?adoption de son règlement intérieu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customStyle="1" w:styleId="CM4">
    <w:name w:val="CM4"/>
    <w:basedOn w:val="Default"/>
    <w:next w:val="Default"/>
    <w:uiPriority w:val="99"/>
    <w:rPr>
      <w:rFonts w:eastAsiaTheme="minorHAnsi" w:cstheme="minorBidi"/>
      <w:color w:val="auto"/>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customStyle="1" w:styleId="CM4">
    <w:name w:val="CM4"/>
    <w:basedOn w:val="Default"/>
    <w:next w:val="Default"/>
    <w:uiPriority w:val="99"/>
    <w:rPr>
      <w:rFonts w:eastAsiaTheme="minorHAnsi" w:cstheme="minorBidi"/>
      <w:color w:val="auto"/>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6826">
      <w:bodyDiv w:val="1"/>
      <w:marLeft w:val="0"/>
      <w:marRight w:val="0"/>
      <w:marTop w:val="0"/>
      <w:marBottom w:val="0"/>
      <w:divBdr>
        <w:top w:val="none" w:sz="0" w:space="0" w:color="auto"/>
        <w:left w:val="none" w:sz="0" w:space="0" w:color="auto"/>
        <w:bottom w:val="none" w:sz="0" w:space="0" w:color="auto"/>
        <w:right w:val="none" w:sz="0" w:space="0" w:color="auto"/>
      </w:divBdr>
    </w:div>
    <w:div w:id="1346908024">
      <w:bodyDiv w:val="1"/>
      <w:marLeft w:val="0"/>
      <w:marRight w:val="0"/>
      <w:marTop w:val="0"/>
      <w:marBottom w:val="0"/>
      <w:divBdr>
        <w:top w:val="none" w:sz="0" w:space="0" w:color="auto"/>
        <w:left w:val="none" w:sz="0" w:space="0" w:color="auto"/>
        <w:bottom w:val="none" w:sz="0" w:space="0" w:color="auto"/>
        <w:right w:val="none" w:sz="0" w:space="0" w:color="auto"/>
      </w:divBdr>
    </w:div>
    <w:div w:id="14751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5FE9B6-9ABD-4D73-9C02-C0C77B1F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993</Words>
  <Characters>5414</Characters>
  <Application>Microsoft Office Word</Application>
  <DocSecurity>0</DocSecurity>
  <Lines>110</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2021-03-11T14:21:00Z</dcterms:created>
  <dcterms:modified xsi:type="dcterms:W3CDTF">2021-03-17T10:04:00Z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