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451026F-A200-4CAF-8948-2CFF6C101F32" style="width:450.35pt;height:410.9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spacing w:line="0" w:lineRule="atLeast"/>
        <w:ind w:left="180"/>
        <w:rPr>
          <w:rFonts w:eastAsia="Times New Roman"/>
          <w:noProof/>
          <w:sz w:val="23"/>
        </w:rPr>
      </w:pPr>
      <w:r>
        <w:rPr>
          <w:rFonts w:eastAsia="Times New Roman"/>
          <w:noProof/>
          <w:sz w:val="23"/>
        </w:rPr>
        <w:t xml:space="preserve">DECISION No 1 of the Joint Committee on Organic Products </w:t>
      </w:r>
    </w:p>
    <w:p>
      <w:pPr>
        <w:spacing w:line="0" w:lineRule="atLeast"/>
        <w:ind w:left="180"/>
        <w:rPr>
          <w:rFonts w:eastAsia="Times New Roman"/>
          <w:noProof/>
          <w:sz w:val="23"/>
        </w:rPr>
      </w:pPr>
      <w:r>
        <w:rPr>
          <w:rFonts w:eastAsia="Times New Roman"/>
          <w:noProof/>
          <w:sz w:val="23"/>
        </w:rPr>
        <w:t>of … 2021</w:t>
      </w:r>
    </w:p>
    <w:p>
      <w:pPr>
        <w:spacing w:line="0" w:lineRule="atLeast"/>
        <w:ind w:left="180"/>
        <w:rPr>
          <w:rFonts w:eastAsia="Times New Roman"/>
          <w:noProof/>
          <w:sz w:val="23"/>
        </w:rPr>
      </w:pPr>
      <w:r>
        <w:rPr>
          <w:rFonts w:eastAsia="Times New Roman"/>
          <w:noProof/>
          <w:sz w:val="23"/>
        </w:rPr>
        <w:t>adopting its rules of procedures</w:t>
      </w:r>
    </w:p>
    <w:p>
      <w:pPr>
        <w:rPr>
          <w:b/>
          <w:noProof/>
          <w:lang w:val="en"/>
        </w:rPr>
      </w:pPr>
      <w:r>
        <w:rPr>
          <w:rFonts w:eastAsia="Times New Roman"/>
          <w:noProof/>
          <w:sz w:val="23"/>
        </w:rPr>
        <w:t>THE JOINT COMMITTEE ON ORGANIC PRODUCTS</w:t>
      </w:r>
      <w:r>
        <w:rPr>
          <w:b/>
          <w:noProof/>
          <w:lang w:val="en"/>
        </w:rPr>
        <w:t>,</w:t>
      </w:r>
    </w:p>
    <w:p>
      <w:pPr>
        <w:rPr>
          <w:noProof/>
          <w:lang w:val="en"/>
        </w:rPr>
      </w:pPr>
      <w:r>
        <w:rPr>
          <w:noProof/>
          <w:lang w:val="en"/>
        </w:rPr>
        <w:t>Having regard to the Agreement between the European Union and the Republic of Chile on trade in organic products</w:t>
      </w:r>
      <w:r>
        <w:rPr>
          <w:rStyle w:val="FootnoteReference"/>
          <w:noProof/>
          <w:lang w:val="en"/>
        </w:rPr>
        <w:footnoteReference w:id="1"/>
      </w:r>
      <w:r>
        <w:rPr>
          <w:noProof/>
          <w:lang w:val="en"/>
        </w:rPr>
        <w:t xml:space="preserve"> (‘the Agreement’), and in particular Article 8 thereof,</w:t>
      </w:r>
    </w:p>
    <w:p>
      <w:pPr>
        <w:rPr>
          <w:noProof/>
          <w:lang w:val="en"/>
        </w:rPr>
      </w:pPr>
      <w:r>
        <w:rPr>
          <w:noProof/>
          <w:lang w:val="en"/>
        </w:rPr>
        <w:t>Whereas:</w:t>
      </w:r>
    </w:p>
    <w:p>
      <w:pPr>
        <w:pStyle w:val="Considrant"/>
        <w:numPr>
          <w:ilvl w:val="0"/>
          <w:numId w:val="17"/>
        </w:numPr>
        <w:rPr>
          <w:noProof/>
          <w:lang w:val="en"/>
        </w:rPr>
      </w:pPr>
      <w:r>
        <w:rPr>
          <w:noProof/>
          <w:lang w:val="en"/>
        </w:rPr>
        <w:t>Pursuant to Article 8.5 of the Agreement, the Joint Committee on Organic Products is to adopt its own rules of procedures.</w:t>
      </w:r>
    </w:p>
    <w:p>
      <w:pPr>
        <w:pStyle w:val="Considrant"/>
        <w:rPr>
          <w:noProof/>
          <w:lang w:val="en"/>
        </w:rPr>
      </w:pPr>
      <w:r>
        <w:rPr>
          <w:noProof/>
          <w:lang w:val="en"/>
        </w:rPr>
        <w:t>Therefore, the rules of procedure should be adopted,</w:t>
      </w:r>
    </w:p>
    <w:p>
      <w:pPr>
        <w:rPr>
          <w:noProof/>
          <w:lang w:val="en"/>
        </w:rPr>
      </w:pPr>
    </w:p>
    <w:p>
      <w:pPr>
        <w:rPr>
          <w:noProof/>
          <w:lang w:val="en"/>
        </w:rPr>
      </w:pPr>
      <w:r>
        <w:rPr>
          <w:noProof/>
          <w:lang w:val="en"/>
        </w:rPr>
        <w:t>HAS ADOPTED THIS DECISION:</w:t>
      </w:r>
    </w:p>
    <w:p>
      <w:pPr>
        <w:spacing w:line="0" w:lineRule="atLeast"/>
        <w:ind w:left="180"/>
        <w:rPr>
          <w:rFonts w:eastAsia="Times New Roman"/>
          <w:noProof/>
          <w:sz w:val="23"/>
        </w:rPr>
      </w:pPr>
    </w:p>
    <w:p>
      <w:pPr>
        <w:spacing w:line="0" w:lineRule="atLeast"/>
        <w:ind w:left="180"/>
        <w:rPr>
          <w:rFonts w:eastAsia="Times New Roman"/>
          <w:noProof/>
          <w:sz w:val="23"/>
        </w:rPr>
      </w:pPr>
      <w:r>
        <w:rPr>
          <w:rFonts w:eastAsia="Times New Roman"/>
          <w:noProof/>
          <w:sz w:val="23"/>
        </w:rPr>
        <w:t>RULES OF PROCEDURE OF THE JOINT COMMITTEE ON ORGANIC PRODUCTS</w:t>
      </w:r>
    </w:p>
    <w:p>
      <w:pPr>
        <w:pStyle w:val="Titrearticle"/>
        <w:rPr>
          <w:noProof/>
        </w:rPr>
      </w:pPr>
      <w:r>
        <w:rPr>
          <w:noProof/>
        </w:rPr>
        <w:t>Article 1</w:t>
      </w:r>
    </w:p>
    <w:p>
      <w:pPr>
        <w:pStyle w:val="Titrearticle"/>
        <w:rPr>
          <w:b/>
          <w:noProof/>
        </w:rPr>
      </w:pPr>
      <w:r>
        <w:rPr>
          <w:b/>
          <w:noProof/>
        </w:rPr>
        <w:t>Composition and Chair</w:t>
      </w:r>
    </w:p>
    <w:p>
      <w:pPr>
        <w:spacing w:line="276" w:lineRule="exact"/>
        <w:rPr>
          <w:rFonts w:eastAsia="Times New Roman"/>
          <w:noProof/>
        </w:rPr>
      </w:pPr>
    </w:p>
    <w:p>
      <w:pPr>
        <w:pStyle w:val="NumPar1"/>
        <w:numPr>
          <w:ilvl w:val="0"/>
          <w:numId w:val="9"/>
        </w:numPr>
        <w:rPr>
          <w:noProof/>
        </w:rPr>
      </w:pPr>
      <w:r>
        <w:rPr>
          <w:noProof/>
        </w:rPr>
        <w:t>The Joint Committee on Organic Products (‘the Joint Committee’) established pursuant to Article 8 of the Agreement between the European Union (“EU”) and the Republic of Chile (“Chile”) shall perform its duties as provided for in Article 8.3 of the Agreement.</w:t>
      </w:r>
    </w:p>
    <w:p>
      <w:pPr>
        <w:pStyle w:val="NumPar1"/>
        <w:rPr>
          <w:noProof/>
        </w:rPr>
      </w:pPr>
      <w:r>
        <w:rPr>
          <w:noProof/>
        </w:rPr>
        <w:t>The Joint Committee shall have an EU and a Chilean co-chair.</w:t>
      </w:r>
    </w:p>
    <w:p>
      <w:pPr>
        <w:pStyle w:val="NumPar1"/>
        <w:rPr>
          <w:noProof/>
        </w:rPr>
      </w:pPr>
      <w:r>
        <w:rPr>
          <w:noProof/>
        </w:rPr>
        <w:t>Each co-chair may delegate all or any of the functions of co-chair to a nominated deputy, in which case all references hereafter to the co-chair apply equally to the nominated deputy.</w:t>
      </w:r>
    </w:p>
    <w:p>
      <w:pPr>
        <w:pStyle w:val="NumPar1"/>
        <w:rPr>
          <w:noProof/>
        </w:rPr>
      </w:pPr>
      <w:r>
        <w:rPr>
          <w:noProof/>
        </w:rPr>
        <w:t>Each co-chair shall designate a person who shall be the contact person for all matters relating to the Joint Committee. The contact persons designated by the co-chairs shall be jointly responsible for the secretarial duties of the joint committee.</w:t>
      </w:r>
    </w:p>
    <w:p>
      <w:pPr>
        <w:pStyle w:val="Titrearticle"/>
        <w:rPr>
          <w:rFonts w:eastAsia="Times New Roman"/>
          <w:i w:val="0"/>
          <w:noProof/>
        </w:rPr>
      </w:pPr>
      <w:r>
        <w:rPr>
          <w:noProof/>
        </w:rPr>
        <w:t>Article</w:t>
      </w:r>
      <w:r>
        <w:rPr>
          <w:rFonts w:eastAsia="Times New Roman"/>
          <w:noProof/>
        </w:rPr>
        <w:t xml:space="preserve"> 2</w:t>
      </w:r>
    </w:p>
    <w:p>
      <w:pPr>
        <w:pStyle w:val="Titrearticle"/>
        <w:rPr>
          <w:rFonts w:eastAsia="Times New Roman"/>
          <w:b/>
          <w:noProof/>
        </w:rPr>
      </w:pPr>
      <w:r>
        <w:rPr>
          <w:b/>
          <w:noProof/>
        </w:rPr>
        <w:t>Meetings</w:t>
      </w:r>
    </w:p>
    <w:p>
      <w:pPr>
        <w:rPr>
          <w:noProof/>
        </w:rPr>
      </w:pPr>
      <w:r>
        <w:rPr>
          <w:noProof/>
        </w:rPr>
        <w:t>The Joint Committee shall meet once a year, either physically in the EU and in Chile alternately, or electronically by means of video or teleconference. The place and the manner shall be mutually agreed by the Parties but not later than 90 days after the request by either Party.</w:t>
      </w:r>
    </w:p>
    <w:p>
      <w:pPr>
        <w:pStyle w:val="Titrearticle"/>
        <w:rPr>
          <w:rFonts w:eastAsia="Times New Roman"/>
          <w:i w:val="0"/>
          <w:noProof/>
        </w:rPr>
      </w:pPr>
      <w:r>
        <w:rPr>
          <w:noProof/>
        </w:rPr>
        <w:t>Article</w:t>
      </w:r>
      <w:r>
        <w:rPr>
          <w:rFonts w:eastAsia="Times New Roman"/>
          <w:noProof/>
        </w:rPr>
        <w:t xml:space="preserve"> 3</w:t>
      </w:r>
    </w:p>
    <w:p>
      <w:pPr>
        <w:pStyle w:val="Titrearticle"/>
        <w:rPr>
          <w:rFonts w:eastAsia="Times New Roman"/>
          <w:b/>
          <w:noProof/>
        </w:rPr>
      </w:pPr>
      <w:r>
        <w:rPr>
          <w:b/>
          <w:noProof/>
        </w:rPr>
        <w:t>Secretariat</w:t>
      </w:r>
    </w:p>
    <w:p>
      <w:pPr>
        <w:spacing w:line="237" w:lineRule="auto"/>
        <w:ind w:left="140" w:right="266"/>
        <w:rPr>
          <w:rFonts w:eastAsia="Times New Roman"/>
          <w:noProof/>
        </w:rPr>
      </w:pPr>
      <w:r>
        <w:rPr>
          <w:rFonts w:eastAsia="Times New Roman"/>
          <w:noProof/>
        </w:rPr>
        <w:t xml:space="preserve">An official of the European Commission and an official of the </w:t>
      </w:r>
      <w:bookmarkStart w:id="1" w:name="_Hlk18663991"/>
      <w:r>
        <w:rPr>
          <w:rFonts w:eastAsia="Times New Roman"/>
          <w:noProof/>
        </w:rPr>
        <w:t>secretariat of International Economic Relations of Chile</w:t>
      </w:r>
      <w:bookmarkEnd w:id="1"/>
      <w:r>
        <w:rPr>
          <w:rFonts w:eastAsia="Times New Roman"/>
          <w:noProof/>
        </w:rPr>
        <w:t xml:space="preserve"> shall act jointly as secretariats of the Joint Committee.</w:t>
      </w:r>
    </w:p>
    <w:p>
      <w:pPr>
        <w:pStyle w:val="Titrearticle"/>
        <w:rPr>
          <w:rFonts w:eastAsia="Times New Roman"/>
          <w:i w:val="0"/>
          <w:noProof/>
        </w:rPr>
      </w:pPr>
      <w:r>
        <w:rPr>
          <w:noProof/>
        </w:rPr>
        <w:t>Article</w:t>
      </w:r>
      <w:r>
        <w:rPr>
          <w:rFonts w:eastAsia="Times New Roman"/>
          <w:noProof/>
        </w:rPr>
        <w:t xml:space="preserve"> 4</w:t>
      </w:r>
    </w:p>
    <w:p>
      <w:pPr>
        <w:pStyle w:val="Titrearticle"/>
        <w:rPr>
          <w:rFonts w:eastAsia="Times New Roman"/>
          <w:b/>
          <w:noProof/>
        </w:rPr>
      </w:pPr>
      <w:r>
        <w:rPr>
          <w:b/>
          <w:noProof/>
        </w:rPr>
        <w:t>Correspondence</w:t>
      </w:r>
    </w:p>
    <w:p>
      <w:pPr>
        <w:pStyle w:val="NumPar1"/>
        <w:numPr>
          <w:ilvl w:val="0"/>
          <w:numId w:val="10"/>
        </w:numPr>
        <w:rPr>
          <w:noProof/>
        </w:rPr>
      </w:pPr>
      <w:r>
        <w:rPr>
          <w:noProof/>
        </w:rPr>
        <w:t>A copy of all correspondence relating to the Joint Committee shall be sent to the two secretariats.</w:t>
      </w:r>
    </w:p>
    <w:p>
      <w:pPr>
        <w:pStyle w:val="NumPar1"/>
        <w:rPr>
          <w:noProof/>
        </w:rPr>
      </w:pPr>
      <w:bookmarkStart w:id="2" w:name="page3"/>
      <w:bookmarkEnd w:id="2"/>
      <w:r>
        <w:rPr>
          <w:noProof/>
        </w:rPr>
        <w:t>Correspondence may be by any written means, including electronic mail.</w:t>
      </w:r>
    </w:p>
    <w:p>
      <w:pPr>
        <w:pStyle w:val="Titrearticle"/>
        <w:rPr>
          <w:rFonts w:eastAsia="Times New Roman"/>
          <w:i w:val="0"/>
          <w:noProof/>
        </w:rPr>
      </w:pPr>
      <w:r>
        <w:rPr>
          <w:noProof/>
        </w:rPr>
        <w:t>Article</w:t>
      </w:r>
      <w:r>
        <w:rPr>
          <w:rFonts w:eastAsia="Times New Roman"/>
          <w:noProof/>
        </w:rPr>
        <w:t xml:space="preserve"> 5</w:t>
      </w:r>
    </w:p>
    <w:p>
      <w:pPr>
        <w:pStyle w:val="Titrearticle"/>
        <w:rPr>
          <w:b/>
          <w:noProof/>
        </w:rPr>
      </w:pPr>
      <w:r>
        <w:rPr>
          <w:b/>
          <w:noProof/>
        </w:rPr>
        <w:t>Agendas for the meetings</w:t>
      </w:r>
    </w:p>
    <w:p>
      <w:pPr>
        <w:pStyle w:val="NumPar1"/>
        <w:numPr>
          <w:ilvl w:val="0"/>
          <w:numId w:val="11"/>
        </w:numPr>
        <w:rPr>
          <w:noProof/>
        </w:rPr>
      </w:pPr>
      <w:r>
        <w:rPr>
          <w:noProof/>
        </w:rPr>
        <w:t>A draft agenda shall be drawn up by the secretariats prior to each meeting. The draft agenda shall include any item covered by Article 8.3 of the Agreement. The draft agenda shall be sent to the co-chairs no later than 20 working days before the start of the meeting.</w:t>
      </w:r>
    </w:p>
    <w:p>
      <w:pPr>
        <w:pStyle w:val="NumPar1"/>
        <w:rPr>
          <w:noProof/>
        </w:rPr>
      </w:pPr>
      <w:r>
        <w:rPr>
          <w:noProof/>
        </w:rPr>
        <w:t>A final agenda shall be circulated to the co-chairs at least five working days before the start of the meeting.</w:t>
      </w:r>
    </w:p>
    <w:p>
      <w:pPr>
        <w:pStyle w:val="NumPar1"/>
        <w:rPr>
          <w:noProof/>
        </w:rPr>
      </w:pPr>
      <w:r>
        <w:rPr>
          <w:noProof/>
        </w:rPr>
        <w:t>The agenda shall be adopted by joint-agreement by the co-chairs at the start of each meeting. Any item other than those appearing on the agenda may be placed on the agenda if the co-chairs so agree.</w:t>
      </w:r>
    </w:p>
    <w:p>
      <w:pPr>
        <w:pStyle w:val="Titrearticle"/>
        <w:rPr>
          <w:rFonts w:eastAsia="Times New Roman"/>
          <w:i w:val="0"/>
          <w:noProof/>
        </w:rPr>
      </w:pPr>
      <w:r>
        <w:rPr>
          <w:noProof/>
        </w:rPr>
        <w:t>Article</w:t>
      </w:r>
      <w:r>
        <w:rPr>
          <w:rFonts w:eastAsia="Times New Roman"/>
          <w:noProof/>
        </w:rPr>
        <w:t xml:space="preserve"> 6</w:t>
      </w:r>
    </w:p>
    <w:p>
      <w:pPr>
        <w:pStyle w:val="Titrearticle"/>
        <w:rPr>
          <w:b/>
          <w:noProof/>
        </w:rPr>
      </w:pPr>
      <w:r>
        <w:rPr>
          <w:b/>
          <w:noProof/>
        </w:rPr>
        <w:t>Modification of Annex I or Annex II to the Agreement</w:t>
      </w:r>
    </w:p>
    <w:p>
      <w:pPr>
        <w:pStyle w:val="NumPar1"/>
        <w:numPr>
          <w:ilvl w:val="0"/>
          <w:numId w:val="12"/>
        </w:numPr>
        <w:rPr>
          <w:noProof/>
        </w:rPr>
      </w:pPr>
      <w:r>
        <w:rPr>
          <w:noProof/>
        </w:rPr>
        <w:t xml:space="preserve">Either Party may request to </w:t>
      </w:r>
      <w:r>
        <w:rPr>
          <w:rFonts w:hint="eastAsia"/>
          <w:noProof/>
          <w:lang w:eastAsia="ko-KR"/>
        </w:rPr>
        <w:t>add</w:t>
      </w:r>
      <w:r>
        <w:rPr>
          <w:noProof/>
          <w:lang w:eastAsia="ko-KR"/>
        </w:rPr>
        <w:t xml:space="preserve">, </w:t>
      </w:r>
      <w:r>
        <w:rPr>
          <w:rFonts w:hint="eastAsia"/>
          <w:noProof/>
          <w:lang w:eastAsia="ko-KR"/>
        </w:rPr>
        <w:t xml:space="preserve">remove </w:t>
      </w:r>
      <w:r>
        <w:rPr>
          <w:noProof/>
          <w:lang w:eastAsia="ko-KR"/>
        </w:rPr>
        <w:t xml:space="preserve">or update </w:t>
      </w:r>
      <w:r>
        <w:rPr>
          <w:noProof/>
        </w:rPr>
        <w:t>the products in the list of products in Annex I or Annex II to the Agreement.</w:t>
      </w:r>
    </w:p>
    <w:p>
      <w:pPr>
        <w:pStyle w:val="NumPar1"/>
        <w:rPr>
          <w:noProof/>
        </w:rPr>
      </w:pPr>
      <w:r>
        <w:rPr>
          <w:noProof/>
        </w:rPr>
        <w:t>The request shall be sent to the co-chairs at least 10 working days before the start of the meeting.</w:t>
      </w:r>
    </w:p>
    <w:p>
      <w:pPr>
        <w:pStyle w:val="NumPar1"/>
        <w:rPr>
          <w:noProof/>
        </w:rPr>
      </w:pPr>
      <w:r>
        <w:rPr>
          <w:noProof/>
        </w:rPr>
        <w:t xml:space="preserve">The request shall include a complete dossier containing the main arguments to </w:t>
      </w:r>
      <w:r>
        <w:rPr>
          <w:rFonts w:hint="eastAsia"/>
          <w:noProof/>
          <w:lang w:eastAsia="ko-KR"/>
        </w:rPr>
        <w:t>add</w:t>
      </w:r>
      <w:r>
        <w:rPr>
          <w:noProof/>
          <w:lang w:eastAsia="ko-KR"/>
        </w:rPr>
        <w:t xml:space="preserve">, </w:t>
      </w:r>
      <w:r>
        <w:rPr>
          <w:rFonts w:hint="eastAsia"/>
          <w:noProof/>
          <w:lang w:eastAsia="ko-KR"/>
        </w:rPr>
        <w:t>remove or</w:t>
      </w:r>
      <w:r>
        <w:rPr>
          <w:noProof/>
        </w:rPr>
        <w:t xml:space="preserve"> update products in the list.</w:t>
      </w:r>
    </w:p>
    <w:p>
      <w:pPr>
        <w:pStyle w:val="NumPar1"/>
        <w:rPr>
          <w:noProof/>
        </w:rPr>
      </w:pPr>
      <w:r>
        <w:rPr>
          <w:noProof/>
        </w:rPr>
        <w:t>Either Party shall examine the request of the other Party subject to their respective applicable legal requirements and procedures.</w:t>
      </w:r>
    </w:p>
    <w:p>
      <w:pPr>
        <w:pStyle w:val="Titrearticle"/>
        <w:rPr>
          <w:rFonts w:eastAsia="Times New Roman"/>
          <w:i w:val="0"/>
          <w:noProof/>
        </w:rPr>
      </w:pPr>
      <w:r>
        <w:rPr>
          <w:noProof/>
        </w:rPr>
        <w:t>Article</w:t>
      </w:r>
      <w:r>
        <w:rPr>
          <w:rFonts w:eastAsia="Times New Roman"/>
          <w:noProof/>
        </w:rPr>
        <w:t xml:space="preserve"> 7</w:t>
      </w:r>
    </w:p>
    <w:p>
      <w:pPr>
        <w:pStyle w:val="Titrearticle"/>
        <w:rPr>
          <w:b/>
          <w:noProof/>
        </w:rPr>
      </w:pPr>
      <w:r>
        <w:rPr>
          <w:b/>
          <w:noProof/>
        </w:rPr>
        <w:t>Decisions and Recommendations</w:t>
      </w:r>
    </w:p>
    <w:p>
      <w:pPr>
        <w:pStyle w:val="NumPar1"/>
        <w:numPr>
          <w:ilvl w:val="0"/>
          <w:numId w:val="13"/>
        </w:numPr>
        <w:rPr>
          <w:noProof/>
        </w:rPr>
      </w:pPr>
      <w:r>
        <w:rPr>
          <w:noProof/>
        </w:rPr>
        <w:t>The Joint Committee may make recommendations and adopt decisions by consensus as provided for in Article 8.5 of the Agreement.</w:t>
      </w:r>
    </w:p>
    <w:p>
      <w:pPr>
        <w:pStyle w:val="NumPar1"/>
        <w:rPr>
          <w:noProof/>
        </w:rPr>
      </w:pPr>
      <w:r>
        <w:rPr>
          <w:noProof/>
        </w:rPr>
        <w:t>The Joint Committee shall adopt a Decision to modify Annex I or Annex II to the Agreement in accordance with Article 8(3)(b) of the Agreement if equivalence is recognised by the other Party.</w:t>
      </w:r>
    </w:p>
    <w:p>
      <w:pPr>
        <w:pStyle w:val="NumPar1"/>
        <w:rPr>
          <w:noProof/>
        </w:rPr>
      </w:pPr>
      <w:bookmarkStart w:id="3" w:name="page4"/>
      <w:bookmarkEnd w:id="3"/>
      <w:r>
        <w:rPr>
          <w:noProof/>
        </w:rPr>
        <w:t>The recommendations of the Joint Committee to review the Agreement in accordance with Article 11.2 of the Agreement shall be addressed to the Parties and shall bear the signatures of the co-chairs.</w:t>
      </w:r>
    </w:p>
    <w:p>
      <w:pPr>
        <w:pStyle w:val="Titrearticle"/>
        <w:rPr>
          <w:rFonts w:eastAsia="Times New Roman"/>
          <w:i w:val="0"/>
          <w:noProof/>
        </w:rPr>
      </w:pPr>
      <w:r>
        <w:rPr>
          <w:noProof/>
        </w:rPr>
        <w:t>Article</w:t>
      </w:r>
      <w:r>
        <w:rPr>
          <w:rFonts w:eastAsia="Times New Roman"/>
          <w:noProof/>
        </w:rPr>
        <w:t xml:space="preserve"> 8</w:t>
      </w:r>
    </w:p>
    <w:p>
      <w:pPr>
        <w:pStyle w:val="Titrearticle"/>
        <w:rPr>
          <w:b/>
          <w:noProof/>
        </w:rPr>
      </w:pPr>
      <w:r>
        <w:rPr>
          <w:b/>
          <w:noProof/>
        </w:rPr>
        <w:t>Minutes</w:t>
      </w:r>
    </w:p>
    <w:p>
      <w:pPr>
        <w:pStyle w:val="NumPar1"/>
        <w:numPr>
          <w:ilvl w:val="0"/>
          <w:numId w:val="14"/>
        </w:numPr>
        <w:rPr>
          <w:noProof/>
        </w:rPr>
      </w:pPr>
      <w:r>
        <w:rPr>
          <w:noProof/>
        </w:rPr>
        <w:t>The draft minutes of each meeting shall be drawn up by the secretariats within 30 days from the end of the meeting. The draft minutes shall state the recommendations and/or decisions made and note any other conclusions reached.</w:t>
      </w:r>
    </w:p>
    <w:p>
      <w:pPr>
        <w:pStyle w:val="NumPar1"/>
        <w:rPr>
          <w:noProof/>
        </w:rPr>
      </w:pPr>
      <w:r>
        <w:rPr>
          <w:noProof/>
        </w:rPr>
        <w:t>The minutes shall be approved in writing by both Parties within 60 days of the date of the meeting or by any other date agreed by the Parties. Once approved, two original copies shall be signed by the co-chairs. An original copy of the minutes shall be kept by each co-chair.</w:t>
      </w:r>
    </w:p>
    <w:p>
      <w:pPr>
        <w:pStyle w:val="Titrearticle"/>
        <w:rPr>
          <w:rFonts w:eastAsia="Times New Roman"/>
          <w:i w:val="0"/>
          <w:noProof/>
        </w:rPr>
      </w:pPr>
      <w:r>
        <w:rPr>
          <w:rFonts w:eastAsia="Times New Roman"/>
          <w:noProof/>
        </w:rPr>
        <w:t>Article 9</w:t>
      </w:r>
    </w:p>
    <w:p>
      <w:pPr>
        <w:pStyle w:val="Titrearticle"/>
        <w:rPr>
          <w:b/>
          <w:noProof/>
        </w:rPr>
      </w:pPr>
      <w:r>
        <w:rPr>
          <w:b/>
          <w:noProof/>
        </w:rPr>
        <w:t>Expenses</w:t>
      </w:r>
    </w:p>
    <w:p>
      <w:pPr>
        <w:pStyle w:val="NumPar1"/>
        <w:numPr>
          <w:ilvl w:val="0"/>
          <w:numId w:val="15"/>
        </w:numPr>
        <w:rPr>
          <w:noProof/>
        </w:rPr>
      </w:pPr>
      <w:r>
        <w:rPr>
          <w:noProof/>
        </w:rPr>
        <w:t>Each Party shall bear the expenses it incurs in taking part in the meetings of the Joint Committee.</w:t>
      </w:r>
    </w:p>
    <w:p>
      <w:pPr>
        <w:pStyle w:val="NumPar1"/>
        <w:numPr>
          <w:ilvl w:val="0"/>
          <w:numId w:val="15"/>
        </w:numPr>
        <w:rPr>
          <w:noProof/>
        </w:rPr>
      </w:pPr>
      <w:r>
        <w:rPr>
          <w:noProof/>
        </w:rPr>
        <w:t>Expenditure in connection with the organisation of meetings and reproduction of documents shall be borne by the Party hosting the meeting.</w:t>
      </w:r>
    </w:p>
    <w:p>
      <w:pPr>
        <w:pStyle w:val="Titrearticle"/>
        <w:rPr>
          <w:rFonts w:eastAsia="Times New Roman"/>
          <w:i w:val="0"/>
          <w:noProof/>
        </w:rPr>
      </w:pPr>
      <w:r>
        <w:rPr>
          <w:rFonts w:eastAsia="Times New Roman"/>
          <w:noProof/>
        </w:rPr>
        <w:t>Article 10</w:t>
      </w:r>
    </w:p>
    <w:p>
      <w:pPr>
        <w:pStyle w:val="Titrearticle"/>
        <w:rPr>
          <w:b/>
          <w:noProof/>
        </w:rPr>
      </w:pPr>
      <w:r>
        <w:rPr>
          <w:b/>
          <w:noProof/>
        </w:rPr>
        <w:t>Publicity and Confidentiality</w:t>
      </w:r>
    </w:p>
    <w:p>
      <w:pPr>
        <w:pStyle w:val="NumPar1"/>
        <w:numPr>
          <w:ilvl w:val="0"/>
          <w:numId w:val="16"/>
        </w:numPr>
        <w:rPr>
          <w:noProof/>
        </w:rPr>
      </w:pPr>
      <w:r>
        <w:rPr>
          <w:noProof/>
        </w:rPr>
        <w:t>The deliberations of the Joint Committee shall be confidential.</w:t>
      </w:r>
    </w:p>
    <w:p>
      <w:pPr>
        <w:pStyle w:val="NumPar1"/>
        <w:numPr>
          <w:ilvl w:val="0"/>
          <w:numId w:val="14"/>
        </w:numPr>
        <w:rPr>
          <w:noProof/>
        </w:rPr>
      </w:pPr>
      <w:r>
        <w:rPr>
          <w:noProof/>
        </w:rPr>
        <w:t>Unless otherwise decided by the co-chairs, the meetings of the Joint Committee shall not be public.</w:t>
      </w:r>
    </w:p>
    <w:p>
      <w:pPr>
        <w:pStyle w:val="NumPar1"/>
        <w:numPr>
          <w:ilvl w:val="0"/>
          <w:numId w:val="14"/>
        </w:numPr>
        <w:rPr>
          <w:noProof/>
        </w:rPr>
      </w:pPr>
      <w:r>
        <w:rPr>
          <w:noProof/>
        </w:rPr>
        <w:t>When a Party submits information considered as confidential under its laws, the other Party shall treat that information as confidential as provided for in Article 10 of the Agreement.</w:t>
      </w:r>
    </w:p>
    <w:p>
      <w:pPr>
        <w:pStyle w:val="NumPar1"/>
        <w:numPr>
          <w:ilvl w:val="0"/>
          <w:numId w:val="14"/>
        </w:numPr>
        <w:rPr>
          <w:noProof/>
        </w:rPr>
      </w:pPr>
      <w:r>
        <w:rPr>
          <w:noProof/>
        </w:rPr>
        <w:t>Each Party may decide on the publication of the decisions and recommendations of the Joint Committee in its respective official publication.</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331, 14.12.2017,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F897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A6D0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846A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E8A5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30E46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0CC1E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2A97AE"/>
    <w:lvl w:ilvl="0">
      <w:start w:val="1"/>
      <w:numFmt w:val="decimal"/>
      <w:pStyle w:val="ListNumber"/>
      <w:lvlText w:val="%1."/>
      <w:lvlJc w:val="left"/>
      <w:pPr>
        <w:tabs>
          <w:tab w:val="num" w:pos="360"/>
        </w:tabs>
        <w:ind w:left="360" w:hanging="360"/>
      </w:pPr>
    </w:lvl>
  </w:abstractNum>
  <w:abstractNum w:abstractNumId="7">
    <w:nsid w:val="FFFFFF89"/>
    <w:multiLevelType w:val="singleLevel"/>
    <w:tmpl w:val="663EC9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 w:numId="32">
    <w:abstractNumId w:val="18"/>
  </w:num>
  <w:num w:numId="33">
    <w:abstractNumId w:val="12"/>
  </w:num>
  <w:num w:numId="34">
    <w:abstractNumId w:val="20"/>
  </w:num>
  <w:num w:numId="35">
    <w:abstractNumId w:val="11"/>
  </w:num>
  <w:num w:numId="36">
    <w:abstractNumId w:val="13"/>
  </w:num>
  <w:num w:numId="37">
    <w:abstractNumId w:val="9"/>
  </w:num>
  <w:num w:numId="38">
    <w:abstractNumId w:val="19"/>
  </w:num>
  <w:num w:numId="39">
    <w:abstractNumId w:val="8"/>
  </w:num>
  <w:num w:numId="40">
    <w:abstractNumId w:val="14"/>
  </w:num>
  <w:num w:numId="41">
    <w:abstractNumId w:val="16"/>
  </w:num>
  <w:num w:numId="42">
    <w:abstractNumId w:val="17"/>
  </w:num>
  <w:num w:numId="43">
    <w:abstractNumId w:val="10"/>
  </w:num>
  <w:num w:numId="44">
    <w:abstractNumId w:val="15"/>
  </w:num>
  <w:num w:numId="45">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7 11:05: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to"/>
    <w:docVar w:name="LW_ACCOMPAGNANT.CP" w:val="to"/>
    <w:docVar w:name="LW_ANNEX_NBR_FIRST" w:val="1"/>
    <w:docVar w:name="LW_ANNEX_NBR_LAST" w:val="1"/>
    <w:docVar w:name="LW_ANNEX_UNIQUE" w:val="1"/>
    <w:docVar w:name="LW_CORRIGENDUM" w:val="&lt;UNUSED&gt;"/>
    <w:docVar w:name="LW_COVERPAGE_EXISTS" w:val="True"/>
    <w:docVar w:name="LW_COVERPAGE_GUID" w:val="5451026F-A200-4CAF-8948-2CFF6C101F32"/>
    <w:docVar w:name="LW_COVERPAGE_TYPE" w:val="1"/>
    <w:docVar w:name="LW_CROSSREFERENCE" w:val="&lt;UNUSED&gt;"/>
    <w:docVar w:name="LW_DocType" w:val="ANNEX"/>
    <w:docVar w:name="LW_EMISSION" w:val="26.3.2021"/>
    <w:docVar w:name="LW_EMISSION_ISODATE" w:val="2021-03-26"/>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within the Joint Committee on Organic Products established by the Agreement between the European Union and the Republic of Chile on trade in organic products as regards the adoption of its rules of procedure&lt;/FMT&gt;"/>
    <w:docVar w:name="LW_OBJETACTEPRINCIPAL.CP" w:val="&lt;FMT:Bold&gt;on the position to be taken on behalf of the European Union within the Joint Committee on Organic Products established by the Agreement between the European Union and the Republic of Chile on trade in organic products as regards the adoption of its rules of procedure&lt;/FMT&gt;"/>
    <w:docVar w:name="LW_PART_NBR" w:val="1"/>
    <w:docVar w:name="LW_PART_NBR_TOTAL" w:val="1"/>
    <w:docVar w:name="LW_REF.INST.NEW" w:val="COM"/>
    <w:docVar w:name="LW_REF.INST.NEW_ADOPTED" w:val="final"/>
    <w:docVar w:name="LW_REF.INST.NEW_TEXT" w:val="(2021) 1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 the Proposal for a Council Decision"/>
    <w:docVar w:name="LW_TYPEACTEPRINCIPAL.CP" w:val=" the 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F40494C-5994-4E2B-86B7-F2737490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859</Words>
  <Characters>4244</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Stefanie (AGRI)</dc:creator>
  <cp:keywords/>
  <dc:description/>
  <cp:lastModifiedBy>WES PDFC Administrator</cp:lastModifiedBy>
  <cp:revision>9</cp:revision>
  <dcterms:created xsi:type="dcterms:W3CDTF">2021-03-04T08:09:00Z</dcterms:created>
  <dcterms:modified xsi:type="dcterms:W3CDTF">2021-03-17T10:05:00Z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