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C8C" w:rsidRDefault="003524BF" w:rsidP="003524BF">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57CCC65-E296-42C1-9213-688B40023914" style="width:450.6pt;height:444pt">
            <v:imagedata r:id="rId7" o:title=""/>
          </v:shape>
        </w:pict>
      </w:r>
    </w:p>
    <w:bookmarkEnd w:id="0"/>
    <w:p w:rsidR="00740C8C" w:rsidRDefault="00740C8C">
      <w:pPr>
        <w:rPr>
          <w:noProof/>
          <w:lang w:val="en-GB"/>
        </w:rPr>
        <w:sectPr w:rsidR="00740C8C" w:rsidSect="003524BF">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740C8C" w:rsidRDefault="003524BF">
      <w:pPr>
        <w:keepNext/>
        <w:spacing w:after="120" w:line="240" w:lineRule="auto"/>
        <w:jc w:val="both"/>
        <w:outlineLvl w:val="0"/>
        <w:rPr>
          <w:rFonts w:ascii="Times New Roman" w:eastAsia="Times New Roman" w:hAnsi="Times New Roman" w:cs="Times New Roman"/>
          <w:b/>
          <w:smallCaps/>
          <w:noProof/>
          <w:sz w:val="24"/>
          <w:szCs w:val="24"/>
          <w:lang w:val="en-GB" w:eastAsia="en-GB"/>
        </w:rPr>
      </w:pPr>
      <w:bookmarkStart w:id="1" w:name="_Toc34915229"/>
      <w:bookmarkStart w:id="2" w:name="_GoBack"/>
      <w:bookmarkEnd w:id="2"/>
      <w:r>
        <w:rPr>
          <w:rFonts w:ascii="Times New Roman" w:eastAsia="Times New Roman" w:hAnsi="Times New Roman" w:cs="Times New Roman"/>
          <w:b/>
          <w:smallCaps/>
          <w:noProof/>
          <w:sz w:val="24"/>
          <w:szCs w:val="24"/>
          <w:lang w:val="en-GB" w:eastAsia="en-GB"/>
        </w:rPr>
        <w:lastRenderedPageBreak/>
        <w:t>Introduction</w:t>
      </w: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This Staff Working Document presents a synopsis of the consultation activities related to the Action Plan for the Development of the </w:t>
      </w:r>
      <w:r>
        <w:rPr>
          <w:rFonts w:ascii="Times New Roman" w:eastAsia="Times New Roman" w:hAnsi="Times New Roman" w:cs="Times New Roman"/>
          <w:noProof/>
          <w:sz w:val="24"/>
          <w:szCs w:val="24"/>
          <w:lang w:val="en-GB" w:eastAsia="en-GB"/>
        </w:rPr>
        <w:t>Organic Production, as set out in the consultation strategy for the initiative, notably the roadmap consultation, the open public consultation and additional submissions from stakeholders. As for the latter, stakeholders were invited several times to submi</w:t>
      </w:r>
      <w:r>
        <w:rPr>
          <w:rFonts w:ascii="Times New Roman" w:eastAsia="Times New Roman" w:hAnsi="Times New Roman" w:cs="Times New Roman"/>
          <w:noProof/>
          <w:sz w:val="24"/>
          <w:szCs w:val="24"/>
          <w:lang w:val="en-GB" w:eastAsia="en-GB"/>
        </w:rPr>
        <w:t>t additional position papers and documents and they did so also directly, not only linked to the roadmap or open public consultation.</w:t>
      </w: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roadmap consultation ran from 4 September to 23 October 2020, and the open public consultation was carried out between</w:t>
      </w:r>
      <w:r>
        <w:rPr>
          <w:rFonts w:ascii="Times New Roman" w:eastAsia="Times New Roman" w:hAnsi="Times New Roman" w:cs="Times New Roman"/>
          <w:noProof/>
          <w:sz w:val="24"/>
          <w:szCs w:val="24"/>
          <w:lang w:val="en-GB" w:eastAsia="en-GB"/>
        </w:rPr>
        <w:t xml:space="preserve"> 4 September and 27 November 2020, via the website of the European Commission in all official EU languages. The consultations aimed at gathering information and feedback from EU citizens and relevant stakeholders (public authorities, businesses and their a</w:t>
      </w:r>
      <w:r>
        <w:rPr>
          <w:rFonts w:ascii="Times New Roman" w:eastAsia="Times New Roman" w:hAnsi="Times New Roman" w:cs="Times New Roman"/>
          <w:noProof/>
          <w:sz w:val="24"/>
          <w:szCs w:val="24"/>
          <w:lang w:val="en-GB" w:eastAsia="en-GB"/>
        </w:rPr>
        <w:t>ssociations, NGOs, research and academic institutions) as input into the finalisation of the Action Plan.</w:t>
      </w: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Targeted consultation activities were also carried out with the competent authorities of the EU Member States responsible for organic production (at d</w:t>
      </w:r>
      <w:r>
        <w:rPr>
          <w:rFonts w:ascii="Times New Roman" w:eastAsia="Times New Roman" w:hAnsi="Times New Roman" w:cs="Times New Roman"/>
          <w:noProof/>
          <w:sz w:val="24"/>
          <w:szCs w:val="24"/>
          <w:lang w:val="en-GB" w:eastAsia="en-GB"/>
        </w:rPr>
        <w:t>ifferent meetings of the Committee on Organic Production); with business and professional organisations having activities at EU level in the organic sector (producers, retails, processors); with EU citizens and consumer organisations and with civil society</w:t>
      </w:r>
      <w:r>
        <w:rPr>
          <w:rFonts w:ascii="Times New Roman" w:eastAsia="Times New Roman" w:hAnsi="Times New Roman" w:cs="Times New Roman"/>
          <w:noProof/>
          <w:sz w:val="24"/>
          <w:szCs w:val="24"/>
          <w:lang w:val="en-GB" w:eastAsia="en-GB"/>
        </w:rPr>
        <w:t xml:space="preserve"> organisations active at EU level in organic farming (e.g. meeting of the Civil Dialogue Group); and with several non-EU countries.</w:t>
      </w:r>
    </w:p>
    <w:p w:rsidR="00740C8C" w:rsidRDefault="003524BF">
      <w:pPr>
        <w:keepNext/>
        <w:spacing w:after="120" w:line="240" w:lineRule="auto"/>
        <w:jc w:val="both"/>
        <w:outlineLvl w:val="0"/>
        <w:rPr>
          <w:rFonts w:ascii="Times New Roman" w:eastAsia="Times New Roman" w:hAnsi="Times New Roman" w:cs="Times New Roman"/>
          <w:b/>
          <w:smallCaps/>
          <w:noProof/>
          <w:sz w:val="24"/>
          <w:szCs w:val="24"/>
          <w:lang w:val="en-GB" w:eastAsia="en-GB"/>
        </w:rPr>
      </w:pPr>
      <w:r>
        <w:rPr>
          <w:rFonts w:ascii="Times New Roman" w:eastAsia="Times New Roman" w:hAnsi="Times New Roman" w:cs="Times New Roman"/>
          <w:b/>
          <w:smallCaps/>
          <w:noProof/>
          <w:sz w:val="24"/>
          <w:szCs w:val="24"/>
          <w:lang w:val="en-GB" w:eastAsia="en-GB"/>
        </w:rPr>
        <w:t xml:space="preserve">Overview of responses </w:t>
      </w: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 total of 124 replies were received on the roadmap consultation. EU citizens provided most contribut</w:t>
      </w:r>
      <w:r>
        <w:rPr>
          <w:rFonts w:ascii="Times New Roman" w:eastAsia="Times New Roman" w:hAnsi="Times New Roman" w:cs="Times New Roman"/>
          <w:noProof/>
          <w:sz w:val="24"/>
          <w:szCs w:val="24"/>
          <w:lang w:val="en-GB" w:eastAsia="en-GB"/>
        </w:rPr>
        <w:t>ions to this consultation, accounting for 33% of all respondents (41 responses), followed by business associations (23% - 28 responses) and company/business organisations (19% - 23 responses). NGOs submitted 16 responses (13%), public authorities accounted</w:t>
      </w:r>
      <w:r>
        <w:rPr>
          <w:rFonts w:ascii="Times New Roman" w:eastAsia="Times New Roman" w:hAnsi="Times New Roman" w:cs="Times New Roman"/>
          <w:noProof/>
          <w:sz w:val="24"/>
          <w:szCs w:val="24"/>
          <w:lang w:val="en-GB" w:eastAsia="en-GB"/>
        </w:rPr>
        <w:t xml:space="preserve"> for 3 replies (2%), academic/research institutions and trade unions participated with 2 replies each (2%) and 1 reply came from a non-EU citizen. The remaining 6% (8 responses) of respondents identified themselves as ‘other’.</w:t>
      </w: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open public consultation </w:t>
      </w:r>
      <w:r>
        <w:rPr>
          <w:rFonts w:ascii="Times New Roman" w:eastAsia="Times New Roman" w:hAnsi="Times New Roman" w:cs="Times New Roman"/>
          <w:noProof/>
          <w:sz w:val="24"/>
          <w:szCs w:val="24"/>
          <w:lang w:val="en-GB" w:eastAsia="en-GB"/>
        </w:rPr>
        <w:t xml:space="preserve">attracted 841 replies, of which one response was a duplicate, resulting in 840 responses being considered for the assessment of replies to the consultation. </w:t>
      </w:r>
    </w:p>
    <w:p w:rsidR="00740C8C" w:rsidRDefault="003524BF">
      <w:pPr>
        <w:keepNext/>
        <w:spacing w:before="120" w:after="0" w:line="240" w:lineRule="auto"/>
        <w:jc w:val="both"/>
        <w:rPr>
          <w:rFonts w:ascii="Times New Roman" w:eastAsia="Times New Roman" w:hAnsi="Times New Roman" w:cs="Times New Roman"/>
          <w:i/>
          <w:noProof/>
          <w:szCs w:val="20"/>
          <w:lang w:val="en-GB" w:eastAsia="en-GB"/>
        </w:rPr>
      </w:pPr>
      <w:r>
        <w:rPr>
          <w:rFonts w:ascii="Times New Roman" w:eastAsia="Times New Roman" w:hAnsi="Times New Roman" w:cs="Times New Roman"/>
          <w:i/>
          <w:noProof/>
          <w:szCs w:val="20"/>
          <w:lang w:val="en-GB" w:eastAsia="en-GB"/>
        </w:rPr>
        <w:t xml:space="preserve">Figure </w:t>
      </w:r>
      <w:r>
        <w:rPr>
          <w:rFonts w:ascii="Times New Roman" w:eastAsia="Times New Roman" w:hAnsi="Times New Roman" w:cs="Times New Roman"/>
          <w:i/>
          <w:noProof/>
          <w:szCs w:val="20"/>
          <w:lang w:val="en-GB" w:eastAsia="en-GB"/>
        </w:rPr>
        <w:fldChar w:fldCharType="begin"/>
      </w:r>
      <w:r>
        <w:rPr>
          <w:rFonts w:ascii="Times New Roman" w:eastAsia="Times New Roman" w:hAnsi="Times New Roman" w:cs="Times New Roman"/>
          <w:i/>
          <w:noProof/>
          <w:szCs w:val="20"/>
          <w:lang w:val="en-GB" w:eastAsia="en-GB"/>
        </w:rPr>
        <w:instrText xml:space="preserve"> SEQ Figure \* ARABIC </w:instrText>
      </w:r>
      <w:r>
        <w:rPr>
          <w:rFonts w:ascii="Times New Roman" w:eastAsia="Times New Roman" w:hAnsi="Times New Roman" w:cs="Times New Roman"/>
          <w:i/>
          <w:noProof/>
          <w:szCs w:val="20"/>
          <w:lang w:val="en-GB" w:eastAsia="en-GB"/>
        </w:rPr>
        <w:fldChar w:fldCharType="separate"/>
      </w:r>
      <w:r>
        <w:rPr>
          <w:rFonts w:ascii="Times New Roman" w:eastAsia="Times New Roman" w:hAnsi="Times New Roman" w:cs="Times New Roman"/>
          <w:i/>
          <w:noProof/>
          <w:szCs w:val="20"/>
          <w:lang w:val="en-GB" w:eastAsia="en-GB"/>
        </w:rPr>
        <w:t>1</w:t>
      </w:r>
      <w:r>
        <w:rPr>
          <w:rFonts w:ascii="Times New Roman" w:eastAsia="Times New Roman" w:hAnsi="Times New Roman" w:cs="Times New Roman"/>
          <w:i/>
          <w:noProof/>
          <w:szCs w:val="20"/>
          <w:lang w:val="en-GB" w:eastAsia="en-GB"/>
        </w:rPr>
        <w:fldChar w:fldCharType="end"/>
      </w:r>
      <w:r>
        <w:rPr>
          <w:rFonts w:ascii="Times New Roman" w:eastAsia="Times New Roman" w:hAnsi="Times New Roman" w:cs="Times New Roman"/>
          <w:i/>
          <w:noProof/>
          <w:szCs w:val="20"/>
          <w:lang w:val="en-GB" w:eastAsia="en-GB"/>
        </w:rPr>
        <w:t xml:space="preserve">. Number of respondents to the public consultation by country of </w:t>
      </w:r>
      <w:r>
        <w:rPr>
          <w:rFonts w:ascii="Times New Roman" w:eastAsia="Times New Roman" w:hAnsi="Times New Roman" w:cs="Times New Roman"/>
          <w:i/>
          <w:noProof/>
          <w:szCs w:val="20"/>
          <w:lang w:val="en-GB" w:eastAsia="en-GB"/>
        </w:rPr>
        <w:t>origin</w:t>
      </w:r>
    </w:p>
    <w:p w:rsidR="00740C8C" w:rsidRDefault="003524BF">
      <w:pPr>
        <w:spacing w:after="24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drawing>
          <wp:inline distT="0" distB="0" distL="0" distR="0">
            <wp:extent cx="4515441" cy="322822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6621" cy="3264819"/>
                    </a:xfrm>
                    <a:prstGeom prst="rect">
                      <a:avLst/>
                    </a:prstGeom>
                    <a:noFill/>
                  </pic:spPr>
                </pic:pic>
              </a:graphicData>
            </a:graphic>
          </wp:inline>
        </w:drawing>
      </w: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 xml:space="preserve">EU citizens provided most contributions to this consultation, accounting for 52% of all respondents (437 responses), followed by company/business organisations (16% - 133 responses) and business associations (8% - 69 responses). NGOs submitted 51 </w:t>
      </w:r>
      <w:r>
        <w:rPr>
          <w:rFonts w:ascii="Times New Roman" w:eastAsia="Times New Roman" w:hAnsi="Times New Roman" w:cs="Times New Roman"/>
          <w:noProof/>
          <w:sz w:val="24"/>
          <w:szCs w:val="24"/>
          <w:lang w:val="en-GB" w:eastAsia="en-GB"/>
        </w:rPr>
        <w:t>responses. Of all the respondents, academic/research institutions accounted for 4% (36 respondents) and public authorities for about the same share with 33 responses. 1% of the responses stemmed from environmental organisations (9 responses), from non-EU c</w:t>
      </w:r>
      <w:r>
        <w:rPr>
          <w:rFonts w:ascii="Times New Roman" w:eastAsia="Times New Roman" w:hAnsi="Times New Roman" w:cs="Times New Roman"/>
          <w:noProof/>
          <w:sz w:val="24"/>
          <w:szCs w:val="24"/>
          <w:lang w:val="en-GB" w:eastAsia="en-GB"/>
        </w:rPr>
        <w:t>itizens (9 responses), and from trade unions (5 responses). Two consumer organisations submitted responses. The remaining 7% (56 responses) of respondents identified themselves as ‘Other’.</w:t>
      </w: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addition, 87 documents attached to the public consultation, 16 d</w:t>
      </w:r>
      <w:r>
        <w:rPr>
          <w:rFonts w:ascii="Times New Roman" w:eastAsia="Times New Roman" w:hAnsi="Times New Roman" w:cs="Times New Roman"/>
          <w:noProof/>
          <w:sz w:val="24"/>
          <w:szCs w:val="24"/>
          <w:lang w:val="en-GB" w:eastAsia="en-GB"/>
        </w:rPr>
        <w:t>ocuments attached to the roadmap, and 7 additional submissions were retained for analysis, for a total of 110 documents.</w:t>
      </w:r>
    </w:p>
    <w:p w:rsidR="00740C8C" w:rsidRDefault="003524BF">
      <w:pPr>
        <w:keepNext/>
        <w:spacing w:after="120" w:line="240" w:lineRule="auto"/>
        <w:jc w:val="both"/>
        <w:outlineLvl w:val="0"/>
        <w:rPr>
          <w:rFonts w:ascii="Times New Roman" w:eastAsia="Times New Roman" w:hAnsi="Times New Roman" w:cs="Times New Roman"/>
          <w:b/>
          <w:smallCaps/>
          <w:noProof/>
          <w:sz w:val="24"/>
          <w:szCs w:val="24"/>
          <w:lang w:val="en-GB" w:eastAsia="en-GB"/>
        </w:rPr>
      </w:pPr>
      <w:bookmarkStart w:id="3" w:name="_Toc64465790"/>
      <w:r>
        <w:rPr>
          <w:rFonts w:ascii="Times New Roman" w:eastAsia="Times New Roman" w:hAnsi="Times New Roman" w:cs="Times New Roman"/>
          <w:b/>
          <w:smallCaps/>
          <w:noProof/>
          <w:sz w:val="24"/>
          <w:szCs w:val="24"/>
          <w:lang w:val="en-GB" w:eastAsia="en-GB"/>
        </w:rPr>
        <w:t>Results for the closed and open questions of the public consultation</w:t>
      </w:r>
    </w:p>
    <w:bookmarkEnd w:id="3"/>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More than three quarter of the respondents (78%) recognised the pr</w:t>
      </w:r>
      <w:r>
        <w:rPr>
          <w:rFonts w:ascii="Times New Roman" w:eastAsia="Times New Roman" w:hAnsi="Times New Roman" w:cs="Times New Roman"/>
          <w:noProof/>
          <w:sz w:val="24"/>
          <w:szCs w:val="24"/>
          <w:lang w:val="en-GB" w:eastAsia="en-GB"/>
        </w:rPr>
        <w:t xml:space="preserve">esence of obstacles to greater production and consumption of organic food in the EU (sum of respondents that indicated “strongly disagree” or “somewhat disagree” for the option “I don’t see any problems”). The </w:t>
      </w:r>
      <w:r>
        <w:rPr>
          <w:rFonts w:ascii="Times New Roman" w:eastAsia="Times New Roman" w:hAnsi="Times New Roman" w:cs="Times New Roman"/>
          <w:bCs/>
          <w:noProof/>
          <w:sz w:val="24"/>
          <w:szCs w:val="24"/>
          <w:lang w:val="en-GB" w:eastAsia="en-GB"/>
        </w:rPr>
        <w:t xml:space="preserve">obstacles </w:t>
      </w:r>
      <w:r>
        <w:rPr>
          <w:rFonts w:ascii="Times New Roman" w:eastAsia="Times New Roman" w:hAnsi="Times New Roman" w:cs="Times New Roman"/>
          <w:noProof/>
          <w:sz w:val="24"/>
          <w:szCs w:val="24"/>
          <w:lang w:val="en-GB" w:eastAsia="en-GB"/>
        </w:rPr>
        <w:t xml:space="preserve">perceived as most important (sum of </w:t>
      </w:r>
      <w:r>
        <w:rPr>
          <w:rFonts w:ascii="Times New Roman" w:eastAsia="Times New Roman" w:hAnsi="Times New Roman" w:cs="Times New Roman"/>
          <w:noProof/>
          <w:sz w:val="24"/>
          <w:szCs w:val="24"/>
          <w:lang w:val="en-GB" w:eastAsia="en-GB"/>
        </w:rPr>
        <w:t>“strongly agree” and “somewhat agree”) were “</w:t>
      </w:r>
      <w:r>
        <w:rPr>
          <w:rFonts w:ascii="Times New Roman" w:eastAsia="Times New Roman" w:hAnsi="Times New Roman" w:cs="Times New Roman"/>
          <w:i/>
          <w:iCs/>
          <w:noProof/>
          <w:sz w:val="24"/>
          <w:szCs w:val="24"/>
          <w:lang w:val="en-GB" w:eastAsia="en-GB"/>
        </w:rPr>
        <w:t>Insufficient financial incentives for producers to convert to organic production</w:t>
      </w:r>
      <w:r>
        <w:rPr>
          <w:rFonts w:ascii="Times New Roman" w:eastAsia="Times New Roman" w:hAnsi="Times New Roman" w:cs="Times New Roman"/>
          <w:noProof/>
          <w:sz w:val="24"/>
          <w:szCs w:val="24"/>
          <w:lang w:val="en-GB" w:eastAsia="en-GB"/>
        </w:rPr>
        <w:t>” (76%), followed by “</w:t>
      </w:r>
      <w:r>
        <w:rPr>
          <w:rFonts w:ascii="Times New Roman" w:eastAsia="Times New Roman" w:hAnsi="Times New Roman" w:cs="Times New Roman"/>
          <w:i/>
          <w:iCs/>
          <w:noProof/>
          <w:sz w:val="24"/>
          <w:szCs w:val="24"/>
          <w:lang w:val="en-GB" w:eastAsia="en-GB"/>
        </w:rPr>
        <w:t>Competition with other ways of producing and/or other schemes</w:t>
      </w:r>
      <w:r>
        <w:rPr>
          <w:rFonts w:ascii="Times New Roman" w:eastAsia="Times New Roman" w:hAnsi="Times New Roman" w:cs="Times New Roman"/>
          <w:noProof/>
          <w:sz w:val="24"/>
          <w:szCs w:val="24"/>
          <w:lang w:val="en-GB" w:eastAsia="en-GB"/>
        </w:rPr>
        <w:t>” (74%) and “</w:t>
      </w:r>
      <w:r>
        <w:rPr>
          <w:rFonts w:ascii="Times New Roman" w:eastAsia="Times New Roman" w:hAnsi="Times New Roman" w:cs="Times New Roman"/>
          <w:i/>
          <w:iCs/>
          <w:noProof/>
          <w:sz w:val="24"/>
          <w:szCs w:val="24"/>
          <w:lang w:val="en-GB" w:eastAsia="en-GB"/>
        </w:rPr>
        <w:t xml:space="preserve">Low consumer awareness of the </w:t>
      </w:r>
      <w:r>
        <w:rPr>
          <w:rFonts w:ascii="Times New Roman" w:eastAsia="Times New Roman" w:hAnsi="Times New Roman" w:cs="Times New Roman"/>
          <w:i/>
          <w:iCs/>
          <w:noProof/>
          <w:sz w:val="24"/>
          <w:szCs w:val="24"/>
          <w:lang w:val="en-GB" w:eastAsia="en-GB"/>
        </w:rPr>
        <w:t>benefits of organic production for climate and the environment</w:t>
      </w:r>
      <w:r>
        <w:rPr>
          <w:rFonts w:ascii="Times New Roman" w:eastAsia="Times New Roman" w:hAnsi="Times New Roman" w:cs="Times New Roman"/>
          <w:noProof/>
          <w:sz w:val="24"/>
          <w:szCs w:val="24"/>
          <w:lang w:val="en-GB" w:eastAsia="en-GB"/>
        </w:rPr>
        <w:t xml:space="preserve">” (73%). </w:t>
      </w:r>
    </w:p>
    <w:p w:rsidR="00740C8C" w:rsidRDefault="003524BF">
      <w:pPr>
        <w:keepNext/>
        <w:spacing w:before="120" w:after="0" w:line="240" w:lineRule="auto"/>
        <w:jc w:val="both"/>
        <w:rPr>
          <w:rFonts w:ascii="Times New Roman" w:eastAsia="Times New Roman" w:hAnsi="Times New Roman" w:cs="Times New Roman"/>
          <w:i/>
          <w:iCs/>
          <w:noProof/>
          <w:szCs w:val="20"/>
          <w:lang w:val="en-GB" w:eastAsia="en-GB"/>
        </w:rPr>
      </w:pPr>
      <w:bookmarkStart w:id="4" w:name="_Ref53156022"/>
      <w:r>
        <w:rPr>
          <w:rFonts w:ascii="Times New Roman" w:eastAsia="Times New Roman" w:hAnsi="Times New Roman" w:cs="Times New Roman"/>
          <w:i/>
          <w:noProof/>
          <w:szCs w:val="20"/>
          <w:lang w:val="en-GB" w:eastAsia="en-GB"/>
        </w:rPr>
        <w:t xml:space="preserve">Figure </w:t>
      </w:r>
      <w:r>
        <w:rPr>
          <w:rFonts w:ascii="Times New Roman" w:eastAsia="Times New Roman" w:hAnsi="Times New Roman" w:cs="Times New Roman"/>
          <w:i/>
          <w:noProof/>
          <w:szCs w:val="20"/>
          <w:lang w:val="en-GB" w:eastAsia="en-GB"/>
        </w:rPr>
        <w:fldChar w:fldCharType="begin"/>
      </w:r>
      <w:r>
        <w:rPr>
          <w:rFonts w:ascii="Times New Roman" w:eastAsia="Times New Roman" w:hAnsi="Times New Roman" w:cs="Times New Roman"/>
          <w:i/>
          <w:noProof/>
          <w:szCs w:val="20"/>
          <w:lang w:val="en-GB" w:eastAsia="en-GB"/>
        </w:rPr>
        <w:instrText xml:space="preserve"> SEQ Figure \* ARABIC </w:instrText>
      </w:r>
      <w:r>
        <w:rPr>
          <w:rFonts w:ascii="Times New Roman" w:eastAsia="Times New Roman" w:hAnsi="Times New Roman" w:cs="Times New Roman"/>
          <w:i/>
          <w:noProof/>
          <w:szCs w:val="20"/>
          <w:lang w:val="en-GB" w:eastAsia="en-GB"/>
        </w:rPr>
        <w:fldChar w:fldCharType="separate"/>
      </w:r>
      <w:r>
        <w:rPr>
          <w:rFonts w:ascii="Times New Roman" w:eastAsia="Times New Roman" w:hAnsi="Times New Roman" w:cs="Times New Roman"/>
          <w:i/>
          <w:noProof/>
          <w:szCs w:val="20"/>
          <w:lang w:val="en-GB" w:eastAsia="en-GB"/>
        </w:rPr>
        <w:t>2</w:t>
      </w:r>
      <w:r>
        <w:rPr>
          <w:rFonts w:ascii="Times New Roman" w:eastAsia="Times New Roman" w:hAnsi="Times New Roman" w:cs="Times New Roman"/>
          <w:i/>
          <w:noProof/>
          <w:szCs w:val="20"/>
          <w:lang w:val="en-GB" w:eastAsia="en-GB"/>
        </w:rPr>
        <w:fldChar w:fldCharType="end"/>
      </w:r>
      <w:bookmarkEnd w:id="4"/>
      <w:r>
        <w:rPr>
          <w:rFonts w:ascii="Times New Roman" w:eastAsia="Times New Roman" w:hAnsi="Times New Roman" w:cs="Times New Roman"/>
          <w:i/>
          <w:noProof/>
          <w:szCs w:val="20"/>
          <w:lang w:val="en-GB" w:eastAsia="en-GB"/>
        </w:rPr>
        <w:t>. O</w:t>
      </w:r>
      <w:r>
        <w:rPr>
          <w:rFonts w:ascii="Times New Roman" w:eastAsia="Times New Roman" w:hAnsi="Times New Roman" w:cs="Times New Roman"/>
          <w:i/>
          <w:iCs/>
          <w:noProof/>
          <w:szCs w:val="20"/>
          <w:lang w:val="en-GB" w:eastAsia="en-GB"/>
        </w:rPr>
        <w:t>bstacles to greater production and consumption of organic food in the EU today</w:t>
      </w:r>
    </w:p>
    <w:p w:rsidR="00740C8C" w:rsidRDefault="003524BF">
      <w:pPr>
        <w:keepNext/>
        <w:spacing w:after="120" w:line="240" w:lineRule="auto"/>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drawing>
          <wp:inline distT="0" distB="0" distL="0" distR="0">
            <wp:extent cx="5356850" cy="4595854"/>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268" cy="4609082"/>
                    </a:xfrm>
                    <a:prstGeom prst="rect">
                      <a:avLst/>
                    </a:prstGeom>
                    <a:noFill/>
                  </pic:spPr>
                </pic:pic>
              </a:graphicData>
            </a:graphic>
          </wp:inline>
        </w:drawing>
      </w:r>
    </w:p>
    <w:p w:rsidR="00740C8C" w:rsidRDefault="00740C8C">
      <w:pPr>
        <w:spacing w:after="120" w:line="240" w:lineRule="auto"/>
        <w:jc w:val="both"/>
        <w:rPr>
          <w:rFonts w:ascii="Times New Roman" w:eastAsia="Times New Roman" w:hAnsi="Times New Roman" w:cs="Times New Roman"/>
          <w:noProof/>
          <w:sz w:val="24"/>
          <w:szCs w:val="24"/>
          <w:lang w:val="en-GB" w:eastAsia="en-GB"/>
        </w:rPr>
      </w:pP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 majority of respondents (63%) considered organic food too expens</w:t>
      </w:r>
      <w:r>
        <w:rPr>
          <w:rFonts w:ascii="Times New Roman" w:eastAsia="Times New Roman" w:hAnsi="Times New Roman" w:cs="Times New Roman"/>
          <w:noProof/>
          <w:sz w:val="24"/>
          <w:szCs w:val="24"/>
          <w:lang w:val="en-GB" w:eastAsia="en-GB"/>
        </w:rPr>
        <w:t>ive for consumers and reported a lack of consumer awareness of the EU label (63%) together with the presence of too many ecological food schemes that can be confused with organics (59%). When asked about other existing obstacles to the greater production a</w:t>
      </w:r>
      <w:r>
        <w:rPr>
          <w:rFonts w:ascii="Times New Roman" w:eastAsia="Times New Roman" w:hAnsi="Times New Roman" w:cs="Times New Roman"/>
          <w:noProof/>
          <w:sz w:val="24"/>
          <w:szCs w:val="24"/>
          <w:lang w:val="en-GB" w:eastAsia="en-GB"/>
        </w:rPr>
        <w:t>nd consumption of organic food in the EU, respondents identified the price of conventional products as the first obstacle (43 mentions). A lack of trust in the EU organic label and of information about the health and environmental benefits of organic farmi</w:t>
      </w:r>
      <w:r>
        <w:rPr>
          <w:rFonts w:ascii="Times New Roman" w:eastAsia="Times New Roman" w:hAnsi="Times New Roman" w:cs="Times New Roman"/>
          <w:noProof/>
          <w:sz w:val="24"/>
          <w:szCs w:val="24"/>
          <w:lang w:val="en-GB" w:eastAsia="en-GB"/>
        </w:rPr>
        <w:t>ng were also identified as obstacles by 12 and 11 respondents.</w:t>
      </w: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Concerning the impacts of the COVID-19 crisis on the food system and the production and consumption of organic food, a large majority of respondents (85%) considered that “</w:t>
      </w:r>
      <w:r>
        <w:rPr>
          <w:rFonts w:ascii="Times New Roman" w:eastAsia="Times New Roman" w:hAnsi="Times New Roman" w:cs="Times New Roman"/>
          <w:i/>
          <w:iCs/>
          <w:noProof/>
          <w:sz w:val="24"/>
          <w:szCs w:val="24"/>
          <w:lang w:val="en-GB" w:eastAsia="en-GB"/>
        </w:rPr>
        <w:t xml:space="preserve">the crisis has shown </w:t>
      </w:r>
      <w:r>
        <w:rPr>
          <w:rFonts w:ascii="Times New Roman" w:eastAsia="Times New Roman" w:hAnsi="Times New Roman" w:cs="Times New Roman"/>
          <w:i/>
          <w:iCs/>
          <w:noProof/>
          <w:sz w:val="24"/>
          <w:szCs w:val="24"/>
          <w:lang w:val="en-GB" w:eastAsia="en-GB"/>
        </w:rPr>
        <w:t>our reliance on seasonal organic farming</w:t>
      </w:r>
      <w:r>
        <w:rPr>
          <w:rFonts w:ascii="Times New Roman" w:eastAsia="Times New Roman" w:hAnsi="Times New Roman" w:cs="Times New Roman"/>
          <w:noProof/>
          <w:sz w:val="24"/>
          <w:szCs w:val="24"/>
          <w:lang w:val="en-GB" w:eastAsia="en-GB"/>
        </w:rPr>
        <w:t>”. A majority of respondents (59%) considered that the crisis has “</w:t>
      </w:r>
      <w:r>
        <w:rPr>
          <w:rFonts w:ascii="Times New Roman" w:eastAsia="Times New Roman" w:hAnsi="Times New Roman" w:cs="Times New Roman"/>
          <w:i/>
          <w:noProof/>
          <w:sz w:val="24"/>
          <w:szCs w:val="24"/>
          <w:lang w:val="en-GB" w:eastAsia="en-GB"/>
        </w:rPr>
        <w:t>strengthened organic farming and its role in the EU food supply”</w:t>
      </w:r>
      <w:r>
        <w:rPr>
          <w:rFonts w:ascii="Times New Roman" w:eastAsia="Times New Roman" w:hAnsi="Times New Roman" w:cs="Times New Roman"/>
          <w:noProof/>
          <w:sz w:val="24"/>
          <w:szCs w:val="24"/>
          <w:lang w:val="en-GB" w:eastAsia="en-GB"/>
        </w:rPr>
        <w:t>. The crisis has “</w:t>
      </w:r>
      <w:r>
        <w:rPr>
          <w:rFonts w:ascii="Times New Roman" w:eastAsia="Times New Roman" w:hAnsi="Times New Roman" w:cs="Times New Roman"/>
          <w:i/>
          <w:noProof/>
          <w:sz w:val="24"/>
          <w:szCs w:val="24"/>
          <w:lang w:val="en-GB" w:eastAsia="en-GB"/>
        </w:rPr>
        <w:t xml:space="preserve">accelerated the structural changes in food consumption in favour of organic farming” </w:t>
      </w:r>
      <w:r>
        <w:rPr>
          <w:rFonts w:ascii="Times New Roman" w:eastAsia="Times New Roman" w:hAnsi="Times New Roman" w:cs="Times New Roman"/>
          <w:noProof/>
          <w:sz w:val="24"/>
          <w:szCs w:val="24"/>
          <w:lang w:val="en-GB" w:eastAsia="en-GB"/>
        </w:rPr>
        <w:t>for 53% of the participants. The greater demand for organic products will be maintained after the COVID-19 crisis according to 51% of the respondents.</w:t>
      </w:r>
    </w:p>
    <w:p w:rsidR="00740C8C" w:rsidRDefault="003524BF">
      <w:pPr>
        <w:keepNext/>
        <w:spacing w:before="120" w:after="0" w:line="240" w:lineRule="auto"/>
        <w:jc w:val="both"/>
        <w:rPr>
          <w:rFonts w:ascii="Times New Roman" w:eastAsia="Times New Roman" w:hAnsi="Times New Roman" w:cs="Times New Roman"/>
          <w:i/>
          <w:noProof/>
          <w:szCs w:val="20"/>
          <w:lang w:val="en-GB" w:eastAsia="en-GB"/>
        </w:rPr>
      </w:pPr>
      <w:r>
        <w:rPr>
          <w:rFonts w:ascii="Times New Roman" w:eastAsia="Times New Roman" w:hAnsi="Times New Roman" w:cs="Times New Roman"/>
          <w:i/>
          <w:noProof/>
          <w:szCs w:val="20"/>
          <w:lang w:val="en-GB" w:eastAsia="en-GB"/>
        </w:rPr>
        <w:t xml:space="preserve">Figure </w:t>
      </w:r>
      <w:r>
        <w:rPr>
          <w:rFonts w:ascii="Times New Roman" w:eastAsia="Times New Roman" w:hAnsi="Times New Roman" w:cs="Times New Roman"/>
          <w:i/>
          <w:noProof/>
          <w:szCs w:val="20"/>
          <w:lang w:val="en-GB" w:eastAsia="en-GB"/>
        </w:rPr>
        <w:fldChar w:fldCharType="begin"/>
      </w:r>
      <w:r>
        <w:rPr>
          <w:rFonts w:ascii="Times New Roman" w:eastAsia="Times New Roman" w:hAnsi="Times New Roman" w:cs="Times New Roman"/>
          <w:i/>
          <w:noProof/>
          <w:szCs w:val="20"/>
          <w:lang w:val="en-GB" w:eastAsia="en-GB"/>
        </w:rPr>
        <w:instrText xml:space="preserve"> SEQ Figure \</w:instrText>
      </w:r>
      <w:r>
        <w:rPr>
          <w:rFonts w:ascii="Times New Roman" w:eastAsia="Times New Roman" w:hAnsi="Times New Roman" w:cs="Times New Roman"/>
          <w:i/>
          <w:noProof/>
          <w:szCs w:val="20"/>
          <w:lang w:val="en-GB" w:eastAsia="en-GB"/>
        </w:rPr>
        <w:instrText xml:space="preserve">* ARABIC </w:instrText>
      </w:r>
      <w:r>
        <w:rPr>
          <w:rFonts w:ascii="Times New Roman" w:eastAsia="Times New Roman" w:hAnsi="Times New Roman" w:cs="Times New Roman"/>
          <w:i/>
          <w:noProof/>
          <w:szCs w:val="20"/>
          <w:lang w:val="en-GB" w:eastAsia="en-GB"/>
        </w:rPr>
        <w:fldChar w:fldCharType="separate"/>
      </w:r>
      <w:r>
        <w:rPr>
          <w:rFonts w:ascii="Times New Roman" w:eastAsia="Times New Roman" w:hAnsi="Times New Roman" w:cs="Times New Roman"/>
          <w:i/>
          <w:noProof/>
          <w:szCs w:val="20"/>
          <w:lang w:val="en-GB" w:eastAsia="en-GB"/>
        </w:rPr>
        <w:t>3</w:t>
      </w:r>
      <w:r>
        <w:rPr>
          <w:rFonts w:ascii="Times New Roman" w:eastAsia="Times New Roman" w:hAnsi="Times New Roman" w:cs="Times New Roman"/>
          <w:i/>
          <w:noProof/>
          <w:szCs w:val="20"/>
          <w:lang w:val="en-GB" w:eastAsia="en-GB"/>
        </w:rPr>
        <w:fldChar w:fldCharType="end"/>
      </w:r>
      <w:r>
        <w:rPr>
          <w:rFonts w:ascii="Times New Roman" w:eastAsia="Times New Roman" w:hAnsi="Times New Roman" w:cs="Times New Roman"/>
          <w:i/>
          <w:noProof/>
          <w:szCs w:val="20"/>
          <w:lang w:val="en-GB" w:eastAsia="en-GB"/>
        </w:rPr>
        <w:t>. Measures important to stimulate the production of organic products</w:t>
      </w:r>
    </w:p>
    <w:p w:rsidR="00740C8C" w:rsidRDefault="003524BF">
      <w:pPr>
        <w:spacing w:after="120" w:line="240" w:lineRule="auto"/>
        <w:jc w:val="both"/>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drawing>
          <wp:inline distT="0" distB="0" distL="0" distR="0">
            <wp:extent cx="5578475" cy="3963035"/>
            <wp:effectExtent l="0" t="0" r="317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8475" cy="3963035"/>
                    </a:xfrm>
                    <a:prstGeom prst="rect">
                      <a:avLst/>
                    </a:prstGeom>
                    <a:noFill/>
                  </pic:spPr>
                </pic:pic>
              </a:graphicData>
            </a:graphic>
          </wp:inline>
        </w:drawing>
      </w: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Overall, there was a high level of agreement on the nine actions proposed for developing the organic production sector in the EU (from 57% to 91%). There was a large consen</w:t>
      </w:r>
      <w:r>
        <w:rPr>
          <w:rFonts w:ascii="Times New Roman" w:eastAsia="Times New Roman" w:hAnsi="Times New Roman" w:cs="Times New Roman"/>
          <w:noProof/>
          <w:sz w:val="24"/>
          <w:szCs w:val="24"/>
          <w:lang w:val="en-GB" w:eastAsia="en-GB"/>
        </w:rPr>
        <w:t>sus (91% of the replies) on raising awareness of the environmental and climate benefits of organic farming. The level of support was above 80% for four actions: (i) school schemes to promote healthy diets (83%), (ii) organic products in public/private offi</w:t>
      </w:r>
      <w:r>
        <w:rPr>
          <w:rFonts w:ascii="Times New Roman" w:eastAsia="Times New Roman" w:hAnsi="Times New Roman" w:cs="Times New Roman"/>
          <w:noProof/>
          <w:sz w:val="24"/>
          <w:szCs w:val="24"/>
          <w:lang w:val="en-GB" w:eastAsia="en-GB"/>
        </w:rPr>
        <w:t>ces and canteens (83%), (iii) increasing the visibility and choice of organic products at retailers (83%), and (iv) more public procurement of organic products (81%). Two actions related to promotion were supported by more than three quarters of the respon</w:t>
      </w:r>
      <w:r>
        <w:rPr>
          <w:rFonts w:ascii="Times New Roman" w:eastAsia="Times New Roman" w:hAnsi="Times New Roman" w:cs="Times New Roman"/>
          <w:noProof/>
          <w:sz w:val="24"/>
          <w:szCs w:val="24"/>
          <w:lang w:val="en-GB" w:eastAsia="en-GB"/>
        </w:rPr>
        <w:t>dents: information campaigns on the EU organic logo (78%) and targeting promotion campaigns of agricultural products on organic products (77%). The price competitiveness of organic products should be improved for 76% of the participants. Finally, 57% of th</w:t>
      </w:r>
      <w:r>
        <w:rPr>
          <w:rFonts w:ascii="Times New Roman" w:eastAsia="Times New Roman" w:hAnsi="Times New Roman" w:cs="Times New Roman"/>
          <w:noProof/>
          <w:sz w:val="24"/>
          <w:szCs w:val="24"/>
          <w:lang w:val="en-GB" w:eastAsia="en-GB"/>
        </w:rPr>
        <w:t xml:space="preserve">e respondents indicated that the EU organic logo is not sufficiently recognised. When asked about other actions to develop the organic production sector in the EU, respondents first mentioned the need to inform consumers better (47 mentions), particularly </w:t>
      </w:r>
      <w:r>
        <w:rPr>
          <w:rFonts w:ascii="Times New Roman" w:eastAsia="Times New Roman" w:hAnsi="Times New Roman" w:cs="Times New Roman"/>
          <w:noProof/>
          <w:sz w:val="24"/>
          <w:szCs w:val="24"/>
          <w:lang w:val="en-GB" w:eastAsia="en-GB"/>
        </w:rPr>
        <w:t>on the health (12) and social (9) benefits of organic farming. The need to inform about, and apply, the true costs (taking account of externalities) of conventional agriculture was also a recurring action mentioned (37) and public procurement was identifie</w:t>
      </w:r>
      <w:r>
        <w:rPr>
          <w:rFonts w:ascii="Times New Roman" w:eastAsia="Times New Roman" w:hAnsi="Times New Roman" w:cs="Times New Roman"/>
          <w:noProof/>
          <w:sz w:val="24"/>
          <w:szCs w:val="24"/>
          <w:lang w:val="en-GB" w:eastAsia="en-GB"/>
        </w:rPr>
        <w:t>d as a positive factor to increase demand for organic products (27 mentions).</w:t>
      </w: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was a high level of agreement on the seven actions proposed for improving consumer confidence in the organic production sector in the EU (from 70% to 92%). There was a larg</w:t>
      </w:r>
      <w:r>
        <w:rPr>
          <w:rFonts w:ascii="Times New Roman" w:eastAsia="Times New Roman" w:hAnsi="Times New Roman" w:cs="Times New Roman"/>
          <w:noProof/>
          <w:sz w:val="24"/>
          <w:szCs w:val="24"/>
          <w:lang w:val="en-GB" w:eastAsia="en-GB"/>
        </w:rPr>
        <w:t xml:space="preserve">e consensus (91% of the replies) that information on organic producers should be transparent and available for consumers and that actions are needed to help consumers clearly distinguish between the EU organic logo and other environmental/quality schemes. </w:t>
      </w:r>
      <w:r>
        <w:rPr>
          <w:rFonts w:ascii="Times New Roman" w:eastAsia="Times New Roman" w:hAnsi="Times New Roman" w:cs="Times New Roman"/>
          <w:noProof/>
          <w:sz w:val="24"/>
          <w:szCs w:val="24"/>
          <w:lang w:val="en-GB" w:eastAsia="en-GB"/>
        </w:rPr>
        <w:t>It should be easier to trace organic products back to their origin for 88% of respondents and more effort is needed to tackle fraud in the organic sector for 84% of respondents. There is also a need to further explore the reasons for the lack of consumer c</w:t>
      </w:r>
      <w:r>
        <w:rPr>
          <w:rFonts w:ascii="Times New Roman" w:eastAsia="Times New Roman" w:hAnsi="Times New Roman" w:cs="Times New Roman"/>
          <w:noProof/>
          <w:sz w:val="24"/>
          <w:szCs w:val="24"/>
          <w:lang w:val="en-GB" w:eastAsia="en-GB"/>
        </w:rPr>
        <w:t xml:space="preserve">onfidence (86%) and for more effort to tackle fraud in the organic sector (84%). Finally, respondents stated that compliance with the rules for organic production must be better controlled by public authorities (77%) and information technologies should be </w:t>
      </w:r>
      <w:r>
        <w:rPr>
          <w:rFonts w:ascii="Times New Roman" w:eastAsia="Times New Roman" w:hAnsi="Times New Roman" w:cs="Times New Roman"/>
          <w:noProof/>
          <w:sz w:val="24"/>
          <w:szCs w:val="24"/>
          <w:lang w:val="en-GB" w:eastAsia="en-GB"/>
        </w:rPr>
        <w:t>used more often to improve the tracing of organic products (70%). When asked about other important actions to improve consumer confidence in the organic production sector in the EU, respondents identified the need for more transparency and for more efforts</w:t>
      </w:r>
      <w:r>
        <w:rPr>
          <w:rFonts w:ascii="Times New Roman" w:eastAsia="Times New Roman" w:hAnsi="Times New Roman" w:cs="Times New Roman"/>
          <w:noProof/>
          <w:sz w:val="24"/>
          <w:szCs w:val="24"/>
          <w:lang w:val="en-GB" w:eastAsia="en-GB"/>
        </w:rPr>
        <w:t xml:space="preserve"> to tackle fraud, especially in third countries, as the most important actions (35 mentions). Informing consumers (23) and combining the EU organic label with a local/origin label (18) were also mentioned. Respondents were more divided on the need for more</w:t>
      </w:r>
      <w:r>
        <w:rPr>
          <w:rFonts w:ascii="Times New Roman" w:eastAsia="Times New Roman" w:hAnsi="Times New Roman" w:cs="Times New Roman"/>
          <w:noProof/>
          <w:sz w:val="24"/>
          <w:szCs w:val="24"/>
          <w:lang w:val="en-GB" w:eastAsia="en-GB"/>
        </w:rPr>
        <w:t xml:space="preserve"> controls: 21 mentioned that controls are already sufficient while 10 mentioned the need to increase them.</w:t>
      </w:r>
    </w:p>
    <w:p w:rsidR="00740C8C" w:rsidRDefault="003524BF">
      <w:pPr>
        <w:spacing w:after="120" w:line="240"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noProof/>
          <w:sz w:val="24"/>
          <w:szCs w:val="24"/>
          <w:lang w:val="en-GB" w:eastAsia="en-GB"/>
        </w:rPr>
        <w:t xml:space="preserve">Like for the previous question, there was a large consensus supporting the actions proposed for stimulating the production of organic products (from </w:t>
      </w:r>
      <w:r>
        <w:rPr>
          <w:rFonts w:ascii="Times New Roman" w:eastAsia="Times New Roman" w:hAnsi="Times New Roman" w:cs="Times New Roman"/>
          <w:noProof/>
          <w:sz w:val="24"/>
          <w:szCs w:val="24"/>
          <w:lang w:val="en-GB" w:eastAsia="en-GB"/>
        </w:rPr>
        <w:t>74% to 91% of the replies). The largest share of respondents agreed that, in order to stimulate conversion</w:t>
      </w:r>
      <w:r>
        <w:rPr>
          <w:rFonts w:ascii="Times New Roman" w:eastAsia="Times New Roman" w:hAnsi="Times New Roman" w:cs="Times New Roman"/>
          <w:i/>
          <w:noProof/>
          <w:sz w:val="24"/>
          <w:szCs w:val="24"/>
          <w:lang w:val="en-GB" w:eastAsia="en-GB"/>
        </w:rPr>
        <w:t xml:space="preserve"> </w:t>
      </w:r>
      <w:r>
        <w:rPr>
          <w:rFonts w:ascii="Times New Roman" w:eastAsia="Times New Roman" w:hAnsi="Times New Roman" w:cs="Times New Roman"/>
          <w:noProof/>
          <w:sz w:val="24"/>
          <w:szCs w:val="24"/>
          <w:lang w:val="en-GB" w:eastAsia="en-GB"/>
        </w:rPr>
        <w:t>from conventional to organic farming,</w:t>
      </w:r>
      <w:r>
        <w:rPr>
          <w:rFonts w:ascii="Times New Roman" w:eastAsia="Times New Roman" w:hAnsi="Times New Roman" w:cs="Times New Roman"/>
          <w:i/>
          <w:noProof/>
          <w:sz w:val="24"/>
          <w:szCs w:val="24"/>
          <w:lang w:val="en-GB" w:eastAsia="en-GB"/>
        </w:rPr>
        <w:t xml:space="preserve"> </w:t>
      </w:r>
      <w:r>
        <w:rPr>
          <w:rFonts w:ascii="Times New Roman" w:eastAsia="Times New Roman" w:hAnsi="Times New Roman" w:cs="Times New Roman"/>
          <w:noProof/>
          <w:sz w:val="24"/>
          <w:szCs w:val="24"/>
          <w:lang w:val="en-GB" w:eastAsia="en-GB"/>
        </w:rPr>
        <w:t>it is important to</w:t>
      </w:r>
      <w:r>
        <w:rPr>
          <w:rFonts w:ascii="Times New Roman" w:eastAsia="Times New Roman" w:hAnsi="Times New Roman" w:cs="Times New Roman"/>
          <w:i/>
          <w:noProof/>
          <w:sz w:val="24"/>
          <w:szCs w:val="24"/>
          <w:lang w:val="en-GB" w:eastAsia="en-GB"/>
        </w:rPr>
        <w:t xml:space="preserve"> </w:t>
      </w:r>
      <w:r>
        <w:rPr>
          <w:rFonts w:ascii="Times New Roman" w:eastAsia="Times New Roman" w:hAnsi="Times New Roman" w:cs="Times New Roman"/>
          <w:noProof/>
          <w:sz w:val="24"/>
          <w:szCs w:val="24"/>
          <w:lang w:val="en-GB" w:eastAsia="en-GB"/>
        </w:rPr>
        <w:t xml:space="preserve">provide sufficient training and advice (91%) and that it is necessary to strengthen local </w:t>
      </w:r>
      <w:r>
        <w:rPr>
          <w:rFonts w:ascii="Times New Roman" w:eastAsia="Times New Roman" w:hAnsi="Times New Roman" w:cs="Times New Roman"/>
          <w:noProof/>
          <w:sz w:val="24"/>
          <w:szCs w:val="24"/>
          <w:lang w:val="en-GB" w:eastAsia="en-GB"/>
        </w:rPr>
        <w:t>and small-scale processing and foster short supply chains (90%). Respondents recognised the need for organic producers to receive help to better organise (e.g. in producer organisations) to improve their bargaining power in the supply chain (88%). There is</w:t>
      </w:r>
      <w:r>
        <w:rPr>
          <w:rFonts w:ascii="Times New Roman" w:eastAsia="Times New Roman" w:hAnsi="Times New Roman" w:cs="Times New Roman"/>
          <w:noProof/>
          <w:sz w:val="24"/>
          <w:szCs w:val="24"/>
          <w:lang w:val="en-GB" w:eastAsia="en-GB"/>
        </w:rPr>
        <w:t xml:space="preserve"> also a need to improve information and data on developments in the organic market to facilitate decisions for producers (87%). They agreed on the fact that organic production should benefit from financial support, including from the Common Agricultural Po</w:t>
      </w:r>
      <w:r>
        <w:rPr>
          <w:rFonts w:ascii="Times New Roman" w:eastAsia="Times New Roman" w:hAnsi="Times New Roman" w:cs="Times New Roman"/>
          <w:noProof/>
          <w:sz w:val="24"/>
          <w:szCs w:val="24"/>
          <w:lang w:val="en-GB" w:eastAsia="en-GB"/>
        </w:rPr>
        <w:t>licy.</w:t>
      </w: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Concerning the question on the organic animal production sector, respondents agreed that “</w:t>
      </w:r>
      <w:r>
        <w:rPr>
          <w:rFonts w:ascii="Times New Roman" w:eastAsia="Times New Roman" w:hAnsi="Times New Roman" w:cs="Times New Roman"/>
          <w:i/>
          <w:noProof/>
          <w:sz w:val="24"/>
          <w:szCs w:val="24"/>
          <w:lang w:val="en-GB" w:eastAsia="en-GB"/>
        </w:rPr>
        <w:t>Producers should be helped to find appropriate organic feed for animal nutrition</w:t>
      </w:r>
      <w:r>
        <w:rPr>
          <w:rFonts w:ascii="Times New Roman" w:eastAsia="Times New Roman" w:hAnsi="Times New Roman" w:cs="Times New Roman"/>
          <w:noProof/>
          <w:sz w:val="24"/>
          <w:szCs w:val="24"/>
          <w:lang w:val="en-GB" w:eastAsia="en-GB"/>
        </w:rPr>
        <w:t>” (86%) and that “</w:t>
      </w:r>
      <w:r>
        <w:rPr>
          <w:rFonts w:ascii="Times New Roman" w:eastAsia="Times New Roman" w:hAnsi="Times New Roman" w:cs="Times New Roman"/>
          <w:i/>
          <w:noProof/>
          <w:sz w:val="24"/>
          <w:szCs w:val="24"/>
          <w:lang w:val="en-GB" w:eastAsia="en-GB"/>
        </w:rPr>
        <w:t>More research is needed to identify and develop best practices</w:t>
      </w:r>
      <w:r>
        <w:rPr>
          <w:rFonts w:ascii="Times New Roman" w:eastAsia="Times New Roman" w:hAnsi="Times New Roman" w:cs="Times New Roman"/>
          <w:i/>
          <w:noProof/>
          <w:sz w:val="24"/>
          <w:szCs w:val="24"/>
          <w:lang w:val="en-GB" w:eastAsia="en-GB"/>
        </w:rPr>
        <w:t xml:space="preserve"> on feeding methods suitable for organic feed, and alternative feeding ingredients</w:t>
      </w:r>
      <w:r>
        <w:rPr>
          <w:rFonts w:ascii="Times New Roman" w:eastAsia="Times New Roman" w:hAnsi="Times New Roman" w:cs="Times New Roman"/>
          <w:noProof/>
          <w:sz w:val="24"/>
          <w:szCs w:val="24"/>
          <w:lang w:val="en-GB" w:eastAsia="en-GB"/>
        </w:rPr>
        <w:t>” (82%). A similar level of agreement applied to the opinion that “</w:t>
      </w:r>
      <w:r>
        <w:rPr>
          <w:rFonts w:ascii="Times New Roman" w:eastAsia="Times New Roman" w:hAnsi="Times New Roman" w:cs="Times New Roman"/>
          <w:i/>
          <w:noProof/>
          <w:sz w:val="24"/>
          <w:szCs w:val="24"/>
          <w:lang w:val="en-GB" w:eastAsia="en-GB"/>
        </w:rPr>
        <w:t>Organic animal production should benefit from specific support</w:t>
      </w:r>
      <w:r>
        <w:rPr>
          <w:rFonts w:ascii="Times New Roman" w:eastAsia="Times New Roman" w:hAnsi="Times New Roman" w:cs="Times New Roman"/>
          <w:noProof/>
          <w:sz w:val="24"/>
          <w:szCs w:val="24"/>
          <w:lang w:val="en-GB" w:eastAsia="en-GB"/>
        </w:rPr>
        <w:t>” (82%), followed by “</w:t>
      </w:r>
      <w:r>
        <w:rPr>
          <w:rFonts w:ascii="Times New Roman" w:eastAsia="Times New Roman" w:hAnsi="Times New Roman" w:cs="Times New Roman"/>
          <w:i/>
          <w:noProof/>
          <w:sz w:val="24"/>
          <w:szCs w:val="24"/>
          <w:lang w:val="en-GB" w:eastAsia="en-GB"/>
        </w:rPr>
        <w:t>Aquaculture should be s</w:t>
      </w:r>
      <w:r>
        <w:rPr>
          <w:rFonts w:ascii="Times New Roman" w:eastAsia="Times New Roman" w:hAnsi="Times New Roman" w:cs="Times New Roman"/>
          <w:i/>
          <w:noProof/>
          <w:sz w:val="24"/>
          <w:szCs w:val="24"/>
          <w:lang w:val="en-GB" w:eastAsia="en-GB"/>
        </w:rPr>
        <w:t>upported to gain more knowledge on breeding and feeding methods, including through research</w:t>
      </w:r>
      <w:r>
        <w:rPr>
          <w:rFonts w:ascii="Times New Roman" w:eastAsia="Times New Roman" w:hAnsi="Times New Roman" w:cs="Times New Roman"/>
          <w:noProof/>
          <w:sz w:val="24"/>
          <w:szCs w:val="24"/>
          <w:lang w:val="en-GB" w:eastAsia="en-GB"/>
        </w:rPr>
        <w:t xml:space="preserve">” (78%). </w:t>
      </w: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Regarding the question on the main environmental advantages of organic production, respondents identified the beneficial effects of organic production in r</w:t>
      </w:r>
      <w:r>
        <w:rPr>
          <w:rFonts w:ascii="Times New Roman" w:eastAsia="Times New Roman" w:hAnsi="Times New Roman" w:cs="Times New Roman"/>
          <w:noProof/>
          <w:sz w:val="24"/>
          <w:szCs w:val="24"/>
          <w:lang w:val="en-GB" w:eastAsia="en-GB"/>
        </w:rPr>
        <w:t xml:space="preserve">elation to biodiversity (92%), the protection of soil quality (88%) and of water quality (84%). Organic production promotes a circular economy for 83% of the respondents and it ensures a responsible use of energy and natural resources for 80%. It promotes </w:t>
      </w:r>
      <w:r>
        <w:rPr>
          <w:rFonts w:ascii="Times New Roman" w:eastAsia="Times New Roman" w:hAnsi="Times New Roman" w:cs="Times New Roman"/>
          <w:noProof/>
          <w:sz w:val="24"/>
          <w:szCs w:val="24"/>
          <w:lang w:val="en-GB" w:eastAsia="en-GB"/>
        </w:rPr>
        <w:t>carbon neutrality, it allows for adaptation to a changing climate and it helps reduce air pollution for 78% of the participants.</w:t>
      </w: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More than two thirds of the respondents agreed strongly with the statement that the sustainable use of water in organic farming</w:t>
      </w:r>
      <w:r>
        <w:rPr>
          <w:rFonts w:ascii="Times New Roman" w:eastAsia="Times New Roman" w:hAnsi="Times New Roman" w:cs="Times New Roman"/>
          <w:noProof/>
          <w:sz w:val="24"/>
          <w:szCs w:val="24"/>
          <w:lang w:val="en-GB" w:eastAsia="en-GB"/>
        </w:rPr>
        <w:t xml:space="preserve"> and the replacement of plastics in packaging should be promoted. Greater investment in research and innovation and the maintenance of networks of organic farms received equal levels of support. A notably smaller share of respondents agreed strongly with t</w:t>
      </w:r>
      <w:r>
        <w:rPr>
          <w:rFonts w:ascii="Times New Roman" w:eastAsia="Times New Roman" w:hAnsi="Times New Roman" w:cs="Times New Roman"/>
          <w:noProof/>
          <w:sz w:val="24"/>
          <w:szCs w:val="24"/>
          <w:lang w:val="en-GB" w:eastAsia="en-GB"/>
        </w:rPr>
        <w:t>he suggestion to phase out the use of contentious inputs, such as copper. Here, only 38% of respondents agreed strongly. It must be noted though that strong support for this suggestion was largest among respondents identifying as citizens and academia/ res</w:t>
      </w:r>
      <w:r>
        <w:rPr>
          <w:rFonts w:ascii="Times New Roman" w:eastAsia="Times New Roman" w:hAnsi="Times New Roman" w:cs="Times New Roman"/>
          <w:noProof/>
          <w:sz w:val="24"/>
          <w:szCs w:val="24"/>
          <w:lang w:val="en-GB" w:eastAsia="en-GB"/>
        </w:rPr>
        <w:t xml:space="preserve">earch institutions. </w:t>
      </w: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was a consensus that the “</w:t>
      </w:r>
      <w:r>
        <w:rPr>
          <w:rFonts w:ascii="Times New Roman" w:eastAsia="Times New Roman" w:hAnsi="Times New Roman" w:cs="Times New Roman"/>
          <w:i/>
          <w:iCs/>
          <w:noProof/>
          <w:sz w:val="24"/>
          <w:szCs w:val="24"/>
          <w:lang w:val="en-GB" w:eastAsia="en-GB"/>
        </w:rPr>
        <w:t>development of the organic sector requires a mix of EU and Member State support as well as private initiative”</w:t>
      </w:r>
      <w:r>
        <w:rPr>
          <w:rFonts w:ascii="Times New Roman" w:eastAsia="Times New Roman" w:hAnsi="Times New Roman" w:cs="Times New Roman"/>
          <w:noProof/>
          <w:sz w:val="24"/>
          <w:szCs w:val="24"/>
          <w:lang w:val="en-GB" w:eastAsia="en-GB"/>
        </w:rPr>
        <w:t>. More than 70% of respondents agreed with this statement strongly, and another 23% agreed at</w:t>
      </w:r>
      <w:r>
        <w:rPr>
          <w:rFonts w:ascii="Times New Roman" w:eastAsia="Times New Roman" w:hAnsi="Times New Roman" w:cs="Times New Roman"/>
          <w:noProof/>
          <w:sz w:val="24"/>
          <w:szCs w:val="24"/>
          <w:lang w:val="en-GB" w:eastAsia="en-GB"/>
        </w:rPr>
        <w:t xml:space="preserve"> least somewhat. Mirroring this statement, 84% of the respondents strongly disagreed (63%) or somewhat disagreed (21%) with the idea of leaving the development of the organic sector to the market alone. The response patterns suggest that more than half of </w:t>
      </w:r>
      <w:r>
        <w:rPr>
          <w:rFonts w:ascii="Times New Roman" w:eastAsia="Times New Roman" w:hAnsi="Times New Roman" w:cs="Times New Roman"/>
          <w:noProof/>
          <w:sz w:val="24"/>
          <w:szCs w:val="24"/>
          <w:lang w:val="en-GB" w:eastAsia="en-GB"/>
        </w:rPr>
        <w:t>the respondents (59%) see national authorities as mainly responsible for promoting organic production. When asked about any other additional actions to strengthen the production and consumption of organic food, respondents suggested to re-balance the costs</w:t>
      </w:r>
      <w:r>
        <w:rPr>
          <w:rFonts w:ascii="Times New Roman" w:eastAsia="Times New Roman" w:hAnsi="Times New Roman" w:cs="Times New Roman"/>
          <w:noProof/>
          <w:sz w:val="24"/>
          <w:szCs w:val="24"/>
          <w:lang w:val="en-GB" w:eastAsia="en-GB"/>
        </w:rPr>
        <w:t xml:space="preserve"> between conventional and organic products (36 mentions), improve the income and working conditions for farmers (29) and identified the need of research to foster innovation (23).</w:t>
      </w:r>
    </w:p>
    <w:p w:rsidR="00740C8C" w:rsidRDefault="003524BF">
      <w:pPr>
        <w:keepNext/>
        <w:spacing w:before="120" w:after="0" w:line="240" w:lineRule="auto"/>
        <w:jc w:val="both"/>
        <w:rPr>
          <w:rFonts w:ascii="Times New Roman" w:eastAsia="Times New Roman" w:hAnsi="Times New Roman" w:cs="Times New Roman"/>
          <w:i/>
          <w:noProof/>
          <w:sz w:val="20"/>
          <w:szCs w:val="20"/>
          <w:lang w:val="en-GB" w:eastAsia="en-GB"/>
        </w:rPr>
      </w:pPr>
      <w:r>
        <w:rPr>
          <w:rFonts w:ascii="Times New Roman" w:eastAsia="Times New Roman" w:hAnsi="Times New Roman" w:cs="Times New Roman"/>
          <w:i/>
          <w:noProof/>
          <w:szCs w:val="20"/>
          <w:lang w:val="en-GB" w:eastAsia="en-GB"/>
        </w:rPr>
        <w:t xml:space="preserve">Figure </w:t>
      </w:r>
      <w:r>
        <w:rPr>
          <w:rFonts w:ascii="Times New Roman" w:eastAsia="Times New Roman" w:hAnsi="Times New Roman" w:cs="Times New Roman"/>
          <w:i/>
          <w:noProof/>
          <w:szCs w:val="20"/>
          <w:lang w:val="en-GB" w:eastAsia="en-GB"/>
        </w:rPr>
        <w:fldChar w:fldCharType="begin"/>
      </w:r>
      <w:r>
        <w:rPr>
          <w:rFonts w:ascii="Times New Roman" w:eastAsia="Times New Roman" w:hAnsi="Times New Roman" w:cs="Times New Roman"/>
          <w:i/>
          <w:noProof/>
          <w:szCs w:val="20"/>
          <w:lang w:val="en-GB" w:eastAsia="en-GB"/>
        </w:rPr>
        <w:instrText xml:space="preserve"> SEQ Figure \* ARABIC </w:instrText>
      </w:r>
      <w:r>
        <w:rPr>
          <w:rFonts w:ascii="Times New Roman" w:eastAsia="Times New Roman" w:hAnsi="Times New Roman" w:cs="Times New Roman"/>
          <w:i/>
          <w:noProof/>
          <w:szCs w:val="20"/>
          <w:lang w:val="en-GB" w:eastAsia="en-GB"/>
        </w:rPr>
        <w:fldChar w:fldCharType="separate"/>
      </w:r>
      <w:r>
        <w:rPr>
          <w:rFonts w:ascii="Times New Roman" w:eastAsia="Times New Roman" w:hAnsi="Times New Roman" w:cs="Times New Roman"/>
          <w:i/>
          <w:noProof/>
          <w:szCs w:val="20"/>
          <w:lang w:val="en-GB" w:eastAsia="en-GB"/>
        </w:rPr>
        <w:t>4</w:t>
      </w:r>
      <w:r>
        <w:rPr>
          <w:rFonts w:ascii="Times New Roman" w:eastAsia="Times New Roman" w:hAnsi="Times New Roman" w:cs="Times New Roman"/>
          <w:i/>
          <w:noProof/>
          <w:szCs w:val="20"/>
          <w:lang w:val="en-GB" w:eastAsia="en-GB"/>
        </w:rPr>
        <w:fldChar w:fldCharType="end"/>
      </w:r>
      <w:r>
        <w:rPr>
          <w:rFonts w:ascii="Times New Roman" w:eastAsia="Times New Roman" w:hAnsi="Times New Roman" w:cs="Times New Roman"/>
          <w:i/>
          <w:noProof/>
          <w:szCs w:val="20"/>
          <w:lang w:val="en-GB" w:eastAsia="en-GB"/>
        </w:rPr>
        <w:t>. Development of the organic sector: public</w:t>
      </w:r>
      <w:r>
        <w:rPr>
          <w:rFonts w:ascii="Times New Roman" w:eastAsia="Times New Roman" w:hAnsi="Times New Roman" w:cs="Times New Roman"/>
          <w:i/>
          <w:noProof/>
          <w:szCs w:val="20"/>
          <w:lang w:val="en-GB" w:eastAsia="en-GB"/>
        </w:rPr>
        <w:t xml:space="preserve"> support or private initiative?</w:t>
      </w:r>
    </w:p>
    <w:p w:rsidR="00740C8C" w:rsidRDefault="003524BF">
      <w:pPr>
        <w:spacing w:after="120" w:line="240" w:lineRule="auto"/>
        <w:jc w:val="both"/>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drawing>
          <wp:inline distT="0" distB="0" distL="0" distR="0">
            <wp:extent cx="5578475" cy="2517775"/>
            <wp:effectExtent l="0" t="0" r="317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8475" cy="2517775"/>
                    </a:xfrm>
                    <a:prstGeom prst="rect">
                      <a:avLst/>
                    </a:prstGeom>
                    <a:noFill/>
                  </pic:spPr>
                </pic:pic>
              </a:graphicData>
            </a:graphic>
          </wp:inline>
        </w:drawing>
      </w: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Respondents also identified as important the need to assist farmers in accessing markets as a way to support the organic sector (15), improving biodiversity on farms (13), further supporting farmers during conversion (11) </w:t>
      </w:r>
      <w:r>
        <w:rPr>
          <w:rFonts w:ascii="Times New Roman" w:eastAsia="Times New Roman" w:hAnsi="Times New Roman" w:cs="Times New Roman"/>
          <w:noProof/>
          <w:sz w:val="24"/>
          <w:szCs w:val="24"/>
          <w:lang w:val="en-GB" w:eastAsia="en-GB"/>
        </w:rPr>
        <w:t>and conducting research on the impacts of organic agriculture (11).</w:t>
      </w:r>
    </w:p>
    <w:p w:rsidR="00740C8C" w:rsidRDefault="003524BF">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Finally, additional actions related to education on organic farming (9), support for small scale farming (8) and developing farm advisory services (5) were mentioned and concerns were </w:t>
      </w:r>
      <w:r>
        <w:rPr>
          <w:rFonts w:ascii="Times New Roman" w:eastAsia="Times New Roman" w:hAnsi="Times New Roman" w:cs="Times New Roman"/>
          <w:noProof/>
          <w:sz w:val="24"/>
          <w:szCs w:val="24"/>
          <w:lang w:val="en-GB" w:eastAsia="en-GB"/>
        </w:rPr>
        <w:t>raised regarding the power of retailers (6).</w:t>
      </w:r>
    </w:p>
    <w:p w:rsidR="00740C8C" w:rsidRDefault="00740C8C">
      <w:pPr>
        <w:spacing w:after="120" w:line="240" w:lineRule="auto"/>
        <w:jc w:val="both"/>
        <w:rPr>
          <w:rFonts w:ascii="Times New Roman" w:eastAsia="Times New Roman" w:hAnsi="Times New Roman" w:cs="Times New Roman"/>
          <w:noProof/>
          <w:sz w:val="24"/>
          <w:szCs w:val="24"/>
          <w:lang w:val="en-GB" w:eastAsia="en-GB"/>
        </w:rPr>
      </w:pPr>
    </w:p>
    <w:p w:rsidR="00740C8C" w:rsidRDefault="003524BF">
      <w:pPr>
        <w:keepNext/>
        <w:spacing w:after="120" w:line="240" w:lineRule="auto"/>
        <w:jc w:val="both"/>
        <w:outlineLvl w:val="0"/>
        <w:rPr>
          <w:rFonts w:ascii="Times New Roman" w:eastAsia="Times New Roman" w:hAnsi="Times New Roman" w:cs="Times New Roman"/>
          <w:b/>
          <w:smallCaps/>
          <w:noProof/>
          <w:sz w:val="24"/>
          <w:szCs w:val="24"/>
          <w:lang w:val="en-GB" w:eastAsia="en-GB"/>
        </w:rPr>
      </w:pPr>
      <w:r>
        <w:rPr>
          <w:rFonts w:ascii="Times New Roman" w:eastAsia="Times New Roman" w:hAnsi="Times New Roman" w:cs="Times New Roman"/>
          <w:b/>
          <w:smallCaps/>
          <w:noProof/>
          <w:sz w:val="24"/>
          <w:szCs w:val="24"/>
          <w:lang w:val="en-GB" w:eastAsia="en-GB"/>
        </w:rPr>
        <w:t>Combined analysis of closed/open questions and position papers submitted to the public consultation on proposed themes and actions</w:t>
      </w:r>
    </w:p>
    <w:p w:rsidR="00740C8C" w:rsidRDefault="003524BF">
      <w:pPr>
        <w:spacing w:after="120" w:line="240"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As for the different themes in the Action Plan, all of them are to varying exte</w:t>
      </w:r>
      <w:r>
        <w:rPr>
          <w:rFonts w:ascii="Times New Roman" w:eastAsia="Calibri" w:hAnsi="Times New Roman" w:cs="Times New Roman"/>
          <w:noProof/>
          <w:color w:val="000000"/>
          <w:sz w:val="24"/>
          <w:szCs w:val="24"/>
          <w:lang w:val="en-GB"/>
        </w:rPr>
        <w:t>nt supported by the quantitative and qualitative inputs from the open public consultation:</w:t>
      </w:r>
    </w:p>
    <w:p w:rsidR="00740C8C" w:rsidRDefault="003524BF">
      <w:pPr>
        <w:numPr>
          <w:ilvl w:val="0"/>
          <w:numId w:val="1"/>
        </w:numPr>
        <w:spacing w:after="120" w:line="240" w:lineRule="auto"/>
        <w:jc w:val="both"/>
        <w:rPr>
          <w:rFonts w:ascii="Times New Roman" w:eastAsia="Times New Roman" w:hAnsi="Times New Roman" w:cs="Times New Roman"/>
          <w:noProof/>
          <w:color w:val="000000"/>
          <w:sz w:val="24"/>
          <w:szCs w:val="24"/>
          <w:lang w:val="en-GB"/>
        </w:rPr>
      </w:pPr>
      <w:r>
        <w:rPr>
          <w:rFonts w:ascii="Times New Roman" w:eastAsia="Arial" w:hAnsi="Times New Roman" w:cs="Times New Roman"/>
          <w:noProof/>
          <w:color w:val="000000"/>
          <w:sz w:val="24"/>
          <w:szCs w:val="24"/>
          <w:lang w:val="en-GB"/>
        </w:rPr>
        <w:t>All</w:t>
      </w:r>
      <w:r>
        <w:rPr>
          <w:rFonts w:ascii="Times New Roman" w:eastAsia="Arial" w:hAnsi="Times New Roman" w:cs="Times New Roman"/>
          <w:bCs/>
          <w:noProof/>
          <w:color w:val="000000"/>
          <w:sz w:val="24"/>
          <w:szCs w:val="24"/>
          <w:lang w:val="en-GB"/>
        </w:rPr>
        <w:t xml:space="preserve"> 15</w:t>
      </w:r>
      <w:r>
        <w:rPr>
          <w:rFonts w:ascii="Times New Roman" w:eastAsia="Arial" w:hAnsi="Times New Roman" w:cs="Times New Roman"/>
          <w:noProof/>
          <w:color w:val="000000"/>
          <w:sz w:val="24"/>
          <w:szCs w:val="24"/>
          <w:lang w:val="en-GB"/>
        </w:rPr>
        <w:t xml:space="preserve"> themes received strong support or support in the quantitative responses. Among all themes, a slightly lesser degree </w:t>
      </w:r>
      <w:r>
        <w:rPr>
          <w:rFonts w:ascii="Times New Roman" w:eastAsia="Calibri" w:hAnsi="Times New Roman" w:cs="Times New Roman"/>
          <w:noProof/>
          <w:color w:val="000000"/>
          <w:sz w:val="24"/>
          <w:szCs w:val="24"/>
          <w:lang w:val="en-GB"/>
        </w:rPr>
        <w:t>of support</w:t>
      </w:r>
      <w:r>
        <w:rPr>
          <w:rFonts w:ascii="Times New Roman" w:eastAsia="Arial" w:hAnsi="Times New Roman" w:cs="Times New Roman"/>
          <w:noProof/>
          <w:color w:val="000000"/>
          <w:sz w:val="24"/>
          <w:szCs w:val="24"/>
          <w:lang w:val="en-GB"/>
        </w:rPr>
        <w:t xml:space="preserve"> was given to Themes 1.1 ‘Promoting the EU Logo’; 1.4 ‘Preventing food fraud and enhancing controls’; 2.3 ‘Supporting the organisation of the food chain; and 3.3 Funding research on alternatives to contentious inputs.</w:t>
      </w:r>
    </w:p>
    <w:p w:rsidR="00740C8C" w:rsidRDefault="003524BF">
      <w:pPr>
        <w:numPr>
          <w:ilvl w:val="0"/>
          <w:numId w:val="1"/>
        </w:numPr>
        <w:spacing w:after="120" w:line="240" w:lineRule="auto"/>
        <w:jc w:val="both"/>
        <w:rPr>
          <w:rFonts w:ascii="Times New Roman" w:eastAsia="Calibri" w:hAnsi="Times New Roman" w:cs="Times New Roman"/>
          <w:noProof/>
          <w:color w:val="000000"/>
          <w:sz w:val="24"/>
          <w:szCs w:val="24"/>
          <w:lang w:val="en-GB"/>
        </w:rPr>
      </w:pPr>
      <w:r>
        <w:rPr>
          <w:rFonts w:ascii="Times New Roman" w:eastAsia="Times New Roman" w:hAnsi="Times New Roman" w:cs="Times New Roman"/>
          <w:noProof/>
          <w:color w:val="000000"/>
          <w:sz w:val="24"/>
          <w:szCs w:val="24"/>
          <w:lang w:val="en-GB"/>
        </w:rPr>
        <w:t xml:space="preserve">Four themes were mentioned </w:t>
      </w:r>
      <w:r>
        <w:rPr>
          <w:rFonts w:ascii="Times New Roman" w:eastAsia="Times New Roman" w:hAnsi="Times New Roman" w:cs="Times New Roman"/>
          <w:bCs/>
          <w:noProof/>
          <w:color w:val="000000"/>
          <w:sz w:val="24"/>
          <w:szCs w:val="24"/>
          <w:lang w:val="en-GB"/>
        </w:rPr>
        <w:t>as relevant</w:t>
      </w:r>
      <w:r>
        <w:rPr>
          <w:rFonts w:ascii="Times New Roman" w:eastAsia="Times New Roman" w:hAnsi="Times New Roman" w:cs="Times New Roman"/>
          <w:bCs/>
          <w:noProof/>
          <w:color w:val="000000"/>
          <w:sz w:val="24"/>
          <w:szCs w:val="24"/>
          <w:lang w:val="en-GB"/>
        </w:rPr>
        <w:t xml:space="preserve"> aspects in relation to the Action Plan </w:t>
      </w:r>
      <w:r>
        <w:rPr>
          <w:rFonts w:ascii="Times New Roman" w:eastAsia="Times New Roman" w:hAnsi="Times New Roman" w:cs="Times New Roman"/>
          <w:noProof/>
          <w:color w:val="000000"/>
          <w:sz w:val="24"/>
          <w:szCs w:val="24"/>
          <w:lang w:val="en-GB"/>
        </w:rPr>
        <w:t>particularly often in the qualitative inputs (30 and more position papers and responses to open questions): Themes 1.1 Promoting the EU logo; 1.2 ‘Promoting organic canteens and increasing the use of green public pro</w:t>
      </w:r>
      <w:r>
        <w:rPr>
          <w:rFonts w:ascii="Times New Roman" w:eastAsia="Times New Roman" w:hAnsi="Times New Roman" w:cs="Times New Roman"/>
          <w:noProof/>
          <w:color w:val="000000"/>
          <w:sz w:val="24"/>
          <w:szCs w:val="24"/>
          <w:lang w:val="en-GB"/>
        </w:rPr>
        <w:t>curements’; 2.1 ‘Encouraging conversion, investments and exchanges of best practices’; and 2.3 ‘Supporting the organisation of the food chain’.</w:t>
      </w:r>
    </w:p>
    <w:p w:rsidR="00740C8C" w:rsidRDefault="003524BF">
      <w:pPr>
        <w:numPr>
          <w:ilvl w:val="0"/>
          <w:numId w:val="1"/>
        </w:numPr>
        <w:spacing w:after="120" w:line="240" w:lineRule="auto"/>
        <w:jc w:val="both"/>
        <w:rPr>
          <w:rFonts w:ascii="Times New Roman" w:eastAsia="Calibri" w:hAnsi="Times New Roman" w:cs="Times New Roman"/>
          <w:noProof/>
          <w:color w:val="000000"/>
          <w:sz w:val="24"/>
          <w:szCs w:val="24"/>
          <w:lang w:val="en-GB"/>
        </w:rPr>
      </w:pPr>
      <w:r>
        <w:rPr>
          <w:rFonts w:ascii="Times New Roman" w:eastAsia="Times New Roman" w:hAnsi="Times New Roman" w:cs="Times New Roman"/>
          <w:bCs/>
          <w:noProof/>
          <w:color w:val="000000"/>
          <w:sz w:val="24"/>
          <w:szCs w:val="24"/>
          <w:lang w:val="en-GB"/>
        </w:rPr>
        <w:t>Additional themes that were highlighted by some qualitative</w:t>
      </w:r>
      <w:r>
        <w:rPr>
          <w:rFonts w:ascii="Times New Roman" w:eastAsia="Times New Roman" w:hAnsi="Times New Roman" w:cs="Times New Roman"/>
          <w:noProof/>
          <w:color w:val="000000"/>
          <w:sz w:val="24"/>
          <w:szCs w:val="24"/>
          <w:lang w:val="en-GB"/>
        </w:rPr>
        <w:t xml:space="preserve"> contributions (15 to 29 position paper and responses</w:t>
      </w:r>
      <w:r>
        <w:rPr>
          <w:rFonts w:ascii="Times New Roman" w:eastAsia="Times New Roman" w:hAnsi="Times New Roman" w:cs="Times New Roman"/>
          <w:noProof/>
          <w:color w:val="000000"/>
          <w:sz w:val="24"/>
          <w:szCs w:val="24"/>
          <w:lang w:val="en-GB"/>
        </w:rPr>
        <w:t xml:space="preserve"> to open questions) refer to themes 1.5 ‘Improving traceability’; 2.4 ‘Reinforcing local and small-scale processing and fostering short trade circuits’; 3.1 ‘Enhancing genetic biodiversity’; and 3.2 ‘Reducing carbon footprint’.</w:t>
      </w:r>
    </w:p>
    <w:p w:rsidR="00740C8C" w:rsidRDefault="003524BF">
      <w:pPr>
        <w:spacing w:after="120" w:line="240" w:lineRule="auto"/>
        <w:jc w:val="both"/>
        <w:rPr>
          <w:rFonts w:ascii="Times New Roman" w:eastAsia="Arial" w:hAnsi="Times New Roman" w:cs="Times New Roman"/>
          <w:noProof/>
          <w:color w:val="000000"/>
          <w:sz w:val="24"/>
          <w:szCs w:val="24"/>
          <w:lang w:val="en-GB"/>
        </w:rPr>
      </w:pPr>
      <w:r>
        <w:rPr>
          <w:rFonts w:ascii="Times New Roman" w:eastAsia="Arial" w:hAnsi="Times New Roman" w:cs="Times New Roman"/>
          <w:noProof/>
          <w:color w:val="000000"/>
          <w:sz w:val="24"/>
          <w:szCs w:val="24"/>
          <w:lang w:val="en-GB"/>
        </w:rPr>
        <w:t>As for the different actions</w:t>
      </w:r>
      <w:r>
        <w:rPr>
          <w:rFonts w:ascii="Times New Roman" w:eastAsia="Arial" w:hAnsi="Times New Roman" w:cs="Times New Roman"/>
          <w:noProof/>
          <w:color w:val="000000"/>
          <w:sz w:val="24"/>
          <w:szCs w:val="24"/>
          <w:lang w:val="en-GB"/>
        </w:rPr>
        <w:t xml:space="preserve"> in the Action Plan:</w:t>
      </w:r>
    </w:p>
    <w:p w:rsidR="00740C8C" w:rsidRDefault="003524BF">
      <w:pPr>
        <w:numPr>
          <w:ilvl w:val="0"/>
          <w:numId w:val="2"/>
        </w:numPr>
        <w:spacing w:after="120" w:line="240" w:lineRule="auto"/>
        <w:jc w:val="both"/>
        <w:rPr>
          <w:rFonts w:ascii="Times New Roman" w:eastAsia="Arial" w:hAnsi="Times New Roman" w:cs="Times New Roman"/>
          <w:noProof/>
          <w:color w:val="000000"/>
          <w:sz w:val="24"/>
          <w:szCs w:val="24"/>
          <w:lang w:val="en-GB"/>
        </w:rPr>
      </w:pPr>
      <w:r>
        <w:rPr>
          <w:rFonts w:ascii="Times New Roman" w:eastAsia="Arial" w:hAnsi="Times New Roman" w:cs="Times New Roman"/>
          <w:noProof/>
          <w:color w:val="000000"/>
          <w:sz w:val="24"/>
          <w:szCs w:val="24"/>
          <w:lang w:val="en-GB"/>
        </w:rPr>
        <w:t xml:space="preserve">Most of the 22 actions (41 sub-actions) received strong support or support in the </w:t>
      </w:r>
      <w:r>
        <w:rPr>
          <w:rFonts w:ascii="Times New Roman" w:eastAsia="Calibri" w:hAnsi="Times New Roman" w:cs="Times New Roman"/>
          <w:noProof/>
          <w:color w:val="000000"/>
          <w:sz w:val="24"/>
          <w:szCs w:val="24"/>
          <w:lang w:val="en-GB"/>
        </w:rPr>
        <w:t>quantitative responses. For three actions, no quantitative information was available. In the qualitative responses, the 41 sub-actions were referenced to</w:t>
      </w:r>
      <w:r>
        <w:rPr>
          <w:rFonts w:ascii="Times New Roman" w:eastAsia="Calibri" w:hAnsi="Times New Roman" w:cs="Times New Roman"/>
          <w:noProof/>
          <w:color w:val="000000"/>
          <w:sz w:val="24"/>
          <w:szCs w:val="24"/>
          <w:lang w:val="en-GB"/>
        </w:rPr>
        <w:t xml:space="preserve"> varying degrees.</w:t>
      </w:r>
    </w:p>
    <w:p w:rsidR="00740C8C" w:rsidRDefault="003524BF">
      <w:pPr>
        <w:numPr>
          <w:ilvl w:val="0"/>
          <w:numId w:val="2"/>
        </w:numPr>
        <w:spacing w:after="120" w:line="240" w:lineRule="auto"/>
        <w:jc w:val="both"/>
        <w:rPr>
          <w:rFonts w:ascii="Times New Roman" w:eastAsia="Arial" w:hAnsi="Times New Roman" w:cs="Times New Roman"/>
          <w:noProof/>
          <w:color w:val="000000"/>
          <w:sz w:val="24"/>
          <w:szCs w:val="24"/>
          <w:lang w:val="en-GB"/>
        </w:rPr>
      </w:pPr>
      <w:r>
        <w:rPr>
          <w:rFonts w:ascii="Times New Roman" w:eastAsia="Arial" w:hAnsi="Times New Roman" w:cs="Times New Roman"/>
          <w:bCs/>
          <w:noProof/>
          <w:color w:val="000000"/>
          <w:sz w:val="24"/>
          <w:szCs w:val="24"/>
          <w:lang w:val="en-GB"/>
        </w:rPr>
        <w:t>General support for all actions was strongest for Axis 3.</w:t>
      </w:r>
      <w:r>
        <w:rPr>
          <w:rFonts w:ascii="Times New Roman" w:eastAsia="Arial" w:hAnsi="Times New Roman" w:cs="Times New Roman"/>
          <w:noProof/>
          <w:color w:val="000000"/>
          <w:sz w:val="24"/>
          <w:szCs w:val="24"/>
          <w:lang w:val="en-GB"/>
        </w:rPr>
        <w:t xml:space="preserve"> Slightly more than half of the sub-actions under Axis 1 received strong support through quantitative responses. Most sub-actions in Axis 2 received strong support.</w:t>
      </w:r>
    </w:p>
    <w:p w:rsidR="00740C8C" w:rsidRDefault="003524BF">
      <w:pPr>
        <w:numPr>
          <w:ilvl w:val="0"/>
          <w:numId w:val="2"/>
        </w:numPr>
        <w:spacing w:after="120" w:line="240" w:lineRule="auto"/>
        <w:jc w:val="both"/>
        <w:rPr>
          <w:rFonts w:ascii="Times New Roman" w:eastAsia="Times New Roman" w:hAnsi="Times New Roman" w:cs="Times New Roman"/>
          <w:noProof/>
          <w:color w:val="000000"/>
          <w:sz w:val="24"/>
          <w:szCs w:val="24"/>
          <w:lang w:val="en-GB"/>
        </w:rPr>
      </w:pPr>
      <w:r>
        <w:rPr>
          <w:rFonts w:ascii="Times New Roman" w:eastAsia="Arial" w:hAnsi="Times New Roman" w:cs="Times New Roman"/>
          <w:noProof/>
          <w:color w:val="000000"/>
          <w:sz w:val="24"/>
          <w:szCs w:val="24"/>
          <w:lang w:val="en-GB"/>
        </w:rPr>
        <w:t xml:space="preserve">For </w:t>
      </w:r>
      <w:r>
        <w:rPr>
          <w:rFonts w:ascii="Times New Roman" w:eastAsia="Arial" w:hAnsi="Times New Roman" w:cs="Times New Roman"/>
          <w:bCs/>
          <w:noProof/>
          <w:color w:val="000000"/>
          <w:sz w:val="24"/>
          <w:szCs w:val="24"/>
          <w:lang w:val="en-GB"/>
        </w:rPr>
        <w:t>two actions,</w:t>
      </w:r>
      <w:r>
        <w:rPr>
          <w:rFonts w:ascii="Times New Roman" w:eastAsia="Arial" w:hAnsi="Times New Roman" w:cs="Times New Roman"/>
          <w:bCs/>
          <w:noProof/>
          <w:color w:val="000000"/>
          <w:sz w:val="24"/>
          <w:szCs w:val="24"/>
          <w:lang w:val="en-GB"/>
        </w:rPr>
        <w:t xml:space="preserve"> no information</w:t>
      </w:r>
      <w:r>
        <w:rPr>
          <w:rFonts w:ascii="Times New Roman" w:eastAsia="Arial" w:hAnsi="Times New Roman" w:cs="Times New Roman"/>
          <w:noProof/>
          <w:color w:val="000000"/>
          <w:sz w:val="24"/>
          <w:szCs w:val="24"/>
          <w:lang w:val="en-GB"/>
        </w:rPr>
        <w:t xml:space="preserve"> was provided through the quantitative inputs: Action 13 ‘raise awareness and provide better information about group certification’; and Action 15 ‘design measures for organic farming with special focus on gender and social aspects. Aspects </w:t>
      </w:r>
      <w:r>
        <w:rPr>
          <w:rFonts w:ascii="Times New Roman" w:eastAsia="Arial" w:hAnsi="Times New Roman" w:cs="Times New Roman"/>
          <w:noProof/>
          <w:color w:val="000000"/>
          <w:sz w:val="24"/>
          <w:szCs w:val="24"/>
          <w:lang w:val="en-GB"/>
        </w:rPr>
        <w:t>of both actions were however mentioned by contributors in the position papers.</w:t>
      </w:r>
    </w:p>
    <w:p w:rsidR="00740C8C" w:rsidRDefault="003524BF">
      <w:pPr>
        <w:numPr>
          <w:ilvl w:val="0"/>
          <w:numId w:val="2"/>
        </w:numPr>
        <w:spacing w:after="120" w:line="240"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 xml:space="preserve">The qualitative contributions provided a more variable number of references to the 41 sub-actions. </w:t>
      </w:r>
      <w:r>
        <w:rPr>
          <w:rFonts w:ascii="Times New Roman" w:eastAsia="Calibri" w:hAnsi="Times New Roman" w:cs="Times New Roman"/>
          <w:bCs/>
          <w:noProof/>
          <w:color w:val="000000"/>
          <w:sz w:val="24"/>
          <w:szCs w:val="24"/>
          <w:lang w:val="en-GB"/>
        </w:rPr>
        <w:t>Two sub-actions received many qualitative contributions (</w:t>
      </w:r>
      <w:r>
        <w:rPr>
          <w:rFonts w:ascii="Times New Roman" w:eastAsia="Calibri" w:hAnsi="Times New Roman" w:cs="Times New Roman"/>
          <w:noProof/>
          <w:color w:val="000000"/>
          <w:sz w:val="24"/>
          <w:szCs w:val="24"/>
          <w:lang w:val="en-GB"/>
        </w:rPr>
        <w:t xml:space="preserve">between 22 and 33 </w:t>
      </w:r>
      <w:r>
        <w:rPr>
          <w:rFonts w:ascii="Times New Roman" w:eastAsia="Calibri" w:hAnsi="Times New Roman" w:cs="Times New Roman"/>
          <w:noProof/>
          <w:color w:val="000000"/>
          <w:sz w:val="24"/>
          <w:szCs w:val="24"/>
          <w:lang w:val="en-GB"/>
        </w:rPr>
        <w:t>position papers and answers to open questions): sub-actions 2a - ‘allocate budget in agricultural promotion policy, use for raising consumer awareness and stimulate demand’, and sub-action 9b ‘ensure best use of new CAP to support’.</w:t>
      </w:r>
    </w:p>
    <w:p w:rsidR="00740C8C" w:rsidRDefault="003524BF">
      <w:pPr>
        <w:numPr>
          <w:ilvl w:val="0"/>
          <w:numId w:val="2"/>
        </w:numPr>
        <w:spacing w:after="120" w:line="240" w:lineRule="auto"/>
        <w:jc w:val="both"/>
        <w:rPr>
          <w:rFonts w:ascii="Times New Roman" w:eastAsia="Calibri" w:hAnsi="Times New Roman" w:cs="Times New Roman"/>
          <w:bCs/>
          <w:noProof/>
          <w:color w:val="000000"/>
          <w:sz w:val="24"/>
          <w:szCs w:val="24"/>
          <w:lang w:val="en-GB"/>
        </w:rPr>
      </w:pPr>
      <w:r>
        <w:rPr>
          <w:rFonts w:ascii="Times New Roman" w:eastAsia="Calibri" w:hAnsi="Times New Roman" w:cs="Times New Roman"/>
          <w:bCs/>
          <w:noProof/>
          <w:color w:val="000000"/>
          <w:sz w:val="24"/>
          <w:szCs w:val="24"/>
          <w:lang w:val="en-GB"/>
        </w:rPr>
        <w:t>Four further (sub-)acti</w:t>
      </w:r>
      <w:r>
        <w:rPr>
          <w:rFonts w:ascii="Times New Roman" w:eastAsia="Calibri" w:hAnsi="Times New Roman" w:cs="Times New Roman"/>
          <w:bCs/>
          <w:noProof/>
          <w:color w:val="000000"/>
          <w:sz w:val="24"/>
          <w:szCs w:val="24"/>
          <w:lang w:val="en-GB"/>
        </w:rPr>
        <w:t>ons were referred to in some of the contributions</w:t>
      </w:r>
      <w:r>
        <w:rPr>
          <w:rFonts w:ascii="Times New Roman" w:eastAsia="Calibri" w:hAnsi="Times New Roman" w:cs="Times New Roman"/>
          <w:noProof/>
          <w:color w:val="000000"/>
          <w:sz w:val="24"/>
          <w:szCs w:val="24"/>
          <w:lang w:val="en-GB"/>
        </w:rPr>
        <w:t xml:space="preserve"> (12 to 22 position papers and responses to open questions): 1c ‘identify events to inform about organics’; 9a ‘assess Member State circumstances and needs’; 15 ‘design measures for organic farming with spec</w:t>
      </w:r>
      <w:r>
        <w:rPr>
          <w:rFonts w:ascii="Times New Roman" w:eastAsia="Calibri" w:hAnsi="Times New Roman" w:cs="Times New Roman"/>
          <w:noProof/>
          <w:color w:val="000000"/>
          <w:sz w:val="24"/>
          <w:szCs w:val="24"/>
          <w:lang w:val="en-GB"/>
        </w:rPr>
        <w:t xml:space="preserve">ial focus on gender and social aspects’; and Action 20 ‘funding research on alternatives to contentious inputs’. The remaining 35 (sub-)actions were only referred to by few or no contributions (up to 11 position papers and responses to open questions). </w:t>
      </w:r>
    </w:p>
    <w:p w:rsidR="00740C8C" w:rsidRDefault="003524BF">
      <w:pPr>
        <w:spacing w:after="120" w:line="240" w:lineRule="auto"/>
        <w:jc w:val="both"/>
        <w:rPr>
          <w:rFonts w:ascii="Times New Roman" w:eastAsia="Calibri" w:hAnsi="Times New Roman" w:cs="Times New Roman"/>
          <w:bCs/>
          <w:noProof/>
          <w:color w:val="000000"/>
          <w:sz w:val="24"/>
          <w:szCs w:val="24"/>
          <w:lang w:val="en-GB"/>
        </w:rPr>
      </w:pPr>
      <w:r>
        <w:rPr>
          <w:rFonts w:ascii="Times New Roman" w:eastAsia="Calibri" w:hAnsi="Times New Roman" w:cs="Times New Roman"/>
          <w:noProof/>
          <w:color w:val="000000"/>
          <w:sz w:val="24"/>
          <w:szCs w:val="24"/>
          <w:lang w:val="en-GB"/>
        </w:rPr>
        <w:t>Th</w:t>
      </w:r>
      <w:r>
        <w:rPr>
          <w:rFonts w:ascii="Times New Roman" w:eastAsia="Calibri" w:hAnsi="Times New Roman" w:cs="Times New Roman"/>
          <w:noProof/>
          <w:color w:val="000000"/>
          <w:sz w:val="24"/>
          <w:szCs w:val="24"/>
          <w:lang w:val="en-GB"/>
        </w:rPr>
        <w:t xml:space="preserve">e qualitative responses also provided additional specifications for the actions proposed in the Organic Action Plan. </w:t>
      </w:r>
      <w:r>
        <w:rPr>
          <w:rFonts w:ascii="Times New Roman" w:eastAsia="Calibri" w:hAnsi="Times New Roman" w:cs="Times New Roman"/>
          <w:bCs/>
          <w:noProof/>
          <w:color w:val="000000"/>
          <w:sz w:val="24"/>
          <w:szCs w:val="24"/>
          <w:lang w:val="en-GB"/>
        </w:rPr>
        <w:t>Respondents proposed ideas for actions and sub-actions. At the same time, respondents provided input on how to implement concretely the dif</w:t>
      </w:r>
      <w:r>
        <w:rPr>
          <w:rFonts w:ascii="Times New Roman" w:eastAsia="Calibri" w:hAnsi="Times New Roman" w:cs="Times New Roman"/>
          <w:bCs/>
          <w:noProof/>
          <w:color w:val="000000"/>
          <w:sz w:val="24"/>
          <w:szCs w:val="24"/>
          <w:lang w:val="en-GB"/>
        </w:rPr>
        <w:t xml:space="preserve">ferent actions and sub-actions. </w:t>
      </w:r>
    </w:p>
    <w:p w:rsidR="00740C8C" w:rsidRDefault="003524BF">
      <w:pPr>
        <w:spacing w:after="120" w:line="240" w:lineRule="auto"/>
        <w:jc w:val="both"/>
        <w:rPr>
          <w:rFonts w:ascii="Times New Roman" w:eastAsia="Arial" w:hAnsi="Times New Roman" w:cs="Times New Roman"/>
          <w:noProof/>
          <w:color w:val="000000"/>
          <w:sz w:val="24"/>
          <w:szCs w:val="24"/>
          <w:lang w:val="en-GB"/>
        </w:rPr>
      </w:pPr>
      <w:r>
        <w:rPr>
          <w:rFonts w:ascii="Times New Roman" w:eastAsia="Arial" w:hAnsi="Times New Roman" w:cs="Times New Roman"/>
          <w:bCs/>
          <w:noProof/>
          <w:color w:val="000000"/>
          <w:sz w:val="24"/>
          <w:szCs w:val="24"/>
          <w:lang w:val="en-GB"/>
        </w:rPr>
        <w:t xml:space="preserve">Contributors provided divergent opinions on the role of retailers in the organic value chain. In relation to increasing demand </w:t>
      </w:r>
      <w:r>
        <w:rPr>
          <w:rFonts w:ascii="Times New Roman" w:eastAsia="Arial" w:hAnsi="Times New Roman" w:cs="Times New Roman"/>
          <w:noProof/>
          <w:color w:val="000000"/>
          <w:sz w:val="24"/>
          <w:szCs w:val="24"/>
          <w:lang w:val="en-GB"/>
        </w:rPr>
        <w:t xml:space="preserve">for, </w:t>
      </w:r>
      <w:r>
        <w:rPr>
          <w:rFonts w:ascii="Times New Roman" w:eastAsia="Arial" w:hAnsi="Times New Roman" w:cs="Times New Roman"/>
          <w:bCs/>
          <w:noProof/>
          <w:color w:val="000000"/>
          <w:sz w:val="24"/>
          <w:szCs w:val="24"/>
          <w:lang w:val="en-GB"/>
        </w:rPr>
        <w:t>and consumption of, organic products, contributors saw a n</w:t>
      </w:r>
      <w:r>
        <w:rPr>
          <w:rFonts w:ascii="Times New Roman" w:eastAsia="Arial" w:hAnsi="Times New Roman" w:cs="Times New Roman"/>
          <w:noProof/>
          <w:color w:val="000000"/>
          <w:sz w:val="24"/>
          <w:szCs w:val="24"/>
          <w:lang w:val="en-GB"/>
        </w:rPr>
        <w:t>eed to ensure the affordability o</w:t>
      </w:r>
      <w:r>
        <w:rPr>
          <w:rFonts w:ascii="Times New Roman" w:eastAsia="Arial" w:hAnsi="Times New Roman" w:cs="Times New Roman"/>
          <w:noProof/>
          <w:color w:val="000000"/>
          <w:sz w:val="24"/>
          <w:szCs w:val="24"/>
          <w:lang w:val="en-GB"/>
        </w:rPr>
        <w:t>f organic products for consumers while ensuring profitability for producers; and to ensure local accessibility of (quality) organic products. Other actions mentioned related to the structure of the organic distribution network and price competition and ask</w:t>
      </w:r>
      <w:r>
        <w:rPr>
          <w:rFonts w:ascii="Times New Roman" w:eastAsia="Arial" w:hAnsi="Times New Roman" w:cs="Times New Roman"/>
          <w:noProof/>
          <w:color w:val="000000"/>
          <w:sz w:val="24"/>
          <w:szCs w:val="24"/>
          <w:lang w:val="en-GB"/>
        </w:rPr>
        <w:t xml:space="preserve">ed for measures that avoid independent retailers being disadvantaged. Certification was also seen as an indirect obstacle to the distribution of organic food. </w:t>
      </w:r>
    </w:p>
    <w:p w:rsidR="00740C8C" w:rsidRDefault="003524BF">
      <w:pPr>
        <w:spacing w:after="120" w:line="240" w:lineRule="auto"/>
        <w:jc w:val="both"/>
        <w:rPr>
          <w:noProof/>
          <w:lang w:val="en-GB"/>
        </w:rPr>
      </w:pPr>
      <w:r>
        <w:rPr>
          <w:rFonts w:ascii="Times New Roman" w:eastAsia="Calibri" w:hAnsi="Times New Roman" w:cs="Times New Roman"/>
          <w:noProof/>
          <w:color w:val="000000"/>
          <w:sz w:val="24"/>
          <w:szCs w:val="24"/>
          <w:lang w:val="en-GB"/>
        </w:rPr>
        <w:t>General concerns relating to aspects covered in the draft Organic Action Plan were also raised b</w:t>
      </w:r>
      <w:r>
        <w:rPr>
          <w:rFonts w:ascii="Times New Roman" w:eastAsia="Calibri" w:hAnsi="Times New Roman" w:cs="Times New Roman"/>
          <w:noProof/>
          <w:color w:val="000000"/>
          <w:sz w:val="24"/>
          <w:szCs w:val="24"/>
          <w:lang w:val="en-GB"/>
        </w:rPr>
        <w:t>y about a quarter of all contributors. They included aspects related to strategies, targets and the monitoring of both, the regulatory framework related to organic agriculture (e.g., inconsistencies, exclusion of certain products), controversial opinions o</w:t>
      </w:r>
      <w:r>
        <w:rPr>
          <w:rFonts w:ascii="Times New Roman" w:eastAsia="Calibri" w:hAnsi="Times New Roman" w:cs="Times New Roman"/>
          <w:noProof/>
          <w:color w:val="000000"/>
          <w:sz w:val="24"/>
          <w:szCs w:val="24"/>
          <w:lang w:val="en-GB"/>
        </w:rPr>
        <w:t>n the contribution of organic farming to global issues of sustainability, questions about the general policy approach, and consumers and demand.</w:t>
      </w:r>
      <w:bookmarkEnd w:id="1"/>
    </w:p>
    <w:sectPr w:rsidR="00740C8C">
      <w:headerReference w:type="even" r:id="rId18"/>
      <w:headerReference w:type="default" r:id="rId19"/>
      <w:footerReference w:type="even" r:id="rId20"/>
      <w:footerReference w:type="default" r:id="rId21"/>
      <w:headerReference w:type="first" r:id="rId22"/>
      <w:footerReference w:type="first" r:id="rId23"/>
      <w:pgSz w:w="11906" w:h="16838"/>
      <w:pgMar w:top="1020" w:right="1226" w:bottom="1020" w:left="1587" w:header="50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C8C" w:rsidRDefault="003524BF">
      <w:pPr>
        <w:spacing w:after="0" w:line="240" w:lineRule="auto"/>
      </w:pPr>
      <w:r>
        <w:separator/>
      </w:r>
    </w:p>
  </w:endnote>
  <w:endnote w:type="continuationSeparator" w:id="0">
    <w:p w:rsidR="00740C8C" w:rsidRDefault="0035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BF" w:rsidRPr="003524BF" w:rsidRDefault="003524BF" w:rsidP="00352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BF" w:rsidRPr="003524BF" w:rsidRDefault="003524BF" w:rsidP="003524BF">
    <w:pPr>
      <w:pStyle w:val="FooterCoverPage"/>
      <w:rPr>
        <w:rFonts w:ascii="Arial" w:hAnsi="Arial" w:cs="Arial"/>
        <w:b/>
        <w:sz w:val="48"/>
      </w:rPr>
    </w:pPr>
    <w:r w:rsidRPr="003524BF">
      <w:rPr>
        <w:rFonts w:ascii="Arial" w:hAnsi="Arial" w:cs="Arial"/>
        <w:b/>
        <w:sz w:val="48"/>
      </w:rPr>
      <w:t>EN</w:t>
    </w:r>
    <w:r w:rsidRPr="003524BF">
      <w:rPr>
        <w:rFonts w:ascii="Arial" w:hAnsi="Arial" w:cs="Arial"/>
        <w:b/>
        <w:sz w:val="48"/>
      </w:rPr>
      <w:tab/>
    </w:r>
    <w:r w:rsidRPr="003524BF">
      <w:rPr>
        <w:rFonts w:ascii="Arial" w:hAnsi="Arial" w:cs="Arial"/>
        <w:b/>
        <w:sz w:val="48"/>
      </w:rPr>
      <w:tab/>
    </w:r>
    <w:r w:rsidRPr="003524BF">
      <w:tab/>
    </w:r>
    <w:r w:rsidRPr="003524B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BF" w:rsidRPr="003524BF" w:rsidRDefault="003524BF" w:rsidP="003524B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Default="003524BF">
    <w:pPr>
      <w:pStyle w:val="FooterLine"/>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PAGE   \* MERGEFORMAT</w:instrText>
    </w:r>
    <w:r>
      <w:rPr>
        <w:rFonts w:ascii="Times New Roman" w:hAnsi="Times New Roman"/>
        <w:sz w:val="20"/>
      </w:rPr>
      <w:fldChar w:fldCharType="separate"/>
    </w:r>
    <w:r>
      <w:rPr>
        <w:rFonts w:ascii="Times New Roman" w:hAnsi="Times New Roman"/>
        <w:noProof/>
        <w:sz w:val="20"/>
      </w:rPr>
      <w:t>24</w:t>
    </w:r>
    <w:r>
      <w:rPr>
        <w:rFonts w:ascii="Times New Roman" w:hAnsi="Times New Roman"/>
        <w:sz w:val="20"/>
      </w:rPr>
      <w:fldChar w:fldCharType="end"/>
    </w:r>
  </w:p>
  <w:p w:rsidR="00740C8C" w:rsidRDefault="00740C8C"/>
  <w:p w:rsidR="00740C8C" w:rsidRDefault="00740C8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Default="003524BF">
    <w:pPr>
      <w:pStyle w:val="FooterLine"/>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PAGE   \* MERGEFORMAT</w:instrText>
    </w:r>
    <w:r>
      <w:rPr>
        <w:rFonts w:ascii="Times New Roman" w:hAnsi="Times New Roman"/>
        <w:sz w:val="20"/>
      </w:rPr>
      <w:fldChar w:fldCharType="separate"/>
    </w:r>
    <w:r>
      <w:rPr>
        <w:rFonts w:ascii="Times New Roman" w:hAnsi="Times New Roman"/>
        <w:noProof/>
        <w:sz w:val="20"/>
      </w:rPr>
      <w:t>7</w:t>
    </w:r>
    <w:r>
      <w:rPr>
        <w:rFonts w:ascii="Times New Roman" w:hAnsi="Times New Roman"/>
        <w:sz w:val="20"/>
      </w:rPr>
      <w:fldChar w:fldCharType="end"/>
    </w:r>
  </w:p>
  <w:p w:rsidR="00740C8C" w:rsidRDefault="00740C8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300248"/>
      <w:docPartObj>
        <w:docPartGallery w:val="Page Numbers (Bottom of Page)"/>
        <w:docPartUnique/>
      </w:docPartObj>
    </w:sdtPr>
    <w:sdtEndPr>
      <w:rPr>
        <w:noProof/>
      </w:rPr>
    </w:sdtEndPr>
    <w:sdtContent>
      <w:p w:rsidR="00740C8C" w:rsidRDefault="003524B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40C8C" w:rsidRDefault="00740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C8C" w:rsidRDefault="003524BF">
      <w:pPr>
        <w:spacing w:after="0" w:line="240" w:lineRule="auto"/>
      </w:pPr>
      <w:r>
        <w:separator/>
      </w:r>
    </w:p>
  </w:footnote>
  <w:footnote w:type="continuationSeparator" w:id="0">
    <w:p w:rsidR="00740C8C" w:rsidRDefault="00352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BF" w:rsidRPr="003524BF" w:rsidRDefault="003524BF" w:rsidP="00352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BF" w:rsidRPr="003524BF" w:rsidRDefault="003524BF" w:rsidP="003524B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BF" w:rsidRPr="003524BF" w:rsidRDefault="003524BF" w:rsidP="003524B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Default="00740C8C">
    <w:pPr>
      <w:pStyle w:val="Header"/>
    </w:pPr>
  </w:p>
  <w:p w:rsidR="00740C8C" w:rsidRDefault="00740C8C"/>
  <w:p w:rsidR="00740C8C" w:rsidRDefault="00740C8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Default="00740C8C">
    <w:pPr>
      <w:pStyle w:val="Header"/>
    </w:pPr>
  </w:p>
  <w:p w:rsidR="00740C8C" w:rsidRDefault="00740C8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Default="00740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5D46"/>
    <w:multiLevelType w:val="hybridMultilevel"/>
    <w:tmpl w:val="0EA8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BD7AB8"/>
    <w:multiLevelType w:val="hybridMultilevel"/>
    <w:tmpl w:val="882C6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w:docVar w:name="LW_CORRIGENDUM" w:val="&lt;UNUSED&gt;"/>
    <w:docVar w:name="LW_COVERPAGE_EXISTS" w:val="True"/>
    <w:docVar w:name="LW_COVERPAGE_GUID" w:val="457CCC65-E296-42C1-9213-688B40023914"/>
    <w:docVar w:name="LW_COVERPAGE_TYPE" w:val="1"/>
    <w:docVar w:name="LW_CROSSREFERENCE" w:val="{COM(2021) 141 final}"/>
    <w:docVar w:name="LW_DocType" w:val="NORMAL"/>
    <w:docVar w:name="LW_EMISSION" w:val="25.3.2021"/>
    <w:docVar w:name="LW_EMISSION_ISODATE" w:val="2021-03-25"/>
    <w:docVar w:name="LW_EMISSION_LOCATION" w:val="BRX"/>
    <w:docVar w:name="LW_EMISSION_PREFIX" w:val="Brussels, "/>
    <w:docVar w:name="LW_EMISSION_SUFFIX" w:val=" "/>
    <w:docVar w:name="LW_ID_DOCTYPE_NONLW" w:val="CP-063"/>
    <w:docVar w:name="LW_LANGUE" w:val="EN"/>
    <w:docVar w:name="LW_LEVEL_OF_SENSITIVITY" w:val="Standard treatment"/>
    <w:docVar w:name="LW_NOM.INST" w:val="EUROPEAN COMMISSION"/>
    <w:docVar w:name="LW_NOM.INST_JOINTDOC" w:val="&lt;EMPTY&gt;"/>
    <w:docVar w:name="LW_OBJETACTEPRINCIPAL.CP" w:val="&lt;FMT:Bold&gt;on an Action Plan for the Development of  Organic Production&lt;/FMT&gt;"/>
    <w:docVar w:name="LW_PART_NBR" w:val="1"/>
    <w:docVar w:name="LW_PART_NBR_TOTAL" w:val="1"/>
    <w:docVar w:name="LW_REF.INST.NEW" w:val="SWD"/>
    <w:docVar w:name="LW_REF.INST.NEW_ADOPTED" w:val="final"/>
    <w:docVar w:name="LW_REF.INST.NEW_TEXT" w:val="(2021) 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 "/>
    <w:docVar w:name="LW_TYPE.DOC.CP" w:val="COMMISSION STAFF WORKING DOCUMENT_x000b__x000b_STAKEHOLDER CONSULTATION - SYNOPSIS REPORT_x000b_"/>
    <w:docVar w:name="LW_TYPEACTEPRINCIPAL.CP" w:val="Communication from the Commission to the European Parliament, the Council, the European Economic and Social Committee and the Committee of the Regions "/>
  </w:docVars>
  <w:rsids>
    <w:rsidRoot w:val="00740C8C"/>
    <w:rsid w:val="003524BF"/>
    <w:rsid w:val="00740C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76A96F8-7A31-4C67-9590-7BD732F7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FooterLine">
    <w:name w:val="Footer Line"/>
    <w:basedOn w:val="Footer"/>
    <w:next w:val="Footer"/>
    <w:uiPriority w:val="99"/>
    <w:pPr>
      <w:tabs>
        <w:tab w:val="clear" w:pos="4513"/>
        <w:tab w:val="clear" w:pos="9026"/>
        <w:tab w:val="right" w:pos="8646"/>
      </w:tabs>
      <w:spacing w:before="120"/>
    </w:pPr>
    <w:rPr>
      <w:rFonts w:ascii="Arial" w:eastAsia="Times New Roman" w:hAnsi="Arial" w:cs="Times New Roman"/>
      <w:sz w:val="16"/>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2637</Words>
  <Characters>14952</Characters>
  <Application>Microsoft Office Word</Application>
  <DocSecurity>0</DocSecurity>
  <Lines>219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19</cp:revision>
  <cp:lastPrinted>2021-03-16T11:51:00Z</cp:lastPrinted>
  <dcterms:created xsi:type="dcterms:W3CDTF">2021-03-24T17:15:00Z</dcterms:created>
  <dcterms:modified xsi:type="dcterms:W3CDTF">2021-03-24T18:31:00Z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CP-063</vt:lpwstr>
  </property>
  <property fmtid="{D5CDD505-2E9C-101B-9397-08002B2CF9AE}" pid="7" name="Last edited using">
    <vt:lpwstr>LW 7.0, Build 20190717</vt:lpwstr>
  </property>
  <property fmtid="{D5CDD505-2E9C-101B-9397-08002B2CF9AE}" pid="8" name="Created using">
    <vt:lpwstr>LW 7.0, Build 20190717</vt:lpwstr>
  </property>
</Properties>
</file>