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AB35D7-68EA-48CC-BC63-1C7A86212CC1" style="width:450.75pt;height:366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2"/>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определени форми на отклонение от данъчно облагане или избягване на данъци.</w:t>
      </w:r>
    </w:p>
    <w:p>
      <w:pPr>
        <w:widowControl w:val="0"/>
        <w:shd w:val="clear" w:color="auto" w:fill="FFFFFF"/>
        <w:autoSpaceDE w:val="0"/>
        <w:autoSpaceDN w:val="0"/>
        <w:adjustRightInd w:val="0"/>
        <w:spacing w:before="230" w:after="0" w:line="269" w:lineRule="exact"/>
        <w:rPr>
          <w:noProof/>
        </w:rPr>
      </w:pPr>
      <w:r>
        <w:rPr>
          <w:noProof/>
        </w:rPr>
        <w:t>С писмо, заведено в Комисията на 20 октомври 2020 г., Малта поиска разрешение да увеличи прага на съществуваща мярка за дерогация от член 287 от Директивата за ДДС с цел освобождаване от ДДС на данъчно задължените лица, чийто годишен оборот не надвишава 30 000 EUR, до 31 декември 2024 г. Комисията поиска допълнителна информация във връзка с искането, която беше предоставена с писмо, заведено в Комисията на 9 ноември 2020 г.</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2 от Директивата за ДДС, с писмо от 17 декември 2020 г. Комисията информира останалите държави членки за отправеното от Малта искане. С писмо от 18 декември 2020 г. Комисията уведоми Малта, че разполага с цялата необходима информация, за да разгледа искането.</w:t>
      </w:r>
    </w:p>
    <w:p>
      <w:pPr>
        <w:rPr>
          <w:noProof/>
        </w:rPr>
      </w:pP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дял XII, глава 1 от Директивата за ДДС е предвидена възможността държавите членки да прилагат специални режими за малките предприятия, включително тази да освобождават от облагане данъчно задължените лица, чийто годишен оборот е под определен праг. Това освобождаване означава, че данъчно задълженото лице не е длъжно да начислява ДДС върху извършваните от него доставки и следователно не може да приспада ДДС за получените от него доставки.</w:t>
      </w:r>
    </w:p>
    <w:p>
      <w:pPr>
        <w:rPr>
          <w:noProof/>
        </w:rPr>
      </w:pPr>
      <w:r>
        <w:rPr>
          <w:noProof/>
        </w:rPr>
        <w:t xml:space="preserve">По силата на член 287 от Директивата за ДДС определени държави членки, които са се присъединили след 1 януари 1978 г., могат да освободят от облагане данъчно задължените лица, чийто годишен оборот не надвишава равностойността в национална валута на посочените в същата разпоредба суми по обменния курс в деня на присъединяването им. Малта започна да използва еврото от 1 януари 2008 г. </w:t>
      </w:r>
    </w:p>
    <w:p>
      <w:pPr>
        <w:rPr>
          <w:noProof/>
        </w:rPr>
      </w:pPr>
      <w:r>
        <w:rPr>
          <w:noProof/>
        </w:rPr>
        <w:t>По силата на член 287, точка 13 от Директивата за ДДС Малта може да освободи от ДДС три категории данъчно задължени лица, а именно данъчно задължените лица, чийто годишен оборот не надвишава: 37 000 EUR – ако икономическата им дейност се състои основно в доставката на стоки; 24 300 EUR – ако икономическата им дейност се състои основно в доставката на услуги с ниска добавена стойност (с висока стойност на входящите ресурси), и 14 600 EUR – в други случаи, а именно при доставките на услуги с висока добавена стойност (с ниска стойност на входящите ресурси).</w:t>
      </w:r>
    </w:p>
    <w:p>
      <w:pPr>
        <w:rPr>
          <w:noProof/>
        </w:rPr>
      </w:pPr>
      <w:r>
        <w:rPr>
          <w:noProof/>
        </w:rPr>
        <w:t xml:space="preserve">От присъединяването си насам Малта използва тази разпоредба, за да подпомага малките предприятия и да насърчава започването на дейност от нови предприятия. Това </w:t>
      </w:r>
      <w:r>
        <w:rPr>
          <w:noProof/>
        </w:rPr>
        <w:lastRenderedPageBreak/>
        <w:t>се е доказало като полезна мярка за опростяване, тъй като с нея се премахват голяма част от задълженията във връзка с ДДС за предприятията с годишен оборот под определен размер, което води до намаление на разходите за дейността им. Същевременно въздействието върху приходите е било незначително. Малтийското правителство е решено да продължи да прилага мерки за опростяване на задълженията за малките оператори в съответствие с целите на Европейския съюз за малките предприятия, залегнали в Съобщението на Комисията „Мисли първо за малките!“ – „Small Business Act“ за Европа“</w:t>
      </w:r>
      <w:r>
        <w:rPr>
          <w:rStyle w:val="FootnoteReference"/>
          <w:noProof/>
        </w:rPr>
        <w:footnoteReference w:id="3"/>
      </w:r>
      <w:r>
        <w:rPr>
          <w:noProof/>
        </w:rPr>
        <w:t>.</w:t>
      </w:r>
    </w:p>
    <w:p>
      <w:pPr>
        <w:rPr>
          <w:noProof/>
        </w:rPr>
      </w:pPr>
      <w:r>
        <w:rPr>
          <w:noProof/>
        </w:rPr>
        <w:t>За целта, по силата на Решение за изпълнение (ЕС) 2018/279 от 20 февруари 2018 г. на Малта бе разрешено да увеличи прага за категорията с най-ниския оборот от 14 600 EUR на 20 000 EUR. С Решение за изпълнение (ЕС) 2020/1662 на Съвета от 3 ноември 2020 г.</w:t>
      </w:r>
      <w:r>
        <w:rPr>
          <w:rStyle w:val="FootnoteReference"/>
          <w:noProof/>
        </w:rPr>
        <w:footnoteReference w:id="4"/>
      </w:r>
      <w:r>
        <w:rPr>
          <w:noProof/>
        </w:rPr>
        <w:t xml:space="preserve"> на Малта бе разрешено да удължи срока на прилагане на тази мярка до 31 декември 2024 г. </w:t>
      </w:r>
    </w:p>
    <w:p>
      <w:pPr>
        <w:rPr>
          <w:noProof/>
        </w:rPr>
      </w:pPr>
      <w:r>
        <w:rPr>
          <w:noProof/>
        </w:rPr>
        <w:t>Благодарение на приемането и впоследствие въвеждането на тази специална мярка</w:t>
      </w:r>
      <w:r>
        <w:rPr>
          <w:rStyle w:val="FootnoteReference"/>
          <w:noProof/>
        </w:rPr>
        <w:footnoteReference w:id="5"/>
      </w:r>
      <w:r>
        <w:rPr>
          <w:noProof/>
        </w:rPr>
        <w:t xml:space="preserve"> в националното право на 1 юли 2018 г., над 1262 малки предприятия от тази категория по схемата за опростяване за МСП се ползват от увеличения праг за годишния оборот.</w:t>
      </w:r>
    </w:p>
    <w:p>
      <w:pPr>
        <w:pBdr>
          <w:top w:val="nil"/>
          <w:left w:val="nil"/>
          <w:bottom w:val="nil"/>
          <w:right w:val="nil"/>
          <w:between w:val="nil"/>
          <w:bar w:val="nil"/>
        </w:pBdr>
        <w:spacing w:before="0" w:after="240"/>
        <w:rPr>
          <w:rFonts w:eastAsia="Arial Unicode MS"/>
          <w:noProof/>
        </w:rPr>
      </w:pPr>
      <w:r>
        <w:rPr>
          <w:noProof/>
        </w:rPr>
        <w:t xml:space="preserve">Счита се, че с увеличаването на 30 000 EUR на прага за данъчно задължените лица, чиято икономическа дейност се състои основно в доставката на услуги с ниска добавена стойност (с висока стойност на входящите ресурси) или доставки на услуги с висока добавена стойност (с ниска стойност на входящите ресурси), мярката ще доведе до значително намаление на административната тежест за предприятията, отговарящи на условията за ползване от този режим, и особено за микропредприятията, тъй като те ще бъдат освободени от задълженията по общия режим за ДДС, като водене на регистри за ДДС или подаване на справки-декларации за ДДС. </w:t>
      </w:r>
    </w:p>
    <w:p>
      <w:pPr>
        <w:rPr>
          <w:noProof/>
        </w:rPr>
      </w:pPr>
      <w:r>
        <w:rPr>
          <w:noProof/>
        </w:rPr>
        <w:t>С помощта на специалната мярка значително са намалени административната тежест и разходите за съществена част от горепосочените малки предприятия в Малта. Освен това, благодарение на специалната мярка Малта може да заделя повече ресурси за борба с измамите с ДДС и за подобряване на правоприлагането в сегашната система на ДДС.</w:t>
      </w:r>
    </w:p>
    <w:p>
      <w:pPr>
        <w:rPr>
          <w:noProof/>
        </w:rPr>
      </w:pPr>
      <w:r>
        <w:rPr>
          <w:noProof/>
        </w:rPr>
        <w:t>Мярката за дерогация, с която се опростяват задълженията за малките оператори, е съобразена с целите на Европейския съюз по отношение на малките предприятия.</w:t>
      </w:r>
    </w:p>
    <w:p>
      <w:pPr>
        <w:pBdr>
          <w:top w:val="nil"/>
          <w:left w:val="nil"/>
          <w:bottom w:val="nil"/>
          <w:right w:val="nil"/>
          <w:between w:val="nil"/>
          <w:bar w:val="nil"/>
        </w:pBdr>
        <w:spacing w:before="0" w:after="240"/>
        <w:rPr>
          <w:rFonts w:eastAsia="Arial Unicode MS"/>
          <w:noProof/>
        </w:rPr>
      </w:pPr>
      <w:r>
        <w:rPr>
          <w:noProof/>
        </w:rPr>
        <w:t xml:space="preserve">Поради това е целесъобразно да се разреши на Малта да прилага мярката за дерогация до 31 декември 2024 г. </w:t>
      </w:r>
    </w:p>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Мярката за дерогация е съобразена с философията на Директива (ЕС) 2020/285 на Съвета</w:t>
      </w:r>
      <w:r>
        <w:rPr>
          <w:rStyle w:val="FootnoteReference"/>
          <w:noProof/>
        </w:rPr>
        <w:footnoteReference w:id="6"/>
      </w:r>
      <w:r>
        <w:rPr>
          <w:noProof/>
        </w:rPr>
        <w:t xml:space="preserve"> за изменение на членове 281—294 от Директивата за ДДС, уреждащи специалния режим за малките предприятия, която беше приета в резултат на плана за действие във връзка с ДДС</w:t>
      </w:r>
      <w:r>
        <w:rPr>
          <w:rStyle w:val="FootnoteReference"/>
          <w:rFonts w:eastAsia="Arial Unicode MS"/>
          <w:noProof/>
        </w:rPr>
        <w:footnoteReference w:id="7"/>
      </w:r>
      <w:r>
        <w:rPr>
          <w:noProof/>
        </w:rPr>
        <w:t xml:space="preserve"> и има за цел да се създаде съвременен, опростен режим за тези предприятия. По-конкретно тя има за цел да се намалят разходите за спазване на изискванията за ДДС, да се намали нарушаването на конкуренцията на национално и съюзно равнище, да се ограничи отрицателното въздействие на т.нар. „ефект на прага“ и да се улесни спазването на нормативните разпоредби от страна на предприятията, както и мониторингът от страна на данъчните администрации.</w:t>
      </w:r>
    </w:p>
    <w:p>
      <w:pPr>
        <w:pBdr>
          <w:top w:val="nil"/>
          <w:left w:val="nil"/>
          <w:bottom w:val="nil"/>
          <w:right w:val="nil"/>
          <w:between w:val="nil"/>
          <w:bar w:val="nil"/>
        </w:pBdr>
        <w:spacing w:before="0" w:after="240"/>
        <w:rPr>
          <w:noProof/>
        </w:rPr>
      </w:pPr>
      <w:r>
        <w:rPr>
          <w:noProof/>
        </w:rPr>
        <w:t>Освен това прагът от 30 000 EUR е в съответствие с Директива (ЕС) 2020/285, тъй като тя позволява на държавите членки да определят изисквания за освобождаване от ДДС праг за годишния оборот така, че този праг да не надвишава 85 000 EUR (или равностойността в националната валута).</w:t>
      </w:r>
    </w:p>
    <w:p>
      <w:pPr>
        <w:pBdr>
          <w:top w:val="nil"/>
          <w:left w:val="nil"/>
          <w:bottom w:val="nil"/>
          <w:right w:val="nil"/>
          <w:between w:val="nil"/>
          <w:bar w:val="nil"/>
        </w:pBdr>
        <w:spacing w:before="0" w:after="240"/>
        <w:rPr>
          <w:noProof/>
        </w:rPr>
      </w:pPr>
      <w:r>
        <w:rPr>
          <w:noProof/>
        </w:rPr>
        <w:t>Подобни дерогации — за освобождаване от ДДС на данъчно задължените лица, чийто годишен оборот е под определен праг, съгласно предвиденото в членове 285 и 287 от Директивата за ДДС — са предоставени и на други държави членки. Нидерландия</w:t>
      </w:r>
      <w:r>
        <w:rPr>
          <w:rStyle w:val="FootnoteReference"/>
          <w:rFonts w:eastAsia="Arial Unicode MS"/>
          <w:noProof/>
        </w:rPr>
        <w:footnoteReference w:id="8"/>
      </w:r>
      <w:r>
        <w:rPr>
          <w:noProof/>
        </w:rPr>
        <w:t xml:space="preserve"> има разрешение да прилага праг от 25 000 EUR, Италия</w:t>
      </w:r>
      <w:r>
        <w:rPr>
          <w:rStyle w:val="FootnoteReference"/>
          <w:noProof/>
        </w:rPr>
        <w:footnoteReference w:id="9"/>
      </w:r>
      <w:r>
        <w:rPr>
          <w:noProof/>
        </w:rPr>
        <w:t xml:space="preserve"> — праг от 30 000 EUR, Люксембург</w:t>
      </w:r>
      <w:r>
        <w:rPr>
          <w:rStyle w:val="FootnoteReference"/>
          <w:rFonts w:eastAsia="Arial Unicode MS"/>
          <w:noProof/>
        </w:rPr>
        <w:footnoteReference w:id="10"/>
      </w:r>
      <w:r>
        <w:rPr>
          <w:noProof/>
        </w:rPr>
        <w:t xml:space="preserve"> — праг от 35 000 EUR, Латвия</w:t>
      </w:r>
      <w:r>
        <w:rPr>
          <w:rStyle w:val="FootnoteReference"/>
          <w:noProof/>
        </w:rPr>
        <w:footnoteReference w:id="11"/>
      </w:r>
      <w:r>
        <w:rPr>
          <w:noProof/>
        </w:rPr>
        <w:t>, Полша</w:t>
      </w:r>
      <w:r>
        <w:rPr>
          <w:rStyle w:val="FootnoteReference"/>
          <w:rFonts w:eastAsia="Arial Unicode MS"/>
          <w:noProof/>
        </w:rPr>
        <w:footnoteReference w:id="12"/>
      </w:r>
      <w:r>
        <w:rPr>
          <w:noProof/>
        </w:rPr>
        <w:t xml:space="preserve"> и Естония</w:t>
      </w:r>
      <w:r>
        <w:rPr>
          <w:rStyle w:val="FootnoteReference"/>
          <w:rFonts w:eastAsia="Arial Unicode MS"/>
          <w:noProof/>
        </w:rPr>
        <w:footnoteReference w:id="13"/>
      </w:r>
      <w:r>
        <w:rPr>
          <w:noProof/>
        </w:rPr>
        <w:t xml:space="preserve"> — праг от </w:t>
      </w:r>
      <w:r>
        <w:rPr>
          <w:noProof/>
        </w:rPr>
        <w:lastRenderedPageBreak/>
        <w:t>40 000 EUR, Хърватия</w:t>
      </w:r>
      <w:r>
        <w:rPr>
          <w:rStyle w:val="FootnoteReference"/>
          <w:rFonts w:eastAsia="Arial Unicode MS"/>
          <w:noProof/>
        </w:rPr>
        <w:footnoteReference w:id="14"/>
      </w:r>
      <w:r>
        <w:rPr>
          <w:noProof/>
        </w:rPr>
        <w:t xml:space="preserve"> — праг от 45 000 EUR, а Литва</w:t>
      </w:r>
      <w:r>
        <w:rPr>
          <w:rStyle w:val="FootnoteReference"/>
          <w:rFonts w:eastAsia="Arial Unicode MS"/>
          <w:noProof/>
        </w:rPr>
        <w:footnoteReference w:id="15"/>
      </w:r>
      <w:r>
        <w:rPr>
          <w:noProof/>
        </w:rPr>
        <w:t xml:space="preserve"> — праг от 55 000 EUR, Унгария</w:t>
      </w:r>
      <w:r>
        <w:rPr>
          <w:rStyle w:val="FootnoteReference"/>
          <w:rFonts w:eastAsia="Arial Unicode MS"/>
          <w:noProof/>
        </w:rPr>
        <w:footnoteReference w:id="16"/>
      </w:r>
      <w:r>
        <w:rPr>
          <w:noProof/>
        </w:rPr>
        <w:t xml:space="preserve"> — праг от 48 000 EUR, Словения</w:t>
      </w:r>
      <w:r>
        <w:rPr>
          <w:rStyle w:val="FootnoteReference"/>
          <w:rFonts w:eastAsia="Arial Unicode MS"/>
          <w:noProof/>
        </w:rPr>
        <w:footnoteReference w:id="17"/>
      </w:r>
      <w:r>
        <w:rPr>
          <w:noProof/>
        </w:rPr>
        <w:t xml:space="preserve"> — праг от 50 000 EUR, и Румъния</w:t>
      </w:r>
      <w:r>
        <w:rPr>
          <w:rStyle w:val="FootnoteReference"/>
          <w:rFonts w:eastAsia="Arial Unicode MS"/>
          <w:noProof/>
        </w:rPr>
        <w:footnoteReference w:id="18"/>
      </w:r>
      <w:r>
        <w:rPr>
          <w:noProof/>
        </w:rPr>
        <w:t xml:space="preserve"> — праг от 88 500 EUR.</w:t>
      </w:r>
    </w:p>
    <w:p>
      <w:pPr>
        <w:pBdr>
          <w:top w:val="nil"/>
          <w:left w:val="nil"/>
          <w:bottom w:val="nil"/>
          <w:right w:val="nil"/>
          <w:between w:val="nil"/>
          <w:bar w:val="nil"/>
        </w:pBdr>
        <w:spacing w:before="0" w:after="240"/>
        <w:rPr>
          <w:noProof/>
        </w:rPr>
      </w:pPr>
      <w:r>
        <w:rPr>
          <w:noProof/>
        </w:rPr>
        <w:t>Както вече бе изтъкнато, дерогациите от Директивата за ДДС следва винаги да са ограничени във времето, за да може да бъде оценено тяхното въздействие. Поисканото от Малта включване на 31 декември 2024 г. като краен срок на действие на специалната мярка съвпада с прилагането от 1 януари 2025 г. на Директива (ЕС) 2020/285 за по</w:t>
      </w:r>
      <w:r>
        <w:rPr>
          <w:noProof/>
        </w:rPr>
        <w:noBreakHyphen/>
        <w:t xml:space="preserve">прости правила за ДДС за малките и средните предприятия. </w:t>
      </w:r>
    </w:p>
    <w:p>
      <w:pPr>
        <w:pBdr>
          <w:top w:val="nil"/>
          <w:left w:val="nil"/>
          <w:bottom w:val="nil"/>
          <w:right w:val="nil"/>
          <w:between w:val="nil"/>
          <w:bar w:val="nil"/>
        </w:pBdr>
        <w:spacing w:before="0" w:after="240"/>
        <w:rPr>
          <w:rFonts w:eastAsia="Arial Unicode MS"/>
          <w:noProof/>
        </w:rPr>
      </w:pPr>
      <w:r>
        <w:rPr>
          <w:noProof/>
        </w:rPr>
        <w:t>Следователно предложената мярка е съгласувана с разпоредбите на Директивата за ДДС.</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В своите годишни работни програми Комисията неизменно подчертава необходимостта от по-прости правила за малките предприятия. В тази връзка в работната програма на Комисията за 2020 г.</w:t>
      </w:r>
      <w:r>
        <w:rPr>
          <w:rStyle w:val="FootnoteReference"/>
          <w:rFonts w:eastAsia="Arial Unicode MS"/>
          <w:noProof/>
        </w:rPr>
        <w:footnoteReference w:id="19"/>
      </w:r>
      <w:r>
        <w:rPr>
          <w:noProof/>
        </w:rPr>
        <w:t xml:space="preserve"> се упоменава „специална стратегия за МСП, която ще улесни работата, разрастването и разширяването на дейността на малките и средните предприятия“. Мярката за дерогация е в съответствие с тези цели, доколкото са засегнати данъчните правила. В частност тя е в съответствие с работната програма на Комисията за 2017 г.</w:t>
      </w:r>
      <w:r>
        <w:rPr>
          <w:rStyle w:val="FootnoteReference"/>
          <w:rFonts w:eastAsia="Arial Unicode MS"/>
          <w:noProof/>
        </w:rPr>
        <w:footnoteReference w:id="20"/>
      </w:r>
      <w:r>
        <w:rPr>
          <w:noProof/>
        </w:rPr>
        <w:t>, в която изрично се упоменава ДДС, като се изтъква, че административната тежест за малките предприятия във връзка със спазването на изискванията за ДДС е голяма, а техническите нововъведения поставят нови предизвикателства пред ефективното събиране на данъка, поради което е нужно да се опрости системата на ДДС за по-малките предприятия.</w:t>
      </w:r>
    </w:p>
    <w:p>
      <w:pPr>
        <w:pBdr>
          <w:top w:val="nil"/>
          <w:left w:val="nil"/>
          <w:bottom w:val="nil"/>
          <w:right w:val="nil"/>
          <w:between w:val="nil"/>
          <w:bar w:val="nil"/>
        </w:pBdr>
        <w:spacing w:before="0" w:after="240"/>
        <w:rPr>
          <w:noProof/>
        </w:rPr>
      </w:pPr>
      <w:r>
        <w:rPr>
          <w:noProof/>
        </w:rPr>
        <w:lastRenderedPageBreak/>
        <w:t>Мярката е в съответствие и със стратегията от 2015 г. за единния пазар</w:t>
      </w:r>
      <w:r>
        <w:rPr>
          <w:rStyle w:val="FootnoteReference"/>
          <w:rFonts w:eastAsia="Arial Unicode MS"/>
          <w:noProof/>
        </w:rPr>
        <w:footnoteReference w:id="21"/>
      </w:r>
      <w:r>
        <w:rPr>
          <w:noProof/>
        </w:rPr>
        <w:t>, в която Комисията се ангажира да помогне на малките и средните предприятия да растат, като, наред с другото, намали административните тежести, които им пречат да се възползват в пълна степен от единния пазар. Тя следва и философията на Съобщението на Комисията от 2013 г. „План за действие „Предприемачество 2020 г.“ – Възраждане на предприемаческия дух в Европа“</w:t>
      </w:r>
      <w:r>
        <w:rPr>
          <w:rStyle w:val="FootnoteReference"/>
          <w:rFonts w:eastAsia="Arial Unicode MS"/>
          <w:noProof/>
        </w:rPr>
        <w:footnoteReference w:id="22"/>
      </w:r>
      <w:r>
        <w:rPr>
          <w:noProof/>
        </w:rPr>
        <w:t>, в което се подчертава необходимостта от опростяване на данъчното законодателство за малките предприятия.</w:t>
      </w:r>
    </w:p>
    <w:p>
      <w:pPr>
        <w:pBdr>
          <w:top w:val="nil"/>
          <w:left w:val="nil"/>
          <w:bottom w:val="nil"/>
          <w:right w:val="nil"/>
          <w:between w:val="nil"/>
          <w:bar w:val="nil"/>
        </w:pBdr>
        <w:spacing w:before="0" w:after="240"/>
        <w:rPr>
          <w:rFonts w:eastAsia="Arial Unicode MS"/>
          <w:noProof/>
        </w:rPr>
      </w:pPr>
      <w:r>
        <w:rPr>
          <w:noProof/>
        </w:rPr>
        <w:t>И накрая, мярката е в съответствие с политиките на ЕС по отношение на малките и средните предприятия, залегнали в Съобщението от 2016 г. относно стартиращите предприятия</w:t>
      </w:r>
      <w:r>
        <w:rPr>
          <w:rStyle w:val="FootnoteReference"/>
          <w:rFonts w:eastAsia="Arial Unicode MS"/>
          <w:noProof/>
        </w:rPr>
        <w:footnoteReference w:id="23"/>
      </w:r>
      <w:r>
        <w:rPr>
          <w:noProof/>
        </w:rPr>
        <w:t>, както и в Съобщението от 2008 г. „Мисли първо за малките!“ — „Small Business Act“ за Европа“</w:t>
      </w:r>
      <w:r>
        <w:rPr>
          <w:rStyle w:val="FootnoteReference"/>
          <w:rFonts w:eastAsia="Arial Unicode MS"/>
          <w:noProof/>
        </w:rPr>
        <w:footnoteReference w:id="24"/>
      </w:r>
      <w:r>
        <w:rPr>
          <w:noProof/>
        </w:rPr>
        <w:t>, в което държавите членки бяха призовани да вземат предвид особеностите на МСП при изготвянето на законодателството и да опростят съществуващата регулаторна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Style w:val="Text1"/>
        <w:ind w:left="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Предвид разпоредбата от Директивата за ДДС, на която се основава настоящото предложение, то е от изключителната компетентност на Европейския съюз. Съответно принципът на субсидиарността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Style w:val="Text1"/>
        <w:ind w:left="0"/>
        <w:rPr>
          <w:noProof/>
        </w:rPr>
      </w:pPr>
      <w:r>
        <w:rPr>
          <w:noProof/>
        </w:rPr>
        <w:t>Решението се отнася до предоставяне на разрешение на държава членка по нейно искане и не представлява задължение.</w:t>
      </w:r>
    </w:p>
    <w:p>
      <w:pPr>
        <w:pStyle w:val="Text1"/>
        <w:ind w:left="0"/>
        <w:rPr>
          <w:noProof/>
        </w:rPr>
      </w:pPr>
      <w:r>
        <w:rPr>
          <w:noProof/>
        </w:rPr>
        <w:t>Като се има предвид ограниченият обхват на дерогацията, специалната мярка е съразмерна с поставената цел, а именно опростяване на събирането на данъка за малките данъчно задължени лица и за данъчната администрация.</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 xml:space="preserve">Съгласно член 395 от Директивата за ДДС дерогация от общите правила за ДДС е възможна единствено след разрешение на Съвета, действащ с единодушие по </w:t>
      </w:r>
      <w:r>
        <w:rPr>
          <w:noProof/>
        </w:rPr>
        <w:lastRenderedPageBreak/>
        <w:t>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беше проведена консултация със заинтересованите страни. Настоящото предложение се основава на искане, отправено от Малта, и се отнася само за тази конкретна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Предложението за решение за изпълнение на Съвета има за цел сегашният праг за освобождаване да бъде увеличен от 20 000 EUR на 30 000 EUR. Това увеличение на прага представлява мярка за опростяване, с която се премахва голяма част от свързаните с ДДС задължения за предприятията с годишен оборот до 30 000 EUR. Следователно то ще окаже положително въздействие чрез намаляване на административната тежест за определен брой данъчно задължени лица, а оттам — и за данъчната администрация.</w:t>
      </w:r>
    </w:p>
    <w:p>
      <w:pPr>
        <w:pBdr>
          <w:top w:val="nil"/>
          <w:left w:val="nil"/>
          <w:bottom w:val="nil"/>
          <w:right w:val="nil"/>
          <w:between w:val="nil"/>
          <w:bar w:val="nil"/>
        </w:pBdr>
        <w:spacing w:before="0" w:after="240"/>
        <w:rPr>
          <w:noProof/>
        </w:rPr>
      </w:pPr>
      <w:r>
        <w:rPr>
          <w:noProof/>
        </w:rPr>
        <w:t>Според данните за 2019 г. броят на потенциалните данъкоплатци, които ще бъдат засегнати от това увеличение, е 1764 по отношение на услугите с висока добавена стойност (с ниска стойност на входящите ресурси) и 237 по отношение на услугите с ниска добавена стойност (с висока стойност на входящите ресурси).</w:t>
      </w:r>
    </w:p>
    <w:p>
      <w:pPr>
        <w:pBdr>
          <w:top w:val="nil"/>
          <w:left w:val="nil"/>
          <w:bottom w:val="nil"/>
          <w:right w:val="nil"/>
          <w:between w:val="nil"/>
          <w:bar w:val="nil"/>
        </w:pBdr>
        <w:spacing w:before="0" w:after="240"/>
        <w:rPr>
          <w:noProof/>
        </w:rPr>
      </w:pPr>
      <w:r>
        <w:rPr>
          <w:noProof/>
        </w:rPr>
        <w:t>Малтийските органи посочиха, че броят на търговците, които понастоящем се ползват от режима за МСП и освобождаването, е 34 585, като чрез повишаване на прага броят потенциално би могъл да възлезе на 36 586 данъкоплатци.</w:t>
      </w:r>
    </w:p>
    <w:p>
      <w:pPr>
        <w:pBdr>
          <w:top w:val="nil"/>
          <w:left w:val="nil"/>
          <w:bottom w:val="nil"/>
          <w:right w:val="nil"/>
          <w:between w:val="nil"/>
          <w:bar w:val="nil"/>
        </w:pBdr>
        <w:spacing w:before="0" w:after="240"/>
        <w:rPr>
          <w:noProof/>
        </w:rPr>
      </w:pPr>
      <w:r>
        <w:rPr>
          <w:noProof/>
        </w:rPr>
        <w:t>Процентният дял на потенциалните ползватели на режима за МСП, прилагащи прага от 30 000 EUR, от общия брой данъкоплатци в Малта би бил 34 %.</w:t>
      </w:r>
    </w:p>
    <w:p>
      <w:pPr>
        <w:pBdr>
          <w:top w:val="nil"/>
          <w:left w:val="nil"/>
          <w:bottom w:val="nil"/>
          <w:right w:val="nil"/>
          <w:between w:val="nil"/>
          <w:bar w:val="nil"/>
        </w:pBdr>
        <w:spacing w:before="0" w:after="240"/>
        <w:rPr>
          <w:noProof/>
        </w:rPr>
      </w:pPr>
      <w:r>
        <w:rPr>
          <w:noProof/>
        </w:rPr>
        <w:t>Въз основа на опростената декларация за оборота по режима за МСП през 2019 г., по разчетни данни общият размер на ДДС, изчислен по стандартната ставка и считан за несъбран (тъй като е бил под прага от 20 000 EUR), е от порядъка на 11,4 млн. EUR, което представлява 1,2 % от общия размер на приходите, събрани от ДДС в Малта през 2019 г. (944,7 млн. EUR), както е отчетено в наличните официални данни.</w:t>
      </w:r>
    </w:p>
    <w:p>
      <w:pPr>
        <w:pBdr>
          <w:top w:val="nil"/>
          <w:left w:val="nil"/>
          <w:bottom w:val="nil"/>
          <w:right w:val="nil"/>
          <w:between w:val="nil"/>
          <w:bar w:val="nil"/>
        </w:pBdr>
        <w:spacing w:before="0" w:after="240"/>
        <w:rPr>
          <w:noProof/>
        </w:rPr>
      </w:pPr>
      <w:r>
        <w:rPr>
          <w:noProof/>
        </w:rPr>
        <w:t xml:space="preserve">Чрез повишаване на прага до 30 000 EUR както за доставките на услуги с ниска добавена стойност (с висока стойност на входящите ресурси), така и за доставките на услуги с висока добавена стойност (с ниска стойност на входящите ресурси), несъбраният ДДС потенциално ще нарасне с около 3,3 млн. EUR, което по разчетни данни може да съставлява увеличение от 0,35 %. </w:t>
      </w:r>
    </w:p>
    <w:p>
      <w:pPr>
        <w:pBdr>
          <w:top w:val="nil"/>
          <w:left w:val="nil"/>
          <w:bottom w:val="nil"/>
          <w:right w:val="nil"/>
          <w:between w:val="nil"/>
          <w:bar w:val="nil"/>
        </w:pBdr>
        <w:spacing w:before="0" w:after="240"/>
        <w:rPr>
          <w:rFonts w:eastAsia="Arial Unicode MS"/>
          <w:noProof/>
        </w:rPr>
      </w:pPr>
      <w:r>
        <w:rPr>
          <w:noProof/>
        </w:rPr>
        <w:t xml:space="preserve">Лицата, чийто облагаем оборот не надвишава този праг, няма да са длъжни да се регистрират за целите на ДДС, и така в резултат на мярката административната тежест за тях ще намалее, тъй като няма да бъде необходимо да водят регистри за ДДС, нито да подават справка-декларация за ДДС. Освен това ще намалее и работното </w:t>
      </w:r>
      <w:r>
        <w:rPr>
          <w:noProof/>
        </w:rPr>
        <w:lastRenderedPageBreak/>
        <w:t xml:space="preserve">натоварване за данъчните органи. Това ще окаже евентуално положително въздействие от гледна точка на намаляване на административната тежест за данъчно задължените лица, понастоящем регистрирани за целите на ДДС в Малта, а оттам и за данъчната администрация. </w:t>
      </w:r>
    </w:p>
    <w:p>
      <w:pPr>
        <w:rPr>
          <w:noProof/>
        </w:rPr>
      </w:pPr>
      <w:r>
        <w:rPr>
          <w:noProof/>
        </w:rPr>
        <w:t xml:space="preserve">Бюджетното въздействие от гледна точка на приходите от ДДС за Малта не е значимо за приходите в националния бюджет.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никакво отражение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 тъй като Малта ще изчисли съответната компенсация по реда на член 6 от Регламент (ЕИО, Евратом) № 1553/89 на Съвета.</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25"/>
      </w:r>
      <w:r>
        <w:rPr>
          <w:noProof/>
        </w:rPr>
        <w:t xml:space="preserve">, и по-специално член 395, параграф 1, първа алинея от нея, </w:t>
      </w:r>
    </w:p>
    <w:p>
      <w:pPr>
        <w:rPr>
          <w:noProof/>
        </w:rPr>
      </w:pPr>
      <w:r>
        <w:rPr>
          <w:noProof/>
        </w:rPr>
        <w:t xml:space="preserve">като взе предвид предложението на Европейската комисия, </w:t>
      </w:r>
    </w:p>
    <w:p>
      <w:pPr>
        <w:rPr>
          <w:noProof/>
        </w:rPr>
      </w:pPr>
      <w:r>
        <w:rPr>
          <w:noProof/>
        </w:rPr>
        <w:t>като имат предвид, че:</w:t>
      </w:r>
    </w:p>
    <w:p>
      <w:pPr>
        <w:pStyle w:val="ManualConsidrant"/>
        <w:rPr>
          <w:noProof/>
        </w:rPr>
      </w:pPr>
      <w:r>
        <w:t>(1)</w:t>
      </w:r>
      <w:r>
        <w:tab/>
      </w:r>
      <w:r>
        <w:rPr>
          <w:noProof/>
        </w:rPr>
        <w:t>По силата на член 287, точка 13 от Директива 2006/112/ЕО Малта може да освободи от данък върху добавената стойност (ДДС) три категории данъчно задължени лица: тези, чийто годишен оборот не надвишава 37 000 EUR – ако икономическата им дейност се състои основно в доставката на стоки; тези, чийто годишен оборот не надвишава 24 300 EUR – ако икономическата им дейност се състои основно в доставката на услуги с ниска добавена стойност (с висока стойност на входящите ресурси),  и тези, чийто годишен оборот не надвишава 14 600 EUR – в други случаи, а именно при доставките на услуги с висока добавена стойност (с ниска стойност на входящите ресурси).</w:t>
      </w:r>
    </w:p>
    <w:p>
      <w:pPr>
        <w:pStyle w:val="ManualConsidrant"/>
        <w:rPr>
          <w:noProof/>
        </w:rPr>
      </w:pPr>
      <w:r>
        <w:t>(2)</w:t>
      </w:r>
      <w:r>
        <w:tab/>
      </w:r>
      <w:r>
        <w:rPr>
          <w:noProof/>
        </w:rPr>
        <w:t>С Решение за изпълнение (ЕС) 2018/279 на Съвета</w:t>
      </w:r>
      <w:r>
        <w:rPr>
          <w:rStyle w:val="FootnoteReference"/>
          <w:noProof/>
        </w:rPr>
        <w:footnoteReference w:id="26"/>
      </w:r>
      <w:r>
        <w:rPr>
          <w:noProof/>
        </w:rPr>
        <w:t xml:space="preserve"> на Малта е разрешено да прилага специална мярка за дерогация от член 287 от Директива 2006/112/ЕО, с която се освобождават от ДДС данъчно задължените лица, чиято икономическа дейност се състои основно в доставки на услуги с висока добавена стойност (с ниска стойност на входящите ресурси) и чийто годишен оборот не надвишава 20 000 EUR, със срок на действие до 31 декември 2024 г. </w:t>
      </w:r>
    </w:p>
    <w:p>
      <w:pPr>
        <w:pStyle w:val="ManualConsidrant"/>
        <w:rPr>
          <w:noProof/>
        </w:rPr>
      </w:pPr>
      <w:r>
        <w:t>(3)</w:t>
      </w:r>
      <w:r>
        <w:tab/>
      </w:r>
      <w:r>
        <w:rPr>
          <w:noProof/>
        </w:rPr>
        <w:t xml:space="preserve">С писмо, заведено в Комисията на 20 октомври 2020 г., Малта поиска разрешение да прилага до 31 декември 2024 г. мярка за дерогация от член 287 от Директива 2006/112/ЕО, с която се дава възможност на Малта да освободи от ДДС данъчно задължените лица, чиято икономическа дейност се състои основно в доставката на услуги с ниска добавена стойност (с висока стойност на входящите ресурси) или в доставката на услуги с висока добавена стойност (с ниска стойност на входящите ресурси) и чийто годишен оборот не надвишава </w:t>
      </w:r>
      <w:r>
        <w:rPr>
          <w:noProof/>
        </w:rPr>
        <w:lastRenderedPageBreak/>
        <w:t>30 000 EUR (наричана по-долу „мярката за дерогация“). Комисията поиска допълнителна информация във връзка с искането, която беше предоставена с писмо, заведено в Комисията на 9 ноември 2020 г.</w:t>
      </w:r>
    </w:p>
    <w:p>
      <w:pPr>
        <w:pStyle w:val="ManualConsidrant"/>
        <w:rPr>
          <w:noProof/>
        </w:rPr>
      </w:pPr>
      <w:r>
        <w:t>(4)</w:t>
      </w:r>
      <w:r>
        <w:tab/>
      </w:r>
      <w:r>
        <w:rPr>
          <w:noProof/>
        </w:rPr>
        <w:t>В съответствие с член 395, параграф 2, втора алинея от Директива 2006/112/ЕО, с писмо от 17 декември 2020 г. Комисията препрати искането на Малта до останалите държави членки. С писмо от 18 декември 2020 г. Комисията уведоми Малта, че разполага с цялата информация, необходима за разглеждане на искането.</w:t>
      </w:r>
    </w:p>
    <w:p>
      <w:pPr>
        <w:pStyle w:val="ManualConsidrant"/>
        <w:rPr>
          <w:noProof/>
        </w:rPr>
      </w:pPr>
      <w:r>
        <w:t>(5)</w:t>
      </w:r>
      <w:r>
        <w:tab/>
      </w:r>
      <w:r>
        <w:rPr>
          <w:noProof/>
        </w:rPr>
        <w:t>Като се има предвид, че се очаква увеличеният праг да доведе до намаление на задълженията във връзка с ДДС, а оттам и на административната тежест и разходите за спазване на изискванията за малките предприятия, както и до опростяване на събирането на ДДС за данъчните органи, а също така обстоятелството, че въздействието върху общите приходи от ДДС, събирани от Малта на етапа на крайното потребление, е пренебрежимо малко, следва да се разреши на Малта да прилага мярката за дерогация.</w:t>
      </w:r>
    </w:p>
    <w:p>
      <w:pPr>
        <w:pStyle w:val="ManualConsidrant"/>
        <w:rPr>
          <w:noProof/>
        </w:rPr>
      </w:pPr>
      <w:r>
        <w:t>(6)</w:t>
      </w:r>
      <w:r>
        <w:tab/>
      </w:r>
      <w:r>
        <w:rPr>
          <w:noProof/>
        </w:rPr>
        <w:t>Мярката за дерогация няма отражение върху собствените ресурси на Съюза, набирани от ДДС, тъй като Малта ще изчисли съответната компенсация по реда на член 6 от Регламент (ЕИО, Евратом) № 1553/89 на Съвета</w:t>
      </w:r>
      <w:r>
        <w:rPr>
          <w:rStyle w:val="FootnoteReference"/>
          <w:noProof/>
        </w:rPr>
        <w:footnoteReference w:id="27"/>
      </w:r>
      <w:r>
        <w:rPr>
          <w:noProof/>
        </w:rPr>
        <w:t>.</w:t>
      </w:r>
    </w:p>
    <w:p>
      <w:pPr>
        <w:pStyle w:val="ManualConsidrant"/>
        <w:rPr>
          <w:noProof/>
        </w:rPr>
      </w:pPr>
      <w:r>
        <w:t>(7)</w:t>
      </w:r>
      <w:r>
        <w:tab/>
      </w:r>
      <w:r>
        <w:rPr>
          <w:noProof/>
        </w:rPr>
        <w:t>Разрешението за прилагане на мярката за дерогация следва да бъде ограничено във времето. Ограниченият срок на действие следва да бъде достатъчен, за да позволи да бъдат оценени ефективността и целесъобразността на прага. Освен това член 287 от Директива 2006/112/ЕО е заличен с Директива (ЕС) 2020/285 на Съвета</w:t>
      </w:r>
      <w:r>
        <w:rPr>
          <w:rStyle w:val="FootnoteReference"/>
          <w:noProof/>
        </w:rPr>
        <w:footnoteReference w:id="28"/>
      </w:r>
      <w:r>
        <w:rPr>
          <w:noProof/>
        </w:rPr>
        <w:t>, с която се определят по-прости правила за ДДС за малките предприятия, считано от 1 януари 2025 г. Поради това е целесъобразно да се разреши на Малта да прилага мярката за дерогация до 31 декември 2024 г.</w:t>
      </w:r>
    </w:p>
    <w:p>
      <w:pPr>
        <w:pStyle w:val="ManualConsidrant"/>
        <w:rPr>
          <w:noProof/>
        </w:rPr>
      </w:pPr>
      <w:r>
        <w:t>(8)</w:t>
      </w:r>
      <w:r>
        <w:tab/>
      </w:r>
      <w:r>
        <w:rPr>
          <w:noProof/>
        </w:rPr>
        <w:t>Поради това Решение за изпълнение (ЕС) 2018/279 следва да бъде отменено,</w:t>
      </w:r>
      <w:r>
        <w:rPr>
          <w:noProof/>
        </w:rPr>
        <w:tab/>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 287, точка 13 от Директива 2006/112/ЕО на Малта се разрешава да освободи от ДДС данъчно задължените лица, чиято икономическа дейност се състои основно в доставката на услуги с ниска добавена стойност (с висока стойност на входящите ресурси) или в доставката на услуги с висока добавена стойност (с ниска стойност на входящите ресурси) и чийто годишен оборот не надвишава 30 000 EUR.</w:t>
      </w:r>
    </w:p>
    <w:p>
      <w:pPr>
        <w:jc w:val="center"/>
        <w:rPr>
          <w:noProof/>
        </w:rPr>
      </w:pPr>
      <w:r>
        <w:rPr>
          <w:i/>
          <w:noProof/>
        </w:rPr>
        <w:t>Член 2</w:t>
      </w:r>
    </w:p>
    <w:p>
      <w:pPr>
        <w:rPr>
          <w:noProof/>
        </w:rPr>
      </w:pPr>
      <w:r>
        <w:rPr>
          <w:noProof/>
        </w:rPr>
        <w:lastRenderedPageBreak/>
        <w:t xml:space="preserve">Решение за изпълнение (ЕС) 2018/279 се отменя. </w:t>
      </w:r>
    </w:p>
    <w:p>
      <w:pPr>
        <w:pStyle w:val="Titrearticle"/>
        <w:rPr>
          <w:noProof/>
        </w:rPr>
      </w:pPr>
      <w:r>
        <w:rPr>
          <w:noProof/>
        </w:rPr>
        <w:t>Член 3</w:t>
      </w:r>
    </w:p>
    <w:p>
      <w:pPr>
        <w:rPr>
          <w:noProof/>
        </w:rPr>
      </w:pPr>
      <w:r>
        <w:rPr>
          <w:noProof/>
        </w:rPr>
        <w:t>Настоящото решение се прилага до 31 декември 2024 г.</w:t>
      </w:r>
    </w:p>
    <w:p>
      <w:pPr>
        <w:rPr>
          <w:noProof/>
        </w:rPr>
      </w:pPr>
    </w:p>
    <w:p>
      <w:pPr>
        <w:pStyle w:val="Titrearticle"/>
        <w:rPr>
          <w:noProof/>
        </w:rPr>
      </w:pPr>
      <w:r>
        <w:rPr>
          <w:noProof/>
        </w:rPr>
        <w:t>Член 4</w:t>
      </w:r>
    </w:p>
    <w:p>
      <w:pPr>
        <w:rPr>
          <w:noProof/>
        </w:rPr>
      </w:pPr>
      <w:r>
        <w:rPr>
          <w:noProof/>
        </w:rPr>
        <w:t>Адресат на настоящото решение е Република Малта.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347, 11.12.2006 г., стр. 1.</w:t>
      </w:r>
    </w:p>
  </w:footnote>
  <w:footnote w:id="3">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„Мисли първо за малките!“ – „Small Business Act“ за Европа“, Брюксел, 25.6.2008 г., COM(2008) 394 от 25 юни 2008 г.</w:t>
      </w:r>
    </w:p>
  </w:footnote>
  <w:footnote w:id="4">
    <w:p>
      <w:pPr>
        <w:pStyle w:val="FootnoteText"/>
      </w:pPr>
      <w:r>
        <w:rPr>
          <w:rStyle w:val="FootnoteReference"/>
        </w:rPr>
        <w:footnoteRef/>
      </w:r>
      <w:r>
        <w:tab/>
        <w:t>Решение за изпълнение (EС) 2020/1662 на Съвета от 3 ноември 2020 г. за изменение на Решение за изпълнение (ЕС) 2018/279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374, 10.11.2020 г., стр. 6).</w:t>
      </w:r>
    </w:p>
  </w:footnote>
  <w:footnote w:id="5">
    <w:p>
      <w:pPr>
        <w:pStyle w:val="FootnoteText"/>
      </w:pPr>
      <w:r>
        <w:rPr>
          <w:rStyle w:val="FootnoteReference"/>
        </w:rPr>
        <w:footnoteRef/>
      </w:r>
      <w:r>
        <w:tab/>
        <w:t>Решение за изпълнение (ЕС) 2018/279 на Съвета от 20 февруари 2018 г.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54, 24.2.2018 г., стр. 14).</w:t>
      </w:r>
    </w:p>
  </w:footnote>
  <w:footnote w:id="6">
    <w:p>
      <w:pPr>
        <w:pStyle w:val="FootnoteText"/>
      </w:pPr>
      <w:r>
        <w:rPr>
          <w:rStyle w:val="FootnoteReference"/>
        </w:rPr>
        <w:footnoteRef/>
      </w:r>
      <w:r>
        <w:tab/>
        <w:t>Директива (ЕС)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(ОВ L 62, 2.3.2020 г., стр. 13).</w:t>
      </w:r>
    </w:p>
  </w:footnote>
  <w:footnote w:id="7">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footnote>
  <w:footnote w:id="8">
    <w:p>
      <w:pPr>
        <w:pStyle w:val="FootnoteText"/>
      </w:pPr>
      <w:r>
        <w:rPr>
          <w:rStyle w:val="FootnoteReference"/>
        </w:rPr>
        <w:footnoteRef/>
      </w:r>
      <w:r>
        <w:tab/>
        <w:t>Решение за изпълнение (ЕС) 2018/1904 на Съвета от 4 декември 2018 г. за предоставяне на разрешение на Нидерландия да въведе специална мярка за дерогация от член 285 от Директива 2006/112/ЕО относно общата система на данъка върху добавената стойност (ОВ L 310, 6.12.2018 г., стр. 25).</w:t>
      </w:r>
    </w:p>
  </w:footnote>
  <w:footnote w:id="9">
    <w:p>
      <w:pPr>
        <w:pStyle w:val="FootnoteText"/>
      </w:pPr>
      <w:r>
        <w:rPr>
          <w:rStyle w:val="FootnoteReference"/>
        </w:rPr>
        <w:footnoteRef/>
      </w:r>
      <w:r>
        <w:tab/>
        <w:t>Решение за изпълнение (ЕС) 2016/1988 на Съвета от 8 ноември 2016 г.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12).</w:t>
      </w:r>
    </w:p>
  </w:footnote>
  <w:footnote w:id="10">
    <w:p>
      <w:pPr>
        <w:pStyle w:val="FootnoteText"/>
      </w:pPr>
      <w:r>
        <w:rPr>
          <w:rStyle w:val="FootnoteReference"/>
        </w:rPr>
        <w:footnoteRef/>
      </w:r>
      <w:r>
        <w:tab/>
        <w:t>Решение за изпълнение (ЕС) 2019/2210 на Съвета от 19 декември 2019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332, 23.12.2019 г., стр. 155).</w:t>
      </w:r>
    </w:p>
  </w:footnote>
  <w:footnote w:id="11">
    <w:p>
      <w:pPr>
        <w:pStyle w:val="FootnoteText"/>
      </w:pPr>
      <w:r>
        <w:rPr>
          <w:rStyle w:val="FootnoteReference"/>
        </w:rPr>
        <w:footnoteRef/>
      </w:r>
      <w:r>
        <w:tab/>
        <w:t>Решение за изпълнение (ЕС) 2017/2408 на Съвета от 18 декември 2017 г.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342, 21.12.2017 г., стр. 8).</w:t>
      </w:r>
    </w:p>
  </w:footnote>
  <w:footnote w:id="12">
    <w:p>
      <w:pPr>
        <w:pStyle w:val="FootnoteText"/>
      </w:pPr>
      <w:r>
        <w:rPr>
          <w:rStyle w:val="FootnoteReference"/>
        </w:rPr>
        <w:footnoteRef/>
      </w:r>
      <w:r>
        <w:tab/>
        <w:t>Решение за изпълнение (ЕС) 2018/1919 на Съвета от 4 декември 2018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311, 7.12.2018 г., стр. 32).</w:t>
      </w:r>
    </w:p>
  </w:footnote>
  <w:footnote w:id="13">
    <w:p>
      <w:pPr>
        <w:pStyle w:val="FootnoteText"/>
      </w:pPr>
      <w:r>
        <w:rPr>
          <w:rStyle w:val="FootnoteReference"/>
        </w:rPr>
        <w:footnoteRef/>
      </w:r>
      <w:r>
        <w:tab/>
        <w:t>Решение за изпълнение (EС) 2021/358 на Съвета от 22 февруари 2021 г. за изменение на Решение за изпълнение (ЕС) 2017/563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69, 26.2.2021 г., стр. 4).</w:t>
      </w:r>
    </w:p>
  </w:footnote>
  <w:footnote w:id="14">
    <w:p>
      <w:pPr>
        <w:pStyle w:val="FootnoteText"/>
      </w:pPr>
      <w:r>
        <w:rPr>
          <w:rStyle w:val="FootnoteReference"/>
        </w:rPr>
        <w:footnoteRef/>
      </w:r>
      <w:r>
        <w:tab/>
        <w:t>Решение за изпълнение (ЕС) 2017/1768 на Съвета от 25 септември 2017 г.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250, 28.9.2017 г., стр. 71).</w:t>
      </w:r>
    </w:p>
  </w:footnote>
  <w:footnote w:id="15">
    <w:p>
      <w:pPr>
        <w:pStyle w:val="FootnoteText"/>
      </w:pPr>
      <w:r>
        <w:rPr>
          <w:rStyle w:val="FootnoteReference"/>
        </w:rPr>
        <w:footnoteRef/>
      </w:r>
      <w:r>
        <w:tab/>
        <w:t xml:space="preserve">Решение за изпълнение (ЕС) 2021/86 на Съвета от 22 януари 2021 г. за предоставяне на разрешение на Република Литва да прилага специална мярка за дерогация от член 287 от Директива 2006/112/ЕО относно общата система на данъка върху добавената стойност  (ОВ L 30, 28.1.2021 г., стр. 2). </w:t>
      </w:r>
    </w:p>
  </w:footnote>
  <w:footnote w:id="16">
    <w:p>
      <w:pPr>
        <w:pStyle w:val="FootnoteText"/>
      </w:pPr>
      <w:r>
        <w:rPr>
          <w:rStyle w:val="FootnoteReference"/>
        </w:rPr>
        <w:footnoteRef/>
      </w:r>
      <w:r>
        <w:tab/>
        <w:t>Решение за изпълнение (ЕС) 2018/1490 на Съвета от 2 октомври 2018 г. за даване на разрешение на Унгария да въведе специална мярка за дерогация от член 287 от Директива 2006/112/ЕО относно общата система на данъка върху добавената стойност (ОВ L 252, 8.10.2018 г., стр. 38).</w:t>
      </w:r>
    </w:p>
  </w:footnote>
  <w:footnote w:id="17">
    <w:p>
      <w:pPr>
        <w:pStyle w:val="FootnoteText"/>
      </w:pPr>
      <w:r>
        <w:rPr>
          <w:rStyle w:val="FootnoteReference"/>
        </w:rPr>
        <w:footnoteRef/>
      </w:r>
      <w:r>
        <w:tab/>
        <w:t>Решение за изпълнение (ЕС) 2018/1700 на Съвета от 6 ноември 2018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285, 13.11.2018 г., стр. 78).</w:t>
      </w:r>
    </w:p>
  </w:footnote>
  <w:footnote w:id="18">
    <w:p>
      <w:pPr>
        <w:pStyle w:val="FootnoteText"/>
      </w:pPr>
      <w:r>
        <w:rPr>
          <w:rStyle w:val="FootnoteReference"/>
        </w:rPr>
        <w:footnoteRef/>
      </w:r>
      <w:r>
        <w:tab/>
        <w:t>Решение за изпълнение (EС) 2020/1260 на Съвета от 4 септември 2020 г. за изменение на Решение за изпълнение (ЕС) 2017/1855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296, 10.9.2020 г., стр. 1).</w:t>
      </w:r>
      <w:r>
        <w:rPr>
          <w:highlight w:val="yellow"/>
        </w:rPr>
        <w:t xml:space="preserve"> </w:t>
      </w:r>
    </w:p>
  </w:footnote>
  <w:footnote w:id="19">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2020 г. — Съюз с по-големи амбиции“ (COM(2020) 37 final).</w:t>
      </w:r>
    </w:p>
  </w:footnote>
  <w:footnote w:id="20">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2017 г.“ (COM(2016) 710 final).</w:t>
      </w:r>
    </w:p>
  </w:footnote>
  <w:footnote w:id="21">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w:t>
      </w:r>
    </w:p>
  </w:footnote>
  <w:footnote w:id="22">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„Предприемачество 2020 г.“ – Възраждане на предприемаческия дух в Европа“ (COM(2012) 795 final).</w:t>
      </w:r>
    </w:p>
  </w:footnote>
  <w:footnote w:id="2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„Новите европейски лидери – инициатива за подкрепа на стартиращи и разрастващи се предприятия“ (COM(2016) 733 final).</w:t>
      </w:r>
    </w:p>
  </w:footnote>
  <w:footnote w:id="24">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„Мисли първо за малките!“ — „Small Business Act“ за Европа“ (COM(2008) 394 окончателен).</w:t>
      </w:r>
    </w:p>
  </w:footnote>
  <w:footnote w:id="25">
    <w:p>
      <w:pPr>
        <w:pStyle w:val="FootnoteText"/>
      </w:pPr>
      <w:r>
        <w:rPr>
          <w:rStyle w:val="FootnoteReference"/>
        </w:rPr>
        <w:footnoteRef/>
      </w:r>
      <w:r>
        <w:tab/>
        <w:t>ОВ L 347, 11.12.2006 г., стр. 1.</w:t>
      </w:r>
    </w:p>
  </w:footnote>
  <w:footnote w:id="26">
    <w:p>
      <w:pPr>
        <w:pStyle w:val="FootnoteText"/>
      </w:pPr>
      <w:r>
        <w:rPr>
          <w:rStyle w:val="FootnoteReference"/>
        </w:rPr>
        <w:footnoteRef/>
      </w:r>
      <w:r>
        <w:tab/>
        <w:t>Решение за изпълнение (ЕС) 2018/279 на Съвета от 20 февруари 2018 г.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54, 24.2.2018 г., стр. 14).</w:t>
      </w:r>
    </w:p>
  </w:footnote>
  <w:footnote w:id="27">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 w:id="28">
    <w:p>
      <w:pPr>
        <w:pStyle w:val="FootnoteText"/>
      </w:pPr>
      <w:r>
        <w:rPr>
          <w:rStyle w:val="FootnoteReference"/>
        </w:rPr>
        <w:footnoteRef/>
      </w:r>
      <w:r>
        <w:tab/>
        <w:t>Директива (ЕС)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(ОВ L 62, 2.3.2020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DC8A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7E01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F6A8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A04C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2C16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A237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BE43F4"/>
    <w:lvl w:ilvl="0">
      <w:start w:val="1"/>
      <w:numFmt w:val="decimal"/>
      <w:pStyle w:val="ListNumber"/>
      <w:lvlText w:val="%1."/>
      <w:lvlJc w:val="left"/>
      <w:pPr>
        <w:tabs>
          <w:tab w:val="num" w:pos="360"/>
        </w:tabs>
        <w:ind w:left="360" w:hanging="360"/>
      </w:pPr>
    </w:lvl>
  </w:abstractNum>
  <w:abstractNum w:abstractNumId="7">
    <w:nsid w:val="FFFFFF89"/>
    <w:multiLevelType w:val="singleLevel"/>
    <w:tmpl w:val="CC7AE2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532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2 08:52: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AB35D7-68EA-48CC-BC63-1C7A86212CC1"/>
    <w:docVar w:name="LW_COVERPAGE_TYPE" w:val="1"/>
    <w:docVar w:name="LW_CROSSREFERENCE" w:val="&lt;UNUSED&gt;"/>
    <w:docVar w:name="LW_DocType" w:val="COM"/>
    <w:docVar w:name="LW_EMISSION" w:val="29.3.2021"/>
    <w:docVar w:name="LW_EMISSION_ISODATE" w:val="2021-03-29"/>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3"/>
    <w:docVar w:name="LW_REF.II.NEW.CP_YEAR" w:val="2021"/>
    <w:docVar w:name="LW_REF.INST.NEW" w:val="COM"/>
    <w:docVar w:name="LW_REF.INST.NEW_ADOPTED" w:val="final"/>
    <w:docVar w:name="LW_REF.INST.NEW_TEXT" w:val="(2021) 1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2?\u1072?\u1083?\u1090?\u1072? \u1076?\u1072? \u1087?\u1088?\u1080?\u1083?\u1072?\u1075?\u1072? \u1089?\u1087?\u1077?\u1094?\u1080?\u1072?\u1083?\u1085?\u1072?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4865">
      <w:bodyDiv w:val="1"/>
      <w:marLeft w:val="0"/>
      <w:marRight w:val="0"/>
      <w:marTop w:val="0"/>
      <w:marBottom w:val="0"/>
      <w:divBdr>
        <w:top w:val="none" w:sz="0" w:space="0" w:color="auto"/>
        <w:left w:val="none" w:sz="0" w:space="0" w:color="auto"/>
        <w:bottom w:val="none" w:sz="0" w:space="0" w:color="auto"/>
        <w:right w:val="none" w:sz="0" w:space="0" w:color="auto"/>
      </w:divBdr>
    </w:div>
    <w:div w:id="927731724">
      <w:bodyDiv w:val="1"/>
      <w:marLeft w:val="0"/>
      <w:marRight w:val="0"/>
      <w:marTop w:val="0"/>
      <w:marBottom w:val="0"/>
      <w:divBdr>
        <w:top w:val="none" w:sz="0" w:space="0" w:color="auto"/>
        <w:left w:val="none" w:sz="0" w:space="0" w:color="auto"/>
        <w:bottom w:val="none" w:sz="0" w:space="0" w:color="auto"/>
        <w:right w:val="none" w:sz="0" w:space="0" w:color="auto"/>
      </w:divBdr>
    </w:div>
    <w:div w:id="949816716">
      <w:bodyDiv w:val="1"/>
      <w:marLeft w:val="0"/>
      <w:marRight w:val="0"/>
      <w:marTop w:val="0"/>
      <w:marBottom w:val="0"/>
      <w:divBdr>
        <w:top w:val="none" w:sz="0" w:space="0" w:color="auto"/>
        <w:left w:val="none" w:sz="0" w:space="0" w:color="auto"/>
        <w:bottom w:val="none" w:sz="0" w:space="0" w:color="auto"/>
        <w:right w:val="none" w:sz="0" w:space="0" w:color="auto"/>
      </w:divBdr>
    </w:div>
    <w:div w:id="13270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CED2C8-4555-4CC6-8477-AF4020A0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2887</Words>
  <Characters>15419</Characters>
  <Application>Microsoft Office Word</Application>
  <DocSecurity>0</DocSecurity>
  <Lines>285</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2021-03-19T15:57:00Z</dcterms:created>
  <dcterms:modified xsi:type="dcterms:W3CDTF">2021-03-22T07:52:00Z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