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C31875E-B381-4290-816D-E6C5EB915B4C" style="width:450.8pt;height:366.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spacing w:before="100" w:beforeAutospacing="1" w:after="100" w:afterAutospacing="1"/>
        <w:rPr>
          <w:noProof/>
        </w:rPr>
      </w:pPr>
      <w:r>
        <w:rPr>
          <w:noProof/>
        </w:rPr>
        <w:t xml:space="preserve">Comme le Conseil l'y avait autorisée le 9 décembre 2008, la Commission a négocié l’accord euro-méditerranéen relatif aux services aériens entre l'Union européenne et ses États membres, d’une part, et la République tunisienne, d'autre part. </w:t>
      </w:r>
    </w:p>
    <w:p>
      <w:pPr>
        <w:spacing w:before="100" w:beforeAutospacing="1" w:after="100" w:afterAutospacing="1"/>
        <w:rPr>
          <w:noProof/>
        </w:rPr>
      </w:pPr>
      <w:r>
        <w:rPr>
          <w:noProof/>
        </w:rPr>
        <w:t>Les services aériens entre l’Union européenne et la Tunisie sont actuellement exploités sur la base d'accords bilatéraux conclus entre les différents États membres et la Tunisie.</w:t>
      </w:r>
    </w:p>
    <w:p>
      <w:pPr>
        <w:spacing w:before="100" w:beforeAutospacing="1" w:after="100" w:afterAutospacing="1"/>
        <w:rPr>
          <w:noProof/>
        </w:rPr>
      </w:pPr>
      <w:r>
        <w:rPr>
          <w:noProof/>
        </w:rPr>
        <w:t>L’un des éléments de la politique extérieure de l’UE en matière de transport aérien consiste à négocier des accords globaux relatifs aux services aériens avec des pays voisins lorsque la valeur ajoutée et les avantages économiques de ces accords ont été démontrés. L’accord vise notamment:</w:t>
      </w:r>
    </w:p>
    <w:p>
      <w:pPr>
        <w:autoSpaceDE w:val="0"/>
        <w:autoSpaceDN w:val="0"/>
        <w:adjustRightInd w:val="0"/>
        <w:spacing w:before="100" w:beforeAutospacing="1" w:after="100" w:afterAutospacing="1"/>
        <w:rPr>
          <w:noProof/>
        </w:rPr>
      </w:pPr>
      <w:r>
        <w:rPr>
          <w:noProof/>
        </w:rPr>
        <w:t>- l’ouverture progressive du marché en ce qui concerne l’accès aux routes et aux capacités sur une base de réciprocité;</w:t>
      </w:r>
    </w:p>
    <w:p>
      <w:pPr>
        <w:autoSpaceDE w:val="0"/>
        <w:autoSpaceDN w:val="0"/>
        <w:adjustRightInd w:val="0"/>
        <w:spacing w:before="100" w:beforeAutospacing="1" w:after="100" w:afterAutospacing="1"/>
        <w:rPr>
          <w:noProof/>
        </w:rPr>
      </w:pPr>
      <w:r>
        <w:rPr>
          <w:noProof/>
        </w:rPr>
        <w:t>- la garantie que la convergence des réglementations est assurée et que la législation de l’UE dans le domaine de l’aviation est respectée de manière effective par la Tunisie; et</w:t>
      </w:r>
    </w:p>
    <w:p>
      <w:pPr>
        <w:spacing w:before="100" w:beforeAutospacing="1" w:after="100" w:afterAutospacing="1"/>
        <w:rPr>
          <w:noProof/>
        </w:rPr>
      </w:pPr>
      <w:r>
        <w:rPr>
          <w:noProof/>
        </w:rPr>
        <w:t>- l'absence de discrimination et l'existence de conditions de concurrence équitables pour les opérateurs économiques.</w:t>
      </w:r>
    </w:p>
    <w:p>
      <w:pPr>
        <w:pStyle w:val="ManualHeading2"/>
        <w:rPr>
          <w:rFonts w:eastAsia="Arial Unicode MS"/>
          <w:noProof/>
          <w:highlight w:val="yellow"/>
        </w:rPr>
      </w:pPr>
      <w:r>
        <w:rPr>
          <w:noProof/>
          <w:color w:val="000000"/>
          <w:u w:color="000000"/>
          <w:bdr w:val="nil"/>
        </w:rPr>
        <w:t>•</w:t>
      </w:r>
      <w:r>
        <w:rPr>
          <w:noProof/>
        </w:rPr>
        <w:tab/>
      </w:r>
      <w:r>
        <w:rPr>
          <w:noProof/>
          <w:color w:val="000000"/>
          <w:u w:color="000000"/>
          <w:bdr w:val="nil"/>
        </w:rPr>
        <w:t>Contexte général</w:t>
      </w:r>
    </w:p>
    <w:p>
      <w:pPr>
        <w:pStyle w:val="Text1"/>
        <w:spacing w:before="100" w:beforeAutospacing="1" w:after="100" w:afterAutospacing="1"/>
        <w:ind w:left="0"/>
        <w:rPr>
          <w:noProof/>
        </w:rPr>
      </w:pPr>
      <w:r>
        <w:rPr>
          <w:noProof/>
        </w:rPr>
        <w:t>Les directives de négociation fixent l’objectif général de négocier un accord global relatif au transport aérien en vue d’assurer l’ouverture progressive et réciproque de l’accès au marché et de garantir la convergence des réglementations ainsi que la mise en œuvre efficace des exigences et des normes de l’UE.</w:t>
      </w:r>
    </w:p>
    <w:p>
      <w:pPr>
        <w:pStyle w:val="Text1"/>
        <w:spacing w:before="100" w:beforeAutospacing="1" w:after="100" w:afterAutospacing="1"/>
        <w:ind w:left="0"/>
        <w:rPr>
          <w:noProof/>
        </w:rPr>
      </w:pPr>
      <w:r>
        <w:rPr>
          <w:noProof/>
        </w:rPr>
        <w:t>Conformément aux directives de négociation, un projet d’accord avec la Tunisie a été paraphé par les deux parties le 11 décembre 2017.</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spacing w:before="100" w:beforeAutospacing="1" w:after="100" w:afterAutospacing="1"/>
        <w:rPr>
          <w:noProof/>
        </w:rPr>
      </w:pPr>
      <w:r>
        <w:rPr>
          <w:noProof/>
        </w:rPr>
        <w:t>La conclusion d’un accord euro-méditerranéen relatif aux services aériens avec la Tunisie est un élément important dans le développement de la politique extérieure de l’UE en matière de transport aérien et une composante essentielle de la politique de voisinage de l’UE et de la création d’un espace aérien commun européen élargi, comme l’indique la communication de la Commission COM(2012) 556 final intitulée «La politique extérieure de l’UE dans le domaine de l'aviation – Anticiper les défis à venir».</w:t>
      </w:r>
    </w:p>
    <w:p>
      <w:pPr>
        <w:pStyle w:val="ManualHeading2"/>
        <w:rPr>
          <w:rFonts w:eastAsia="Arial Unicode MS"/>
          <w:noProof/>
          <w:color w:val="000000"/>
          <w:u w:color="000000"/>
          <w:bdr w:val="nil"/>
        </w:rPr>
      </w:pPr>
      <w:r>
        <w:rPr>
          <w:noProof/>
          <w:color w:val="000000"/>
          <w:u w:color="000000"/>
          <w:bdr w:val="nil"/>
        </w:rPr>
        <w:t>•</w:t>
      </w:r>
      <w:r>
        <w:rPr>
          <w:noProof/>
        </w:rPr>
        <w:tab/>
        <w:t xml:space="preserve">Cohérence avec les </w:t>
      </w:r>
      <w:r>
        <w:rPr>
          <w:noProof/>
          <w:color w:val="000000"/>
          <w:u w:color="000000"/>
          <w:bdr w:val="nil"/>
        </w:rPr>
        <w:t xml:space="preserve">dispositions en vigueur dans le domaine de la proposition </w:t>
      </w:r>
    </w:p>
    <w:p>
      <w:pPr>
        <w:spacing w:before="100" w:beforeAutospacing="1" w:after="100" w:afterAutospacing="1"/>
        <w:rPr>
          <w:noProof/>
        </w:rPr>
      </w:pPr>
      <w:r>
        <w:rPr>
          <w:noProof/>
        </w:rPr>
        <w:t xml:space="preserve">Les dispositions de l’accord prévalent sur les dispositions pertinentes des accords bilatéraux relatifs aux services aériens conclus entre les États membres et la République tunisienne. Toutefois, les droits de trafic existants qui découlent de ces accords bilatéraux et qui n’entrent </w:t>
      </w:r>
      <w:r>
        <w:rPr>
          <w:noProof/>
        </w:rPr>
        <w:lastRenderedPageBreak/>
        <w:t>pas dans le champ du présent accord peuvent continuer à être exercés, pour autant qu’il n’y ait pas de discrimination entre les États membres et leurs ressortissants.</w:t>
      </w:r>
    </w:p>
    <w:p>
      <w:pPr>
        <w:spacing w:before="100" w:beforeAutospacing="1" w:after="100" w:afterAutospacing="1"/>
        <w:rPr>
          <w:noProof/>
        </w:rPr>
      </w:pP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100" w:beforeAutospacing="1" w:after="100" w:afterAutospacing="1"/>
        <w:rPr>
          <w:noProof/>
        </w:rPr>
      </w:pPr>
      <w:r>
        <w:rPr>
          <w:noProof/>
        </w:rPr>
        <w:t>Article 100, paragraphe 2, et article 218, paragraphe 6, point a), du traité sur le fonctionnement de l’Union européenne.</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Style w:val="Text1"/>
        <w:spacing w:before="100" w:beforeAutospacing="1" w:after="100" w:afterAutospacing="1"/>
        <w:ind w:left="0"/>
        <w:rPr>
          <w:noProof/>
        </w:rPr>
      </w:pPr>
      <w:r>
        <w:rPr>
          <w:noProof/>
        </w:rPr>
        <w:t>Les dispositions de l’accord prévaudront sur les dispositions pertinentes des accords existants conclus par les États membres de manière isolée. L’accord crée simultanément, pour tous les transporteurs aériens de l’Union, des conditions égales et uniformes d’accès au marché et établit de nouvelles modalités de coopération et de convergence en matière de réglementation entre l’Union européenne et la Tunisie dans des domaines essentiels pour que l’exploitation des services aériens se fasse dans de bonnes conditions de sûreté, de sécurité et d’efficacité. Ces dispositions ne peuvent être adoptées qu’au niveau de l’Union car elles impliquent plusieurs domaines qui relèvent de la compétence exclusive de celle-ci.</w:t>
      </w:r>
    </w:p>
    <w:p>
      <w:pPr>
        <w:pStyle w:val="Text1"/>
        <w:spacing w:before="100" w:beforeAutospacing="1" w:after="100" w:afterAutospacing="1"/>
        <w:ind w:left="0"/>
        <w:rPr>
          <w:noProof/>
        </w:rPr>
      </w:pPr>
      <w:r>
        <w:rPr>
          <w:noProof/>
        </w:rPr>
        <w:t>L’action de l’Union permettra de mieux réaliser les objectifs de la proposition pour la ou les raisons énoncées ci-après.</w:t>
      </w:r>
    </w:p>
    <w:p>
      <w:pPr>
        <w:pStyle w:val="Text1"/>
        <w:spacing w:before="100" w:beforeAutospacing="1" w:after="100" w:afterAutospacing="1"/>
        <w:ind w:left="0"/>
        <w:rPr>
          <w:noProof/>
        </w:rPr>
      </w:pPr>
      <w:r>
        <w:rPr>
          <w:noProof/>
        </w:rPr>
        <w:t>L’accord prévoit l’extension simultanée de ses conditions aux 27 États membres, en appliquant les mêmes règles sans discrimination et dans l’intérêt de tous les transporteurs aériens de l’Union, indépendamment de leur nationalité. Ces transporteurs pourront exploiter leurs services librement depuis tout point de l’Union européenne vers tout point de la Tunisie, ce qui n’est pas le cas actuellement.</w:t>
      </w:r>
    </w:p>
    <w:p>
      <w:pPr>
        <w:pStyle w:val="Text1"/>
        <w:spacing w:before="100" w:beforeAutospacing="1" w:after="100" w:afterAutospacing="1"/>
        <w:ind w:left="0"/>
        <w:rPr>
          <w:noProof/>
        </w:rPr>
      </w:pPr>
      <w:r>
        <w:rPr>
          <w:noProof/>
        </w:rPr>
        <w:t>La levée progressive des restrictions à l’accès au marché entre l’Union européenne et la Tunisie permettra non seulement d'attirer de nouveaux opérateurs sur le marché et d'ouvrir des possibilités de desservir des aéroports sous-exploités jusqu’ici, mais aussi de favoriser la consolidation entre les transporteurs aériens de l'Union.</w:t>
      </w:r>
    </w:p>
    <w:p>
      <w:pPr>
        <w:pStyle w:val="Text1"/>
        <w:spacing w:before="100" w:beforeAutospacing="1" w:after="100" w:afterAutospacing="1"/>
        <w:ind w:left="0"/>
        <w:rPr>
          <w:noProof/>
        </w:rPr>
      </w:pPr>
      <w:r>
        <w:rPr>
          <w:noProof/>
        </w:rPr>
        <w:t>L’accord garantit à tous les transporteurs aériens de l’UE des possibilités commerciales, telles que celles relatives aux services d’assistance en escale, de partage de codes et d’intermodalité, et la possibilité d’établir les prix librement.</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100" w:beforeAutospacing="1" w:after="100" w:afterAutospacing="1"/>
        <w:rPr>
          <w:noProof/>
        </w:rPr>
      </w:pPr>
      <w:r>
        <w:rPr>
          <w:noProof/>
        </w:rPr>
        <w:t>Un comité mixte sera institué afin de discuter des questions liées à la mise en œuvre de l’accord. Ce comité stimulera les échanges entre experts sur les nouvelles initiatives ou les développements en matière de législation ou de réglementation et examinera les domaines susceptibles d’être inclus dans une évolution ultérieure de l’accord. Le comité mixte sera composé de représentants de la Commission et des États membres.</w:t>
      </w:r>
    </w:p>
    <w:p>
      <w:pPr>
        <w:pBdr>
          <w:top w:val="nil"/>
          <w:left w:val="nil"/>
          <w:bottom w:val="nil"/>
          <w:right w:val="nil"/>
          <w:between w:val="nil"/>
          <w:bar w:val="nil"/>
        </w:pBdr>
        <w:spacing w:before="100" w:beforeAutospacing="1" w:after="100" w:afterAutospacing="1"/>
        <w:rPr>
          <w:noProof/>
        </w:rPr>
      </w:pPr>
      <w:r>
        <w:rPr>
          <w:noProof/>
        </w:rPr>
        <w:lastRenderedPageBreak/>
        <w:t>Par ailleurs, les États membres continueront à remplir les tâches administratives habituelles qu’ils accomplissent dans le cadre du transport aérien international, mais en vertu de règles communes appliquées de manière uniforme.</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100" w:beforeAutospacing="1" w:after="100" w:afterAutospacing="1"/>
        <w:rPr>
          <w:noProof/>
        </w:rPr>
      </w:pPr>
      <w:r>
        <w:rPr>
          <w:noProof/>
        </w:rPr>
        <w:t>Seuls des accords internationaux peuvent avoir une incidence sur les relations extérieures dans le domaine de l’aviation.</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100" w:beforeAutospacing="1" w:after="100" w:afterAutospacing="1"/>
        <w:rPr>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100" w:beforeAutospacing="1" w:after="100" w:afterAutospacing="1"/>
        <w:rPr>
          <w:noProof/>
        </w:rPr>
      </w:pPr>
      <w:r>
        <w:rPr>
          <w:noProof/>
        </w:rPr>
        <w:t xml:space="preserve">Conformément à l’article 218, paragraphe 4, du TFUE, la Commission a mené les négociations en consultation avec un comité spécial (forum consultatif). Les acteurs du secteur ont également été consultés lors des négociations. </w:t>
      </w:r>
    </w:p>
    <w:p>
      <w:pPr>
        <w:pBdr>
          <w:top w:val="nil"/>
          <w:left w:val="nil"/>
          <w:bottom w:val="nil"/>
          <w:right w:val="nil"/>
          <w:between w:val="nil"/>
          <w:bar w:val="nil"/>
        </w:pBdr>
        <w:spacing w:before="100" w:beforeAutospacing="1" w:after="100" w:afterAutospacing="1"/>
        <w:rPr>
          <w:noProof/>
        </w:rPr>
      </w:pPr>
      <w:r>
        <w:rPr>
          <w:noProof/>
        </w:rPr>
        <w:t>Les observations émises pendant ce processus ont été prises en considération. Les États membres concernés ont vérifié l’exactitude des références aux accords bilatéraux relatifs aux services aériens. Les acteurs du secteur ont souligné l’importance d’une base juridique solide pour leurs opérations commerciales.</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spacing w:before="100" w:beforeAutospacing="1" w:after="100" w:afterAutospacing="1"/>
        <w:rPr>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before="100" w:beforeAutospacing="1" w:after="100" w:afterAutospacing="1"/>
        <w:rPr>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pBdr>
          <w:top w:val="nil"/>
          <w:left w:val="nil"/>
          <w:bottom w:val="nil"/>
          <w:right w:val="nil"/>
          <w:between w:val="nil"/>
          <w:bar w:val="nil"/>
        </w:pBdr>
        <w:spacing w:before="100" w:beforeAutospacing="1" w:after="100" w:afterAutospacing="1"/>
        <w:rPr>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100" w:beforeAutospacing="1" w:after="100" w:afterAutospacing="1"/>
        <w:rPr>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100" w:beforeAutospacing="1" w:after="100" w:afterAutospacing="1"/>
        <w:rPr>
          <w:noProof/>
        </w:rPr>
      </w:pPr>
      <w:r>
        <w:rPr>
          <w:noProof/>
        </w:rPr>
        <w:t>La proposition n'a aucune incidence sur le budget de l'Union.</w:t>
      </w:r>
    </w:p>
    <w:p>
      <w:pPr>
        <w:pStyle w:val="ManualHeading1"/>
        <w:rPr>
          <w:noProof/>
        </w:rPr>
      </w:pPr>
      <w:r>
        <w:rPr>
          <w:noProof/>
        </w:rPr>
        <w:lastRenderedPageBreak/>
        <w:t>5.</w:t>
      </w:r>
      <w:r>
        <w:rPr>
          <w:noProof/>
        </w:rPr>
        <w:tab/>
        <w:t>AUTRES ÉLÉMENTS</w:t>
      </w:r>
    </w:p>
    <w:p>
      <w:pPr>
        <w:pStyle w:val="ManualHeading2"/>
        <w:rPr>
          <w:rFonts w:eastAsia="Arial Unicode MS"/>
          <w:noProof/>
          <w:u w:color="000000"/>
          <w:bdr w:val="nil"/>
          <w:lang w:eastAsia="en-GB"/>
        </w:rPr>
      </w:pPr>
    </w:p>
    <w:p>
      <w:pPr>
        <w:pStyle w:val="ManualHeading2"/>
        <w:rPr>
          <w:rFonts w:eastAsia="Arial Unicode MS"/>
          <w:noProof/>
          <w:u w:color="000000"/>
          <w:bdr w:val="nil"/>
        </w:rPr>
      </w:pPr>
      <w:r>
        <w:rPr>
          <w:noProof/>
          <w:u w:color="000000"/>
          <w:bdr w:val="nil"/>
        </w:rPr>
        <w:t>•</w:t>
      </w:r>
      <w:r>
        <w:rPr>
          <w:noProof/>
        </w:rPr>
        <w:tab/>
      </w:r>
      <w:r>
        <w:rPr>
          <w:noProof/>
          <w:color w:val="000000"/>
          <w:u w:color="000000"/>
          <w:bdr w:val="nil"/>
        </w:rPr>
        <w:t xml:space="preserve">Résumé de l'accord proposé  </w:t>
      </w:r>
      <w:r>
        <w:rPr>
          <w:noProof/>
        </w:rPr>
        <w:tab/>
      </w:r>
    </w:p>
    <w:p>
      <w:pPr>
        <w:spacing w:after="200" w:line="276" w:lineRule="auto"/>
        <w:rPr>
          <w:noProof/>
        </w:rPr>
      </w:pPr>
      <w:r>
        <w:rPr>
          <w:noProof/>
        </w:rPr>
        <w:t>L’accord se compose d’un dispositif principal énonçant les grands principes et de trois annexes: l’annexe I concerne les dispositions transitoires, l’annexe I bis les dispositions transitoires relatives à l’aéroport international de Tunis Carthage et l’annexe II les règles de l’UE applicables à l’aviation civile.</w:t>
      </w:r>
    </w:p>
    <w:p>
      <w:pPr>
        <w:pStyle w:val="ManualHeading2"/>
        <w:rPr>
          <w:rFonts w:eastAsia="Arial Unicode MS"/>
          <w:noProof/>
          <w:highlight w:val="yellow"/>
          <w:u w:color="000000"/>
          <w:bdr w:val="nil"/>
          <w:lang w:eastAsia="en-GB"/>
        </w:rPr>
      </w:pP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2021/0079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conclusion, au nom de l'Union européenne, de l’accord euro-méditerranéen relatif aux services aériens entre l’Union européenne et ses États membres, d’une part, et la République tunisienne, d’autre part</w:t>
      </w:r>
    </w:p>
    <w:p>
      <w:pPr>
        <w:pStyle w:val="Institutionquiagit"/>
        <w:outlineLvl w:val="0"/>
        <w:rPr>
          <w:noProof/>
        </w:rPr>
      </w:pPr>
      <w:r>
        <w:rPr>
          <w:noProof/>
        </w:rPr>
        <w:t>LE CONSEIL DE L'UNION EUROPÉENNE,</w:t>
      </w:r>
    </w:p>
    <w:p>
      <w:pPr>
        <w:rPr>
          <w:noProof/>
        </w:rPr>
      </w:pPr>
      <w:r>
        <w:rPr>
          <w:noProof/>
        </w:rPr>
        <w:t>vu le traité sur le fonctionnement de l’Union européenne, et notamment son article 100, paragraphe 2, en liaison avec son article 218, paragraphe 6, point a),</w:t>
      </w:r>
    </w:p>
    <w:p>
      <w:pPr>
        <w:rPr>
          <w:noProof/>
        </w:rPr>
      </w:pPr>
      <w:r>
        <w:rPr>
          <w:noProof/>
        </w:rPr>
        <w:t>vu la proposition de la Commission européenne,</w:t>
      </w:r>
    </w:p>
    <w:p>
      <w:pPr>
        <w:rPr>
          <w:noProof/>
        </w:rPr>
      </w:pPr>
      <w:r>
        <w:rPr>
          <w:noProof/>
        </w:rPr>
        <w:t>vu l'approbation du Parlement européen,</w:t>
      </w:r>
    </w:p>
    <w:p>
      <w:pPr>
        <w:rPr>
          <w:noProof/>
        </w:rPr>
      </w:pPr>
      <w:r>
        <w:rPr>
          <w:noProof/>
        </w:rPr>
        <w:t>considérant ce qui suit:</w:t>
      </w:r>
    </w:p>
    <w:p>
      <w:pPr>
        <w:pStyle w:val="ManualConsidrant"/>
        <w:rPr>
          <w:noProof/>
        </w:rPr>
      </w:pPr>
      <w:r>
        <w:t>(1)</w:t>
      </w:r>
      <w:r>
        <w:tab/>
      </w:r>
      <w:r>
        <w:rPr>
          <w:noProof/>
        </w:rPr>
        <w:t xml:space="preserve">Conformément à la décision XXXX/XX du Conseil, l’accord euro-méditerranéen relatif aux services aériens entre l'Union européenne et ses États membres, d’une part, et la République tunisienne, d'autre part, a été signé le XX, sous réserve de sa conclusion a une date ultérieure. </w:t>
      </w:r>
    </w:p>
    <w:p>
      <w:pPr>
        <w:pStyle w:val="ManualConsidrant"/>
        <w:rPr>
          <w:noProof/>
        </w:rPr>
      </w:pPr>
      <w:r>
        <w:t>(2)</w:t>
      </w:r>
      <w:r>
        <w:tab/>
      </w:r>
      <w:r>
        <w:rPr>
          <w:noProof/>
        </w:rPr>
        <w:t>L'accord a été ratifié par tous les États membres.</w:t>
      </w:r>
    </w:p>
    <w:p>
      <w:pPr>
        <w:pStyle w:val="ManualConsidrant"/>
        <w:rPr>
          <w:noProof/>
        </w:rPr>
      </w:pPr>
      <w:r>
        <w:t>(3)</w:t>
      </w:r>
      <w:r>
        <w:tab/>
      </w:r>
      <w:r>
        <w:rPr>
          <w:noProof/>
        </w:rPr>
        <w:t>Il convient que l’accord soit approuvé au nom de l’Union,</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L’accord euro-méditerranéen relatif aux services aériens entre l'Union européenne et ses États membres, d’une part, et la République tunisienne, d'autre part, est approuvé au nom de l’Union.</w:t>
      </w:r>
    </w:p>
    <w:p>
      <w:pPr>
        <w:rPr>
          <w:noProof/>
        </w:rPr>
      </w:pPr>
      <w:r>
        <w:rPr>
          <w:noProof/>
        </w:rPr>
        <w:t>Le texte de l'accord est joint à la présente décision.</w:t>
      </w:r>
    </w:p>
    <w:p>
      <w:pPr>
        <w:pStyle w:val="Titrearticle"/>
        <w:rPr>
          <w:noProof/>
        </w:rPr>
      </w:pPr>
      <w:r>
        <w:rPr>
          <w:noProof/>
        </w:rPr>
        <w:t xml:space="preserve">Article 2 </w:t>
      </w:r>
    </w:p>
    <w:p>
      <w:pPr>
        <w:rPr>
          <w:noProof/>
        </w:rPr>
      </w:pPr>
      <w:r>
        <w:rPr>
          <w:noProof/>
        </w:rPr>
        <w:t>Le président du Conseil désigne la personne habilitée à transmettre, au nom de l’Union, la note diplomatique prévue à l’article 30 de l’accord, à l’effet d’exprimer le consentement de l’Union à être liée par l’accord.</w:t>
      </w:r>
    </w:p>
    <w:p>
      <w:pPr>
        <w:pStyle w:val="Titrearticle"/>
        <w:rPr>
          <w:noProof/>
        </w:rPr>
      </w:pPr>
      <w:r>
        <w:rPr>
          <w:noProof/>
        </w:rPr>
        <w:t>Article 3</w:t>
      </w:r>
    </w:p>
    <w:p>
      <w:pPr>
        <w:rPr>
          <w:noProof/>
        </w:rPr>
      </w:pPr>
      <w:r>
        <w:rPr>
          <w:noProof/>
        </w:rPr>
        <w:t>La Commission est autorisée à adopter la position à prendre par l'Union en ce qui concerne les décisions prises par le comité mixte en vertu de l'article 21 de l'accord en vue de modifier l’annexe II de l’accord en y intégrant des actes législatifs de l'Union, sous réserve des adaptations techniques nécessaires, après consultation d'un comité spécial nommé par le Conseil.</w:t>
      </w:r>
    </w:p>
    <w:p>
      <w:pPr>
        <w:pStyle w:val="Titrearticle"/>
        <w:spacing w:before="120"/>
        <w:outlineLvl w:val="0"/>
        <w:rPr>
          <w:noProof/>
        </w:rPr>
      </w:pPr>
      <w:r>
        <w:rPr>
          <w:noProof/>
        </w:rPr>
        <w:lastRenderedPageBreak/>
        <w:t>Article 4</w:t>
      </w:r>
    </w:p>
    <w:p>
      <w:pPr>
        <w:rPr>
          <w:noProof/>
        </w:rPr>
      </w:pPr>
      <w:r>
        <w:rPr>
          <w:noProof/>
        </w:rPr>
        <w:t>La présente décision entre en vigueur le jour de son adoption.</w:t>
      </w:r>
    </w:p>
    <w:p>
      <w:pPr>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86AE0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118AF4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122C6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83E5F3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3820C3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1FC0F3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CBE763A"/>
    <w:lvl w:ilvl="0">
      <w:start w:val="1"/>
      <w:numFmt w:val="decimal"/>
      <w:pStyle w:val="ListNumber"/>
      <w:lvlText w:val="%1."/>
      <w:lvlJc w:val="left"/>
      <w:pPr>
        <w:tabs>
          <w:tab w:val="num" w:pos="360"/>
        </w:tabs>
        <w:ind w:left="360" w:hanging="360"/>
      </w:pPr>
    </w:lvl>
  </w:abstractNum>
  <w:abstractNum w:abstractNumId="7">
    <w:nsid w:val="FFFFFF89"/>
    <w:multiLevelType w:val="singleLevel"/>
    <w:tmpl w:val="2DD6D2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3-29 19:13:2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C31875E-B381-4290-816D-E6C5EB915B4C"/>
    <w:docVar w:name="LW_COVERPAGE_TYPE" w:val="1"/>
    <w:docVar w:name="LW_CROSSREFERENCE" w:val="&lt;UNUSED&gt;"/>
    <w:docVar w:name="LW_DocType" w:val="COM"/>
    <w:docVar w:name="LW_EMISSION" w:val="8.4.2021"/>
    <w:docVar w:name="LW_EMISSION_ISODATE" w:val="2021-04-08"/>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79"/>
    <w:docVar w:name="LW_REF.II.NEW.CP_YEAR" w:val="2021"/>
    <w:docVar w:name="LW_REF.INST.NEW" w:val="COM"/>
    <w:docVar w:name="LW_REF.INST.NEW_ADOPTED" w:val="final"/>
    <w:docVar w:name="LW_REF.INST.NEW_TEXT" w:val="(2021) 1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conclusion, au nom de l'Union européenne, de l\u8217?accord euro-méditerranéen relatif aux services aériens entre l\u8217?Union européenne et ses États membres, d\u8217?une part, et la République tunisienne, d\u8217?autre par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1345</Words>
  <Characters>7734</Characters>
  <Application>Microsoft Office Word</Application>
  <DocSecurity>0</DocSecurity>
  <Lines>151</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2019-06-17T13:29:00Z</cp:lastPrinted>
  <dcterms:created xsi:type="dcterms:W3CDTF">2021-03-26T12:33:00Z</dcterms:created>
  <dcterms:modified xsi:type="dcterms:W3CDTF">2021-03-29T17:13:00Z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