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3E192E8-F372-4889-8E27-D93957858955" style="width:450.75pt;height:393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Споразумението за въздушен транспорт между Държавата Катар (наричана по-нататък „Катар“) и Европейския съюз и неговите държави членки беше договорено от Комисията съгласно разрешението на Съвета от 7 юни 2016 г. 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Въздухоплавателните услуги между ЕС и Катар понастоящем се осъществяват въз основа на двустранни споразумения между отделните държави членки и Катар, доколкото такива съществуват. 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Външната политика на Съюза в областта на въздухоплаването включва договарянето на обхватни споразумения за въздухоплавателни услуги, когато са доказани тяхната добавена стойност и техните икономически ползи. По-специално споразумението цели:</w:t>
      </w:r>
    </w:p>
    <w:p>
      <w:pPr>
        <w:autoSpaceDE w:val="0"/>
        <w:autoSpaceDN w:val="0"/>
        <w:adjustRightInd w:val="0"/>
        <w:spacing w:before="100" w:beforeAutospacing="1" w:after="100" w:afterAutospacing="1"/>
        <w:rPr>
          <w:noProof/>
        </w:rPr>
      </w:pPr>
      <w:r>
        <w:rPr>
          <w:noProof/>
        </w:rPr>
        <w:t xml:space="preserve">- осигуряване на лоялна конкуренция, недискриминация, осигуряване на прозрачност и равни условия за икономическите оператори; </w:t>
      </w:r>
    </w:p>
    <w:p>
      <w:pPr>
        <w:autoSpaceDE w:val="0"/>
        <w:autoSpaceDN w:val="0"/>
        <w:adjustRightInd w:val="0"/>
        <w:spacing w:before="100" w:beforeAutospacing="1" w:after="100" w:afterAutospacing="1"/>
        <w:rPr>
          <w:noProof/>
        </w:rPr>
      </w:pPr>
      <w:r>
        <w:rPr>
          <w:noProof/>
        </w:rPr>
        <w:t>- постепенно отваряне на пазара по отношение на предоставянето на достъп до маршрути и капацитет;</w:t>
      </w:r>
    </w:p>
    <w:p>
      <w:pPr>
        <w:autoSpaceDE w:val="0"/>
        <w:autoSpaceDN w:val="0"/>
        <w:adjustRightInd w:val="0"/>
        <w:spacing w:before="100" w:beforeAutospacing="1" w:after="100" w:afterAutospacing="1"/>
        <w:rPr>
          <w:noProof/>
        </w:rPr>
      </w:pPr>
      <w:r>
        <w:rPr>
          <w:noProof/>
        </w:rPr>
        <w:t>- подобряване на свързаността, което ще бъде от полза за потребителите и икономиката.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Общ контекст</w:t>
      </w:r>
    </w:p>
    <w:p>
      <w:pPr>
        <w:rPr>
          <w:noProof/>
        </w:rPr>
      </w:pPr>
      <w:r>
        <w:rPr>
          <w:noProof/>
        </w:rPr>
        <w:t>Указанията за водене на преговори очертават общата цел — договаряне на обхватно споразумение за въздушен транспорт, насочено към постепенно и взаимно отваряне на достъпа до пазарите, подобряване на регулаторното сътрудничество и сближаване, както и осигуряване на лоялна конкуренция и прозрачност.</w:t>
      </w:r>
    </w:p>
    <w:p>
      <w:pPr>
        <w:rPr>
          <w:noProof/>
        </w:rPr>
      </w:pPr>
      <w:r>
        <w:rPr>
          <w:noProof/>
        </w:rPr>
        <w:t>В съответствие с указанията за водене на преговори на 4 март 2019 г. двете страни парафираха проект на споразумение с Катар.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Сключването на споразумение на ЕС за въздушен транспорт е основен елемент от развитието на външната политика на ЕС в областта на въздухоплаването, както е описано в съобщенията на Комисията COM (2012) 556 final относно „Външната политика на ЕС в областта на въздухоплаването — посрещане на бъдещите предизвикателства“ и COM (2015) 598 final относно „Стратегия за въздухоплаването в Европа“. Катар е един от най-бързо разрастващите се пазари извън ЕС, на който броят на пътниците е нараснал до над 6 милиона (Евростат 2019). Почти всички държави членки вече са предоставили пълен достъп до пазара си чрез своите съществуващи двустранни споразумения в областта на въздухоплавателните услуги с Катар. Въпреки това тези споразумения не разполагат с подходящи разпоредби по съществени елементи, например лоялната конкуренция, прозрачността или социалните въпроси, чрез които да се избегнат злоупотреби на либерализирания пазар.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lastRenderedPageBreak/>
        <w:t>•</w:t>
      </w:r>
      <w:r>
        <w:rPr>
          <w:noProof/>
        </w:rPr>
        <w:tab/>
        <w:t>Съгласуваност със съществуващите разпоредби в областта на предложението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Разпоредбите на споразумението имат предимство пред съответните разпоредби в съществуващите двустранни споразумения за въздухоплавателни услуги между държавите членки и Катар. Въпреки това упражняването на съществуващите права за въздушно движение, които произтичат от тези двустранни споразумения и не са включени в настоящото споразумение, може да продължи, при условие че не се допуска дискриминиране между държавите членки и техните граждани.</w:t>
      </w:r>
    </w:p>
    <w:p>
      <w:pPr>
        <w:spacing w:before="100" w:beforeAutospacing="1" w:after="100" w:afterAutospacing="1"/>
        <w:rPr>
          <w:rFonts w:eastAsia="Arial Unicode MS"/>
          <w:noProof/>
        </w:rPr>
      </w:pPr>
      <w:r>
        <w:rPr>
          <w:noProof/>
        </w:rPr>
        <w:t xml:space="preserve">Регламент (ЕС) 2019/712 за защита на конкуренцията във въздушния транспорт гарантира, че всички мерки, предприети въз основа на него, спазват международните задължения, включително тези в настоящото споразумение.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100, параграф 2 във връзка с член 218, параграф 5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>Разпоредбите на споразумението имат предимство пред съответните разпоредби в съществуващите договорености с отделни държави членки. Споразумението създава едновременно за всички въздушни превозвачи от Европейския съюз еднакви условия за достъп до пазара и установява нови договорености за регулаторно сътрудничество и сближаване между Европейския съюз и Катар в области, които са от съществено значение за безопасното, сигурно и ефикасно функциониране на въздухоплавателните услуги. Тези договорености могат да бъдат постигнати само на равнище Европейски съюз.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>Действия на равнището на Съюза ще бъдат по-подходящи за постигане на целите на предложението поради следните причини.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 xml:space="preserve">Споразумението позволява условията му да бъдат едновременно валидни в 27-те държави членки, като се прилагат еднакви разпоредби без дискриминация и в полза на всички въздушни превозвачи от Съюза, независимо от тяхната национална принадлежност. То включва всеобхватни разпоредби относно субсидиите, антиконкурентните практики и прозрачността, както и солидни механизми за прилагането им, като по този начин допринася за създаването на равни условия за въздухоплавателните услуги между ЕС и Катар, както и между ЕС и други дестинации, например в Азия, извършвани през Катар. 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 xml:space="preserve">Споразумението също така гарантира на всички въздушни превозвачи от Съюза достъп до търговски възможности например във връзка с наземното обслужване, споделянето на кодове, интермодалността и възможността за свободно ценообразуване, и премахва изискването за въздушните превозвачи от Съюза да работят с местен спонсор за установяване на местни представителства в Катар. То също така включва разпоредби относно социални въпроси в съответствие с тези, предвидени в международните търговски споразумения на ЕС, които задължават страните да подобряват социалните и </w:t>
      </w:r>
      <w:r>
        <w:rPr>
          <w:noProof/>
        </w:rPr>
        <w:lastRenderedPageBreak/>
        <w:t>трудовите политики съгласно международните си ангажименти, особено в контекста на Международната организация на труда (МОТ).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>След преходния период въздушните превозвачи ще могат да осъществяват свободно пътнически и товарни услуги от всяка точка на Европейския съюз до Катар в единната нормативна рамка на споразумението, което понастоящем не е така. Въздушните превозвачи също така ще могат да осъществяват някои изцяло товарни превози до точки отвъд Катар при спазване на определени географски и честотни ограничения.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>Постепенното премахване на всички ограничения за достъп до пазара между Съюза и Катар не само ще привлече нови участници на пазара и ще създаде възможности за обслужване на по-малко използвани летища, но също така ще улесни процеса на консолидация между въздушните превозвачи от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Ще бъде създаден съвместен комитет за обсъждане на въпроси, свързани с изпълнението на споразумението. Съвместният комитет ще насърчава обмена на експертни мнения и може да разглежда потенциални области за по-нататъшно подобряване на споразумението. Съвместният комитет ще бъде съставен от представители на Комисията и на държавите членки, и представители на Катар.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Освен това държавите членки ще продължат да извършват обичайните административни дейности, които изпълняват в контекста на международния въздушен транспорт, но следвайки общи и еднакво прилагани разпоредби.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Международно споразумение.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 xml:space="preserve">В съответствие с член 218, параграф 4 от ДФЕС Комисията проведе преговорите в консултация със специален комитет. По време на преговорите бяха проведени консултации както със заинтересовани страни от цялата верига за създаване на стойност във въздухоплаването, така и със социалните партньори, по-специално синдикатите. Направените коментари бяха взети предвид. 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Предложението няма отражение върху бюджета на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 xml:space="preserve">Обобщение на предложеното споразумение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 xml:space="preserve">Споразумението се състои от основната част, която включва основните принципи, и две приложения: приложение I относно преходните разпоредби и приложение II относно географската приложимост на правата на трафик по петата свобода за изцяло товарни услуги.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От 1 януари 2021 г. правото на Съюза вече не се прилага за Обединеното кралство. Следователно в споразумението с Катар всички препратки към Обединеното кралство в парафирания текст са заличени и е включена стандартна териториална клауза.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2021/0083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подписване, от името на Съюза, и временно прилагане на Споразумението за въздушен транспорт между Държавата Катар, от една страна, и Европейския съюз и неговите държави членки, от друга страна </w:t>
      </w:r>
      <w:r>
        <w:rPr>
          <w:noProof/>
        </w:rPr>
        <w:br/>
        <w:t xml:space="preserve"> 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100, параграф 2 във връзка с член 218, параграф 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7 юни 2016 г. Съветът упълномощи Комисията да започне преговори с Държавата Катар за споразумение за въздушен транспорт между Държавата Катар, от една страна, и Европейския съюз и неговите държави членки, от друга страна (наричано по-долу „споразумението“). Преговорите приключиха успешно с парафиране на Споразумението на 4 март 2019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Споразумението следва да бъде подписано от името на Съюза, при условие че бъде сключено на по-късна дата.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следва да се прилага временно.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 настоящото се одобрява от името на Съюза подписването на Споразумението за въздушен транспорт между Държавата Катар, от една страна, и Европейския съюз и неговите държави членки, от друга страна, при условие че то бъде сключено.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rPr>
          <w:noProof/>
        </w:rPr>
      </w:pP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Генералният секретариат на Съвета изготвя акта за предоставяне на пълномощия за подписване на споразумението, при условие че то бъде сключено, на лицето/лицата, посочени от преговарящите по споразумението. </w:t>
      </w:r>
    </w:p>
    <w:p>
      <w:pPr>
        <w:rPr>
          <w:noProof/>
        </w:rPr>
      </w:pP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До влизането в сила на споразумението то се прилага временно от Съюза съгласно член 29, параграф 3 от него. </w:t>
      </w:r>
    </w:p>
    <w:p>
      <w:pPr>
        <w:rPr>
          <w:noProof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tabs>
          <w:tab w:val="left" w:pos="5580"/>
        </w:tabs>
        <w:rPr>
          <w:noProof/>
        </w:rPr>
      </w:pPr>
      <w:r>
        <w:rPr>
          <w:noProof/>
        </w:rPr>
        <w:tab/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E0A61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73A0F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454E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85AB6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1CBA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906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98E2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1AA0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4-08 10:49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3E192E8-F372-4889-8E27-D93957858955"/>
    <w:docVar w:name="LW_COVERPAGE_TYPE" w:val="1"/>
    <w:docVar w:name="LW_CROSSREFERENCE" w:val="&lt;UNUSED&gt;"/>
    <w:docVar w:name="LW_DocType" w:val="COM"/>
    <w:docVar w:name="LW_EMISSION" w:val="8.4.2021"/>
    <w:docVar w:name="LW_EMISSION_ISODATE" w:val="2021-04-08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3"/>
    <w:docVar w:name="LW_REF.II.NEW.CP_YEAR" w:val="2021"/>
    <w:docVar w:name="LW_REF.INST.NEW" w:val="COM"/>
    <w:docVar w:name="LW_REF.INST.NEW_ADOPTED" w:val="final"/>
    <w:docVar w:name="LW_REF.INST.NEW_TEXT" w:val="(2021) 1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76?\u1083?\u1086?\u1078?\u1077?\u1085?\u1080?\u1077? \u1079?\u1072?"/>
    <w:docVar w:name="LW_STATUT.CP" w:val="\u1055?\u1088?\u1077?\u1076?\u1083?\u1086?\u1078?\u1077?\u1085?\u1080?\u1077? \u1079?\u1072?"/>
    <w:docVar w:name="LW_SUPERTITRE" w:val="&lt;UNUSED&gt;"/>
    <w:docVar w:name="LW_TITRE.OBJ" w:val="\u1079?\u1072? \u1087?\u1086?\u1076?\u1087?\u1080?\u1089?\u1074?\u1072?\u1085?\u1077?, \u1086?\u1090? \u1080?\u1084?\u1077?\u1090?\u1086? \u1085?\u1072? \u1057?\u1098?\u1102?\u1079?\u1072?, \u1080? \u1074?\u1088?\u1077?\u1084?\u1077?\u1085?\u1085?\u1086? \u1087?\u1088?\u1080?\u1083?\u1072?\u1075?\u1072?\u1085?\u1077? \u1085?\u1072? \u1057?\u1087?\u1086?\u1088?\u1072?\u1079?\u1091?\u1084?\u1077?\u1085?\u1080?\u1077?\u1090?\u1086? \u1079?\u1072? \u1074?\u1098?\u1079?\u1076?\u1091?\u1096?\u1077?\u1085? \u1090?\u1088?\u1072?\u1085?\u1089?\u1087?\u1086?\u1088?\u1090? \u1084?\u1077?\u1078?\u1076?\u1091? \u1044?\u1098?\u1088?\u1078?\u1072?\u1074?\u1072?\u1090?\u1072? \u1050?\u1072?\u1090?\u1072?\u1088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 _x000d__x000d__x000b__x000d__x000d__x000b_"/>
    <w:docVar w:name="LW_TITRE.OBJ.CP" w:val="\u1079?\u1072? \u1087?\u1086?\u1076?\u1087?\u1080?\u1089?\u1074?\u1072?\u1085?\u1077?, \u1086?\u1090? \u1080?\u1084?\u1077?\u1090?\u1086? \u1085?\u1072? \u1057?\u1098?\u1102?\u1079?\u1072?, \u1080? \u1074?\u1088?\u1077?\u1084?\u1077?\u1085?\u1085?\u1086? \u1087?\u1088?\u1080?\u1083?\u1072?\u1075?\u1072?\u1085?\u1077? \u1085?\u1072? \u1057?\u1087?\u1086?\u1088?\u1072?\u1079?\u1091?\u1084?\u1077?\u1085?\u1080?\u1077?\u1090?\u1086? \u1079?\u1072? \u1074?\u1098?\u1079?\u1076?\u1091?\u1096?\u1077?\u1085? \u1090?\u1088?\u1072?\u1085?\u1089?\u1087?\u1086?\u1088?\u1090? \u1084?\u1077?\u1078?\u1076?\u1091? \u1044?\u1098?\u1088?\u1078?\u1072?\u1074?\u1072?\u1090?\u1072? \u1050?\u1072?\u1090?\u1072?\u1088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 _x000d__x000d__x000b__x000d__x000d__x000b_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16EC-0209-42EB-B9A8-C4903881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1377</Words>
  <Characters>8552</Characters>
  <Application>Microsoft Office Word</Application>
  <DocSecurity>0</DocSecurity>
  <Lines>190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2021-01-19T09:03:00Z</dcterms:created>
  <dcterms:modified xsi:type="dcterms:W3CDTF">2021-04-08T08:49:00Z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LWTemplateID">
    <vt:lpwstr>SJ-019</vt:lpwstr>
  </property>
  <property fmtid="{D5CDD505-2E9C-101B-9397-08002B2CF9AE}" pid="7" name="DQCStatus">
    <vt:lpwstr>Green (DQC version 03)</vt:lpwstr>
  </property>
  <property fmtid="{D5CDD505-2E9C-101B-9397-08002B2CF9AE}" pid="8" name="Category">
    <vt:lpwstr>COM/PL/ORG</vt:lpwstr>
  </property>
</Properties>
</file>