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99419813-21C5-4B5D-94A0-448A69DC9CB3" style="width:450.35pt;height:366.1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Body"/>
        <w:rPr>
          <w:noProof/>
          <w:color w:val="auto"/>
          <w:lang w:val="bg-BG"/>
        </w:rPr>
      </w:pPr>
    </w:p>
    <w:p>
      <w:pPr>
        <w:rPr>
          <w:noProof/>
        </w:rPr>
      </w:pPr>
      <w:r>
        <w:rPr>
          <w:noProof/>
        </w:rPr>
        <w:t>На 15 април 2014 г. Комисията прие и впоследствие представи на Съвета предложение за решение относно подписването от името на Европейския съюз и временното прилагане на споразумение за общо авиационно пространство между Европейския съюз и неговите държави членки и Украйна (COM (2014)18 final).</w:t>
      </w:r>
    </w:p>
    <w:p>
      <w:pPr>
        <w:rPr>
          <w:noProof/>
        </w:rPr>
      </w:pPr>
      <w:r>
        <w:rPr>
          <w:noProof/>
        </w:rPr>
        <w:t>Посоченото по-горе предложение се изменя с настоящото предложение, както следва, поради изброените по-долу причини.</w:t>
      </w:r>
    </w:p>
    <w:p>
      <w:pPr>
        <w:rPr>
          <w:noProof/>
        </w:rPr>
      </w:pPr>
      <w:r>
        <w:rPr>
          <w:noProof/>
        </w:rPr>
        <w:t>Първо, след излизането на Обединеното кралство от Европейския Съюз и края на преходния период бяха договорени някои изменения на споразумението, а именно заличаването на Обединеното кралство като страна по споразумението и позоваването на Гибралтар в определението за „територия“ в него. Украйна изрази съгласие с посочените изменения.</w:t>
      </w:r>
    </w:p>
    <w:p>
      <w:pPr>
        <w:rPr>
          <w:noProof/>
        </w:rPr>
      </w:pPr>
      <w:r>
        <w:rPr>
          <w:noProof/>
        </w:rPr>
        <w:t>Освен това се предлагат някои изменения на решението, по-специално i) за оправомощаване на Комисията да приеме позицията на Съюза по отношение на някои решения на Съвместния комитет, създаден със споразумението, и ii) за привеждане на решението в съответствие с решението на Съда на Европейския съюз от 28 април 2015 г. по дело C-28/12.</w:t>
      </w:r>
    </w:p>
    <w:p>
      <w:pPr>
        <w:rPr>
          <w:noProof/>
        </w:rPr>
      </w:pPr>
      <w:r>
        <w:rPr>
          <w:noProof/>
        </w:rPr>
        <w:t>Освен това се предлагат някои изменения от редакционен характер.</w:t>
      </w:r>
    </w:p>
    <w:p>
      <w:pPr>
        <w:jc w:val="left"/>
        <w:rPr>
          <w:noProof/>
        </w:rPr>
        <w:sectPr>
          <w:footerReference w:type="default" r:id="rId10"/>
          <w:footerReference w:type="first" r:id="rId11"/>
          <w:pgSz w:w="11900" w:h="16840"/>
          <w:pgMar w:top="1134" w:right="1417" w:bottom="1134" w:left="1417" w:header="709" w:footer="709" w:gutter="0"/>
          <w:cols w:space="720"/>
          <w:docGrid w:linePitch="326"/>
        </w:sectPr>
      </w:pPr>
      <w:r>
        <w:rPr>
          <w:noProof/>
        </w:rPr>
        <w:t>За да се улесни разглеждането на измененото предложение от страна на Съвета, то е представено в пълен текст.</w:t>
      </w: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2014/0008 (NLE)</w:t>
      </w:r>
    </w:p>
    <w:p>
      <w:pPr>
        <w:pStyle w:val="Statut"/>
        <w:rPr>
          <w:noProof/>
        </w:rPr>
      </w:pPr>
      <w:r>
        <w:rPr>
          <w:noProof/>
        </w:rPr>
        <w:t>Изменено 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подписването от името на Европейския съюз и временното прилагане на споразумение за общо авиационно пространство между Европейския съюз и неговите държави членки и Украйна</w:t>
      </w:r>
    </w:p>
    <w:p>
      <w:pPr>
        <w:pStyle w:val="Institutionquiagit"/>
        <w:outlineLvl w:val="0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100, параграф 2 във връзка с член 218, параграфи 5 и 7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 xml:space="preserve">На 12 декември 2006 г. Съветът оправомощи Комисията да започне преговори с Украйна относно споразумение за общо авиационно пространство между Европейския съюз и неговите държави членки и Украйна (наричано по-долу „споразумението“). В резултат на тези преговори на 28 ноември 2013 г. беше парафирана първата версия на споразумението. 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След излизането на Обединеното кралство от Европейския съюз и края на преходния период, предвиден в членове 126 и 127 от Споразумението за оттеглянето на Обединеното кралство Великобритания и Северна Ирландия от Европейския съюз и Европейската общност за атомна енергия, бяха договорени някои изменения. По-конкретно името на Обединеното кралство като страна по споразумението и позоваването на Гибралтар в определението за „територия“ бяха заличени. На 30 октомври 2020 г. Украйна изрази съгласие с посочените изменения.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Споразумението следва да бъде подписано от името на Съюза, при условие че бъде сключено на по-късна дата.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За да може от споразумението да произтекат ползи възможно най-скоро, то следва да се прилага временно,</w:t>
      </w:r>
    </w:p>
    <w:p>
      <w:pPr>
        <w:pStyle w:val="Formuledadoption"/>
        <w:spacing w:before="360"/>
        <w:outlineLvl w:val="0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spacing w:before="120"/>
        <w:outlineLvl w:val="0"/>
        <w:rPr>
          <w:noProof/>
        </w:rPr>
      </w:pPr>
      <w:r>
        <w:rPr>
          <w:noProof/>
        </w:rPr>
        <w:t>Член 1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Подписването на споразумението за общо авиационно пространство между Европейския съюз и неговите държави членки и Украйна се одобрява от името на Съюза, при условие че посоченото споразумение бъде сключено.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Текстът на споразумението, което ще бъде подписано, е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2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Генералният секретариат на Съвета изготвя акта за предоставяне на пълни правомощия на лицето или лицата, посочени от преговарящия по споразумението, за подписване на споразумението, при условие че то бъде сключено.</w:t>
      </w:r>
    </w:p>
    <w:p>
      <w:pPr>
        <w:pStyle w:val="Titrearticle"/>
        <w:spacing w:after="0"/>
        <w:rPr>
          <w:noProof/>
        </w:rPr>
      </w:pPr>
      <w:r>
        <w:rPr>
          <w:noProof/>
        </w:rPr>
        <w:t>Член 3</w:t>
      </w:r>
    </w:p>
    <w:p>
      <w:pPr>
        <w:pStyle w:val="Body"/>
        <w:rPr>
          <w:noProof/>
          <w:color w:val="auto"/>
          <w:lang w:val="bg-BG"/>
        </w:rPr>
      </w:pPr>
      <w:r>
        <w:rPr>
          <w:noProof/>
          <w:color w:val="auto"/>
          <w:lang w:val="bg-BG"/>
        </w:rPr>
        <w:t>До влизането му в сила споразумението се прилага временно в съответствие с член</w:t>
      </w:r>
      <w:r>
        <w:rPr>
          <w:noProof/>
          <w:color w:val="auto"/>
        </w:rPr>
        <w:t> </w:t>
      </w:r>
      <w:r>
        <w:rPr>
          <w:noProof/>
          <w:color w:val="auto"/>
          <w:lang w:val="bg-BG"/>
        </w:rPr>
        <w:t>38, параграф</w:t>
      </w:r>
      <w:r>
        <w:rPr>
          <w:noProof/>
          <w:color w:val="auto"/>
        </w:rPr>
        <w:t> </w:t>
      </w:r>
      <w:r>
        <w:rPr>
          <w:noProof/>
          <w:color w:val="auto"/>
          <w:lang w:val="bg-BG"/>
        </w:rPr>
        <w:t>3 от него.</w:t>
      </w:r>
    </w:p>
    <w:p>
      <w:pPr>
        <w:pStyle w:val="Titrearticle"/>
        <w:spacing w:before="120"/>
        <w:rPr>
          <w:noProof/>
        </w:rPr>
      </w:pPr>
      <w:r>
        <w:rPr>
          <w:noProof/>
        </w:rPr>
        <w:t>Член 4</w:t>
      </w:r>
    </w:p>
    <w:p>
      <w:pPr>
        <w:pStyle w:val="Body"/>
        <w:rPr>
          <w:noProof/>
          <w:color w:val="auto"/>
          <w:lang w:val="bg-BG"/>
        </w:rPr>
      </w:pPr>
      <w:r>
        <w:rPr>
          <w:noProof/>
          <w:color w:val="auto"/>
          <w:lang w:val="bg-BG"/>
        </w:rPr>
        <w:t xml:space="preserve">Комисията се оправомощава да одобри позицията, която трябва да се заеме от Съюза по отношение на решенията на Съвместния комитет по член 15, параграф 3 от споразумението за изменяне на приложение </w:t>
      </w:r>
      <w:r>
        <w:rPr>
          <w:noProof/>
          <w:color w:val="auto"/>
        </w:rPr>
        <w:t>I</w:t>
      </w:r>
      <w:r>
        <w:rPr>
          <w:noProof/>
          <w:color w:val="auto"/>
          <w:lang w:val="bg-BG"/>
        </w:rPr>
        <w:t xml:space="preserve"> към него с цел включване в него на законодателство на Съюза при извършване на всички необходими технически корекции и след консултация със специален комитет, назначен от Съвета.</w:t>
      </w:r>
    </w:p>
    <w:p>
      <w:pPr>
        <w:pStyle w:val="Titrearticle"/>
        <w:spacing w:before="120"/>
        <w:rPr>
          <w:noProof/>
        </w:rPr>
      </w:pPr>
      <w:r>
        <w:rPr>
          <w:noProof/>
        </w:rPr>
        <w:t>Член 5</w:t>
      </w:r>
    </w:p>
    <w:p>
      <w:pPr>
        <w:pStyle w:val="Body"/>
        <w:rPr>
          <w:noProof/>
          <w:color w:val="auto"/>
          <w:lang w:val="bg-BG"/>
        </w:rPr>
      </w:pPr>
      <w:r>
        <w:rPr>
          <w:noProof/>
          <w:color w:val="auto"/>
          <w:lang w:val="bg-BG"/>
        </w:rPr>
        <w:t xml:space="preserve">Настоящото решение влиза в сила в деня на приемането му. 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keepNext/>
        <w:rPr>
          <w:noProof/>
        </w:rPr>
      </w:pPr>
      <w:r>
        <w:rPr>
          <w:noProof/>
        </w:rPr>
        <w:tab/>
        <w:t>Председател</w:t>
      </w:r>
    </w:p>
    <w:p>
      <w:pPr>
        <w:pStyle w:val="Personnequisigne"/>
        <w:rPr>
          <w:noProof/>
        </w:rPr>
      </w:pPr>
      <w:r>
        <w:rPr>
          <w:noProof/>
        </w:rPr>
        <w:tab/>
        <w:t>[…]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4568F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D0815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A980D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E54AA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7C6C07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69E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D5243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15C8E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4-08 09:01:4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4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99419813-21C5-4B5D-94A0-448A69DC9CB3"/>
    <w:docVar w:name="LW_COVERPAGE_TYPE" w:val="1"/>
    <w:docVar w:name="LW_CROSSREFERENCE" w:val="&lt;UNUSED&gt;"/>
    <w:docVar w:name="LW_DocType" w:val="COM"/>
    <w:docVar w:name="LW_EMISSION" w:val="8.4.2021"/>
    <w:docVar w:name="LW_EMISSION_ISODATE" w:val="2021-04-08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MOD"/>
    <w:docVar w:name="LW_ID_DOCTYPE" w:val="SG-010"/>
    <w:docVar w:name="LW_ID_EXP.MOTIFS.NEW" w:val="EM_PL_"/>
    <w:docVar w:name="LW_ID_STATUT" w:val="SG-010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08"/>
    <w:docVar w:name="LW_REF.II.NEW.CP_YEAR" w:val="2014"/>
    <w:docVar w:name="LW_REF.INST.NEW" w:val="COM"/>
    <w:docVar w:name="LW_REF.INST.NEW_ADOPTED" w:val="final"/>
    <w:docVar w:name="LW_REF.INST.NEW_TEXT" w:val="(2021) 15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48?\u1079?\u1084?\u1077?\u1085?\u1077?\u1085?\u1086? \u1087?\u1088?\u1077?\u1076?\u1083?\u1086?\u1078?\u1077?\u1085?\u1080?\u1077? \u1079?\u1072?"/>
    <w:docVar w:name="LW_SUPERTITRE" w:val="&lt;UNUSED&gt;"/>
    <w:docVar w:name="LW_TITRE.OBJ.CP" w:val="\u1086?\u1090?\u1085?\u1086?\u1089?\u1085?\u1086? \u1087?\u1086?\u1076?\u1087?\u1080?\u1089?\u1074?\u1072?\u1085?\u1077?\u1090?\u1086? \u1086?\u1090? \u1080?\u1084?\u1077?\u1090?\u1086? \u1085?\u1072? \u1045?\u1074?\u1088?\u1086?\u1087?\u1077?\u1081?\u1089?\u1082?\u1080?\u1103? \u1089?\u1098?\u1102?\u1079? \u1080? \u1074?\u1088?\u1077?\u1084?\u1077?\u1085?\u1085?\u1086?\u1090?\u1086? \u1087?\u1088?\u1080?\u1083?\u1072?\u1075?\u1072?\u1085?\u1077? \u1085?\u1072? \u1089?\u1087?\u1086?\u1088?\u1072?\u1079?\u1091?\u1084?\u1077?\u1085?\u1080?\u1077? \u1079?\u1072? \u1086?\u1073?\u1097?\u1086? \u1072?\u1074?\u1080?\u1072?\u1094?\u1080?\u1086?\u1085?\u1085?\u1086? \u1087?\u1088?\u1086?\u1089?\u1090?\u1088?\u1072?\u1085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 \u1080? \u1059?\u1082?\u1088?\u1072?\u1081?\u1085?\u1072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4</TotalTime>
  <Pages>4</Pages>
  <Words>599</Words>
  <Characters>3433</Characters>
  <Application>Microsoft Office Word</Application>
  <DocSecurity>0</DocSecurity>
  <Lines>79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DIGIT/C6</cp:lastModifiedBy>
  <cp:revision>19</cp:revision>
  <dcterms:created xsi:type="dcterms:W3CDTF">2021-02-26T10:28:00Z</dcterms:created>
  <dcterms:modified xsi:type="dcterms:W3CDTF">2021-04-08T07:01:00Z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COM/PL/MOD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SG-010</vt:lpwstr>
  </property>
  <property fmtid="{D5CDD505-2E9C-101B-9397-08002B2CF9AE}" pid="10" name="DQCStatus">
    <vt:lpwstr>Green (DQC version 03)</vt:lpwstr>
  </property>
</Properties>
</file>