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B8AFBDE-2F77-448A-802D-918A5F2DD087" style="width:450.75pt;height:41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rPr>
      </w:pPr>
      <w:bookmarkStart w:id="1" w:name="_GoBack"/>
      <w:bookmarkEnd w:id="1"/>
      <w:r>
        <w:rPr>
          <w:noProof/>
          <w:sz w:val="28"/>
        </w:rPr>
        <w:lastRenderedPageBreak/>
        <w:t>Table of contents</w:t>
      </w:r>
    </w:p>
    <w:p>
      <w:pPr>
        <w:pStyle w:val="TOC1"/>
        <w:rPr>
          <w:rFonts w:eastAsiaTheme="minorEastAsia"/>
          <w:caps w:val="0"/>
          <w:noProof/>
          <w:lang w:eastAsia="zh-CN"/>
        </w:rPr>
      </w:pPr>
      <w:r>
        <w:rPr>
          <w:noProof/>
        </w:rPr>
        <w:fldChar w:fldCharType="begin"/>
      </w:r>
      <w:r>
        <w:rPr>
          <w:noProof/>
        </w:rPr>
        <w:instrText xml:space="preserve"> TOC \o "1-1" \h \z \t "Heading 2;2;Heading 3;3;Annex Title;1" </w:instrText>
      </w:r>
      <w:r>
        <w:rPr>
          <w:noProof/>
        </w:rPr>
        <w:fldChar w:fldCharType="separate"/>
      </w:r>
    </w:p>
    <w:p>
      <w:pPr>
        <w:pStyle w:val="TOC1"/>
        <w:rPr>
          <w:rFonts w:eastAsiaTheme="minorEastAsia"/>
          <w:caps w:val="0"/>
          <w:noProof/>
          <w:lang w:eastAsia="zh-CN"/>
        </w:rPr>
      </w:pPr>
      <w:hyperlink w:anchor="_Toc29824038" w:history="1">
        <w:r>
          <w:rPr>
            <w:rStyle w:val="Hyperlink"/>
            <w:noProof/>
          </w:rPr>
          <w:t>Glossary</w:t>
        </w:r>
        <w:r>
          <w:rPr>
            <w:noProof/>
            <w:webHidden/>
          </w:rPr>
          <w:tab/>
        </w:r>
      </w:hyperlink>
      <w:r>
        <w:rPr>
          <w:noProof/>
        </w:rPr>
        <w:t>2</w:t>
      </w:r>
    </w:p>
    <w:p>
      <w:pPr>
        <w:pStyle w:val="TOC1"/>
        <w:rPr>
          <w:rFonts w:eastAsiaTheme="minorEastAsia"/>
          <w:caps w:val="0"/>
          <w:noProof/>
          <w:lang w:eastAsia="zh-CN"/>
        </w:rPr>
      </w:pPr>
      <w:hyperlink w:anchor="_Toc29824039" w:history="1">
        <w:r>
          <w:rPr>
            <w:rStyle w:val="Hyperlink"/>
            <w:noProof/>
          </w:rPr>
          <w:t>1.</w:t>
        </w:r>
        <w:r>
          <w:rPr>
            <w:rFonts w:eastAsiaTheme="minorEastAsia"/>
            <w:caps w:val="0"/>
            <w:noProof/>
            <w:lang w:eastAsia="zh-CN"/>
          </w:rPr>
          <w:tab/>
        </w:r>
        <w:r>
          <w:rPr>
            <w:rStyle w:val="Hyperlink"/>
            <w:noProof/>
          </w:rPr>
          <w:t>Introduction</w:t>
        </w:r>
        <w:r>
          <w:rPr>
            <w:noProof/>
            <w:webHidden/>
          </w:rPr>
          <w:tab/>
        </w:r>
      </w:hyperlink>
      <w:r>
        <w:rPr>
          <w:noProof/>
        </w:rPr>
        <w:t>3</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0" w:history="1">
        <w:r>
          <w:rPr>
            <w:rStyle w:val="Hyperlink"/>
            <w:rFonts w:ascii="Times New Roman" w:hAnsi="Times New Roman"/>
            <w:noProof/>
            <w:sz w:val="20"/>
            <w:szCs w:val="20"/>
          </w:rPr>
          <w:t>Purpose of the evaluation</w:t>
        </w:r>
        <w:r>
          <w:rPr>
            <w:rFonts w:ascii="Times New Roman" w:hAnsi="Times New Roman"/>
            <w:noProof/>
            <w:webHidden/>
            <w:sz w:val="20"/>
            <w:szCs w:val="20"/>
          </w:rPr>
          <w:tab/>
        </w:r>
      </w:hyperlink>
      <w:r>
        <w:rPr>
          <w:rFonts w:ascii="Times New Roman" w:hAnsi="Times New Roman"/>
          <w:noProof/>
          <w:sz w:val="20"/>
          <w:szCs w:val="20"/>
        </w:rPr>
        <w:t>3</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1" w:history="1">
        <w:r>
          <w:rPr>
            <w:rStyle w:val="Hyperlink"/>
            <w:rFonts w:ascii="Times New Roman" w:hAnsi="Times New Roman"/>
            <w:noProof/>
            <w:sz w:val="20"/>
            <w:szCs w:val="20"/>
          </w:rPr>
          <w:t>Scope of the evaluation</w:t>
        </w:r>
        <w:r>
          <w:rPr>
            <w:rFonts w:ascii="Times New Roman" w:hAnsi="Times New Roman"/>
            <w:noProof/>
            <w:webHidden/>
            <w:sz w:val="20"/>
            <w:szCs w:val="20"/>
          </w:rPr>
          <w:tab/>
        </w:r>
      </w:hyperlink>
      <w:r>
        <w:rPr>
          <w:rFonts w:ascii="Times New Roman" w:hAnsi="Times New Roman"/>
          <w:noProof/>
          <w:sz w:val="20"/>
          <w:szCs w:val="20"/>
        </w:rPr>
        <w:t>3</w:t>
      </w:r>
    </w:p>
    <w:p>
      <w:pPr>
        <w:pStyle w:val="TOC1"/>
        <w:rPr>
          <w:rFonts w:eastAsiaTheme="minorEastAsia"/>
          <w:caps w:val="0"/>
          <w:noProof/>
          <w:lang w:eastAsia="zh-CN"/>
        </w:rPr>
      </w:pPr>
      <w:hyperlink w:anchor="_Toc29824042" w:history="1">
        <w:r>
          <w:rPr>
            <w:rStyle w:val="Hyperlink"/>
            <w:noProof/>
          </w:rPr>
          <w:t>2.</w:t>
        </w:r>
        <w:r>
          <w:rPr>
            <w:rFonts w:eastAsiaTheme="minorEastAsia"/>
            <w:caps w:val="0"/>
            <w:noProof/>
            <w:lang w:eastAsia="zh-CN"/>
          </w:rPr>
          <w:tab/>
        </w:r>
        <w:r>
          <w:rPr>
            <w:rStyle w:val="Hyperlink"/>
            <w:noProof/>
          </w:rPr>
          <w:t>Background to the intervention</w:t>
        </w:r>
        <w:r>
          <w:rPr>
            <w:noProof/>
            <w:webHidden/>
          </w:rPr>
          <w:tab/>
        </w:r>
      </w:hyperlink>
      <w:r>
        <w:rPr>
          <w:noProof/>
        </w:rPr>
        <w:t>4</w:t>
      </w:r>
    </w:p>
    <w:p>
      <w:pPr>
        <w:pStyle w:val="TOC2"/>
        <w:jc w:val="both"/>
        <w:rPr>
          <w:rFonts w:ascii="Times New Roman" w:hAnsi="Times New Roman"/>
          <w:noProof/>
          <w:sz w:val="20"/>
          <w:szCs w:val="20"/>
        </w:rPr>
      </w:pPr>
      <w:r>
        <w:rPr>
          <w:rFonts w:ascii="Times New Roman" w:hAnsi="Times New Roman"/>
          <w:noProof/>
          <w:sz w:val="20"/>
          <w:szCs w:val="20"/>
        </w:rPr>
        <w:tab/>
        <w:t>Economic situation</w:t>
      </w:r>
      <w:r>
        <w:rPr>
          <w:rFonts w:ascii="Times New Roman" w:hAnsi="Times New Roman"/>
          <w:noProof/>
          <w:sz w:val="20"/>
          <w:szCs w:val="20"/>
        </w:rPr>
        <w:tab/>
        <w:t>4</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3" w:history="1">
        <w:r>
          <w:rPr>
            <w:rStyle w:val="Hyperlink"/>
            <w:rFonts w:ascii="Times New Roman" w:hAnsi="Times New Roman"/>
            <w:noProof/>
            <w:sz w:val="20"/>
            <w:szCs w:val="20"/>
          </w:rPr>
          <w:t>Description of the intervention and its objectives</w:t>
        </w:r>
        <w:r>
          <w:rPr>
            <w:rStyle w:val="Hyperlink"/>
            <w:rFonts w:ascii="Times New Roman" w:hAnsi="Times New Roman"/>
            <w:noProof/>
            <w:sz w:val="20"/>
            <w:szCs w:val="20"/>
          </w:rPr>
          <w:tab/>
          <w:t>5</w:t>
        </w:r>
        <w:r>
          <w:rPr>
            <w:rFonts w:ascii="Times New Roman" w:hAnsi="Times New Roman"/>
            <w:noProof/>
            <w:webHidden/>
            <w:sz w:val="20"/>
            <w:szCs w:val="20"/>
          </w:rPr>
          <w:tab/>
        </w:r>
      </w:hyperlink>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4" w:history="1">
        <w:r>
          <w:rPr>
            <w:rStyle w:val="Hyperlink"/>
            <w:rFonts w:ascii="Times New Roman" w:hAnsi="Times New Roman"/>
            <w:noProof/>
            <w:sz w:val="20"/>
            <w:szCs w:val="20"/>
          </w:rPr>
          <w:t>Points of comparison</w:t>
        </w:r>
        <w:r>
          <w:rPr>
            <w:rStyle w:val="Hyperlink"/>
            <w:rFonts w:ascii="Times New Roman" w:hAnsi="Times New Roman"/>
            <w:noProof/>
            <w:sz w:val="20"/>
            <w:szCs w:val="20"/>
          </w:rPr>
          <w:tab/>
          <w:t>7</w:t>
        </w:r>
        <w:r>
          <w:rPr>
            <w:rFonts w:ascii="Times New Roman" w:hAnsi="Times New Roman"/>
            <w:noProof/>
            <w:webHidden/>
            <w:sz w:val="20"/>
            <w:szCs w:val="20"/>
          </w:rPr>
          <w:tab/>
        </w:r>
      </w:hyperlink>
    </w:p>
    <w:p>
      <w:pPr>
        <w:pStyle w:val="TOC1"/>
        <w:rPr>
          <w:rFonts w:eastAsiaTheme="minorEastAsia"/>
          <w:caps w:val="0"/>
          <w:noProof/>
          <w:lang w:eastAsia="zh-CN"/>
        </w:rPr>
      </w:pPr>
      <w:hyperlink w:anchor="_Toc29824045" w:history="1">
        <w:r>
          <w:rPr>
            <w:rStyle w:val="Hyperlink"/>
            <w:noProof/>
          </w:rPr>
          <w:t>3.</w:t>
        </w:r>
        <w:r>
          <w:rPr>
            <w:rFonts w:eastAsiaTheme="minorEastAsia"/>
            <w:caps w:val="0"/>
            <w:noProof/>
            <w:lang w:eastAsia="zh-CN"/>
          </w:rPr>
          <w:tab/>
        </w:r>
        <w:r>
          <w:rPr>
            <w:rStyle w:val="Hyperlink"/>
            <w:noProof/>
          </w:rPr>
          <w:t>Implementation / state of play</w:t>
        </w:r>
        <w:r>
          <w:rPr>
            <w:noProof/>
            <w:webHidden/>
          </w:rPr>
          <w:tab/>
        </w:r>
      </w:hyperlink>
      <w:r>
        <w:rPr>
          <w:noProof/>
        </w:rPr>
        <w:t>8</w:t>
      </w:r>
    </w:p>
    <w:p>
      <w:pPr>
        <w:pStyle w:val="TOC2"/>
        <w:ind w:firstLine="653"/>
        <w:jc w:val="both"/>
        <w:rPr>
          <w:rFonts w:ascii="Times New Roman" w:hAnsi="Times New Roman"/>
          <w:noProof/>
          <w:sz w:val="20"/>
          <w:szCs w:val="20"/>
        </w:rPr>
      </w:pPr>
      <w:r>
        <w:rPr>
          <w:rFonts w:ascii="Times New Roman" w:hAnsi="Times New Roman"/>
          <w:noProof/>
          <w:sz w:val="20"/>
          <w:szCs w:val="20"/>
        </w:rPr>
        <w:t xml:space="preserve"> Implementation of the MFA operation</w:t>
      </w:r>
      <w:r>
        <w:rPr>
          <w:rFonts w:ascii="Times New Roman" w:hAnsi="Times New Roman"/>
          <w:noProof/>
          <w:sz w:val="20"/>
          <w:szCs w:val="20"/>
        </w:rPr>
        <w:tab/>
        <w:t>8</w:t>
      </w:r>
      <w:r>
        <w:rPr>
          <w:rFonts w:ascii="Times New Roman" w:hAnsi="Times New Roman"/>
          <w:noProof/>
          <w:sz w:val="20"/>
          <w:szCs w:val="20"/>
        </w:rPr>
        <w:tab/>
      </w:r>
    </w:p>
    <w:p>
      <w:pPr>
        <w:pStyle w:val="TOC2"/>
        <w:ind w:firstLine="653"/>
        <w:jc w:val="both"/>
        <w:rPr>
          <w:rFonts w:ascii="Times New Roman" w:eastAsiaTheme="minorEastAsia" w:hAnsi="Times New Roman"/>
          <w:noProof/>
          <w:sz w:val="20"/>
          <w:szCs w:val="20"/>
          <w:lang w:eastAsia="zh-CN"/>
        </w:rPr>
      </w:pPr>
      <w:r>
        <w:rPr>
          <w:rFonts w:ascii="Times New Roman" w:hAnsi="Times New Roman"/>
          <w:noProof/>
        </w:rPr>
        <w:t xml:space="preserve"> </w:t>
      </w:r>
      <w:hyperlink w:anchor="_Toc29824046" w:history="1">
        <w:r>
          <w:rPr>
            <w:rStyle w:val="Hyperlink"/>
            <w:rFonts w:ascii="Times New Roman" w:hAnsi="Times New Roman"/>
            <w:noProof/>
            <w:sz w:val="20"/>
            <w:szCs w:val="20"/>
          </w:rPr>
          <w:t>Economic situation</w:t>
        </w:r>
        <w:r>
          <w:rPr>
            <w:rStyle w:val="Hyperlink"/>
            <w:rFonts w:ascii="Times New Roman" w:hAnsi="Times New Roman"/>
            <w:noProof/>
            <w:sz w:val="20"/>
            <w:szCs w:val="20"/>
          </w:rPr>
          <w:tab/>
          <w:t>9</w:t>
        </w:r>
        <w:r>
          <w:rPr>
            <w:rFonts w:ascii="Times New Roman" w:hAnsi="Times New Roman"/>
            <w:noProof/>
            <w:webHidden/>
            <w:sz w:val="20"/>
            <w:szCs w:val="20"/>
          </w:rPr>
          <w:tab/>
        </w:r>
      </w:hyperlink>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t>MFA-III and MFA-IV</w:t>
      </w:r>
      <w:r>
        <w:rPr>
          <w:rFonts w:ascii="Times New Roman" w:hAnsi="Times New Roman"/>
          <w:noProof/>
          <w:sz w:val="20"/>
          <w:szCs w:val="20"/>
        </w:rPr>
        <w:tab/>
        <w:t>10</w:t>
      </w:r>
    </w:p>
    <w:p>
      <w:pPr>
        <w:pStyle w:val="TOC1"/>
        <w:rPr>
          <w:rFonts w:eastAsiaTheme="minorEastAsia"/>
          <w:caps w:val="0"/>
          <w:noProof/>
          <w:lang w:eastAsia="zh-CN"/>
        </w:rPr>
      </w:pPr>
      <w:hyperlink w:anchor="_Toc29824048" w:history="1">
        <w:r>
          <w:rPr>
            <w:rStyle w:val="Hyperlink"/>
            <w:noProof/>
          </w:rPr>
          <w:t>4.</w:t>
        </w:r>
        <w:r>
          <w:rPr>
            <w:rFonts w:eastAsiaTheme="minorEastAsia"/>
            <w:caps w:val="0"/>
            <w:noProof/>
            <w:lang w:eastAsia="zh-CN"/>
          </w:rPr>
          <w:tab/>
        </w:r>
        <w:r>
          <w:rPr>
            <w:rStyle w:val="Hyperlink"/>
            <w:noProof/>
          </w:rPr>
          <w:t>Methodology</w:t>
        </w:r>
        <w:r>
          <w:rPr>
            <w:noProof/>
            <w:webHidden/>
          </w:rPr>
          <w:tab/>
        </w:r>
      </w:hyperlink>
      <w:r>
        <w:rPr>
          <w:noProof/>
        </w:rPr>
        <w:t>11</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49" w:history="1">
        <w:r>
          <w:rPr>
            <w:rStyle w:val="Hyperlink"/>
            <w:rFonts w:ascii="Times New Roman" w:hAnsi="Times New Roman"/>
            <w:noProof/>
            <w:sz w:val="20"/>
            <w:szCs w:val="20"/>
          </w:rPr>
          <w:t>Evaluation techniques used</w:t>
        </w:r>
        <w:r>
          <w:rPr>
            <w:rStyle w:val="Hyperlink"/>
            <w:rFonts w:ascii="Times New Roman" w:hAnsi="Times New Roman"/>
            <w:noProof/>
            <w:sz w:val="20"/>
            <w:szCs w:val="20"/>
          </w:rPr>
          <w:tab/>
          <w:t>11</w:t>
        </w:r>
        <w:r>
          <w:rPr>
            <w:rFonts w:ascii="Times New Roman" w:hAnsi="Times New Roman"/>
            <w:noProof/>
            <w:webHidden/>
            <w:sz w:val="20"/>
            <w:szCs w:val="20"/>
          </w:rPr>
          <w:tab/>
        </w:r>
      </w:hyperlink>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0" w:history="1">
        <w:r>
          <w:rPr>
            <w:rStyle w:val="Hyperlink"/>
            <w:rFonts w:ascii="Times New Roman" w:hAnsi="Times New Roman"/>
            <w:noProof/>
            <w:sz w:val="20"/>
            <w:szCs w:val="20"/>
          </w:rPr>
          <w:t>Risks and limitations</w:t>
        </w:r>
        <w:r>
          <w:rPr>
            <w:rStyle w:val="Hyperlink"/>
            <w:rFonts w:ascii="Times New Roman" w:hAnsi="Times New Roman"/>
            <w:noProof/>
            <w:sz w:val="20"/>
            <w:szCs w:val="20"/>
          </w:rPr>
          <w:tab/>
          <w:t>12</w:t>
        </w:r>
        <w:r>
          <w:rPr>
            <w:rFonts w:ascii="Times New Roman" w:hAnsi="Times New Roman"/>
            <w:noProof/>
            <w:webHidden/>
            <w:sz w:val="20"/>
            <w:szCs w:val="20"/>
          </w:rPr>
          <w:tab/>
        </w:r>
      </w:hyperlink>
    </w:p>
    <w:p>
      <w:pPr>
        <w:pStyle w:val="TOC1"/>
        <w:rPr>
          <w:rFonts w:eastAsiaTheme="minorEastAsia"/>
          <w:caps w:val="0"/>
          <w:noProof/>
          <w:lang w:eastAsia="zh-CN"/>
        </w:rPr>
      </w:pPr>
      <w:hyperlink w:anchor="_Toc29824051" w:history="1">
        <w:r>
          <w:rPr>
            <w:rStyle w:val="Hyperlink"/>
            <w:noProof/>
          </w:rPr>
          <w:t>5.</w:t>
        </w:r>
        <w:r>
          <w:rPr>
            <w:rFonts w:eastAsiaTheme="minorEastAsia"/>
            <w:caps w:val="0"/>
            <w:noProof/>
            <w:lang w:eastAsia="zh-CN"/>
          </w:rPr>
          <w:tab/>
        </w:r>
        <w:r>
          <w:rPr>
            <w:rStyle w:val="Hyperlink"/>
            <w:noProof/>
          </w:rPr>
          <w:t>Analysis and answers to the evaluation questions</w:t>
        </w:r>
        <w:r>
          <w:rPr>
            <w:noProof/>
            <w:webHidden/>
          </w:rPr>
          <w:tab/>
        </w:r>
        <w:r>
          <w:rPr>
            <w:noProof/>
            <w:webHidden/>
          </w:rPr>
          <w:fldChar w:fldCharType="begin"/>
        </w:r>
        <w:r>
          <w:rPr>
            <w:noProof/>
            <w:webHidden/>
          </w:rPr>
          <w:instrText xml:space="preserve"> PAGEREF _Toc29824051 \h </w:instrText>
        </w:r>
        <w:r>
          <w:rPr>
            <w:noProof/>
            <w:webHidden/>
          </w:rPr>
        </w:r>
        <w:r>
          <w:rPr>
            <w:noProof/>
            <w:webHidden/>
          </w:rPr>
          <w:fldChar w:fldCharType="end"/>
        </w:r>
      </w:hyperlink>
      <w:r>
        <w:rPr>
          <w:noProof/>
        </w:rPr>
        <w:t>13</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2" w:history="1">
        <w:r>
          <w:rPr>
            <w:rStyle w:val="Hyperlink"/>
            <w:rFonts w:ascii="Times New Roman" w:hAnsi="Times New Roman"/>
            <w:noProof/>
            <w:sz w:val="20"/>
            <w:szCs w:val="20"/>
          </w:rPr>
          <w:t>Evaluation Question 1: Relevance of the operation</w:t>
        </w:r>
        <w:r>
          <w:rPr>
            <w:rStyle w:val="Hyperlink"/>
            <w:rFonts w:ascii="Times New Roman" w:hAnsi="Times New Roman"/>
            <w:noProof/>
            <w:sz w:val="20"/>
            <w:szCs w:val="20"/>
          </w:rPr>
          <w:tab/>
          <w:t>13</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_Toc29824052 \h </w:instrText>
        </w:r>
        <w:r>
          <w:rPr>
            <w:rFonts w:ascii="Times New Roman" w:hAnsi="Times New Roman"/>
            <w:noProof/>
            <w:webHidden/>
            <w:sz w:val="20"/>
            <w:szCs w:val="20"/>
          </w:rPr>
        </w:r>
        <w:r>
          <w:rPr>
            <w:rFonts w:ascii="Times New Roman" w:hAnsi="Times New Roman"/>
            <w:noProof/>
            <w:webHidden/>
            <w:sz w:val="20"/>
            <w:szCs w:val="20"/>
          </w:rPr>
          <w:fldChar w:fldCharType="end"/>
        </w:r>
      </w:hyperlink>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3" w:history="1">
        <w:r>
          <w:rPr>
            <w:rStyle w:val="Hyperlink"/>
            <w:rFonts w:ascii="Times New Roman" w:hAnsi="Times New Roman"/>
            <w:noProof/>
            <w:sz w:val="20"/>
            <w:szCs w:val="20"/>
          </w:rPr>
          <w:t>Evaluation Question 2: Effectiveness</w:t>
        </w:r>
        <w:r>
          <w:rPr>
            <w:rFonts w:ascii="Times New Roman" w:hAnsi="Times New Roman"/>
            <w:noProof/>
            <w:webHidden/>
            <w:sz w:val="20"/>
            <w:szCs w:val="20"/>
          </w:rPr>
          <w:tab/>
        </w:r>
        <w:r>
          <w:rPr>
            <w:rFonts w:ascii="Times New Roman" w:hAnsi="Times New Roman"/>
            <w:noProof/>
            <w:webHidden/>
            <w:sz w:val="20"/>
            <w:szCs w:val="20"/>
          </w:rPr>
          <w:fldChar w:fldCharType="begin"/>
        </w:r>
        <w:r>
          <w:rPr>
            <w:rFonts w:ascii="Times New Roman" w:hAnsi="Times New Roman"/>
            <w:noProof/>
            <w:webHidden/>
            <w:sz w:val="20"/>
            <w:szCs w:val="20"/>
          </w:rPr>
          <w:instrText xml:space="preserve"> PAGEREF _Toc29824053 \h </w:instrText>
        </w:r>
        <w:r>
          <w:rPr>
            <w:rFonts w:ascii="Times New Roman" w:hAnsi="Times New Roman"/>
            <w:noProof/>
            <w:webHidden/>
            <w:sz w:val="20"/>
            <w:szCs w:val="20"/>
          </w:rPr>
        </w:r>
        <w:r>
          <w:rPr>
            <w:rFonts w:ascii="Times New Roman" w:hAnsi="Times New Roman"/>
            <w:noProof/>
            <w:webHidden/>
            <w:sz w:val="20"/>
            <w:szCs w:val="20"/>
          </w:rPr>
          <w:fldChar w:fldCharType="end"/>
        </w:r>
      </w:hyperlink>
      <w:r>
        <w:rPr>
          <w:rFonts w:ascii="Times New Roman" w:hAnsi="Times New Roman"/>
          <w:noProof/>
          <w:sz w:val="20"/>
          <w:szCs w:val="20"/>
        </w:rPr>
        <w:t>15</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4" w:history="1">
        <w:r>
          <w:rPr>
            <w:rStyle w:val="Hyperlink"/>
            <w:rFonts w:ascii="Times New Roman" w:hAnsi="Times New Roman"/>
            <w:noProof/>
            <w:sz w:val="20"/>
            <w:szCs w:val="20"/>
          </w:rPr>
          <w:t>Evaluation Question 3: Efficiency of the operation</w:t>
        </w:r>
        <w:r>
          <w:rPr>
            <w:rFonts w:ascii="Times New Roman" w:hAnsi="Times New Roman"/>
            <w:noProof/>
            <w:webHidden/>
            <w:sz w:val="20"/>
            <w:szCs w:val="20"/>
          </w:rPr>
          <w:tab/>
        </w:r>
      </w:hyperlink>
      <w:r>
        <w:rPr>
          <w:rFonts w:ascii="Times New Roman" w:hAnsi="Times New Roman"/>
          <w:noProof/>
          <w:sz w:val="20"/>
          <w:szCs w:val="20"/>
        </w:rPr>
        <w:t>17</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5" w:history="1">
        <w:r>
          <w:rPr>
            <w:rStyle w:val="Hyperlink"/>
            <w:rFonts w:ascii="Times New Roman" w:hAnsi="Times New Roman"/>
            <w:noProof/>
            <w:sz w:val="20"/>
            <w:szCs w:val="20"/>
          </w:rPr>
          <w:t>Evaluation Question 4: EU added-value of the operation</w:t>
        </w:r>
        <w:r>
          <w:rPr>
            <w:rFonts w:ascii="Times New Roman" w:hAnsi="Times New Roman"/>
            <w:noProof/>
            <w:webHidden/>
            <w:sz w:val="20"/>
            <w:szCs w:val="20"/>
          </w:rPr>
          <w:tab/>
        </w:r>
      </w:hyperlink>
      <w:r>
        <w:rPr>
          <w:rFonts w:ascii="Times New Roman" w:hAnsi="Times New Roman"/>
          <w:noProof/>
          <w:sz w:val="20"/>
          <w:szCs w:val="20"/>
        </w:rPr>
        <w:t>18</w:t>
      </w:r>
      <w:r>
        <w:rPr>
          <w:rFonts w:ascii="Times New Roman" w:hAnsi="Times New Roman"/>
          <w:noProof/>
          <w:sz w:val="20"/>
          <w:szCs w:val="20"/>
        </w:rPr>
        <w:tab/>
      </w:r>
      <w:hyperlink w:anchor="_Toc29824056" w:history="1">
        <w:r>
          <w:rPr>
            <w:rStyle w:val="Hyperlink"/>
            <w:rFonts w:ascii="Times New Roman" w:hAnsi="Times New Roman"/>
            <w:noProof/>
            <w:sz w:val="20"/>
            <w:szCs w:val="20"/>
          </w:rPr>
          <w:t>Evaluation Question 5: Coherence of the operation</w:t>
        </w:r>
        <w:r>
          <w:rPr>
            <w:rFonts w:ascii="Times New Roman" w:hAnsi="Times New Roman"/>
            <w:noProof/>
            <w:webHidden/>
            <w:sz w:val="20"/>
            <w:szCs w:val="20"/>
          </w:rPr>
          <w:tab/>
        </w:r>
      </w:hyperlink>
      <w:r>
        <w:rPr>
          <w:rFonts w:ascii="Times New Roman" w:hAnsi="Times New Roman"/>
          <w:noProof/>
          <w:sz w:val="20"/>
          <w:szCs w:val="20"/>
        </w:rPr>
        <w:t>19</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7" w:history="1">
        <w:r>
          <w:rPr>
            <w:rStyle w:val="Hyperlink"/>
            <w:rFonts w:ascii="Times New Roman" w:hAnsi="Times New Roman"/>
            <w:noProof/>
            <w:sz w:val="20"/>
            <w:szCs w:val="20"/>
          </w:rPr>
          <w:t>Evaluation Question 6: Social impact of the operation</w:t>
        </w:r>
        <w:r>
          <w:rPr>
            <w:rFonts w:ascii="Times New Roman" w:hAnsi="Times New Roman"/>
            <w:noProof/>
            <w:webHidden/>
            <w:sz w:val="20"/>
            <w:szCs w:val="20"/>
          </w:rPr>
          <w:tab/>
        </w:r>
      </w:hyperlink>
      <w:r>
        <w:rPr>
          <w:rFonts w:ascii="Times New Roman" w:hAnsi="Times New Roman"/>
          <w:noProof/>
          <w:sz w:val="20"/>
          <w:szCs w:val="20"/>
        </w:rPr>
        <w:t>20</w:t>
      </w:r>
    </w:p>
    <w:p>
      <w:pPr>
        <w:pStyle w:val="TOC2"/>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58" w:history="1">
        <w:r>
          <w:rPr>
            <w:rStyle w:val="Hyperlink"/>
            <w:rFonts w:ascii="Times New Roman" w:hAnsi="Times New Roman"/>
            <w:noProof/>
            <w:sz w:val="20"/>
            <w:szCs w:val="20"/>
          </w:rPr>
          <w:t>Evaluation Question 7: Public Debt Sustainability of the operation</w:t>
        </w:r>
        <w:r>
          <w:rPr>
            <w:rFonts w:ascii="Times New Roman" w:hAnsi="Times New Roman"/>
            <w:noProof/>
            <w:webHidden/>
            <w:sz w:val="20"/>
            <w:szCs w:val="20"/>
          </w:rPr>
          <w:tab/>
        </w:r>
      </w:hyperlink>
      <w:r>
        <w:rPr>
          <w:rFonts w:ascii="Times New Roman" w:hAnsi="Times New Roman"/>
          <w:noProof/>
          <w:sz w:val="20"/>
          <w:szCs w:val="20"/>
        </w:rPr>
        <w:t>21</w:t>
      </w:r>
    </w:p>
    <w:p>
      <w:pPr>
        <w:pStyle w:val="TOC1"/>
        <w:rPr>
          <w:rFonts w:eastAsiaTheme="minorEastAsia"/>
          <w:caps w:val="0"/>
          <w:noProof/>
          <w:lang w:eastAsia="zh-CN"/>
        </w:rPr>
      </w:pPr>
      <w:hyperlink w:anchor="_Toc29824059" w:history="1">
        <w:r>
          <w:rPr>
            <w:rStyle w:val="Hyperlink"/>
            <w:noProof/>
          </w:rPr>
          <w:t>6.</w:t>
        </w:r>
        <w:r>
          <w:rPr>
            <w:rFonts w:eastAsiaTheme="minorEastAsia"/>
            <w:caps w:val="0"/>
            <w:noProof/>
            <w:lang w:eastAsia="zh-CN"/>
          </w:rPr>
          <w:tab/>
        </w:r>
        <w:r>
          <w:rPr>
            <w:rStyle w:val="Hyperlink"/>
            <w:noProof/>
          </w:rPr>
          <w:t>Conclusions</w:t>
        </w:r>
        <w:r>
          <w:rPr>
            <w:noProof/>
            <w:webHidden/>
          </w:rPr>
          <w:tab/>
        </w:r>
      </w:hyperlink>
      <w:r>
        <w:rPr>
          <w:noProof/>
        </w:rPr>
        <w:t>23</w:t>
      </w:r>
    </w:p>
    <w:p>
      <w:pPr>
        <w:pStyle w:val="TOC1"/>
        <w:rPr>
          <w:rFonts w:eastAsiaTheme="minorEastAsia"/>
          <w:caps w:val="0"/>
          <w:noProof/>
          <w:lang w:eastAsia="zh-CN"/>
        </w:rPr>
      </w:pPr>
      <w:hyperlink w:anchor="_Toc29824060" w:history="1">
        <w:r>
          <w:rPr>
            <w:rStyle w:val="Hyperlink"/>
            <w:noProof/>
          </w:rPr>
          <w:t>Annex 1: Procedural information</w:t>
        </w:r>
        <w:r>
          <w:rPr>
            <w:noProof/>
            <w:webHidden/>
          </w:rPr>
          <w:tab/>
        </w:r>
      </w:hyperlink>
      <w:r>
        <w:rPr>
          <w:noProof/>
        </w:rPr>
        <w:t>27</w:t>
      </w:r>
    </w:p>
    <w:p>
      <w:pPr>
        <w:pStyle w:val="TOC2"/>
        <w:spacing w:after="240"/>
        <w:jc w:val="both"/>
        <w:rPr>
          <w:rFonts w:ascii="Times New Roman" w:eastAsiaTheme="minorEastAsia" w:hAnsi="Times New Roman"/>
          <w:noProof/>
          <w:sz w:val="20"/>
          <w:szCs w:val="20"/>
          <w:lang w:eastAsia="zh-CN"/>
        </w:rPr>
      </w:pPr>
      <w:r>
        <w:rPr>
          <w:rFonts w:ascii="Times New Roman" w:hAnsi="Times New Roman"/>
          <w:noProof/>
          <w:sz w:val="20"/>
          <w:szCs w:val="20"/>
        </w:rPr>
        <w:tab/>
      </w:r>
      <w:hyperlink w:anchor="_Toc29824061" w:history="1">
        <w:r>
          <w:rPr>
            <w:rStyle w:val="Hyperlink"/>
            <w:rFonts w:ascii="Times New Roman" w:hAnsi="Times New Roman"/>
            <w:noProof/>
            <w:color w:val="auto"/>
            <w:sz w:val="20"/>
            <w:szCs w:val="20"/>
          </w:rPr>
          <w:t>Organisation, design and timing</w:t>
        </w:r>
        <w:r>
          <w:rPr>
            <w:rStyle w:val="Hyperlink"/>
            <w:rFonts w:ascii="Times New Roman" w:hAnsi="Times New Roman"/>
            <w:noProof/>
            <w:color w:val="auto"/>
            <w:sz w:val="20"/>
            <w:szCs w:val="20"/>
          </w:rPr>
          <w:tab/>
          <w:t>2</w:t>
        </w:r>
      </w:hyperlink>
      <w:r>
        <w:rPr>
          <w:rStyle w:val="Hyperlink"/>
          <w:rFonts w:ascii="Times New Roman" w:hAnsi="Times New Roman"/>
          <w:noProof/>
          <w:color w:val="auto"/>
          <w:sz w:val="20"/>
          <w:szCs w:val="20"/>
          <w:u w:val="none"/>
        </w:rPr>
        <w:t>7</w:t>
      </w:r>
      <w:r>
        <w:rPr>
          <w:rFonts w:ascii="Times New Roman" w:hAnsi="Times New Roman"/>
          <w:noProof/>
          <w:sz w:val="20"/>
          <w:szCs w:val="20"/>
        </w:rPr>
        <w:tab/>
      </w:r>
      <w:hyperlink w:anchor="_Toc29824062" w:history="1">
        <w:r>
          <w:rPr>
            <w:rFonts w:ascii="Times New Roman" w:hAnsi="Times New Roman"/>
            <w:noProof/>
            <w:webHidden/>
            <w:sz w:val="20"/>
            <w:szCs w:val="20"/>
          </w:rPr>
          <w:tab/>
        </w:r>
      </w:hyperlink>
    </w:p>
    <w:p>
      <w:pPr>
        <w:pStyle w:val="TOC1"/>
        <w:spacing w:before="0"/>
        <w:rPr>
          <w:noProof/>
        </w:rPr>
      </w:pPr>
      <w:hyperlink w:anchor="_Toc29824063" w:history="1">
        <w:r>
          <w:rPr>
            <w:rStyle w:val="Hyperlink"/>
            <w:noProof/>
          </w:rPr>
          <w:t>Annex 2: Stakeholder consultation strategy</w:t>
        </w:r>
      </w:hyperlink>
      <w:r>
        <w:rPr>
          <w:rStyle w:val="Hyperlink"/>
          <w:noProof/>
          <w:color w:val="auto"/>
          <w:u w:val="none"/>
        </w:rPr>
        <w:tab/>
        <w:t>28</w:t>
      </w:r>
    </w:p>
    <w:p>
      <w:pPr>
        <w:spacing w:after="0" w:line="360" w:lineRule="auto"/>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ab/>
        <w:t xml:space="preserve">       Mapping of stakeholder groups</w:t>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t xml:space="preserve">           28</w:t>
      </w:r>
      <w:r>
        <w:rPr>
          <w:rFonts w:ascii="Times New Roman" w:hAnsi="Times New Roman" w:cs="Times New Roman"/>
          <w:noProof/>
          <w:sz w:val="20"/>
          <w:szCs w:val="20"/>
          <w:lang w:val="en-GB"/>
        </w:rPr>
        <w:tab/>
      </w:r>
      <w:r>
        <w:rPr>
          <w:rFonts w:ascii="Times New Roman" w:hAnsi="Times New Roman" w:cs="Times New Roman"/>
          <w:noProof/>
          <w:sz w:val="20"/>
          <w:szCs w:val="20"/>
          <w:lang w:val="en-GB"/>
        </w:rPr>
        <w:tab/>
        <w:t xml:space="preserve">            </w:t>
      </w:r>
    </w:p>
    <w:p>
      <w:pPr>
        <w:pStyle w:val="AnnexH3"/>
        <w:numPr>
          <w:ilvl w:val="0"/>
          <w:numId w:val="0"/>
        </w:numPr>
        <w:spacing w:before="0" w:after="0" w:line="360" w:lineRule="auto"/>
        <w:jc w:val="both"/>
        <w:rPr>
          <w:rFonts w:ascii="Times New Roman" w:hAnsi="Times New Roman"/>
          <w:b w:val="0"/>
          <w:noProof/>
          <w:color w:val="000000" w:themeColor="text1"/>
          <w:sz w:val="20"/>
          <w:szCs w:val="20"/>
        </w:rPr>
      </w:pPr>
      <w:r>
        <w:rPr>
          <w:rFonts w:ascii="Times New Roman" w:hAnsi="Times New Roman"/>
          <w:b w:val="0"/>
          <w:noProof/>
          <w:sz w:val="20"/>
          <w:szCs w:val="20"/>
        </w:rPr>
        <w:tab/>
        <w:t xml:space="preserve">       </w:t>
      </w:r>
      <w:r>
        <w:rPr>
          <w:rFonts w:ascii="Times New Roman" w:hAnsi="Times New Roman"/>
          <w:b w:val="0"/>
          <w:noProof/>
          <w:color w:val="000000" w:themeColor="text1"/>
          <w:sz w:val="20"/>
          <w:szCs w:val="20"/>
        </w:rPr>
        <w:t>Methods and tools for engaging with stakeholders</w:t>
      </w:r>
      <w:r>
        <w:rPr>
          <w:rFonts w:ascii="Times New Roman" w:hAnsi="Times New Roman"/>
          <w:b w:val="0"/>
          <w:noProof/>
          <w:color w:val="000000" w:themeColor="text1"/>
          <w:sz w:val="20"/>
          <w:szCs w:val="20"/>
        </w:rPr>
        <w:tab/>
      </w:r>
      <w:r>
        <w:rPr>
          <w:rFonts w:ascii="Times New Roman" w:hAnsi="Times New Roman"/>
          <w:b w:val="0"/>
          <w:noProof/>
          <w:color w:val="000000" w:themeColor="text1"/>
          <w:sz w:val="20"/>
          <w:szCs w:val="20"/>
        </w:rPr>
        <w:tab/>
      </w:r>
      <w:r>
        <w:rPr>
          <w:rFonts w:ascii="Times New Roman" w:hAnsi="Times New Roman"/>
          <w:b w:val="0"/>
          <w:noProof/>
          <w:color w:val="000000" w:themeColor="text1"/>
          <w:sz w:val="20"/>
          <w:szCs w:val="20"/>
        </w:rPr>
        <w:tab/>
        <w:t xml:space="preserve">           29</w:t>
      </w:r>
    </w:p>
    <w:p>
      <w:pPr>
        <w:pStyle w:val="TOC1"/>
        <w:spacing w:after="0"/>
        <w:rPr>
          <w:noProof/>
        </w:rPr>
      </w:pPr>
      <w:r>
        <w:rPr>
          <w:noProof/>
        </w:rPr>
        <w:t>ANNEX 3: METHODS AND DATA SOURCES</w:t>
      </w:r>
      <w:r>
        <w:rPr>
          <w:noProof/>
        </w:rPr>
        <w:tab/>
        <w:t>32</w:t>
      </w:r>
    </w:p>
    <w:p>
      <w:pPr>
        <w:pStyle w:val="TOC1"/>
        <w:rPr>
          <w:noProof/>
          <w:sz w:val="16"/>
        </w:rPr>
      </w:pPr>
      <w:hyperlink w:anchor="_Toc29824064" w:history="1">
        <w:r>
          <w:rPr>
            <w:rStyle w:val="Hyperlink"/>
            <w:noProof/>
          </w:rPr>
          <w:t>Annex 4: Timeline of the UKRAINE MFA-III operation</w:t>
        </w:r>
      </w:hyperlink>
      <w:r>
        <w:rPr>
          <w:noProof/>
        </w:rPr>
        <w:fldChar w:fldCharType="end"/>
      </w:r>
      <w:r>
        <w:rPr>
          <w:noProof/>
        </w:rPr>
        <w:t>……………………….…………….38</w:t>
      </w:r>
    </w:p>
    <w:p>
      <w:pPr>
        <w:pStyle w:val="no-heading-blue-1"/>
        <w:spacing w:after="360"/>
        <w:jc w:val="center"/>
        <w:rPr>
          <w:rFonts w:ascii="Times New Roman" w:hAnsi="Times New Roman"/>
          <w:noProof/>
          <w:sz w:val="28"/>
          <w:szCs w:val="28"/>
        </w:rPr>
      </w:pPr>
      <w:bookmarkStart w:id="2" w:name="_Toc29824038"/>
      <w:r>
        <w:rPr>
          <w:rFonts w:ascii="Times New Roman" w:hAnsi="Times New Roman"/>
          <w:noProof/>
          <w:color w:val="auto"/>
          <w:sz w:val="28"/>
          <w:szCs w:val="28"/>
        </w:rPr>
        <w:t>Glossary</w:t>
      </w:r>
      <w:bookmarkEnd w:id="2"/>
    </w:p>
    <w:p>
      <w:pPr>
        <w:pStyle w:val="DefaultText"/>
        <w:spacing w:line="240" w:lineRule="auto"/>
        <w:rPr>
          <w:rFonts w:ascii="Times New Roman" w:hAnsi="Times New Roman"/>
          <w:b/>
          <w:noProof/>
          <w:sz w:val="20"/>
          <w:szCs w:val="20"/>
        </w:rPr>
      </w:pPr>
      <w:r>
        <w:rPr>
          <w:rFonts w:ascii="Times New Roman" w:hAnsi="Times New Roman"/>
          <w:b/>
          <w:noProof/>
          <w:sz w:val="20"/>
          <w:szCs w:val="20"/>
        </w:rPr>
        <w:t xml:space="preserve">Term </w:t>
      </w:r>
      <w:r>
        <w:rPr>
          <w:rFonts w:ascii="Times New Roman" w:hAnsi="Times New Roman"/>
          <w:b/>
          <w:noProof/>
          <w:sz w:val="20"/>
          <w:szCs w:val="20"/>
        </w:rPr>
        <w:tab/>
        <w:t xml:space="preserve">             Meaning or definition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23"/>
        <w:gridCol w:w="5859"/>
      </w:tblGrid>
      <w:tr>
        <w:trPr>
          <w:trHeight w:val="100"/>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AA</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Association Agreement</w:t>
            </w:r>
          </w:p>
        </w:tc>
      </w:tr>
      <w:tr>
        <w:trPr>
          <w:trHeight w:val="130"/>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AC</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Anti-corruption</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DCFTA</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Deep and Comprehensive Free Trade Area</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DG ECFIN</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Directorate-General for Economic and Financial Affairs</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DG NEAR</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4"/>
              </w:rPr>
              <w:t xml:space="preserve"> Directorate-General </w:t>
            </w:r>
            <w:r>
              <w:rPr>
                <w:rFonts w:ascii="Times New Roman" w:hAnsi="Times New Roman" w:cs="Times New Roman"/>
                <w:noProof/>
                <w:szCs w:val="24"/>
                <w:shd w:val="clear" w:color="auto" w:fill="FFFFFF"/>
                <w:lang w:val="en-US"/>
              </w:rPr>
              <w:t>for Neighborhood and Enlargement Negotiations</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DSA</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Debt sustainability analysis</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EEAS</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European External Action Service</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EFF</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Extended Fund Facility</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ENP</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European Neighbourhood Policy</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EU</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European Union</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FDI</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Foreign Direct Investment</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FSDPL</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Financial Sector Development Policy Loan</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GDP</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Gross Domestic Product</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GNI</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Gross National Income</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IDPs</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Internally Displaced Persons</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eastAsia="Calibri" w:hAnsi="Times New Roman" w:cs="Times New Roman"/>
                <w:noProof/>
                <w:szCs w:val="20"/>
              </w:rPr>
              <w:t>IFIs</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International Financial Institutions</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IMF</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International Monetary Fund</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ISG</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Inter-Service Steering Group</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MFA</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Macro-Financial Assistance</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MoU</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Memorandum of Understanding</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NABU</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National Anti-Corruption Bureau</w:t>
            </w:r>
          </w:p>
        </w:tc>
      </w:tr>
      <w:tr>
        <w:trPr>
          <w:trHeight w:val="336"/>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NAPC</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National Agency for the Prevention of Corruption</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NBU</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National Bank of Ukraine</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PP</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Public Procurement </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SAPO</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Specialised Anti-Corruption Prosecution Office</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SBA</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4"/>
              </w:rPr>
              <w:t xml:space="preserve"> Stand-By Arrangement</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SOEs</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State-owned enterprises</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SWD</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Staff Working Document</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UAH</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4"/>
                <w:lang w:val="en-US"/>
              </w:rPr>
              <w:t xml:space="preserve"> Ukrainian Hryvnia</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USD</w:t>
            </w:r>
          </w:p>
        </w:tc>
        <w:tc>
          <w:tcPr>
            <w:tcW w:w="5859" w:type="dxa"/>
            <w:vAlign w:val="bottom"/>
          </w:tcPr>
          <w:p>
            <w:pPr>
              <w:pStyle w:val="TableText"/>
              <w:rPr>
                <w:rFonts w:ascii="Times New Roman" w:hAnsi="Times New Roman" w:cs="Times New Roman"/>
                <w:noProof/>
                <w:szCs w:val="24"/>
                <w:lang w:val="en-US"/>
              </w:rPr>
            </w:pPr>
            <w:r>
              <w:rPr>
                <w:rFonts w:ascii="Times New Roman" w:hAnsi="Times New Roman" w:cs="Times New Roman"/>
                <w:noProof/>
                <w:szCs w:val="24"/>
                <w:lang w:val="en-US"/>
              </w:rPr>
              <w:t xml:space="preserve"> United States Dollar</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WB</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World Bank</w:t>
            </w:r>
          </w:p>
        </w:tc>
      </w:tr>
      <w:tr>
        <w:trPr>
          <w:trHeight w:val="321"/>
        </w:trPr>
        <w:tc>
          <w:tcPr>
            <w:tcW w:w="1223" w:type="dxa"/>
            <w:shd w:val="clear" w:color="auto" w:fill="auto"/>
            <w:vAlign w:val="bottom"/>
          </w:tcPr>
          <w:p>
            <w:pPr>
              <w:pStyle w:val="TableText"/>
              <w:ind w:left="0"/>
              <w:rPr>
                <w:rFonts w:ascii="Times New Roman" w:hAnsi="Times New Roman" w:cs="Times New Roman"/>
                <w:bCs/>
                <w:noProof/>
                <w:szCs w:val="20"/>
              </w:rPr>
            </w:pPr>
            <w:r>
              <w:rPr>
                <w:rFonts w:ascii="Times New Roman" w:hAnsi="Times New Roman" w:cs="Times New Roman"/>
                <w:bCs/>
                <w:noProof/>
                <w:szCs w:val="20"/>
              </w:rPr>
              <w:t>WTO</w:t>
            </w:r>
          </w:p>
        </w:tc>
        <w:tc>
          <w:tcPr>
            <w:tcW w:w="5859" w:type="dxa"/>
            <w:vAlign w:val="bottom"/>
          </w:tcPr>
          <w:p>
            <w:pPr>
              <w:pStyle w:val="TableText"/>
              <w:rPr>
                <w:rFonts w:ascii="Times New Roman" w:hAnsi="Times New Roman" w:cs="Times New Roman"/>
                <w:noProof/>
                <w:szCs w:val="20"/>
              </w:rPr>
            </w:pPr>
            <w:r>
              <w:rPr>
                <w:rFonts w:ascii="Times New Roman" w:hAnsi="Times New Roman" w:cs="Times New Roman"/>
                <w:noProof/>
                <w:szCs w:val="20"/>
              </w:rPr>
              <w:t xml:space="preserve"> World Trade Organization </w:t>
            </w:r>
          </w:p>
        </w:tc>
      </w:tr>
    </w:tbl>
    <w:p>
      <w:pPr>
        <w:spacing w:after="160" w:line="259" w:lineRule="auto"/>
        <w:rPr>
          <w:rFonts w:ascii="Times New Roman" w:hAnsi="Times New Roman" w:cs="Times New Roman"/>
          <w:noProof/>
          <w:sz w:val="20"/>
          <w:szCs w:val="20"/>
          <w:lang w:val="en-GB"/>
        </w:rPr>
      </w:pPr>
    </w:p>
    <w:p>
      <w:pPr>
        <w:pStyle w:val="ListParagraph"/>
        <w:numPr>
          <w:ilvl w:val="0"/>
          <w:numId w:val="31"/>
        </w:numPr>
        <w:spacing w:after="160" w:line="240" w:lineRule="auto"/>
        <w:ind w:left="426" w:hanging="437"/>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INTRODUCTION</w:t>
      </w:r>
    </w:p>
    <w:p>
      <w:pPr>
        <w:spacing w:after="16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Purpose of the evaluation</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Staff Working Document (SWD) presents an evaluation of the third Macro-Financial Assistance (MFA-III) operation to Ukraine, provided by the European Union (EU) over the period 2015-2017. It largely draws on an independent, ex-post evaluation</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conducted by an external contractor, and a consultation process that involved targeted stakeholders in Ukraine as well as EU staff. </w:t>
      </w:r>
    </w:p>
    <w:p>
      <w:pPr>
        <w:spacing w:after="120" w:line="240" w:lineRule="auto"/>
        <w:jc w:val="both"/>
        <w:rPr>
          <w:rFonts w:ascii="Times New Roman" w:hAnsi="Times New Roman" w:cs="Times New Roman"/>
          <w:noProof/>
          <w:sz w:val="24"/>
          <w:szCs w:val="24"/>
          <w:lang w:val="en-GB"/>
        </w:rPr>
      </w:pPr>
      <w:bookmarkStart w:id="3" w:name="_Toc29824041"/>
      <w:r>
        <w:rPr>
          <w:rFonts w:ascii="Times New Roman" w:hAnsi="Times New Roman" w:cs="Times New Roman"/>
          <w:noProof/>
          <w:sz w:val="24"/>
          <w:szCs w:val="24"/>
          <w:lang w:val="en-GB"/>
        </w:rPr>
        <w:t>The aim of the evaluation is to assess whether the MFA-III operation met its objectives to support Ukraine in addressing its balance-of-payments problems and implementing economic and structural reforms that would stabilise its economy and enhance the sustainability of its external position. The purpose of the evaluation is to support decision-making by identifying areas of improvement for similar on-going or future MFA operations, while also ensuring transparency and accountability.</w:t>
      </w:r>
    </w:p>
    <w:p>
      <w:pPr>
        <w:pStyle w:val="Heading2"/>
        <w:tabs>
          <w:tab w:val="num" w:pos="1200"/>
        </w:tabs>
        <w:spacing w:after="120" w:line="240" w:lineRule="auto"/>
        <w:jc w:val="both"/>
        <w:rPr>
          <w:rFonts w:ascii="Times New Roman" w:hAnsi="Times New Roman" w:cs="Times New Roman"/>
          <w:b/>
          <w:noProof/>
          <w:color w:val="auto"/>
          <w:sz w:val="24"/>
          <w:szCs w:val="24"/>
          <w:lang w:val="en-US"/>
        </w:rPr>
      </w:pPr>
      <w:r>
        <w:rPr>
          <w:rFonts w:ascii="Times New Roman" w:hAnsi="Times New Roman" w:cs="Times New Roman"/>
          <w:b/>
          <w:noProof/>
          <w:color w:val="auto"/>
          <w:sz w:val="24"/>
          <w:szCs w:val="24"/>
          <w:lang w:val="en-US"/>
        </w:rPr>
        <w:t>Scope of the evaluation</w:t>
      </w:r>
      <w:bookmarkEnd w:id="3"/>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MFA is a policy-based financial instrument of untied and undesignated</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en-GB"/>
        </w:rPr>
        <w:t xml:space="preserve"> balance-of-payments support to partner countries. It is designed to assist third countries that are geographically, economically and politically close to the EU. MFA takes the form of medium/long-term loans, grants or a combination of the two. Unlike other, regular forms of aid provided by the EU, MFA is exceptional in nature and is mobilised on an ad-hoc case-by-case basis. Its objective is to help restore a sustainable external financial situation, while encouraging economic adjustment and structural reforms in the partner country. MFA always complements (and is conditioned on) financing provided in the context of a reform programme agreed with the International Monetary Fund (IMF).</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evaluation covers the third MFA programme for Ukraine, implemented in 2015-2017. Two preceding MFA operations for this country, disbursed in 2014 and early 2015 for a total of EUR 1.61 billion, were covered by a separate evaluation</w:t>
      </w:r>
      <w:r>
        <w:rPr>
          <w:rFonts w:ascii="Times New Roman" w:hAnsi="Times New Roman" w:cs="Times New Roman"/>
          <w:noProof/>
          <w:sz w:val="20"/>
          <w:szCs w:val="24"/>
          <w:vertAlign w:val="superscript"/>
          <w:lang w:val="en-GB"/>
        </w:rPr>
        <w:footnoteReference w:id="3"/>
      </w:r>
      <w:r>
        <w:rPr>
          <w:rFonts w:ascii="Times New Roman" w:hAnsi="Times New Roman" w:cs="Times New Roman"/>
          <w:noProof/>
          <w:sz w:val="24"/>
          <w:szCs w:val="24"/>
          <w:lang w:val="en-GB"/>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context of a deep economic recession and a severe confidence crisis due to the protracted armed conflict in the Eastern part of the country, Ukraine requested additional financial assistance from the EU and other international partners in late 2014.  In April 2015, the European Parliament and the Council adopted a decision</w:t>
      </w:r>
      <w:r>
        <w:rPr>
          <w:rStyle w:val="FootnoteReference"/>
          <w:rFonts w:ascii="Times New Roman" w:hAnsi="Times New Roman" w:cs="Times New Roman"/>
          <w:noProof/>
          <w:sz w:val="24"/>
          <w:szCs w:val="24"/>
          <w:lang w:val="en-GB"/>
        </w:rPr>
        <w:footnoteReference w:id="4"/>
      </w:r>
      <w:r>
        <w:rPr>
          <w:rFonts w:ascii="Times New Roman" w:hAnsi="Times New Roman" w:cs="Times New Roman"/>
          <w:noProof/>
          <w:sz w:val="24"/>
          <w:szCs w:val="24"/>
          <w:lang w:val="en-GB"/>
        </w:rPr>
        <w:t xml:space="preserve"> to provide EUR 1.8 billion of MFA-III to Ukraine as part of a wider package of international assistance. The objectives were to (i) alleviate Ukraine’s external financing constraints, balance of payment and budgetary needs, which remained sizable even after the effects of MFA-I and II</w:t>
      </w:r>
      <w:r>
        <w:rPr>
          <w:rStyle w:val="FootnoteReference"/>
          <w:rFonts w:ascii="Times New Roman" w:hAnsi="Times New Roman" w:cs="Times New Roman"/>
          <w:noProof/>
          <w:szCs w:val="24"/>
          <w:lang w:val="en-GB"/>
        </w:rPr>
        <w:footnoteReference w:id="5"/>
      </w:r>
      <w:r>
        <w:rPr>
          <w:rFonts w:ascii="Times New Roman" w:hAnsi="Times New Roman" w:cs="Times New Roman"/>
          <w:noProof/>
          <w:sz w:val="24"/>
          <w:szCs w:val="24"/>
          <w:lang w:val="en-GB"/>
        </w:rPr>
        <w:t xml:space="preserve"> and other donor programmes; and (ii) to support the ambitious reform programme initiated under the first two MFAs. The assistance was to be disbursed in three instalments of EUR 600 million each</w:t>
      </w:r>
      <w:r>
        <w:rPr>
          <w:rStyle w:val="FootnoteReference"/>
          <w:rFonts w:ascii="Times New Roman" w:hAnsi="Times New Roman" w:cs="Times New Roman"/>
          <w:noProof/>
          <w:sz w:val="24"/>
          <w:szCs w:val="24"/>
          <w:lang w:val="en-GB"/>
        </w:rPr>
        <w:footnoteReference w:id="6"/>
      </w:r>
      <w:r>
        <w:rPr>
          <w:rFonts w:ascii="Times New Roman" w:hAnsi="Times New Roman" w:cs="Times New Roman"/>
          <w:noProof/>
          <w:sz w:val="24"/>
          <w:szCs w:val="24"/>
          <w:lang w:val="en-GB"/>
        </w:rPr>
        <w:t xml:space="preserve">, alongside IMF assistance and contributions from other donors. Beyond some political and economic pre-conditions, disbursements were linked to the fulfilment of thirty-six specific structural reform conditions related to six policy areas, namely: public finance management; governance and transparency; business environment; energy sector; financial sector; and social safety nets.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accordance with Article 34(1) of the Financial Regulation</w:t>
      </w:r>
      <w:r>
        <w:rPr>
          <w:rStyle w:val="FootnoteReference"/>
          <w:rFonts w:ascii="Times New Roman" w:hAnsi="Times New Roman"/>
          <w:noProof/>
          <w:sz w:val="24"/>
          <w:szCs w:val="24"/>
        </w:rPr>
        <w:footnoteReference w:id="7"/>
      </w:r>
      <w:r>
        <w:rPr>
          <w:rFonts w:ascii="Times New Roman" w:hAnsi="Times New Roman" w:cs="Times New Roman"/>
          <w:noProof/>
          <w:sz w:val="24"/>
          <w:szCs w:val="24"/>
          <w:lang w:val="en-GB"/>
        </w:rPr>
        <w:t xml:space="preserve">, MFA operations in third countries are subject to an ex-post evaluation. In turn, the aforementioned MFA Decision for Ukraine stipulates that the European Commission is required to “submit to the European Parliament and to the Council an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evaluation report”.</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this end, </w:t>
      </w:r>
      <w:r>
        <w:rPr>
          <w:rFonts w:ascii="Times New Roman" w:hAnsi="Times New Roman"/>
          <w:noProof/>
          <w:sz w:val="24"/>
          <w:szCs w:val="24"/>
          <w:lang w:val="en-US"/>
        </w:rPr>
        <w:t xml:space="preserve">the Directorate-General for Economic and Financial Affairs (DG ECFIN) </w:t>
      </w:r>
      <w:r>
        <w:rPr>
          <w:rFonts w:ascii="Times New Roman" w:hAnsi="Times New Roman" w:cs="Times New Roman"/>
          <w:noProof/>
          <w:sz w:val="24"/>
          <w:szCs w:val="24"/>
          <w:lang w:val="en-GB"/>
        </w:rPr>
        <w:t xml:space="preserve">engaged an external contractor to complete an independent assessment, which informs this Staff Working Document. The objectives of the ex-post evaluation were: </w:t>
      </w:r>
    </w:p>
    <w:p>
      <w:pPr>
        <w:pStyle w:val="ListParagraph"/>
        <w:numPr>
          <w:ilvl w:val="0"/>
          <w:numId w:val="6"/>
        </w:num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To analyse the impact of MFA-III on the economy of Ukraine and, in particular, on the sustainability of its external position;</w:t>
      </w:r>
    </w:p>
    <w:p>
      <w:pPr>
        <w:pStyle w:val="ListParagraph"/>
        <w:numPr>
          <w:ilvl w:val="0"/>
          <w:numId w:val="6"/>
        </w:num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To assess the added value of the EU’s intervention. In general, the evaluation seeks to draw lessons with respect to the EU’s financial assistance, i.e.</w:t>
      </w:r>
    </w:p>
    <w:p>
      <w:pPr>
        <w:pStyle w:val="ListParagraph"/>
        <w:numPr>
          <w:ilvl w:val="1"/>
          <w:numId w:val="6"/>
        </w:numPr>
        <w:spacing w:after="120" w:line="240" w:lineRule="auto"/>
        <w:ind w:left="78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Whether the ex-ante considerations determining the design and terms of the operation were appropriate, taking due account of the economic, political and institutional context; and</w:t>
      </w:r>
    </w:p>
    <w:p>
      <w:pPr>
        <w:pStyle w:val="ListParagraph"/>
        <w:numPr>
          <w:ilvl w:val="1"/>
          <w:numId w:val="6"/>
        </w:numPr>
        <w:spacing w:after="120" w:line="240" w:lineRule="auto"/>
        <w:ind w:left="78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Whether the outcome of the programme met the objectives.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areas were assessed along the following key evaluation criteria: relevance, effectiveness, efficiency, EU added value, and coherence with both other EU policies and interventions from international donors. In addition, the evaluation assessed the social impact of the MFA and the impact on the sustainability of Ukraine’s public debt. This is further specified in the Evaluation Roadmap</w:t>
      </w:r>
      <w:r>
        <w:rPr>
          <w:rStyle w:val="FootnoteReference"/>
          <w:rFonts w:ascii="Times New Roman" w:hAnsi="Times New Roman"/>
          <w:noProof/>
          <w:sz w:val="24"/>
          <w:szCs w:val="24"/>
        </w:rPr>
        <w:footnoteReference w:id="8"/>
      </w:r>
      <w:r>
        <w:rPr>
          <w:rFonts w:ascii="Times New Roman" w:hAnsi="Times New Roman" w:cs="Times New Roman"/>
          <w:noProof/>
          <w:sz w:val="24"/>
          <w:szCs w:val="24"/>
          <w:lang w:val="en-GB"/>
        </w:rPr>
        <w:t>.</w:t>
      </w:r>
    </w:p>
    <w:p>
      <w:pPr>
        <w:spacing w:after="120" w:line="240" w:lineRule="auto"/>
        <w:jc w:val="both"/>
        <w:rPr>
          <w:rFonts w:ascii="Times New Roman" w:hAnsi="Times New Roman"/>
          <w:noProof/>
          <w:sz w:val="24"/>
          <w:szCs w:val="24"/>
        </w:rPr>
      </w:pPr>
    </w:p>
    <w:p>
      <w:pPr>
        <w:pStyle w:val="Heading1"/>
        <w:keepLines w:val="0"/>
        <w:numPr>
          <w:ilvl w:val="0"/>
          <w:numId w:val="31"/>
        </w:numPr>
        <w:spacing w:before="0" w:after="120" w:line="240" w:lineRule="auto"/>
        <w:ind w:left="426" w:hanging="426"/>
        <w:jc w:val="both"/>
        <w:rPr>
          <w:rFonts w:ascii="Times New Roman" w:hAnsi="Times New Roman" w:cs="Times New Roman"/>
          <w:b/>
          <w:noProof/>
          <w:color w:val="auto"/>
          <w:sz w:val="24"/>
          <w:szCs w:val="24"/>
        </w:rPr>
      </w:pPr>
      <w:bookmarkStart w:id="4" w:name="_Toc518383268"/>
      <w:bookmarkStart w:id="5" w:name="_Toc29824042"/>
      <w:r>
        <w:rPr>
          <w:rFonts w:ascii="Times New Roman" w:hAnsi="Times New Roman" w:cs="Times New Roman"/>
          <w:b/>
          <w:noProof/>
          <w:color w:val="auto"/>
          <w:sz w:val="24"/>
          <w:szCs w:val="24"/>
        </w:rPr>
        <w:t>BACKGROUND TO THE INTERVENTION</w:t>
      </w:r>
      <w:bookmarkEnd w:id="4"/>
      <w:bookmarkEnd w:id="5"/>
    </w:p>
    <w:p>
      <w:pPr>
        <w:pStyle w:val="Heading2"/>
        <w:tabs>
          <w:tab w:val="num" w:pos="1200"/>
        </w:tabs>
        <w:spacing w:after="120" w:line="240" w:lineRule="auto"/>
        <w:jc w:val="both"/>
        <w:rPr>
          <w:rFonts w:ascii="Times New Roman" w:hAnsi="Times New Roman" w:cs="Times New Roman"/>
          <w:b/>
          <w:noProof/>
          <w:color w:val="auto"/>
          <w:sz w:val="24"/>
          <w:szCs w:val="24"/>
          <w:lang w:val="en-US"/>
        </w:rPr>
      </w:pPr>
      <w:bookmarkStart w:id="6" w:name="_Toc29824043"/>
      <w:r>
        <w:rPr>
          <w:rFonts w:ascii="Times New Roman" w:hAnsi="Times New Roman" w:cs="Times New Roman"/>
          <w:b/>
          <w:noProof/>
          <w:color w:val="auto"/>
          <w:sz w:val="24"/>
          <w:szCs w:val="24"/>
          <w:lang w:val="en-US"/>
        </w:rPr>
        <w:t xml:space="preserve">Economic </w:t>
      </w:r>
      <w:bookmarkEnd w:id="6"/>
      <w:r>
        <w:rPr>
          <w:rFonts w:ascii="Times New Roman" w:hAnsi="Times New Roman" w:cs="Times New Roman"/>
          <w:b/>
          <w:noProof/>
          <w:color w:val="auto"/>
          <w:sz w:val="24"/>
          <w:szCs w:val="24"/>
          <w:lang w:val="en-US"/>
        </w:rPr>
        <w:t>situation</w:t>
      </w:r>
    </w:p>
    <w:p>
      <w:pPr>
        <w:pStyle w:val="BodyText"/>
        <w:spacing w:after="240" w:line="240" w:lineRule="auto"/>
        <w:jc w:val="both"/>
        <w:rPr>
          <w:rFonts w:ascii="Times New Roman" w:hAnsi="Times New Roman" w:cs="Times New Roman"/>
          <w:noProof/>
          <w:sz w:val="24"/>
          <w:szCs w:val="24"/>
          <w:lang w:val="en-US"/>
        </w:rPr>
      </w:pPr>
      <w:bookmarkStart w:id="7" w:name="_Toc29824044"/>
      <w:r>
        <w:rPr>
          <w:rFonts w:ascii="Times New Roman" w:hAnsi="Times New Roman" w:cs="Times New Roman"/>
          <w:noProof/>
          <w:sz w:val="24"/>
          <w:szCs w:val="24"/>
          <w:lang w:val="en-US"/>
        </w:rPr>
        <w:t xml:space="preserve">Following the Russian annexation of the Crimean peninsula, and due to conflicts in the eastern part of the country, the economic and political environment in Ukraine deteriorated sharply in 2014, resulting in a fully-fledged currency, banking and balance of payments crisis. Uncertainty and instability related to the confidence loss associated with the conflicts translated into restricted access to finance and drove the fall in investment activity and household consumption. As a result, real GDP contracted by 6.8% in 2014. </w:t>
      </w:r>
    </w:p>
    <w:p>
      <w:pPr>
        <w:pStyle w:val="Bullet1Space"/>
        <w:tabs>
          <w:tab w:val="clear" w:pos="851"/>
        </w:tabs>
        <w:ind w:left="0" w:firstLine="0"/>
        <w:jc w:val="both"/>
        <w:rPr>
          <w:rFonts w:ascii="Times New Roman" w:hAnsi="Times New Roman" w:cs="Times New Roman"/>
          <w:noProof/>
          <w:color w:val="auto"/>
          <w:sz w:val="24"/>
          <w:szCs w:val="24"/>
          <w:lang w:val="en-US"/>
        </w:rPr>
      </w:pPr>
      <w:r>
        <w:rPr>
          <w:rFonts w:ascii="Times New Roman" w:hAnsi="Times New Roman" w:cs="Times New Roman"/>
          <w:noProof/>
          <w:color w:val="auto"/>
          <w:sz w:val="24"/>
          <w:szCs w:val="24"/>
          <w:lang w:val="en-US"/>
        </w:rPr>
        <w:t xml:space="preserve">Weak economic activity, coupled with higher interest outlays on foreign currency denominated debt in light of strong currency depreciation, as well as sizable losses of tax collection in the eastern parts of the country, led to a widening of the </w:t>
      </w:r>
      <w:r>
        <w:rPr>
          <w:rFonts w:ascii="Times New Roman" w:hAnsi="Times New Roman" w:cs="Times New Roman"/>
          <w:b/>
          <w:noProof/>
          <w:color w:val="auto"/>
          <w:sz w:val="24"/>
          <w:szCs w:val="24"/>
          <w:lang w:val="en-US"/>
        </w:rPr>
        <w:t>budget deficit</w:t>
      </w:r>
      <w:r>
        <w:rPr>
          <w:rFonts w:ascii="Times New Roman" w:hAnsi="Times New Roman" w:cs="Times New Roman"/>
          <w:noProof/>
          <w:color w:val="auto"/>
          <w:sz w:val="24"/>
          <w:szCs w:val="24"/>
          <w:lang w:val="en-US"/>
        </w:rPr>
        <w:t xml:space="preserve"> in 2014. The deficit worsened despite a number of austerity measures introduced by Ukrainian authorities in both March and July 2014. In the same year, a major additional drag on public finances came from the state-owned oil and gas company Naftogaz, whose activity was negatively affected by the depreciation of the hryvnia and the gas arrears to Russia. As a result, the State had to inject UAH 103 billion into Naftogaz by November 2014, an amount representing 6.8% of the yearly GDP. In this way, the </w:t>
      </w:r>
      <w:r>
        <w:rPr>
          <w:rFonts w:ascii="Times New Roman" w:hAnsi="Times New Roman" w:cs="Times New Roman"/>
          <w:noProof/>
          <w:sz w:val="24"/>
          <w:szCs w:val="24"/>
          <w:lang w:val="en-US"/>
        </w:rPr>
        <w:t>public finance deficit</w:t>
      </w:r>
      <w:r>
        <w:rPr>
          <w:rFonts w:ascii="Times New Roman" w:hAnsi="Times New Roman" w:cs="Times New Roman"/>
          <w:noProof/>
          <w:color w:val="auto"/>
          <w:sz w:val="24"/>
          <w:szCs w:val="24"/>
          <w:lang w:val="en-US"/>
        </w:rPr>
        <w:t xml:space="preserve"> run by Ukraine in 2014, including the deficit of Naftogaz, exceeded 10% of GDP, leading to a sharp deterioration of the country’s public debt metrics. </w:t>
      </w:r>
    </w:p>
    <w:p>
      <w:pPr>
        <w:pStyle w:val="Bullet1Space"/>
        <w:tabs>
          <w:tab w:val="clear" w:pos="851"/>
        </w:tabs>
        <w:ind w:left="0" w:firstLine="0"/>
        <w:jc w:val="both"/>
        <w:rPr>
          <w:rFonts w:ascii="Times New Roman" w:hAnsi="Times New Roman" w:cs="Times New Roman"/>
          <w:noProof/>
          <w:color w:val="auto"/>
          <w:sz w:val="24"/>
          <w:szCs w:val="24"/>
          <w:lang w:val="en-US"/>
        </w:rPr>
      </w:pPr>
      <w:r>
        <w:rPr>
          <w:rFonts w:ascii="Times New Roman" w:hAnsi="Times New Roman" w:cs="Times New Roman"/>
          <w:noProof/>
          <w:color w:val="auto"/>
          <w:sz w:val="24"/>
          <w:szCs w:val="24"/>
          <w:lang w:val="en-US"/>
        </w:rPr>
        <w:t xml:space="preserve">On the </w:t>
      </w:r>
      <w:r>
        <w:rPr>
          <w:rFonts w:ascii="Times New Roman" w:hAnsi="Times New Roman" w:cs="Times New Roman"/>
          <w:b/>
          <w:noProof/>
          <w:color w:val="auto"/>
          <w:sz w:val="24"/>
          <w:szCs w:val="24"/>
          <w:lang w:val="en-US"/>
        </w:rPr>
        <w:t>external side</w:t>
      </w:r>
      <w:r>
        <w:rPr>
          <w:rFonts w:ascii="Times New Roman" w:hAnsi="Times New Roman" w:cs="Times New Roman"/>
          <w:noProof/>
          <w:color w:val="auto"/>
          <w:sz w:val="24"/>
          <w:szCs w:val="24"/>
          <w:lang w:val="en-US"/>
        </w:rPr>
        <w:t>, the depreciation of the hryvnia, coupled with weak domestic demand, contributed to a significant adjustment of the current account at first. However, exports performance, despite benefitting from the weaker currency and the trade preference provided by the EU, was hurt by disruptions of the production chains and growing trade tensions with Russia. As a result, the current account deficit remained at 4% of GDP in 2014. This was accompanied by sizeable private sector financial outflows, due to dwindling confidence in an environment of high geopolitical uncertainty</w:t>
      </w:r>
      <w:r>
        <w:rPr>
          <w:rStyle w:val="FootnoteReference"/>
          <w:rFonts w:ascii="Times New Roman" w:hAnsi="Times New Roman" w:cs="Times New Roman"/>
          <w:noProof/>
          <w:color w:val="auto"/>
          <w:szCs w:val="24"/>
          <w:lang w:val="en-US"/>
        </w:rPr>
        <w:footnoteReference w:id="9"/>
      </w:r>
      <w:r>
        <w:rPr>
          <w:rFonts w:ascii="Times New Roman" w:hAnsi="Times New Roman" w:cs="Times New Roman"/>
          <w:noProof/>
          <w:color w:val="auto"/>
          <w:sz w:val="24"/>
          <w:szCs w:val="24"/>
          <w:lang w:val="en-US"/>
        </w:rPr>
        <w:t>. In the context of a deepening economic recession and confidence crisis, the substantial official financial assistance provided to Ukraine in 2014 proved insufficient to offset capital flight and to stop the continuous drain on reserves. By December 2014, international reserves had dropped to USD 7.5 billion (corresponding to 1.8 months of imports only).</w:t>
      </w:r>
    </w:p>
    <w:p>
      <w:pPr>
        <w:spacing w:before="120"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US"/>
        </w:rPr>
        <w:t>Description of the intervention and its objectives</w:t>
      </w:r>
    </w:p>
    <w:p>
      <w:pPr>
        <w:spacing w:before="120" w:after="120" w:line="240" w:lineRule="auto"/>
        <w:jc w:val="both"/>
        <w:rPr>
          <w:rFonts w:ascii="Times New Roman" w:hAnsi="Times New Roman" w:cs="Times New Roman"/>
          <w:noProof/>
          <w:sz w:val="24"/>
          <w:szCs w:val="24"/>
          <w:shd w:val="clear" w:color="auto" w:fill="FFFFFF"/>
          <w:lang w:val="en-US"/>
        </w:rPr>
      </w:pPr>
      <w:r>
        <w:rPr>
          <w:rFonts w:ascii="Times New Roman" w:hAnsi="Times New Roman" w:cs="Times New Roman"/>
          <w:noProof/>
          <w:sz w:val="24"/>
          <w:szCs w:val="24"/>
          <w:lang w:val="en-GB"/>
        </w:rPr>
        <w:t xml:space="preserve">In this difficult macroeconomic context, in April 2014, Ukraine entered into a USD 17 billion (800% of quota), two-year Stand-by Arrangement (SBA) with the </w:t>
      </w:r>
      <w:r>
        <w:rPr>
          <w:rFonts w:ascii="Times New Roman" w:hAnsi="Times New Roman" w:cs="Times New Roman"/>
          <w:b/>
          <w:noProof/>
          <w:sz w:val="24"/>
          <w:szCs w:val="24"/>
          <w:lang w:val="en-GB"/>
        </w:rPr>
        <w:t>IMF</w:t>
      </w:r>
      <w:r>
        <w:rPr>
          <w:rFonts w:ascii="Times New Roman" w:hAnsi="Times New Roman" w:cs="Times New Roman"/>
          <w:noProof/>
          <w:sz w:val="24"/>
          <w:szCs w:val="24"/>
          <w:lang w:val="en-GB"/>
        </w:rPr>
        <w:t>. Subsequently, in March 2015, a four-year Extended Fund Facility (EFF) of USD 17.5 billion was signed between the two parties, replacing the preceding SBA. To complement Ukraine’s arrangements with the IMF, in 2014 and early 2015, the EU</w:t>
      </w:r>
      <w:r>
        <w:rPr>
          <w:rFonts w:ascii="Times New Roman" w:hAnsi="Times New Roman" w:cs="Times New Roman"/>
          <w:noProof/>
          <w:sz w:val="24"/>
          <w:szCs w:val="24"/>
          <w:shd w:val="clear" w:color="auto" w:fill="FFFFFF"/>
          <w:lang w:val="en-US"/>
        </w:rPr>
        <w:t xml:space="preserve"> pledged two macro-financial assistance (MFA I and II) programmes, of a combined amount of EUR 1.61 billion.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shd w:val="clear" w:color="auto" w:fill="FFFFFF"/>
          <w:lang w:val="en-US"/>
        </w:rPr>
        <w:t xml:space="preserve">Given the worsening economic situation and continuing conflict in the eastern Ukraine, the Ukrainian authorities requested in late 2014 a </w:t>
      </w:r>
      <w:r>
        <w:rPr>
          <w:rFonts w:ascii="Times New Roman" w:hAnsi="Times New Roman" w:cs="Times New Roman"/>
          <w:b/>
          <w:noProof/>
          <w:sz w:val="24"/>
          <w:szCs w:val="24"/>
          <w:shd w:val="clear" w:color="auto" w:fill="FFFFFF"/>
          <w:lang w:val="en-US"/>
        </w:rPr>
        <w:t>third MFA</w:t>
      </w:r>
      <w:r>
        <w:rPr>
          <w:rFonts w:ascii="Times New Roman" w:hAnsi="Times New Roman" w:cs="Times New Roman"/>
          <w:noProof/>
          <w:sz w:val="24"/>
          <w:szCs w:val="24"/>
          <w:shd w:val="clear" w:color="auto" w:fill="FFFFFF"/>
          <w:lang w:val="en-US"/>
        </w:rPr>
        <w:t xml:space="preserve">. Upon </w:t>
      </w:r>
      <w:r>
        <w:rPr>
          <w:rFonts w:ascii="Times New Roman" w:hAnsi="Times New Roman" w:cs="Times New Roman"/>
          <w:noProof/>
          <w:sz w:val="24"/>
          <w:szCs w:val="24"/>
          <w:lang w:val="en-GB"/>
        </w:rPr>
        <w:t>an ex-ante evaluation</w:t>
      </w:r>
      <w:r>
        <w:rPr>
          <w:rStyle w:val="FootnoteReference"/>
          <w:rFonts w:ascii="Times New Roman" w:hAnsi="Times New Roman" w:cs="Times New Roman"/>
          <w:noProof/>
          <w:sz w:val="24"/>
          <w:szCs w:val="24"/>
          <w:lang w:val="en-GB"/>
        </w:rPr>
        <w:footnoteReference w:id="10"/>
      </w:r>
      <w:r>
        <w:rPr>
          <w:rFonts w:ascii="Times New Roman" w:hAnsi="Times New Roman" w:cs="Times New Roman"/>
          <w:noProof/>
          <w:sz w:val="24"/>
          <w:szCs w:val="24"/>
          <w:lang w:val="en-GB"/>
        </w:rPr>
        <w:t>, the European Commission proposed</w:t>
      </w:r>
      <w:r>
        <w:rPr>
          <w:rStyle w:val="FootnoteReference"/>
          <w:rFonts w:ascii="Times New Roman" w:hAnsi="Times New Roman" w:cs="Times New Roman"/>
          <w:noProof/>
          <w:sz w:val="24"/>
          <w:szCs w:val="24"/>
          <w:lang w:val="en-GB"/>
        </w:rPr>
        <w:footnoteReference w:id="11"/>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 xml:space="preserve">in January 2015 up to EUR 1.8 billion in MFA loans. </w:t>
      </w:r>
      <w:r>
        <w:rPr>
          <w:rFonts w:ascii="Times New Roman" w:hAnsi="Times New Roman" w:cs="Times New Roman"/>
          <w:noProof/>
          <w:sz w:val="24"/>
          <w:szCs w:val="24"/>
          <w:shd w:val="clear" w:color="auto" w:fill="FFFFFF"/>
          <w:lang w:val="en-US"/>
        </w:rPr>
        <w:t>The European Parliament and the Council adopted the related Decision</w:t>
      </w:r>
      <w:r>
        <w:rPr>
          <w:rStyle w:val="FootnoteReference"/>
          <w:rFonts w:ascii="Times New Roman" w:hAnsi="Times New Roman" w:cs="Times New Roman"/>
          <w:noProof/>
          <w:sz w:val="24"/>
          <w:szCs w:val="24"/>
          <w:shd w:val="clear" w:color="auto" w:fill="FFFFFF"/>
          <w:lang w:val="en-US"/>
        </w:rPr>
        <w:footnoteReference w:id="12"/>
      </w:r>
      <w:r>
        <w:rPr>
          <w:rFonts w:ascii="Times New Roman" w:hAnsi="Times New Roman" w:cs="Times New Roman"/>
          <w:noProof/>
          <w:sz w:val="24"/>
          <w:szCs w:val="24"/>
          <w:shd w:val="clear" w:color="auto" w:fill="FFFFFF"/>
          <w:lang w:val="en-US"/>
        </w:rPr>
        <w:t xml:space="preserve"> on 15 April 2015. The EU’s contribution through the third MFA was an essential part of programme financing to cover the identified financing gap under the IMF programme; without it, the gap would not have been filled and the IMF could not have proceeded with its own programme.</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Following the consultation of the Member States' Committee, a Memorandum of Understanding (MoU)</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lang w:val="en-GB"/>
        </w:rPr>
        <w:t xml:space="preserve"> and Loan Facility Agreement related to this assistance were signed, and the ratification by the Ukrainian Parliament took place in July 2015. Annex 4 of this report summarises the timeline of the operation.  </w:t>
      </w:r>
    </w:p>
    <w:p>
      <w:pPr>
        <w:spacing w:line="240" w:lineRule="auto"/>
        <w:jc w:val="both"/>
        <w:rPr>
          <w:rFonts w:ascii="Times New Roman" w:hAnsi="Times New Roman" w:cs="Times New Roman"/>
          <w:noProof/>
          <w:sz w:val="24"/>
          <w:szCs w:val="24"/>
          <w:shd w:val="clear" w:color="auto" w:fill="FFFFFF"/>
          <w:lang w:val="en-US"/>
        </w:rPr>
      </w:pPr>
      <w:r>
        <w:rPr>
          <w:rFonts w:ascii="Times New Roman" w:hAnsi="Times New Roman" w:cs="Times New Roman"/>
          <w:noProof/>
          <w:sz w:val="24"/>
          <w:szCs w:val="24"/>
          <w:lang w:val="en-GB"/>
        </w:rPr>
        <w:t xml:space="preserve">The assistance was meant to be provided in three tranches of EUR 600 million each, disbursed between July 2015 and December 2017. Disbursements were conditional to good progress under the IMF's EFF, political prerequisites (the respect of human rights, effective democratic mechanisms, including a multi-party parliamentary system, and the rule of law), and to the fulfilment of the set of policy conditions specified in the Memorandum of Understanding. However, the </w:t>
      </w:r>
      <w:r>
        <w:rPr>
          <w:rFonts w:ascii="Times New Roman" w:eastAsia="Calibri" w:hAnsi="Times New Roman" w:cs="Times New Roman"/>
          <w:noProof/>
          <w:sz w:val="24"/>
          <w:szCs w:val="24"/>
          <w:lang w:val="en-US"/>
        </w:rPr>
        <w:t xml:space="preserve">MFA-III operation expired on 13 January 2018 without the third and final disbursement having been released, given the lack of sufficient progress in the implementation of some of the required conditions. </w:t>
      </w:r>
      <w:r>
        <w:rPr>
          <w:rFonts w:ascii="Times New Roman" w:hAnsi="Times New Roman" w:cs="Times New Roman"/>
          <w:noProof/>
          <w:sz w:val="24"/>
          <w:szCs w:val="24"/>
          <w:lang w:val="en-US"/>
        </w:rPr>
        <w:t>The Commission formalised the cancellation in a decision dated 18 January 2018</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lang w:val="en-US"/>
        </w:rPr>
        <w:t xml:space="preserv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general intervention logic, which illustrates the objectives and expected results of the MFA-III operation, applicable to the 2015-2017 Ukraine programme, is summarised in the graph below.</w:t>
      </w:r>
    </w:p>
    <w:p>
      <w:pPr>
        <w:spacing w:after="120" w:line="240" w:lineRule="auto"/>
        <w:jc w:val="both"/>
        <w:rPr>
          <w:rFonts w:ascii="Times New Roman" w:hAnsi="Times New Roman" w:cs="Times New Roman"/>
          <w:noProof/>
          <w:sz w:val="24"/>
          <w:szCs w:val="24"/>
          <w:lang w:val="en-GB"/>
        </w:rPr>
      </w:pPr>
    </w:p>
    <w:p>
      <w:pPr>
        <w:pStyle w:val="FigureTitle"/>
        <w:numPr>
          <w:ilvl w:val="0"/>
          <w:numId w:val="0"/>
        </w:numPr>
        <w:jc w:val="center"/>
        <w:rPr>
          <w:rFonts w:ascii="Times New Roman" w:hAnsi="Times New Roman" w:cs="Times New Roman"/>
          <w:noProof/>
          <w:szCs w:val="24"/>
        </w:rPr>
      </w:pPr>
      <w:r>
        <w:rPr>
          <w:rFonts w:ascii="Times New Roman" w:hAnsi="Times New Roman" w:cs="Times New Roman"/>
          <w:noProof/>
          <w:szCs w:val="24"/>
        </w:rPr>
        <w:t>Figure 2.1 Intervention logic of MFA operation</w:t>
      </w:r>
    </w:p>
    <w:p>
      <w:pPr>
        <w:spacing w:after="120"/>
        <w:jc w:val="both"/>
        <w:rPr>
          <w:rFonts w:ascii="Times New Roman" w:hAnsi="Times New Roman" w:cs="Times New Roman"/>
          <w:b/>
          <w:noProof/>
          <w:sz w:val="24"/>
          <w:szCs w:val="24"/>
          <w:lang w:val="en-US"/>
        </w:rPr>
      </w:pPr>
      <w:r>
        <w:rPr>
          <w:noProof/>
          <w:lang w:val="en-GB" w:eastAsia="en-GB"/>
        </w:rPr>
        <w:drawing>
          <wp:inline distT="0" distB="0" distL="0" distR="0">
            <wp:extent cx="6351717" cy="5178582"/>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28656" cy="5241311"/>
                    </a:xfrm>
                    <a:prstGeom prst="rect">
                      <a:avLst/>
                    </a:prstGeom>
                    <a:noFill/>
                  </pic:spPr>
                </pic:pic>
              </a:graphicData>
            </a:graphic>
          </wp:inline>
        </w:drawing>
      </w:r>
    </w:p>
    <w:p>
      <w:pPr>
        <w:pStyle w:val="Heading2"/>
        <w:tabs>
          <w:tab w:val="num" w:pos="1200"/>
        </w:tabs>
        <w:spacing w:after="120"/>
        <w:rPr>
          <w:rFonts w:ascii="Times New Roman" w:hAnsi="Times New Roman" w:cs="Times New Roman"/>
          <w:i/>
          <w:noProof/>
          <w:color w:val="auto"/>
          <w:sz w:val="18"/>
          <w:szCs w:val="18"/>
          <w:lang w:val="en-US"/>
        </w:rPr>
      </w:pPr>
      <w:bookmarkStart w:id="8" w:name="_Toc518383269"/>
      <w:bookmarkStart w:id="9" w:name="_Toc29824045"/>
      <w:bookmarkEnd w:id="7"/>
      <w:r>
        <w:rPr>
          <w:rFonts w:ascii="Times New Roman" w:hAnsi="Times New Roman" w:cs="Times New Roman"/>
          <w:i/>
          <w:noProof/>
          <w:color w:val="auto"/>
          <w:sz w:val="18"/>
          <w:szCs w:val="18"/>
          <w:lang w:val="en-US"/>
        </w:rPr>
        <w:t>Source: ICF</w:t>
      </w:r>
    </w:p>
    <w:p>
      <w:pPr>
        <w:rPr>
          <w:noProof/>
          <w:lang w:val="en-US"/>
        </w:rPr>
      </w:pPr>
    </w:p>
    <w:p>
      <w:pPr>
        <w:pStyle w:val="Heading2"/>
        <w:tabs>
          <w:tab w:val="num" w:pos="1200"/>
        </w:tabs>
        <w:spacing w:after="120" w:line="240" w:lineRule="auto"/>
        <w:jc w:val="both"/>
        <w:rPr>
          <w:rFonts w:ascii="Times New Roman" w:hAnsi="Times New Roman" w:cs="Times New Roman"/>
          <w:b/>
          <w:noProof/>
          <w:color w:val="auto"/>
          <w:sz w:val="24"/>
          <w:szCs w:val="24"/>
          <w:lang w:val="en-US"/>
        </w:rPr>
      </w:pPr>
      <w:r>
        <w:rPr>
          <w:rFonts w:ascii="Times New Roman" w:hAnsi="Times New Roman" w:cs="Times New Roman"/>
          <w:b/>
          <w:noProof/>
          <w:color w:val="auto"/>
          <w:sz w:val="24"/>
          <w:szCs w:val="24"/>
          <w:lang w:val="en-US"/>
        </w:rPr>
        <w:t xml:space="preserve">Points of comparison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points of comparison, against which the MFA operation of 2015-2017 is assessed, refer to the situation in Ukraine (1) prior to the intervention, on the one hand, and (2) during and immediately after the implementation of the MFA operation, on the other hand. As noted in the previous subsection, which describes the economic situation prior to the MFA operation, particular attention is paid to the </w:t>
      </w:r>
      <w:r>
        <w:rPr>
          <w:rFonts w:ascii="Times New Roman" w:hAnsi="Times New Roman" w:cs="Times New Roman"/>
          <w:b/>
          <w:noProof/>
          <w:sz w:val="24"/>
          <w:szCs w:val="24"/>
          <w:lang w:val="en-GB"/>
        </w:rPr>
        <w:t>external sector</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fiscal situation</w:t>
      </w:r>
      <w:r>
        <w:rPr>
          <w:rFonts w:ascii="Times New Roman" w:hAnsi="Times New Roman" w:cs="Times New Roman"/>
          <w:noProof/>
          <w:sz w:val="24"/>
          <w:szCs w:val="24"/>
          <w:lang w:val="en-GB"/>
        </w:rPr>
        <w:t xml:space="preserve"> of the Ukrainian economy. The following section will describe the implementation of the </w:t>
      </w:r>
      <w:r>
        <w:rPr>
          <w:rFonts w:ascii="Times New Roman" w:hAnsi="Times New Roman" w:cs="Times New Roman"/>
          <w:noProof/>
          <w:sz w:val="24"/>
          <w:szCs w:val="24"/>
          <w:lang w:val="en-GB"/>
        </w:rPr>
        <w:tab/>
        <w:t xml:space="preserve">MFA-III operation, looking at the key developments in the policy reform areas supported by the programme, as well as in the economic situation of the country. </w:t>
      </w:r>
    </w:p>
    <w:p>
      <w:pPr>
        <w:spacing w:after="120" w:line="240" w:lineRule="auto"/>
        <w:jc w:val="both"/>
        <w:rPr>
          <w:rFonts w:ascii="Times New Roman" w:hAnsi="Times New Roman" w:cs="Times New Roman"/>
          <w:noProof/>
          <w:sz w:val="24"/>
          <w:szCs w:val="24"/>
          <w:lang w:val="en-GB"/>
        </w:rPr>
      </w:pPr>
    </w:p>
    <w:p>
      <w:pPr>
        <w:pStyle w:val="ListParagraph"/>
        <w:numPr>
          <w:ilvl w:val="0"/>
          <w:numId w:val="31"/>
        </w:numPr>
        <w:spacing w:after="120"/>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IMPLEMENTATION / STATE OF PLAY</w:t>
      </w:r>
      <w:bookmarkEnd w:id="8"/>
      <w:bookmarkEnd w:id="9"/>
    </w:p>
    <w:p>
      <w:pPr>
        <w:pStyle w:val="Heading2"/>
        <w:tabs>
          <w:tab w:val="num" w:pos="1200"/>
        </w:tabs>
        <w:spacing w:after="120"/>
        <w:rPr>
          <w:rFonts w:ascii="Times New Roman" w:hAnsi="Times New Roman" w:cs="Times New Roman"/>
          <w:b/>
          <w:noProof/>
          <w:color w:val="auto"/>
          <w:sz w:val="24"/>
          <w:szCs w:val="24"/>
          <w:lang w:val="en-US"/>
        </w:rPr>
      </w:pPr>
      <w:bookmarkStart w:id="10" w:name="_Toc29824047"/>
      <w:r>
        <w:rPr>
          <w:rFonts w:ascii="Times New Roman" w:hAnsi="Times New Roman" w:cs="Times New Roman"/>
          <w:b/>
          <w:noProof/>
          <w:color w:val="auto"/>
          <w:sz w:val="24"/>
          <w:szCs w:val="24"/>
          <w:lang w:val="en-US"/>
        </w:rPr>
        <w:t xml:space="preserve">Implementation of the MFA operation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To achieve the objectives detailed in section 1, and as per the usual MFA procedure, disbursements under this operation were tied to the fulfilment of the political pre-conditions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lang w:val="en-GB"/>
        </w:rPr>
        <w:t>, as well as good progress with the implementation of the IMF programme. The disbursement of the second and third tranches was also subject to the fulfilment of a set of thirty-six country-specific policy conditions, specified in the MoU and related to six structural reform areas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lang w:val="en-GB"/>
        </w:rPr>
        <w:t>.</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MFA loan was provided on highly favorable terms. The first instalment was characterised by a coupon of 0.25% and a maturity of 5 years, while the second instalment had a coupon of 0.75% and a maturity of 14 years. For both tranches, a bullet capital repayment (i.e. a lump sum of the full outstanding amount) was envisaged in the last year of maturity. With respect to the interest rates, no grace period was applied.</w:t>
      </w:r>
    </w:p>
    <w:p>
      <w:pPr>
        <w:spacing w:line="240" w:lineRule="auto"/>
        <w:jc w:val="both"/>
        <w:rPr>
          <w:rFonts w:ascii="Times New Roman" w:hAnsi="Times New Roman"/>
          <w:noProof/>
          <w:sz w:val="24"/>
          <w:szCs w:val="20"/>
          <w:lang w:val="en-US"/>
        </w:rPr>
      </w:pPr>
      <w:r>
        <w:rPr>
          <w:rFonts w:ascii="Times New Roman" w:hAnsi="Times New Roman"/>
          <w:noProof/>
          <w:sz w:val="24"/>
          <w:lang w:val="en-US"/>
        </w:rPr>
        <w:t>Ukraine satisfactorily fulfilled all the policy conditions necessary for the release of the second instalment, with the exception of conditions 12 (on social safety nets) and 13 (on trade and customs), for which waivers were granted. These two conditions required Ukraine to: (1) ensure the effective provision of social benefits and services to internally displaced persons (IDPs) through adequate legislation and funding; and (2) to refrain from introducing new trade-restricting or trade-distorting measures, in line with Ukraine’s World Trade Organization (WTO) obligations. With respect to the first condition, the waiver concerned the suspension of social payments to around 500,000 IDPs living in the non-government controlled areas in Eastern Ukraine. Meanwhile, the waiver for condition 13 concerned a wood export ban</w:t>
      </w:r>
      <w:r>
        <w:rPr>
          <w:rStyle w:val="FootnoteReference"/>
          <w:rFonts w:ascii="Times New Roman" w:hAnsi="Times New Roman"/>
          <w:noProof/>
        </w:rPr>
        <w:footnoteReference w:id="17"/>
      </w:r>
      <w:r>
        <w:rPr>
          <w:rFonts w:ascii="Times New Roman" w:hAnsi="Times New Roman"/>
          <w:noProof/>
          <w:sz w:val="24"/>
          <w:lang w:val="en-US"/>
        </w:rPr>
        <w:t xml:space="preserve"> adopted by Ukraine in April 2015, which went against the standstill commitment on trade-restricting measures.</w:t>
      </w:r>
    </w:p>
    <w:p>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However, the third and last tranche was not released, due to four conditions that were not met by the Ukrainian government before the expiration of the MFA programme. More specifically:</w:t>
      </w:r>
    </w:p>
    <w:p>
      <w:pPr>
        <w:pStyle w:val="Bullet1Space"/>
        <w:numPr>
          <w:ilvl w:val="0"/>
          <w:numId w:val="13"/>
        </w:numPr>
        <w:spacing w:after="0"/>
        <w:jc w:val="both"/>
        <w:rPr>
          <w:rFonts w:ascii="Times New Roman" w:hAnsi="Times New Roman" w:cs="Times New Roman"/>
          <w:noProof/>
          <w:color w:val="auto"/>
          <w:sz w:val="24"/>
          <w:szCs w:val="24"/>
        </w:rPr>
      </w:pPr>
      <w:r>
        <w:rPr>
          <w:rFonts w:ascii="Times New Roman" w:hAnsi="Times New Roman" w:cs="Times New Roman"/>
          <w:i/>
          <w:noProof/>
          <w:color w:val="auto"/>
          <w:sz w:val="24"/>
          <w:szCs w:val="24"/>
        </w:rPr>
        <w:t>Measure 5</w:t>
      </w:r>
      <w:r>
        <w:rPr>
          <w:rFonts w:ascii="Times New Roman" w:hAnsi="Times New Roman" w:cs="Times New Roman"/>
          <w:b/>
          <w:noProof/>
          <w:color w:val="auto"/>
          <w:sz w:val="24"/>
          <w:szCs w:val="24"/>
        </w:rPr>
        <w:t xml:space="preserve">, </w:t>
      </w:r>
      <w:r>
        <w:rPr>
          <w:rFonts w:ascii="Times New Roman" w:hAnsi="Times New Roman" w:cs="Times New Roman"/>
          <w:noProof/>
          <w:color w:val="auto"/>
          <w:sz w:val="24"/>
          <w:szCs w:val="24"/>
        </w:rPr>
        <w:t>on</w:t>
      </w:r>
      <w:r>
        <w:rPr>
          <w:rFonts w:ascii="Times New Roman" w:hAnsi="Times New Roman" w:cs="Times New Roman"/>
          <w:b/>
          <w:noProof/>
          <w:color w:val="auto"/>
          <w:sz w:val="24"/>
          <w:szCs w:val="24"/>
        </w:rPr>
        <w:t xml:space="preserve"> anti-corruption</w:t>
      </w:r>
      <w:r>
        <w:rPr>
          <w:rFonts w:ascii="Times New Roman" w:hAnsi="Times New Roman" w:cs="Times New Roman"/>
          <w:noProof/>
          <w:color w:val="auto"/>
          <w:sz w:val="24"/>
          <w:szCs w:val="24"/>
        </w:rPr>
        <w:t>, whereby Ukraine committed to setting up an electronic asset disclosure system for public officials and a related verification mechanism. Ukraine did not fulfil this important condition, as the required verification mechanism was not established.</w:t>
      </w:r>
    </w:p>
    <w:p>
      <w:pPr>
        <w:pStyle w:val="Bullet1Space"/>
        <w:numPr>
          <w:ilvl w:val="0"/>
          <w:numId w:val="13"/>
        </w:numPr>
        <w:spacing w:after="0"/>
        <w:jc w:val="both"/>
        <w:rPr>
          <w:rFonts w:ascii="Times New Roman" w:hAnsi="Times New Roman" w:cs="Times New Roman"/>
          <w:noProof/>
          <w:color w:val="auto"/>
          <w:sz w:val="24"/>
          <w:szCs w:val="24"/>
        </w:rPr>
      </w:pPr>
      <w:r>
        <w:rPr>
          <w:rFonts w:ascii="Times New Roman" w:hAnsi="Times New Roman" w:cs="Times New Roman"/>
          <w:i/>
          <w:noProof/>
          <w:color w:val="auto"/>
          <w:sz w:val="24"/>
          <w:szCs w:val="24"/>
        </w:rPr>
        <w:t>Measure 6</w:t>
      </w:r>
      <w:r>
        <w:rPr>
          <w:rFonts w:ascii="Times New Roman" w:hAnsi="Times New Roman" w:cs="Times New Roman"/>
          <w:noProof/>
          <w:color w:val="auto"/>
          <w:sz w:val="24"/>
          <w:szCs w:val="24"/>
        </w:rPr>
        <w:t xml:space="preserve">, still on </w:t>
      </w:r>
      <w:r>
        <w:rPr>
          <w:rFonts w:ascii="Times New Roman" w:hAnsi="Times New Roman" w:cs="Times New Roman"/>
          <w:b/>
          <w:noProof/>
          <w:color w:val="auto"/>
          <w:sz w:val="24"/>
          <w:szCs w:val="24"/>
        </w:rPr>
        <w:t>anti-corruption</w:t>
      </w:r>
      <w:r>
        <w:rPr>
          <w:rFonts w:ascii="Times New Roman" w:hAnsi="Times New Roman" w:cs="Times New Roman"/>
          <w:noProof/>
          <w:color w:val="auto"/>
          <w:sz w:val="24"/>
          <w:szCs w:val="24"/>
        </w:rPr>
        <w:t xml:space="preserve">, whereby Ukraine committed to (i) putting in place mechanisms to verify (post-registration and following clear criteria) the accuracy of the information provided by companies; and (ii) enforcing compliance with this obligation. The country did not fulfil this condition, since the required system to ensure the verification of information submitted by companies was not implemented. </w:t>
      </w:r>
    </w:p>
    <w:p>
      <w:pPr>
        <w:pStyle w:val="Bullet1Space"/>
        <w:numPr>
          <w:ilvl w:val="0"/>
          <w:numId w:val="13"/>
        </w:numPr>
        <w:spacing w:after="0"/>
        <w:jc w:val="both"/>
        <w:rPr>
          <w:rFonts w:ascii="Times New Roman" w:hAnsi="Times New Roman" w:cs="Times New Roman"/>
          <w:noProof/>
          <w:color w:val="auto"/>
          <w:sz w:val="24"/>
          <w:szCs w:val="24"/>
        </w:rPr>
      </w:pPr>
      <w:r>
        <w:rPr>
          <w:rFonts w:ascii="Times New Roman" w:hAnsi="Times New Roman" w:cs="Times New Roman"/>
          <w:i/>
          <w:noProof/>
          <w:color w:val="auto"/>
          <w:sz w:val="24"/>
          <w:szCs w:val="24"/>
        </w:rPr>
        <w:t>Measure 17</w:t>
      </w:r>
      <w:r>
        <w:rPr>
          <w:rFonts w:ascii="Times New Roman" w:hAnsi="Times New Roman" w:cs="Times New Roman"/>
          <w:noProof/>
          <w:color w:val="auto"/>
          <w:sz w:val="24"/>
          <w:szCs w:val="24"/>
        </w:rPr>
        <w:t xml:space="preserve">, on </w:t>
      </w:r>
      <w:r>
        <w:rPr>
          <w:rFonts w:ascii="Times New Roman" w:hAnsi="Times New Roman" w:cs="Times New Roman"/>
          <w:b/>
          <w:noProof/>
          <w:color w:val="auto"/>
          <w:sz w:val="24"/>
          <w:szCs w:val="24"/>
        </w:rPr>
        <w:t>trade and customs</w:t>
      </w:r>
      <w:r>
        <w:rPr>
          <w:rFonts w:ascii="Times New Roman" w:hAnsi="Times New Roman" w:cs="Times New Roman"/>
          <w:noProof/>
          <w:color w:val="auto"/>
          <w:sz w:val="24"/>
          <w:szCs w:val="24"/>
        </w:rPr>
        <w:t>, linked to the preceding condition 13. Ukraine did not fulfil this condition, as it did not repeal the export ban on unprocessed timber of November 2015 and did therefore not refrain from introducing new trade-restricting measures in line with its obligations under the agreements of the WTO.</w:t>
      </w:r>
    </w:p>
    <w:p>
      <w:pPr>
        <w:pStyle w:val="Bullet1Space"/>
        <w:numPr>
          <w:ilvl w:val="0"/>
          <w:numId w:val="13"/>
        </w:numPr>
        <w:spacing w:after="0"/>
        <w:jc w:val="both"/>
        <w:rPr>
          <w:rFonts w:ascii="Times New Roman" w:hAnsi="Times New Roman" w:cs="Times New Roman"/>
          <w:noProof/>
          <w:color w:val="auto"/>
          <w:sz w:val="24"/>
          <w:szCs w:val="24"/>
        </w:rPr>
      </w:pPr>
      <w:r>
        <w:rPr>
          <w:rFonts w:ascii="Times New Roman" w:hAnsi="Times New Roman" w:cs="Times New Roman"/>
          <w:i/>
          <w:noProof/>
          <w:color w:val="auto"/>
          <w:sz w:val="24"/>
          <w:szCs w:val="24"/>
        </w:rPr>
        <w:t>Measure 21</w:t>
      </w:r>
      <w:r>
        <w:rPr>
          <w:rFonts w:ascii="Times New Roman" w:hAnsi="Times New Roman" w:cs="Times New Roman"/>
          <w:noProof/>
          <w:color w:val="auto"/>
          <w:sz w:val="24"/>
          <w:szCs w:val="24"/>
        </w:rPr>
        <w:t xml:space="preserve">, on the </w:t>
      </w:r>
      <w:r>
        <w:rPr>
          <w:rFonts w:ascii="Times New Roman" w:hAnsi="Times New Roman" w:cs="Times New Roman"/>
          <w:b/>
          <w:noProof/>
          <w:color w:val="auto"/>
          <w:sz w:val="24"/>
          <w:szCs w:val="24"/>
        </w:rPr>
        <w:t>financial sector</w:t>
      </w:r>
      <w:r>
        <w:rPr>
          <w:rFonts w:ascii="Times New Roman" w:hAnsi="Times New Roman" w:cs="Times New Roman"/>
          <w:noProof/>
          <w:color w:val="auto"/>
          <w:sz w:val="24"/>
          <w:szCs w:val="24"/>
        </w:rPr>
        <w:t xml:space="preserve">, whereby Ukraine committed to establishing a central credit registry. The country did not fulfil this obligation, since the necessary legislation to establish a central credit registry was not adopted. </w:t>
      </w:r>
    </w:p>
    <w:p>
      <w:pPr>
        <w:spacing w:before="24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The non-disbursement decision heavily depended on the two unmet conditions on anti-corruption. The main reasons for not implementing the two measures within the agreed timeframe were: (1) a lack of political will; (2) entrenched bureaucracy, which slowed the process; and (3) vested interest of some stakeholders. No</w:t>
      </w:r>
      <w:r>
        <w:rPr>
          <w:rFonts w:ascii="Times New Roman" w:hAnsi="Times New Roman" w:cs="Times New Roman"/>
          <w:noProof/>
          <w:sz w:val="24"/>
          <w:szCs w:val="24"/>
          <w:lang w:val="en-US"/>
        </w:rPr>
        <w:t xml:space="preserve"> evidence has been found regarding negative impacts on our bilateral relations originating from the non-disbursement. Indeed, the collaboration between the Commission and the Ukrainian authorities remained positive and constructive, with greater focus of the Ukrainian authorities on the implementation of the conditions and a more honest policy dialogue between the two sides. </w:t>
      </w:r>
    </w:p>
    <w:p>
      <w:pPr>
        <w:spacing w:before="24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Therefore, in light of the flexibility already granted with the two previous waivers and the prominent role given by the EU to transparency and the rule of law, the EU’s credibility appeared to be at stake and the non-disbursement decision is deemed justified.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Some achievements in the policy areas tackled by MFA’s conditionality deserve particular note. In the area of </w:t>
      </w:r>
      <w:r>
        <w:rPr>
          <w:rFonts w:ascii="Times New Roman" w:hAnsi="Times New Roman" w:cs="Times New Roman"/>
          <w:b/>
          <w:noProof/>
          <w:sz w:val="24"/>
          <w:szCs w:val="24"/>
          <w:lang w:val="en-GB"/>
        </w:rPr>
        <w:t>public finance management</w:t>
      </w:r>
      <w:r>
        <w:rPr>
          <w:rFonts w:ascii="Times New Roman" w:hAnsi="Times New Roman" w:cs="Times New Roman"/>
          <w:noProof/>
          <w:sz w:val="24"/>
          <w:szCs w:val="24"/>
          <w:lang w:val="en-GB"/>
        </w:rPr>
        <w:t>, MFA-III policy conditionality supported the implementation of an online public procurement platform (</w:t>
      </w:r>
      <w:r>
        <w:rPr>
          <w:rFonts w:ascii="Times New Roman" w:hAnsi="Times New Roman" w:cs="Times New Roman"/>
          <w:i/>
          <w:noProof/>
          <w:sz w:val="24"/>
          <w:szCs w:val="24"/>
          <w:lang w:val="en-GB"/>
        </w:rPr>
        <w:t>ProZorro</w:t>
      </w:r>
      <w:r>
        <w:rPr>
          <w:rFonts w:ascii="Times New Roman" w:hAnsi="Times New Roman" w:cs="Times New Roman"/>
          <w:noProof/>
          <w:sz w:val="24"/>
          <w:szCs w:val="24"/>
          <w:lang w:val="en-GB"/>
        </w:rPr>
        <w:t xml:space="preserve">) by 2016, ensuring open access to public procurement in Ukraine and increasing transparency in public finance management. Regarding </w:t>
      </w:r>
      <w:r>
        <w:rPr>
          <w:rFonts w:ascii="Times New Roman" w:hAnsi="Times New Roman" w:cs="Times New Roman"/>
          <w:b/>
          <w:noProof/>
          <w:sz w:val="24"/>
          <w:szCs w:val="24"/>
          <w:lang w:val="en-GB"/>
        </w:rPr>
        <w:t>governance and transparency</w:t>
      </w:r>
      <w:r>
        <w:rPr>
          <w:rFonts w:ascii="Times New Roman" w:hAnsi="Times New Roman" w:cs="Times New Roman"/>
          <w:noProof/>
          <w:sz w:val="24"/>
          <w:szCs w:val="24"/>
          <w:lang w:val="en-GB"/>
        </w:rPr>
        <w:t xml:space="preserve">, MFA conditions have helped in the adoption of legal foundations for establishing independent and professional supervisory boards at state-owned enterprises. With respect to the </w:t>
      </w:r>
      <w:r>
        <w:rPr>
          <w:rFonts w:ascii="Times New Roman" w:hAnsi="Times New Roman" w:cs="Times New Roman"/>
          <w:b/>
          <w:noProof/>
          <w:sz w:val="24"/>
          <w:szCs w:val="24"/>
          <w:lang w:val="en-GB"/>
        </w:rPr>
        <w:t>energy sector</w:t>
      </w:r>
      <w:r>
        <w:rPr>
          <w:rFonts w:ascii="Times New Roman" w:hAnsi="Times New Roman" w:cs="Times New Roman"/>
          <w:noProof/>
          <w:sz w:val="24"/>
          <w:szCs w:val="24"/>
          <w:lang w:val="en-GB"/>
        </w:rPr>
        <w:t xml:space="preserve">, thanks to MFA-III and other international donor programmes, the sector started to positively contribute to the State budget, reversing the negative trend recorded between 2011 and 2014. </w:t>
      </w:r>
    </w:p>
    <w:p>
      <w:pPr>
        <w:spacing w:after="120"/>
        <w:jc w:val="both"/>
        <w:rPr>
          <w:rFonts w:ascii="Times New Roman" w:hAnsi="Times New Roman" w:cs="Times New Roman"/>
          <w:b/>
          <w:noProof/>
          <w:lang w:val="en-US"/>
        </w:rPr>
      </w:pPr>
      <w:r>
        <w:rPr>
          <w:rFonts w:ascii="Times New Roman" w:hAnsi="Times New Roman" w:cs="Times New Roman"/>
          <w:b/>
          <w:noProof/>
          <w:sz w:val="24"/>
          <w:lang w:val="en-US"/>
        </w:rPr>
        <w:t>Economic situation during the implementation of MFA-III</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shd w:val="clear" w:color="auto" w:fill="FFFFFF"/>
          <w:lang w:val="en-US"/>
        </w:rPr>
        <w:t xml:space="preserve">After a cumulated GDP contraction of about 16% in 2014-2015, Ukraine returned to growth in 2016 (+2.4% of GDP) as investment activity and household consumption started recovering. The recovery continued into 2017 and 2018, with GDP growth amounting to 2.5% and 3.3%, respectively. </w:t>
      </w:r>
      <w:r>
        <w:rPr>
          <w:rFonts w:ascii="Times New Roman" w:hAnsi="Times New Roman" w:cs="Times New Roman"/>
          <w:noProof/>
          <w:sz w:val="24"/>
          <w:szCs w:val="24"/>
          <w:lang w:val="en-US"/>
        </w:rPr>
        <w:t>Inflation also started to decelerate. However, the depreciation of the local currency in the final months of 2017 contributed to soaring prices, resulting in inflation of 13.7% in December 2017, exceeding the 10% upper band of the central bank's inflation target. In order to tame inflation, the central bank reversed the monetary easing cycle in place since March 2015. It raised its policy interest rate by a cumulative 4.5 percentage points since October 2017, to 17% as of 2 March 2018.</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shd w:val="clear" w:color="auto" w:fill="FFFFFF"/>
          <w:lang w:val="en-US"/>
        </w:rPr>
        <w:t xml:space="preserve">With respect to the </w:t>
      </w:r>
      <w:r>
        <w:rPr>
          <w:rFonts w:ascii="Times New Roman" w:hAnsi="Times New Roman" w:cs="Times New Roman"/>
          <w:b/>
          <w:noProof/>
          <w:sz w:val="24"/>
          <w:szCs w:val="24"/>
          <w:shd w:val="clear" w:color="auto" w:fill="FFFFFF"/>
          <w:lang w:val="en-US"/>
        </w:rPr>
        <w:t>external sector</w:t>
      </w:r>
      <w:r>
        <w:rPr>
          <w:rFonts w:ascii="Times New Roman" w:hAnsi="Times New Roman" w:cs="Times New Roman"/>
          <w:noProof/>
          <w:sz w:val="24"/>
          <w:szCs w:val="24"/>
          <w:shd w:val="clear" w:color="auto" w:fill="FFFFFF"/>
          <w:lang w:val="en-US"/>
        </w:rPr>
        <w:t xml:space="preserve">, plummeting domestic demand, partly reflecting the sharp </w:t>
      </w:r>
      <w:r>
        <w:rPr>
          <w:rFonts w:ascii="Times New Roman" w:hAnsi="Times New Roman" w:cs="Times New Roman"/>
          <w:noProof/>
          <w:sz w:val="24"/>
          <w:szCs w:val="24"/>
          <w:lang w:val="en-US"/>
        </w:rPr>
        <w:t xml:space="preserve">currency depreciation following the abolishment of the pegged regime by the National Bank of Ukraine, played a central role in reducing an unsustainable trade deficit and a rebalancing of the current account in 2015. However, </w:t>
      </w:r>
      <w:r>
        <w:rPr>
          <w:rFonts w:ascii="Times New Roman" w:hAnsi="Times New Roman" w:cs="Times New Roman"/>
          <w:noProof/>
          <w:sz w:val="24"/>
          <w:szCs w:val="24"/>
          <w:shd w:val="clear" w:color="auto" w:fill="FFFFFF"/>
          <w:lang w:val="en-US"/>
        </w:rPr>
        <w:t xml:space="preserve">Ukraine’s current account deficit started to widen gradually as of 2016 as a result of recovery in investment imports (reflecting growing business confidence) and domestic consumption. </w:t>
      </w:r>
      <w:r>
        <w:rPr>
          <w:rFonts w:ascii="Times New Roman" w:hAnsi="Times New Roman" w:cs="Times New Roman"/>
          <w:noProof/>
          <w:sz w:val="24"/>
          <w:szCs w:val="24"/>
          <w:lang w:val="en-US"/>
        </w:rPr>
        <w:t>Nonetheless, a</w:t>
      </w:r>
      <w:r>
        <w:rPr>
          <w:rFonts w:ascii="Times New Roman" w:hAnsi="Times New Roman" w:cs="Times New Roman"/>
          <w:noProof/>
          <w:sz w:val="24"/>
          <w:szCs w:val="24"/>
          <w:shd w:val="clear" w:color="auto" w:fill="FFFFFF"/>
          <w:lang w:val="en-US"/>
        </w:rPr>
        <w:t xml:space="preserve"> further widening of the current account deficit was contained by the parallel strong rebound in exports (17% year-on-year in 2017) and a gradual increase in remittances from Ukrainians working abroad.</w:t>
      </w:r>
      <w:r>
        <w:rPr>
          <w:rStyle w:val="footnotereference0"/>
          <w:rFonts w:ascii="Times New Roman" w:hAnsi="Times New Roman" w:cs="Times New Roman"/>
          <w:noProof/>
          <w:sz w:val="24"/>
          <w:szCs w:val="24"/>
          <w:shd w:val="clear" w:color="auto" w:fill="FFFFFF"/>
          <w:lang w:val="en-US"/>
        </w:rPr>
        <w:t> </w:t>
      </w:r>
      <w:r>
        <w:rPr>
          <w:rFonts w:ascii="Times New Roman" w:hAnsi="Times New Roman" w:cs="Times New Roman"/>
          <w:noProof/>
          <w:sz w:val="24"/>
          <w:szCs w:val="24"/>
          <w:shd w:val="clear" w:color="auto" w:fill="FFFFFF"/>
          <w:lang w:val="en-US"/>
        </w:rPr>
        <w:t>The support from Ukraine's multilateral and bilateral partners, coupled with a current account adjustment and a gradual return of private financial flows, helped Ukraine replenish its international reserves to USD 18.8 billion at the end of 2017 despite weakness in FDI.</w:t>
      </w:r>
    </w:p>
    <w:p>
      <w:pPr>
        <w:spacing w:after="120" w:line="240" w:lineRule="auto"/>
        <w:jc w:val="both"/>
        <w:rPr>
          <w:rFonts w:ascii="Times New Roman" w:hAnsi="Times New Roman" w:cs="Times New Roman"/>
          <w:noProof/>
          <w:sz w:val="24"/>
          <w:szCs w:val="24"/>
          <w:shd w:val="clear" w:color="auto" w:fill="FFFFFF"/>
          <w:lang w:val="en-US"/>
        </w:rPr>
      </w:pPr>
      <w:r>
        <w:rPr>
          <w:rFonts w:ascii="Times New Roman" w:hAnsi="Times New Roman" w:cs="Times New Roman"/>
          <w:noProof/>
          <w:sz w:val="24"/>
          <w:szCs w:val="24"/>
          <w:shd w:val="clear" w:color="auto" w:fill="FFFFFF"/>
          <w:lang w:val="en-US"/>
        </w:rPr>
        <w:t xml:space="preserve">Ukraine has also made significant progress in the consolidation of its </w:t>
      </w:r>
      <w:r>
        <w:rPr>
          <w:rFonts w:ascii="Times New Roman" w:hAnsi="Times New Roman" w:cs="Times New Roman"/>
          <w:b/>
          <w:noProof/>
          <w:sz w:val="24"/>
          <w:szCs w:val="24"/>
          <w:shd w:val="clear" w:color="auto" w:fill="FFFFFF"/>
          <w:lang w:val="en-US"/>
        </w:rPr>
        <w:t>public finances</w:t>
      </w:r>
      <w:r>
        <w:rPr>
          <w:rFonts w:ascii="Times New Roman" w:hAnsi="Times New Roman" w:cs="Times New Roman"/>
          <w:noProof/>
          <w:sz w:val="24"/>
          <w:szCs w:val="24"/>
          <w:shd w:val="clear" w:color="auto" w:fill="FFFFFF"/>
          <w:lang w:val="en-US"/>
        </w:rPr>
        <w:t>. The overall fiscal deficit was reduced from 4.5% of GDP in 2014 to 2.3% in 2016 (compared with the 3.7% deficit target agreed for 2016 under the IMF programme). Budget execution continued to be strong in 2017, also due to robust tax collection and rising dividend payments from state-owned enterprises. As a result, the consolidated state budget deficit in 2017 amounted to 1.4% of GDP. Thanks to the overall policy of fiscal consolidation, Ukraine also registered a reduction in gross government debt to an estimated 61.5% of GDP at the end of 2017 (down from the 69.2% of GDP at end-2016).</w:t>
      </w:r>
    </w:p>
    <w:p>
      <w:pPr>
        <w:pStyle w:val="BodyText"/>
        <w:jc w:val="center"/>
        <w:rPr>
          <w:rFonts w:ascii="Times New Roman" w:hAnsi="Times New Roman" w:cs="Times New Roman"/>
          <w:i/>
          <w:noProof/>
          <w:sz w:val="20"/>
          <w:szCs w:val="24"/>
          <w:lang w:val="en-US"/>
        </w:rPr>
      </w:pPr>
      <w:r>
        <w:rPr>
          <w:rFonts w:ascii="Times New Roman" w:hAnsi="Times New Roman" w:cs="Times New Roman"/>
          <w:i/>
          <w:noProof/>
          <w:sz w:val="20"/>
          <w:szCs w:val="24"/>
          <w:lang w:val="en-US"/>
        </w:rPr>
        <w:t>Figure 3.1 Selected macro-economic indicators for Ukraine</w:t>
      </w:r>
    </w:p>
    <w:tbl>
      <w:tblPr>
        <w:tblW w:w="9481"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545"/>
        <w:gridCol w:w="1296"/>
        <w:gridCol w:w="928"/>
        <w:gridCol w:w="928"/>
        <w:gridCol w:w="928"/>
        <w:gridCol w:w="928"/>
        <w:gridCol w:w="928"/>
      </w:tblGrid>
      <w:tr>
        <w:trPr>
          <w:trHeight w:val="554"/>
          <w:jc w:val="center"/>
        </w:trPr>
        <w:tc>
          <w:tcPr>
            <w:tcW w:w="3545"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Indicator</w:t>
            </w:r>
          </w:p>
        </w:tc>
        <w:tc>
          <w:tcPr>
            <w:tcW w:w="1296"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2014</w:t>
            </w:r>
          </w:p>
        </w:tc>
        <w:tc>
          <w:tcPr>
            <w:tcW w:w="928"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2015</w:t>
            </w:r>
          </w:p>
        </w:tc>
        <w:tc>
          <w:tcPr>
            <w:tcW w:w="928"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2016</w:t>
            </w:r>
          </w:p>
        </w:tc>
        <w:tc>
          <w:tcPr>
            <w:tcW w:w="928"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2017</w:t>
            </w:r>
          </w:p>
        </w:tc>
        <w:tc>
          <w:tcPr>
            <w:tcW w:w="928"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2018</w:t>
            </w:r>
          </w:p>
        </w:tc>
        <w:tc>
          <w:tcPr>
            <w:tcW w:w="928" w:type="dxa"/>
            <w:shd w:val="clear" w:color="auto" w:fill="1F4E79" w:themeFill="accent1" w:themeFillShade="80"/>
            <w:vAlign w:val="center"/>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2019</w:t>
            </w:r>
          </w:p>
        </w:tc>
      </w:tr>
      <w:tr>
        <w:trPr>
          <w:trHeight w:val="332"/>
          <w:jc w:val="center"/>
        </w:trPr>
        <w:tc>
          <w:tcPr>
            <w:tcW w:w="3545"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Real GDP change, %</w:t>
            </w:r>
          </w:p>
        </w:tc>
        <w:tc>
          <w:tcPr>
            <w:tcW w:w="1296"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-6.6</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-9.8</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2.4</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2.5</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3.3</w:t>
            </w:r>
          </w:p>
        </w:tc>
        <w:tc>
          <w:tcPr>
            <w:tcW w:w="928" w:type="dxa"/>
            <w:shd w:val="clear" w:color="auto" w:fill="DEEAF6" w:themeFill="accent1" w:themeFillTint="33"/>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3.2</w:t>
            </w:r>
          </w:p>
        </w:tc>
      </w:tr>
      <w:tr>
        <w:trPr>
          <w:trHeight w:val="563"/>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Consumer price inflation, %, end of period</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17.5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43.4</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12.4</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13.7</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9.8</w:t>
            </w:r>
          </w:p>
        </w:tc>
        <w:tc>
          <w:tcPr>
            <w:tcW w:w="928" w:type="dxa"/>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4.1</w:t>
            </w:r>
          </w:p>
        </w:tc>
      </w:tr>
      <w:tr>
        <w:trPr>
          <w:trHeight w:val="403"/>
          <w:jc w:val="center"/>
        </w:trPr>
        <w:tc>
          <w:tcPr>
            <w:tcW w:w="3545"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Key monetary policy rate, %, end of period</w:t>
            </w:r>
          </w:p>
        </w:tc>
        <w:tc>
          <w:tcPr>
            <w:tcW w:w="1296"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14.0</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22.0</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14.0</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14.5</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18.0</w:t>
            </w:r>
          </w:p>
        </w:tc>
        <w:tc>
          <w:tcPr>
            <w:tcW w:w="928" w:type="dxa"/>
            <w:shd w:val="clear" w:color="auto" w:fill="DEEAF6" w:themeFill="accent1" w:themeFillTint="33"/>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13.5</w:t>
            </w:r>
          </w:p>
        </w:tc>
      </w:tr>
      <w:tr>
        <w:trPr>
          <w:trHeight w:val="409"/>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Unemployment rate, % LFS</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9.3</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9.1</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9.3</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8.8</w:t>
            </w:r>
          </w:p>
        </w:tc>
        <w:tc>
          <w:tcPr>
            <w:tcW w:w="928" w:type="dxa"/>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8.2</w:t>
            </w:r>
          </w:p>
        </w:tc>
      </w:tr>
      <w:tr>
        <w:trPr>
          <w:trHeight w:val="402"/>
          <w:jc w:val="center"/>
        </w:trPr>
        <w:tc>
          <w:tcPr>
            <w:tcW w:w="3545"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General government balance, % of GDP</w:t>
            </w:r>
          </w:p>
        </w:tc>
        <w:tc>
          <w:tcPr>
            <w:tcW w:w="1296"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-4.5</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-1.6</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-2.3</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-1.4</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-1.9</w:t>
            </w:r>
          </w:p>
        </w:tc>
        <w:tc>
          <w:tcPr>
            <w:tcW w:w="928" w:type="dxa"/>
            <w:shd w:val="clear" w:color="auto" w:fill="DEEAF6" w:themeFill="accent1" w:themeFillTint="33"/>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-2.0</w:t>
            </w:r>
          </w:p>
        </w:tc>
      </w:tr>
      <w:tr>
        <w:trPr>
          <w:trHeight w:val="422"/>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Gross Public debt, % of GDP</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59.7</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67.1</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69.2</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61.5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52.2</w:t>
            </w:r>
          </w:p>
        </w:tc>
        <w:tc>
          <w:tcPr>
            <w:tcW w:w="928" w:type="dxa"/>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44.3</w:t>
            </w:r>
          </w:p>
        </w:tc>
      </w:tr>
      <w:tr>
        <w:trPr>
          <w:trHeight w:val="413"/>
          <w:jc w:val="center"/>
        </w:trPr>
        <w:tc>
          <w:tcPr>
            <w:tcW w:w="3545"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Current account balance, % of GDP</w:t>
            </w:r>
          </w:p>
        </w:tc>
        <w:tc>
          <w:tcPr>
            <w:tcW w:w="1296"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-3.2</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2.3</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-1.3</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-2.2</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-3.3</w:t>
            </w:r>
          </w:p>
        </w:tc>
        <w:tc>
          <w:tcPr>
            <w:tcW w:w="928" w:type="dxa"/>
            <w:shd w:val="clear" w:color="auto" w:fill="DEEAF6" w:themeFill="accent1" w:themeFillTint="33"/>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-0.8</w:t>
            </w:r>
          </w:p>
        </w:tc>
      </w:tr>
      <w:tr>
        <w:trPr>
          <w:trHeight w:val="433"/>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International reserves, USD billion</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7.5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13.3</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15.5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18.8</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20.8</w:t>
            </w:r>
          </w:p>
        </w:tc>
        <w:tc>
          <w:tcPr>
            <w:tcW w:w="928" w:type="dxa"/>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25.3</w:t>
            </w:r>
          </w:p>
        </w:tc>
      </w:tr>
      <w:tr>
        <w:trPr>
          <w:trHeight w:val="398"/>
          <w:jc w:val="center"/>
        </w:trPr>
        <w:tc>
          <w:tcPr>
            <w:tcW w:w="3545"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International reserves, month of imports</w:t>
            </w:r>
          </w:p>
        </w:tc>
        <w:tc>
          <w:tcPr>
            <w:tcW w:w="1296"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1.8</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3.0</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3.0</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3.2</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3.3</w:t>
            </w:r>
          </w:p>
        </w:tc>
        <w:tc>
          <w:tcPr>
            <w:tcW w:w="928" w:type="dxa"/>
            <w:shd w:val="clear" w:color="auto" w:fill="DEEAF6" w:themeFill="accent1" w:themeFillTint="33"/>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4.0</w:t>
            </w:r>
          </w:p>
        </w:tc>
      </w:tr>
      <w:tr>
        <w:trPr>
          <w:trHeight w:val="418"/>
          <w:jc w:val="center"/>
        </w:trPr>
        <w:tc>
          <w:tcPr>
            <w:tcW w:w="3545" w:type="dxa"/>
            <w:shd w:val="clear" w:color="000000" w:fill="FFFFFF"/>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Gross external debt, % of GDP</w:t>
            </w:r>
          </w:p>
        </w:tc>
        <w:tc>
          <w:tcPr>
            <w:tcW w:w="1296"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94.1</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129.5</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120.7</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102.9</w:t>
            </w:r>
          </w:p>
        </w:tc>
        <w:tc>
          <w:tcPr>
            <w:tcW w:w="928"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87.7</w:t>
            </w:r>
          </w:p>
        </w:tc>
        <w:tc>
          <w:tcPr>
            <w:tcW w:w="928" w:type="dxa"/>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79.5</w:t>
            </w:r>
          </w:p>
        </w:tc>
      </w:tr>
      <w:tr>
        <w:trPr>
          <w:trHeight w:val="269"/>
          <w:jc w:val="center"/>
        </w:trPr>
        <w:tc>
          <w:tcPr>
            <w:tcW w:w="3545"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Foreign direct investment, % of GDP</w:t>
            </w:r>
          </w:p>
        </w:tc>
        <w:tc>
          <w:tcPr>
            <w:tcW w:w="1296"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0.2</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3.3</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3.5</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2.3</w:t>
            </w:r>
          </w:p>
        </w:tc>
        <w:tc>
          <w:tcPr>
            <w:tcW w:w="928"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1.8</w:t>
            </w:r>
          </w:p>
        </w:tc>
        <w:tc>
          <w:tcPr>
            <w:tcW w:w="928" w:type="dxa"/>
            <w:shd w:val="clear" w:color="auto" w:fill="DEEAF6" w:themeFill="accent1" w:themeFillTint="33"/>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1.6</w:t>
            </w:r>
          </w:p>
        </w:tc>
      </w:tr>
    </w:tbl>
    <w:p>
      <w:pPr>
        <w:pStyle w:val="BodyText"/>
        <w:rPr>
          <w:rFonts w:ascii="Times New Roman" w:hAnsi="Times New Roman" w:cs="Times New Roman"/>
          <w:i/>
          <w:noProof/>
          <w:sz w:val="18"/>
          <w:szCs w:val="27"/>
          <w:shd w:val="clear" w:color="auto" w:fill="FFFFFF"/>
          <w:lang w:val="en-US"/>
        </w:rPr>
      </w:pPr>
      <w:r>
        <w:rPr>
          <w:rFonts w:ascii="Times New Roman" w:hAnsi="Times New Roman" w:cs="Times New Roman"/>
          <w:i/>
          <w:noProof/>
          <w:sz w:val="18"/>
          <w:szCs w:val="27"/>
          <w:shd w:val="clear" w:color="auto" w:fill="FFFFFF"/>
          <w:lang w:val="en-US"/>
        </w:rPr>
        <w:t>Sources: National Bank of Ukraine, Ministry of Finance of Ukraine</w:t>
      </w:r>
      <w:bookmarkEnd w:id="10"/>
    </w:p>
    <w:p>
      <w:pPr>
        <w:pStyle w:val="BodyText"/>
        <w:rPr>
          <w:rFonts w:ascii="Times New Roman" w:hAnsi="Times New Roman" w:cs="Times New Roman"/>
          <w:i/>
          <w:noProof/>
          <w:sz w:val="18"/>
          <w:szCs w:val="27"/>
          <w:shd w:val="clear" w:color="auto" w:fill="FFFFFF"/>
          <w:lang w:val="en-US"/>
        </w:rPr>
      </w:pPr>
      <w:r>
        <w:rPr>
          <w:rFonts w:ascii="Times New Roman" w:hAnsi="Times New Roman"/>
          <w:b/>
          <w:noProof/>
          <w:sz w:val="24"/>
          <w:szCs w:val="24"/>
          <w:lang w:val="en-GB"/>
        </w:rPr>
        <w:t>MFA-III and MFA-IV</w:t>
      </w:r>
    </w:p>
    <w:p>
      <w:pPr>
        <w:spacing w:line="240" w:lineRule="auto"/>
        <w:jc w:val="both"/>
        <w:rPr>
          <w:rFonts w:ascii="Times New Roman" w:hAnsi="Times New Roman" w:cs="Times New Roman"/>
          <w:noProof/>
          <w:sz w:val="24"/>
          <w:szCs w:val="24"/>
          <w:shd w:val="clear" w:color="auto" w:fill="FFFFFF"/>
          <w:lang w:val="en-US"/>
        </w:rPr>
      </w:pPr>
      <w:bookmarkStart w:id="11" w:name="_Toc518383270"/>
      <w:bookmarkStart w:id="12" w:name="_Toc29824048"/>
      <w:r>
        <w:rPr>
          <w:rFonts w:ascii="Times New Roman" w:hAnsi="Times New Roman" w:cs="Times New Roman"/>
          <w:noProof/>
          <w:sz w:val="24"/>
          <w:lang w:val="en-US"/>
        </w:rPr>
        <w:t xml:space="preserve">The non-disbursement of the third tranche of MFA-III did not create an obstacle for the implementation of other EU programmes to Ukraine. Cooperation continued to be constructive reflecting also that a new MFA-IV operation of up to EUR 1 billion was proposed in March 2018, two months after the cancellation of the third disbursement under MFA-III. The operation was meant to accompany the IMF’s SBA operation of USD 3.9 billion, which was going to follow the Extended Fund Facility ending in December 2018. </w:t>
      </w:r>
      <w:r>
        <w:rPr>
          <w:rFonts w:ascii="Times New Roman" w:hAnsi="Times New Roman" w:cs="Times New Roman"/>
          <w:noProof/>
          <w:sz w:val="24"/>
          <w:szCs w:val="24"/>
          <w:lang w:val="en-US"/>
        </w:rPr>
        <w:t>The EU adopted the fourth MFA in July 2018. To underline the importance of anti-corruption measures and safeguard the credibility of policy conditionality, t</w:t>
      </w:r>
      <w:r>
        <w:rPr>
          <w:rFonts w:ascii="Times New Roman" w:hAnsi="Times New Roman" w:cs="Times New Roman"/>
          <w:noProof/>
          <w:sz w:val="24"/>
          <w:szCs w:val="24"/>
          <w:shd w:val="clear" w:color="auto" w:fill="FFFFFF"/>
          <w:lang w:val="en-US"/>
        </w:rPr>
        <w:t xml:space="preserve">he first disbursement under MFA-IV was only made in December 2018, after Ukraine fulfilled specific policy measures </w:t>
      </w:r>
      <w:r>
        <w:rPr>
          <w:rFonts w:ascii="Times New Roman" w:hAnsi="Times New Roman" w:cs="Times New Roman"/>
          <w:noProof/>
          <w:sz w:val="24"/>
          <w:szCs w:val="24"/>
          <w:lang w:val="en-US"/>
        </w:rPr>
        <w:t xml:space="preserve">in relation to the unmet conditions of the previous programme. </w:t>
      </w:r>
      <w:r>
        <w:rPr>
          <w:rFonts w:ascii="Times New Roman" w:hAnsi="Times New Roman" w:cs="Times New Roman"/>
          <w:noProof/>
          <w:sz w:val="24"/>
          <w:szCs w:val="24"/>
          <w:shd w:val="clear" w:color="auto" w:fill="FFFFFF"/>
          <w:lang w:val="en-US"/>
        </w:rPr>
        <w:t>Notably, as part of the implementation effort of MFA-IV first tranche conditions, Ukraine made significant progress in the areas of anti-corruption policy</w:t>
      </w:r>
      <w:r>
        <w:rPr>
          <w:rStyle w:val="FootnoteReference"/>
          <w:rFonts w:ascii="Times New Roman" w:hAnsi="Times New Roman" w:cs="Times New Roman"/>
          <w:noProof/>
          <w:szCs w:val="24"/>
          <w:shd w:val="clear" w:color="auto" w:fill="FFFFFF"/>
          <w:lang w:val="en-US"/>
        </w:rPr>
        <w:footnoteReference w:id="18"/>
      </w:r>
      <w:r>
        <w:rPr>
          <w:rFonts w:ascii="Times New Roman" w:hAnsi="Times New Roman" w:cs="Times New Roman"/>
          <w:noProof/>
          <w:sz w:val="24"/>
          <w:szCs w:val="24"/>
          <w:shd w:val="clear" w:color="auto" w:fill="FFFFFF"/>
          <w:lang w:val="en-US"/>
        </w:rPr>
        <w:t xml:space="preserve">. </w:t>
      </w:r>
    </w:p>
    <w:p>
      <w:pPr>
        <w:spacing w:line="240" w:lineRule="auto"/>
        <w:jc w:val="both"/>
        <w:rPr>
          <w:rFonts w:ascii="Times New Roman" w:hAnsi="Times New Roman" w:cs="Times New Roman"/>
          <w:noProof/>
          <w:sz w:val="24"/>
          <w:szCs w:val="24"/>
          <w:shd w:val="clear" w:color="auto" w:fill="FFFFFF"/>
          <w:lang w:val="en-US"/>
        </w:rPr>
      </w:pPr>
    </w:p>
    <w:p>
      <w:pPr>
        <w:pStyle w:val="Heading1"/>
        <w:keepLines w:val="0"/>
        <w:numPr>
          <w:ilvl w:val="0"/>
          <w:numId w:val="31"/>
        </w:numPr>
        <w:spacing w:before="0" w:after="120"/>
        <w:ind w:left="426" w:hanging="426"/>
        <w:jc w:val="both"/>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M</w:t>
      </w:r>
      <w:bookmarkEnd w:id="11"/>
      <w:bookmarkEnd w:id="12"/>
      <w:r>
        <w:rPr>
          <w:rFonts w:ascii="Times New Roman" w:hAnsi="Times New Roman" w:cs="Times New Roman"/>
          <w:b/>
          <w:noProof/>
          <w:color w:val="auto"/>
          <w:sz w:val="24"/>
          <w:szCs w:val="24"/>
          <w:lang w:val="en-GB"/>
        </w:rPr>
        <w:t>ETODOLOGY</w:t>
      </w:r>
    </w:p>
    <w:p>
      <w:pPr>
        <w:pStyle w:val="Heading2"/>
        <w:tabs>
          <w:tab w:val="num" w:pos="1200"/>
        </w:tabs>
        <w:spacing w:after="120"/>
        <w:rPr>
          <w:rFonts w:ascii="Times New Roman" w:hAnsi="Times New Roman" w:cs="Times New Roman"/>
          <w:b/>
          <w:noProof/>
          <w:color w:val="auto"/>
          <w:sz w:val="24"/>
          <w:szCs w:val="24"/>
          <w:lang w:val="en-GB"/>
        </w:rPr>
      </w:pPr>
      <w:bookmarkStart w:id="13" w:name="_Toc29824049"/>
      <w:r>
        <w:rPr>
          <w:rFonts w:ascii="Times New Roman" w:hAnsi="Times New Roman" w:cs="Times New Roman"/>
          <w:b/>
          <w:noProof/>
          <w:color w:val="auto"/>
          <w:sz w:val="24"/>
          <w:szCs w:val="24"/>
          <w:lang w:val="en-GB"/>
        </w:rPr>
        <w:t>Evaluation techniques used</w:t>
      </w:r>
      <w:bookmarkEnd w:id="13"/>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methodology for evaluating the MFA operation in Ukraine over the period 2015-2017 was guided by the Commission’s Better Regulation Guidelines</w:t>
      </w:r>
      <w:r>
        <w:rPr>
          <w:rFonts w:ascii="Times New Roman" w:hAnsi="Times New Roman" w:cs="Times New Roman"/>
          <w:noProof/>
          <w:sz w:val="24"/>
          <w:szCs w:val="24"/>
          <w:vertAlign w:val="superscript"/>
          <w:lang w:val="en-GB"/>
        </w:rPr>
        <w:footnoteReference w:id="19"/>
      </w:r>
      <w:r>
        <w:rPr>
          <w:rFonts w:ascii="Times New Roman" w:hAnsi="Times New Roman" w:cs="Times New Roman"/>
          <w:noProof/>
          <w:sz w:val="24"/>
          <w:szCs w:val="24"/>
          <w:lang w:val="en-GB"/>
        </w:rPr>
        <w:t xml:space="preserve"> and the Guidelines for the Ex-Post evaluation of Macro-Financial Assistance Operations</w:t>
      </w:r>
      <w:r>
        <w:rPr>
          <w:rFonts w:ascii="Times New Roman" w:hAnsi="Times New Roman" w:cs="Times New Roman"/>
          <w:noProof/>
          <w:sz w:val="24"/>
          <w:szCs w:val="24"/>
          <w:vertAlign w:val="superscript"/>
          <w:lang w:val="en-GB"/>
        </w:rPr>
        <w:footnoteReference w:id="20"/>
      </w:r>
      <w:r>
        <w:rPr>
          <w:rFonts w:ascii="Times New Roman" w:hAnsi="Times New Roman" w:cs="Times New Roman"/>
          <w:noProof/>
          <w:sz w:val="24"/>
          <w:szCs w:val="24"/>
          <w:lang w:val="en-GB"/>
        </w:rPr>
        <w:t>.</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This evaluation was supported by an assessment carried out by an external contractor from December 2019 until July 2020 and was overseen by an Inter-Service Steering Group (ISG). The external evaluation comprised of the following four phases: (1) inception, (2) data collection, (3) analysis and judgement, and (4) finalization and feedback.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Evidence and the data were collected from a wide range of sources through a number of complementary quantitative and qualitative approaches aligned to the consultation strategy, including: </w:t>
      </w:r>
    </w:p>
    <w:p>
      <w:pPr>
        <w:pStyle w:val="ListParagraph"/>
        <w:numPr>
          <w:ilvl w:val="0"/>
          <w:numId w:val="32"/>
        </w:numPr>
        <w:spacing w:after="120" w:line="240" w:lineRule="auto"/>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 xml:space="preserve">Desk research </w:t>
      </w:r>
      <w:r>
        <w:rPr>
          <w:rFonts w:ascii="Times New Roman" w:hAnsi="Times New Roman" w:cs="Times New Roman"/>
          <w:noProof/>
          <w:sz w:val="24"/>
          <w:szCs w:val="24"/>
          <w:lang w:val="en-US"/>
        </w:rPr>
        <w:t>and</w:t>
      </w:r>
      <w:r>
        <w:rPr>
          <w:rFonts w:ascii="Times New Roman" w:hAnsi="Times New Roman" w:cs="Times New Roman"/>
          <w:b/>
          <w:noProof/>
          <w:sz w:val="24"/>
          <w:szCs w:val="24"/>
          <w:lang w:val="en-US"/>
        </w:rPr>
        <w:t xml:space="preserve"> macroeconomic data analysis</w:t>
      </w:r>
      <w:r>
        <w:rPr>
          <w:rFonts w:ascii="Times New Roman" w:hAnsi="Times New Roman" w:cs="Times New Roman"/>
          <w:noProof/>
          <w:sz w:val="24"/>
          <w:szCs w:val="24"/>
          <w:lang w:val="en-US"/>
        </w:rPr>
        <w:t xml:space="preserve"> of publically available documents from a range of sources (European Commission, IMF, World Bank, National Bank of Ukraine and Ukrainian Ministry of Finance); </w:t>
      </w:r>
    </w:p>
    <w:p>
      <w:pPr>
        <w:pStyle w:val="ListParagraph"/>
        <w:numPr>
          <w:ilvl w:val="0"/>
          <w:numId w:val="32"/>
        </w:num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Forty </w:t>
      </w:r>
      <w:r>
        <w:rPr>
          <w:rFonts w:ascii="Times New Roman" w:hAnsi="Times New Roman" w:cs="Times New Roman"/>
          <w:b/>
          <w:noProof/>
          <w:sz w:val="24"/>
          <w:szCs w:val="24"/>
          <w:lang w:val="en-US"/>
        </w:rPr>
        <w:t>interviews</w:t>
      </w:r>
      <w:r>
        <w:rPr>
          <w:rFonts w:ascii="Times New Roman" w:hAnsi="Times New Roman" w:cs="Times New Roman"/>
          <w:noProof/>
          <w:sz w:val="24"/>
          <w:szCs w:val="24"/>
          <w:lang w:val="en-US"/>
        </w:rPr>
        <w:t xml:space="preserve"> with key informants, including </w:t>
      </w:r>
      <w:r>
        <w:rPr>
          <w:rFonts w:ascii="Times New Roman" w:hAnsi="Times New Roman" w:cs="Times New Roman"/>
          <w:noProof/>
          <w:sz w:val="24"/>
          <w:szCs w:val="24"/>
          <w:lang w:val="en-GB"/>
        </w:rPr>
        <w:t>representatives of the EU and Member State political landscape, Ukrainian national authorities and other stakeholders involved in the implementation or monitoring of MFA conditionality, as well as IFIs, the wider donor community, civil society organisations (CSOs) and businesses representatives. Interviews were also carried out with the European Commission (both in headquarters and the EU Delegation to Kyiv)</w:t>
      </w:r>
      <w:r>
        <w:rPr>
          <w:rFonts w:ascii="Times New Roman" w:hAnsi="Times New Roman" w:cs="Times New Roman"/>
          <w:noProof/>
          <w:sz w:val="24"/>
          <w:szCs w:val="24"/>
          <w:lang w:val="en-US"/>
        </w:rPr>
        <w:t>;</w:t>
      </w:r>
    </w:p>
    <w:p>
      <w:pPr>
        <w:pStyle w:val="ListParagraph"/>
        <w:numPr>
          <w:ilvl w:val="0"/>
          <w:numId w:val="32"/>
        </w:num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 </w:t>
      </w:r>
      <w:r>
        <w:rPr>
          <w:rFonts w:ascii="Times New Roman" w:hAnsi="Times New Roman" w:cs="Times New Roman"/>
          <w:b/>
          <w:noProof/>
          <w:sz w:val="24"/>
          <w:szCs w:val="24"/>
          <w:lang w:val="en-US"/>
        </w:rPr>
        <w:t>Delphi survey</w:t>
      </w:r>
      <w:r>
        <w:rPr>
          <w:rFonts w:ascii="Times New Roman" w:hAnsi="Times New Roman" w:cs="Times New Roman"/>
          <w:noProof/>
          <w:sz w:val="24"/>
          <w:szCs w:val="24"/>
          <w:lang w:val="en-US"/>
        </w:rPr>
        <w:t xml:space="preserve"> with a panel of experts. Twenty-one respondents provided valid feedback with a high degree of consensus amongst replies. Further details on the Delphi survey (which focused on the macroeconomic impact of MFA-III, the impact of structural reforms and design and implementation aspects of the operation) are included in Annex 2</w:t>
      </w:r>
      <w:r>
        <w:rPr>
          <w:rStyle w:val="FootnoteReference"/>
          <w:rFonts w:ascii="Times New Roman" w:hAnsi="Times New Roman" w:cs="Times New Roman"/>
          <w:noProof/>
          <w:szCs w:val="24"/>
          <w:lang w:val="en-US"/>
        </w:rPr>
        <w:footnoteReference w:id="21"/>
      </w:r>
      <w:r>
        <w:rPr>
          <w:rFonts w:ascii="Times New Roman" w:hAnsi="Times New Roman" w:cs="Times New Roman"/>
          <w:noProof/>
          <w:sz w:val="24"/>
          <w:szCs w:val="24"/>
          <w:lang w:val="en-US"/>
        </w:rPr>
        <w:t>.</w:t>
      </w:r>
    </w:p>
    <w:p>
      <w:pPr>
        <w:pStyle w:val="ListParagraph"/>
        <w:numPr>
          <w:ilvl w:val="0"/>
          <w:numId w:val="32"/>
        </w:num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An </w:t>
      </w:r>
      <w:r>
        <w:rPr>
          <w:rFonts w:ascii="Times New Roman" w:hAnsi="Times New Roman" w:cs="Times New Roman"/>
          <w:b/>
          <w:noProof/>
          <w:sz w:val="24"/>
          <w:szCs w:val="24"/>
          <w:lang w:val="en-GB"/>
        </w:rPr>
        <w:t>online focus group</w:t>
      </w:r>
      <w:r>
        <w:rPr>
          <w:rFonts w:ascii="Times New Roman" w:hAnsi="Times New Roman" w:cs="Times New Roman"/>
          <w:noProof/>
          <w:sz w:val="24"/>
          <w:szCs w:val="24"/>
          <w:lang w:val="en-GB"/>
        </w:rPr>
        <w:t xml:space="preserve"> with attendees from Ukrainian CSOs, think tanks and academia. Further details on the focus group are included in Annex 2</w:t>
      </w:r>
      <w:r>
        <w:rPr>
          <w:rStyle w:val="FootnoteReference"/>
          <w:rFonts w:ascii="Times New Roman" w:hAnsi="Times New Roman" w:cs="Times New Roman"/>
          <w:noProof/>
          <w:szCs w:val="24"/>
          <w:lang w:val="en-GB"/>
        </w:rPr>
        <w:footnoteReference w:id="22"/>
      </w:r>
      <w:r>
        <w:rPr>
          <w:rFonts w:ascii="Times New Roman" w:hAnsi="Times New Roman" w:cs="Times New Roman"/>
          <w:noProof/>
          <w:sz w:val="24"/>
          <w:szCs w:val="24"/>
          <w:lang w:val="en-GB"/>
        </w:rPr>
        <w:t>;</w:t>
      </w:r>
    </w:p>
    <w:p>
      <w:pPr>
        <w:pStyle w:val="ListParagraph"/>
        <w:numPr>
          <w:ilvl w:val="0"/>
          <w:numId w:val="32"/>
        </w:num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Two in-depth </w:t>
      </w:r>
      <w:r>
        <w:rPr>
          <w:rFonts w:ascii="Times New Roman" w:hAnsi="Times New Roman" w:cs="Times New Roman"/>
          <w:b/>
          <w:noProof/>
          <w:sz w:val="24"/>
          <w:szCs w:val="24"/>
          <w:lang w:val="en-GB"/>
        </w:rPr>
        <w:t>case studies</w:t>
      </w:r>
      <w:r>
        <w:rPr>
          <w:rFonts w:ascii="Times New Roman" w:hAnsi="Times New Roman" w:cs="Times New Roman"/>
          <w:noProof/>
          <w:sz w:val="24"/>
          <w:szCs w:val="24"/>
          <w:lang w:val="en-GB"/>
        </w:rPr>
        <w:t xml:space="preserve"> on anti-corruption reform and social safety net reform as well as a third case study on the use of the euro in three MFA operations in Ukraine; </w:t>
      </w:r>
    </w:p>
    <w:p>
      <w:pPr>
        <w:pStyle w:val="ListParagraph"/>
        <w:numPr>
          <w:ilvl w:val="0"/>
          <w:numId w:val="32"/>
        </w:num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w:t>
      </w:r>
      <w:r>
        <w:rPr>
          <w:rFonts w:ascii="Times New Roman" w:hAnsi="Times New Roman" w:cs="Times New Roman"/>
          <w:b/>
          <w:noProof/>
          <w:sz w:val="24"/>
          <w:szCs w:val="24"/>
          <w:lang w:val="en-GB"/>
        </w:rPr>
        <w:t>stakeholder validation workshop</w:t>
      </w:r>
      <w:r>
        <w:rPr>
          <w:rFonts w:ascii="Times New Roman" w:hAnsi="Times New Roman" w:cs="Times New Roman"/>
          <w:noProof/>
          <w:sz w:val="24"/>
          <w:szCs w:val="24"/>
          <w:lang w:val="en-GB"/>
        </w:rPr>
        <w:t xml:space="preserve"> to test and validate the emerging findings.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 information on the evaluation techniques is available in Chapter 4 of the external evaluation report. Overall, triangulation of findings, obtained using different techniques, has helped to increase validity of the evaluation results. The methodology employed is comprehensive and responded to the very specific and unique nature of the MFA operation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lang w:val="en-GB"/>
        </w:rPr>
        <w:t xml:space="preserve">. </w:t>
      </w:r>
    </w:p>
    <w:p>
      <w:pPr>
        <w:pStyle w:val="Heading2"/>
        <w:tabs>
          <w:tab w:val="num" w:pos="1200"/>
        </w:tabs>
        <w:spacing w:after="120" w:line="240" w:lineRule="auto"/>
        <w:jc w:val="both"/>
        <w:rPr>
          <w:rFonts w:ascii="Times New Roman" w:hAnsi="Times New Roman" w:cs="Times New Roman"/>
          <w:b/>
          <w:noProof/>
          <w:color w:val="auto"/>
          <w:sz w:val="24"/>
          <w:szCs w:val="24"/>
          <w:lang w:val="en-US"/>
        </w:rPr>
      </w:pPr>
      <w:bookmarkStart w:id="14" w:name="_Toc29824050"/>
      <w:r>
        <w:rPr>
          <w:rFonts w:ascii="Times New Roman" w:hAnsi="Times New Roman" w:cs="Times New Roman"/>
          <w:b/>
          <w:noProof/>
          <w:color w:val="auto"/>
          <w:sz w:val="24"/>
          <w:szCs w:val="24"/>
          <w:lang w:val="en-US"/>
        </w:rPr>
        <w:t>Risks and limitations</w:t>
      </w:r>
      <w:bookmarkEnd w:id="14"/>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T</w:t>
      </w:r>
      <w:r>
        <w:rPr>
          <w:rFonts w:ascii="Times New Roman" w:hAnsi="Times New Roman" w:cs="Times New Roman"/>
          <w:noProof/>
          <w:sz w:val="24"/>
          <w:szCs w:val="24"/>
          <w:lang w:val="en-GB"/>
        </w:rPr>
        <w:t xml:space="preserve">he overall reliability and validity of the evaluation is strong. Nonetheless, a number of methodological limitations and challenges affected the evaluation: </w:t>
      </w:r>
    </w:p>
    <w:p>
      <w:pPr>
        <w:pStyle w:val="ListParagraph"/>
        <w:numPr>
          <w:ilvl w:val="0"/>
          <w:numId w:val="14"/>
        </w:num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While </w:t>
      </w:r>
      <w:r>
        <w:rPr>
          <w:rFonts w:ascii="Times New Roman" w:hAnsi="Times New Roman" w:cs="Times New Roman"/>
          <w:noProof/>
          <w:sz w:val="24"/>
          <w:szCs w:val="24"/>
          <w:lang w:val="en-US"/>
        </w:rPr>
        <w:t xml:space="preserve">generally data coverage and quality is good, data referring to some key national statistical indicators have been frequently updated recently, and some gaps exists.  </w:t>
      </w:r>
    </w:p>
    <w:p>
      <w:pPr>
        <w:pStyle w:val="ListParagraph"/>
        <w:numPr>
          <w:ilvl w:val="0"/>
          <w:numId w:val="14"/>
        </w:num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Another limitation relates to the reliability of the judgment provided by some stakeholders. In a number of cases interviewees (not directly involved in the operation) had limited knowledge of specific MFA-III conditionality or were unable to recall the details of the operation and the general context. Additionally, the online format used for key stakeholder consultation, Delphi panel and focus group reduced the active participation and response rate of some actors involved. </w:t>
      </w:r>
    </w:p>
    <w:p>
      <w:pPr>
        <w:pStyle w:val="ListParagraph"/>
        <w:numPr>
          <w:ilvl w:val="0"/>
          <w:numId w:val="14"/>
        </w:numPr>
        <w:spacing w:before="24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As occurred for previous MFA evaluations, the changing economic environment over an extended period and the fact that the MFA-III operation was implemented in parallel with IMF and other international support programmes made it difficult to disentangle the impact of the MFA from the impacts resulting from other factors. As a consequence, the counterfactual analysis was somewhat limited.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Nonetheless, the identified risks and limitations do not put into question the overall reliability of the evaluation analysis, as they were mitigated by the fact that information was obtained from a wide range of sources, using different evaluation techniques, alternative scenarios and multiple rounds of feedback. Therefore based on the methods employed, the conclusions reached in the evaluation are considered to be reliable and valid. </w:t>
      </w:r>
    </w:p>
    <w:p>
      <w:pPr>
        <w:rPr>
          <w:noProof/>
          <w:lang w:val="en-GB"/>
        </w:rPr>
      </w:pPr>
    </w:p>
    <w:p>
      <w:pPr>
        <w:rPr>
          <w:noProof/>
          <w:lang w:val="en-GB"/>
        </w:rPr>
      </w:pPr>
    </w:p>
    <w:p>
      <w:pPr>
        <w:pStyle w:val="Heading1"/>
        <w:numPr>
          <w:ilvl w:val="0"/>
          <w:numId w:val="31"/>
        </w:numPr>
        <w:spacing w:after="120" w:line="240" w:lineRule="auto"/>
        <w:ind w:left="426" w:hanging="426"/>
        <w:jc w:val="both"/>
        <w:rPr>
          <w:rFonts w:ascii="Times New Roman" w:hAnsi="Times New Roman" w:cs="Times New Roman"/>
          <w:b/>
          <w:noProof/>
          <w:color w:val="auto"/>
          <w:sz w:val="24"/>
          <w:szCs w:val="24"/>
          <w:lang w:val="en-US"/>
        </w:rPr>
      </w:pPr>
      <w:bookmarkStart w:id="15" w:name="_Toc518383271"/>
      <w:bookmarkStart w:id="16" w:name="_Toc29824051"/>
      <w:r>
        <w:rPr>
          <w:rFonts w:ascii="Times New Roman" w:hAnsi="Times New Roman" w:cs="Times New Roman"/>
          <w:b/>
          <w:noProof/>
          <w:color w:val="auto"/>
          <w:sz w:val="24"/>
          <w:szCs w:val="24"/>
          <w:lang w:val="en-US"/>
        </w:rPr>
        <w:t>ANALYSIS AND ANSWERS TO THE EVALUATION QUESTIONS</w:t>
      </w:r>
      <w:bookmarkEnd w:id="15"/>
      <w:bookmarkEnd w:id="16"/>
    </w:p>
    <w:p>
      <w:pPr>
        <w:spacing w:before="240" w:after="120" w:line="240" w:lineRule="auto"/>
        <w:jc w:val="both"/>
        <w:rPr>
          <w:rFonts w:ascii="Times New Roman" w:hAnsi="Times New Roman" w:cs="Times New Roman"/>
          <w:i/>
          <w:noProof/>
          <w:sz w:val="24"/>
          <w:szCs w:val="24"/>
          <w:u w:val="single"/>
          <w:lang w:val="en-GB"/>
        </w:rPr>
      </w:pPr>
      <w:r>
        <w:rPr>
          <w:rFonts w:ascii="Times New Roman" w:hAnsi="Times New Roman" w:cs="Times New Roman"/>
          <w:b/>
          <w:i/>
          <w:noProof/>
          <w:sz w:val="24"/>
          <w:szCs w:val="24"/>
          <w:u w:val="single"/>
          <w:lang w:val="en-GB"/>
        </w:rPr>
        <w:t>Relevance</w:t>
      </w:r>
    </w:p>
    <w:p>
      <w:pPr>
        <w:pStyle w:val="Heading2"/>
        <w:pBdr>
          <w:top w:val="single" w:sz="4" w:space="1" w:color="auto"/>
          <w:left w:val="single" w:sz="4" w:space="0" w:color="auto"/>
          <w:bottom w:val="single" w:sz="4" w:space="1" w:color="auto"/>
          <w:right w:val="single" w:sz="4" w:space="1" w:color="auto"/>
        </w:pBdr>
        <w:tabs>
          <w:tab w:val="num" w:pos="1200"/>
        </w:tabs>
        <w:spacing w:after="120" w:line="240" w:lineRule="auto"/>
        <w:jc w:val="both"/>
        <w:rPr>
          <w:rFonts w:ascii="Times New Roman" w:hAnsi="Times New Roman" w:cs="Times New Roman"/>
          <w:b/>
          <w:noProof/>
          <w:color w:val="auto"/>
          <w:sz w:val="24"/>
          <w:szCs w:val="24"/>
          <w:lang w:val="en-US"/>
        </w:rPr>
      </w:pPr>
      <w:bookmarkStart w:id="17" w:name="_Toc29824052"/>
      <w:r>
        <w:rPr>
          <w:rFonts w:ascii="Times New Roman" w:hAnsi="Times New Roman" w:cs="Times New Roman"/>
          <w:b/>
          <w:noProof/>
          <w:color w:val="auto"/>
          <w:sz w:val="24"/>
          <w:szCs w:val="24"/>
          <w:lang w:val="en-US"/>
        </w:rPr>
        <w:t>Question 1</w:t>
      </w:r>
      <w:bookmarkEnd w:id="17"/>
      <w:r>
        <w:rPr>
          <w:rFonts w:ascii="Times New Roman" w:hAnsi="Times New Roman" w:cs="Times New Roman"/>
          <w:b/>
          <w:noProof/>
          <w:color w:val="auto"/>
          <w:sz w:val="24"/>
          <w:szCs w:val="24"/>
          <w:lang w:val="en-US"/>
        </w:rPr>
        <w:t xml:space="preserve"> </w:t>
      </w:r>
    </w:p>
    <w:p>
      <w:pPr>
        <w:pBdr>
          <w:top w:val="single" w:sz="4" w:space="1" w:color="auto"/>
          <w:left w:val="single" w:sz="4" w:space="0" w:color="auto"/>
          <w:bottom w:val="single" w:sz="4" w:space="1" w:color="auto"/>
          <w:right w:val="single" w:sz="4" w:space="1" w:color="auto"/>
        </w:pBd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To what extent was the MFA operation design appropriate, in relation to the outputs to    be produced and the objectives to be achieved?</w:t>
      </w:r>
    </w:p>
    <w:p>
      <w:pPr>
        <w:pBdr>
          <w:top w:val="single" w:sz="4" w:space="1" w:color="auto"/>
          <w:left w:val="single" w:sz="4" w:space="0" w:color="auto"/>
          <w:bottom w:val="single" w:sz="4" w:space="1" w:color="auto"/>
          <w:right w:val="single" w:sz="4" w:space="1"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1.1 Was the size of the financial assistance adequate to address Ukraine’s financing needs?</w:t>
      </w:r>
    </w:p>
    <w:p>
      <w:pPr>
        <w:pBdr>
          <w:top w:val="single" w:sz="4" w:space="1" w:color="auto"/>
          <w:left w:val="single" w:sz="4" w:space="0" w:color="auto"/>
          <w:bottom w:val="single" w:sz="4" w:space="1" w:color="auto"/>
          <w:right w:val="single" w:sz="4" w:space="1"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1.2 Were the form and timing of the financial assistance provided to Ukraine adequate? </w:t>
      </w:r>
    </w:p>
    <w:p>
      <w:pPr>
        <w:pBdr>
          <w:top w:val="single" w:sz="4" w:space="1" w:color="auto"/>
          <w:left w:val="single" w:sz="4" w:space="0" w:color="auto"/>
          <w:bottom w:val="single" w:sz="4" w:space="1" w:color="auto"/>
          <w:right w:val="single" w:sz="4" w:space="1"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1.3 Was the conditionality of the MFA operation appropriate in relation to the objectives to be achieved?</w:t>
      </w:r>
    </w:p>
    <w:p>
      <w:pPr>
        <w:spacing w:after="1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1.1</w:t>
      </w:r>
      <w:r>
        <w:rPr>
          <w:rFonts w:ascii="Times New Roman" w:hAnsi="Times New Roman" w:cs="Times New Roman"/>
          <w:noProof/>
          <w:sz w:val="24"/>
          <w:szCs w:val="24"/>
          <w:lang w:val="en-GB"/>
        </w:rPr>
        <w:t xml:space="preserve"> The </w:t>
      </w:r>
      <w:r>
        <w:rPr>
          <w:rFonts w:ascii="Times New Roman" w:hAnsi="Times New Roman" w:cs="Times New Roman"/>
          <w:b/>
          <w:noProof/>
          <w:sz w:val="24"/>
          <w:szCs w:val="24"/>
          <w:lang w:val="en-GB"/>
        </w:rPr>
        <w:t>amount</w:t>
      </w:r>
      <w:r>
        <w:rPr>
          <w:rFonts w:ascii="Times New Roman" w:hAnsi="Times New Roman" w:cs="Times New Roman"/>
          <w:noProof/>
          <w:sz w:val="24"/>
          <w:szCs w:val="24"/>
          <w:lang w:val="en-GB"/>
        </w:rPr>
        <w:t xml:space="preserve"> of the EU contribution under the first two tranches of MFA-III to Ukraine corresponded to circa 0.7% and 0.6% of the country’s GDP in 2015 and 2017, respectively. In absolute terms, this was, by far, the largest single operation in the history of the MFA instrument, justified by: (1) the financing needs of the country at that time; (2) the size of the country’s economy; (3) the important role of Ukraine for the stability of the European Neighbourhood; and (4) the importance attached to the integration of the country with the EU (in the context of the Association Agreement signed in 2014, following the “Revolution of Dignity”). The envelope covered 5% of Ukraine’s financing gap for the whole period 2015-2017</w:t>
      </w:r>
      <w:r>
        <w:rPr>
          <w:rFonts w:ascii="Times New Roman" w:hAnsi="Times New Roman" w:cs="Times New Roman"/>
          <w:noProof/>
          <w:sz w:val="24"/>
          <w:szCs w:val="24"/>
          <w:vertAlign w:val="superscript"/>
          <w:lang w:val="en-GB"/>
        </w:rPr>
        <w:footnoteReference w:id="24"/>
      </w:r>
      <w:r>
        <w:rPr>
          <w:rFonts w:ascii="Times New Roman" w:hAnsi="Times New Roman" w:cs="Times New Roman"/>
          <w:noProof/>
          <w:sz w:val="24"/>
          <w:szCs w:val="24"/>
          <w:lang w:val="en-GB"/>
        </w:rPr>
        <w:t>, compared to the 7% initially envisaged</w:t>
      </w:r>
      <w:r>
        <w:rPr>
          <w:rStyle w:val="FootnoteReference"/>
          <w:rFonts w:ascii="Times New Roman" w:hAnsi="Times New Roman" w:cs="Times New Roman"/>
          <w:noProof/>
          <w:szCs w:val="24"/>
          <w:lang w:val="en-GB"/>
        </w:rPr>
        <w:footnoteReference w:id="25"/>
      </w:r>
      <w:r>
        <w:rPr>
          <w:rFonts w:ascii="Times New Roman" w:hAnsi="Times New Roman" w:cs="Times New Roman"/>
          <w:noProof/>
          <w:sz w:val="24"/>
          <w:szCs w:val="24"/>
          <w:lang w:val="en-GB"/>
        </w:rPr>
        <w:t xml:space="preserve">. Such an unprecedented amount of MFA has further increased the importance of a careful design of the conditionality package and the implementation framework. However, some shortcomings were found in the design of the conditionality, as will be highlighted below. </w:t>
      </w:r>
    </w:p>
    <w:p>
      <w:pPr>
        <w:spacing w:after="16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Everything considered, the EU contribution is deemed appropriate (in terms of burden sharing with other donors) and proportional (necessary to achieve short-term macroeconomic stability in Ukraine). </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1.2</w:t>
      </w:r>
      <w:r>
        <w:rPr>
          <w:rFonts w:ascii="Times New Roman" w:hAnsi="Times New Roman" w:cs="Times New Roman"/>
          <w:noProof/>
          <w:sz w:val="24"/>
          <w:szCs w:val="24"/>
          <w:lang w:val="en-GB"/>
        </w:rPr>
        <w:t xml:space="preserve"> The </w:t>
      </w:r>
      <w:r>
        <w:rPr>
          <w:rFonts w:ascii="Times New Roman" w:hAnsi="Times New Roman" w:cs="Times New Roman"/>
          <w:b/>
          <w:noProof/>
          <w:sz w:val="24"/>
          <w:szCs w:val="24"/>
          <w:lang w:val="en-GB"/>
        </w:rPr>
        <w:t>timing</w:t>
      </w:r>
      <w:r>
        <w:rPr>
          <w:rFonts w:ascii="Times New Roman" w:hAnsi="Times New Roman" w:cs="Times New Roman"/>
          <w:noProof/>
          <w:sz w:val="24"/>
          <w:szCs w:val="24"/>
          <w:lang w:val="en-GB"/>
        </w:rPr>
        <w:t xml:space="preserve"> of MFA-III was particularly relevant to ease Ukraine’s financing needs and balance of payments constraints. In particular, the disbursement of the first tranche in July 2015 is deemed crucial for the country, given the high vulnerability of the Ukrainian economy at that time and the almost depleted foreign reserves. The EU decision-making process for MFA-III was extremely fast (the proposal submitted in January was adopted in April, with the MoU signed in May 2015). The second tranche disbursed in 2017 was not as critical, as the economy had begun to recover.</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Regarding the </w:t>
      </w:r>
      <w:r>
        <w:rPr>
          <w:rFonts w:ascii="Times New Roman" w:hAnsi="Times New Roman" w:cs="Times New Roman"/>
          <w:b/>
          <w:noProof/>
          <w:sz w:val="24"/>
          <w:szCs w:val="24"/>
          <w:lang w:val="en-GB"/>
        </w:rPr>
        <w:t>form</w:t>
      </w:r>
      <w:r>
        <w:rPr>
          <w:rFonts w:ascii="Times New Roman" w:hAnsi="Times New Roman" w:cs="Times New Roman"/>
          <w:noProof/>
          <w:sz w:val="24"/>
          <w:szCs w:val="24"/>
          <w:lang w:val="en-GB"/>
        </w:rPr>
        <w:t xml:space="preserve"> of the operation, the MFA financing was provided in the form of EUR 1.8 billion loan, on highly concessional terms that could not have been directly obtained on the market. The initial assessment of the main factors influencing the form of MFA instrument made the Commission excluding the possibility of a grant component</w:t>
      </w:r>
      <w:r>
        <w:rPr>
          <w:rStyle w:val="FootnoteReference"/>
          <w:rFonts w:ascii="Times New Roman" w:hAnsi="Times New Roman" w:cs="Times New Roman"/>
          <w:noProof/>
          <w:sz w:val="24"/>
          <w:szCs w:val="24"/>
          <w:lang w:val="en-GB"/>
        </w:rPr>
        <w:footnoteReference w:id="26"/>
      </w:r>
      <w:r>
        <w:rPr>
          <w:rFonts w:ascii="Times New Roman" w:hAnsi="Times New Roman" w:cs="Times New Roman"/>
          <w:noProof/>
          <w:sz w:val="24"/>
          <w:szCs w:val="24"/>
          <w:lang w:val="en-GB"/>
        </w:rPr>
        <w:t xml:space="preserve">. Therefore, the adopted form (entirely loan) is considered and confirmed as appropriate. It was complementary to the EU grant support provided elsewhere by the EU to Ukraine in 2015-2017 totalling EUR 840 million. </w:t>
      </w:r>
    </w:p>
    <w:p>
      <w:pPr>
        <w:spacing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u w:val="single"/>
          <w:lang w:val="en-GB"/>
        </w:rPr>
        <w:t>1.3</w:t>
      </w:r>
      <w:r>
        <w:rPr>
          <w:rFonts w:ascii="Times New Roman" w:hAnsi="Times New Roman" w:cs="Times New Roman"/>
          <w:noProof/>
          <w:sz w:val="24"/>
          <w:szCs w:val="24"/>
          <w:lang w:val="en-GB"/>
        </w:rPr>
        <w:t xml:space="preserve"> With respect to</w:t>
      </w:r>
      <w:r>
        <w:rPr>
          <w:rFonts w:ascii="Times New Roman" w:hAnsi="Times New Roman" w:cs="Times New Roman"/>
          <w:b/>
          <w:noProof/>
          <w:sz w:val="24"/>
          <w:szCs w:val="24"/>
          <w:lang w:val="en-GB"/>
        </w:rPr>
        <w:t xml:space="preserve"> policy conditionality</w:t>
      </w:r>
      <w:r>
        <w:rPr>
          <w:rFonts w:ascii="Times New Roman" w:hAnsi="Times New Roman" w:cs="Times New Roman"/>
          <w:noProof/>
          <w:sz w:val="24"/>
          <w:szCs w:val="24"/>
          <w:lang w:val="en-GB"/>
        </w:rPr>
        <w:t>, MFA-III contained 36 conditions (46 if sub-conditions are counted) related to six policy areas: (i) public finance management; (ii) governance and transparency; (iii) energy; (iv) financial sector; (v) social safety net; and (vi) business environment. Given the relatively short amount of time allowed for the implementation of the reforms</w:t>
      </w:r>
      <w:r>
        <w:rPr>
          <w:rFonts w:ascii="Times New Roman" w:hAnsi="Times New Roman" w:cs="Times New Roman"/>
          <w:noProof/>
          <w:sz w:val="24"/>
          <w:szCs w:val="24"/>
          <w:vertAlign w:val="superscript"/>
          <w:lang w:val="en"/>
        </w:rPr>
        <w:footnoteReference w:id="27"/>
      </w:r>
      <w:r>
        <w:rPr>
          <w:rFonts w:ascii="Times New Roman" w:hAnsi="Times New Roman" w:cs="Times New Roman"/>
          <w:noProof/>
          <w:sz w:val="24"/>
          <w:szCs w:val="24"/>
          <w:lang w:val="en-GB"/>
        </w:rPr>
        <w:t xml:space="preserve">, and given the level of ambition of most of the conditions concerned, it is believed that the number of reform conditions should have been lower. </w:t>
      </w:r>
      <w:r>
        <w:rPr>
          <w:rFonts w:ascii="Times New Roman" w:hAnsi="Times New Roman" w:cs="Times New Roman"/>
          <w:noProof/>
          <w:sz w:val="24"/>
          <w:szCs w:val="24"/>
          <w:lang w:val="en"/>
        </w:rPr>
        <w:t xml:space="preserve">Although the decision to adopt such an unprecedented number of conditions may reflect the exceptional size of the assistance (more money for more reforms), it also distracted the authorities from focus on key priorities and required substantial human resources for the implementation of these conditions. The non-disbursement of the third tranche was partially explained by the high number of conditions, as well as the design of the targets itself. Some reforms could have been broken down into smaller steps, envisaging a gradual approach for reform implementation, given the level of ownership and capacity of the Ukrainian authorities. This was particularly the case for condition 5 on asset declaration, and condition 6 on beneficial ownership. The high level of ambition of the conditionality is nonetheless considered appropriate in most areas. </w:t>
      </w:r>
    </w:p>
    <w:p>
      <w:pPr>
        <w:spacing w:line="240" w:lineRule="auto"/>
        <w:jc w:val="both"/>
        <w:rPr>
          <w:rFonts w:ascii="Times New Roman" w:hAnsi="Times New Roman" w:cs="Times New Roman"/>
          <w:noProof/>
          <w:sz w:val="24"/>
          <w:szCs w:val="24"/>
          <w:lang w:val="en"/>
        </w:rPr>
      </w:pPr>
      <w:r>
        <w:rPr>
          <w:rFonts w:ascii="Times New Roman" w:hAnsi="Times New Roman" w:cs="Times New Roman"/>
          <w:noProof/>
          <w:sz w:val="24"/>
          <w:szCs w:val="24"/>
          <w:lang w:val="en"/>
        </w:rPr>
        <w:t xml:space="preserve">The thematic areas addressed by MFA-III conditionality were relevant. Many of them were derived from the EU-Ukraine Association Agreement and thus aligned with the country’s priorities. However, the conditions related to avoiding an introduction of new trade-distorting measures proved problematic; trade-related disputes should and could be solved through trade-specific channels and not as part of MFA. </w:t>
      </w:r>
    </w:p>
    <w:p>
      <w:pPr>
        <w:spacing w:line="240" w:lineRule="auto"/>
        <w:jc w:val="both"/>
        <w:rPr>
          <w:rFonts w:ascii="Times New Roman" w:hAnsi="Times New Roman" w:cs="Times New Roman"/>
          <w:i/>
          <w:noProof/>
          <w:sz w:val="24"/>
          <w:szCs w:val="24"/>
          <w:lang w:val="en"/>
        </w:rPr>
      </w:pPr>
      <w:r>
        <w:rPr>
          <w:rFonts w:ascii="Times New Roman" w:hAnsi="Times New Roman" w:cs="Times New Roman"/>
          <w:i/>
          <w:noProof/>
          <w:sz w:val="24"/>
          <w:szCs w:val="24"/>
          <w:lang w:val="en-GB"/>
        </w:rPr>
        <w:t>Overall, the design of MFA-III programme, both in terms of financing envelope and focus of reforms, was highly relevant in view of the targeted objectives. The unprecedented size of the disbursed assistance was crucial to support Ukraine in recovering from the economic crisis. The reform areas supported by the programme were highly relevant to the country's needs and well aligned with the country’s priorities. However, t</w:t>
      </w:r>
      <w:r>
        <w:rPr>
          <w:rFonts w:ascii="Times New Roman" w:hAnsi="Times New Roman" w:cs="Times New Roman"/>
          <w:i/>
          <w:noProof/>
          <w:sz w:val="24"/>
          <w:szCs w:val="24"/>
          <w:lang w:val="en-US"/>
        </w:rPr>
        <w:t xml:space="preserve">he high number of conditions and level of ambition, coupled with the relatively short time horizon for implementation, reduced Ukraine’s ability to deliver on all the policy reforms and limited the efficiency of the overall financial intervention. More </w:t>
      </w:r>
      <w:r>
        <w:rPr>
          <w:rFonts w:ascii="Times New Roman" w:hAnsi="Times New Roman" w:cs="Times New Roman"/>
          <w:i/>
          <w:noProof/>
          <w:sz w:val="24"/>
          <w:szCs w:val="24"/>
          <w:lang w:val="en"/>
        </w:rPr>
        <w:t>sparing use of conditionality, with reforms milestones broken into smaller targets, might have sustained a better motivation and feasibility throughout the operation.</w:t>
      </w:r>
    </w:p>
    <w:p>
      <w:pPr>
        <w:spacing w:line="240" w:lineRule="auto"/>
        <w:jc w:val="both"/>
        <w:rPr>
          <w:rFonts w:ascii="Times New Roman" w:hAnsi="Times New Roman" w:cs="Times New Roman"/>
          <w:i/>
          <w:noProof/>
          <w:sz w:val="24"/>
          <w:szCs w:val="24"/>
          <w:lang w:val="en"/>
        </w:rPr>
      </w:pPr>
    </w:p>
    <w:p>
      <w:pPr>
        <w:spacing w:line="240" w:lineRule="auto"/>
        <w:jc w:val="both"/>
        <w:rPr>
          <w:rFonts w:ascii="Times New Roman" w:hAnsi="Times New Roman" w:cs="Times New Roman"/>
          <w:b/>
          <w:i/>
          <w:noProof/>
          <w:sz w:val="24"/>
          <w:szCs w:val="24"/>
          <w:u w:val="single"/>
          <w:lang w:val="en"/>
        </w:rPr>
      </w:pPr>
    </w:p>
    <w:p>
      <w:pPr>
        <w:spacing w:line="240" w:lineRule="auto"/>
        <w:jc w:val="both"/>
        <w:rPr>
          <w:rFonts w:ascii="Times New Roman" w:hAnsi="Times New Roman" w:cs="Times New Roman"/>
          <w:b/>
          <w:i/>
          <w:noProof/>
          <w:sz w:val="24"/>
          <w:szCs w:val="24"/>
          <w:u w:val="single"/>
          <w:lang w:val="en"/>
        </w:rPr>
      </w:pPr>
    </w:p>
    <w:p>
      <w:pPr>
        <w:spacing w:line="240" w:lineRule="auto"/>
        <w:jc w:val="both"/>
        <w:rPr>
          <w:rFonts w:ascii="Times New Roman" w:hAnsi="Times New Roman" w:cs="Times New Roman"/>
          <w:b/>
          <w:i/>
          <w:noProof/>
          <w:sz w:val="24"/>
          <w:szCs w:val="24"/>
          <w:u w:val="single"/>
          <w:lang w:val="en"/>
        </w:rPr>
      </w:pPr>
    </w:p>
    <w:p>
      <w:pPr>
        <w:spacing w:line="240" w:lineRule="auto"/>
        <w:jc w:val="both"/>
        <w:rPr>
          <w:rFonts w:ascii="Times New Roman" w:hAnsi="Times New Roman" w:cs="Times New Roman"/>
          <w:b/>
          <w:i/>
          <w:noProof/>
          <w:sz w:val="24"/>
          <w:szCs w:val="24"/>
          <w:u w:val="single"/>
          <w:lang w:val="en"/>
        </w:rPr>
      </w:pPr>
    </w:p>
    <w:p>
      <w:pPr>
        <w:spacing w:line="240" w:lineRule="auto"/>
        <w:jc w:val="both"/>
        <w:rPr>
          <w:rFonts w:ascii="Times New Roman" w:hAnsi="Times New Roman" w:cs="Times New Roman"/>
          <w:b/>
          <w:i/>
          <w:noProof/>
          <w:sz w:val="24"/>
          <w:szCs w:val="24"/>
          <w:u w:val="single"/>
          <w:lang w:val="en"/>
        </w:rPr>
      </w:pPr>
      <w:r>
        <w:rPr>
          <w:rFonts w:ascii="Times New Roman" w:hAnsi="Times New Roman" w:cs="Times New Roman"/>
          <w:b/>
          <w:i/>
          <w:noProof/>
          <w:sz w:val="24"/>
          <w:szCs w:val="24"/>
          <w:u w:val="single"/>
          <w:lang w:val="en"/>
        </w:rPr>
        <w:t>Effectiveness</w:t>
      </w:r>
    </w:p>
    <w:p>
      <w:pPr>
        <w:pStyle w:val="Heading2"/>
        <w:pBdr>
          <w:top w:val="single" w:sz="4" w:space="1" w:color="auto"/>
          <w:left w:val="single" w:sz="4" w:space="4" w:color="auto"/>
          <w:bottom w:val="single" w:sz="4" w:space="1" w:color="auto"/>
          <w:right w:val="single" w:sz="4" w:space="4" w:color="auto"/>
        </w:pBdr>
        <w:tabs>
          <w:tab w:val="num" w:pos="1200"/>
        </w:tabs>
        <w:spacing w:after="120" w:line="240" w:lineRule="auto"/>
        <w:jc w:val="both"/>
        <w:rPr>
          <w:rFonts w:ascii="Times New Roman" w:hAnsi="Times New Roman" w:cs="Times New Roman"/>
          <w:b/>
          <w:noProof/>
          <w:color w:val="auto"/>
          <w:sz w:val="24"/>
          <w:szCs w:val="24"/>
          <w:lang w:val="en-US"/>
        </w:rPr>
      </w:pPr>
      <w:bookmarkStart w:id="18" w:name="_Toc29824053"/>
      <w:r>
        <w:rPr>
          <w:rFonts w:ascii="Times New Roman" w:hAnsi="Times New Roman" w:cs="Times New Roman"/>
          <w:b/>
          <w:noProof/>
          <w:color w:val="auto"/>
          <w:sz w:val="24"/>
          <w:szCs w:val="24"/>
          <w:lang w:val="en-US"/>
        </w:rPr>
        <w:t>Question 2</w:t>
      </w:r>
      <w:bookmarkEnd w:id="18"/>
      <w:r>
        <w:rPr>
          <w:rFonts w:ascii="Times New Roman" w:hAnsi="Times New Roman" w:cs="Times New Roman"/>
          <w:b/>
          <w:noProof/>
          <w:color w:val="auto"/>
          <w:sz w:val="24"/>
          <w:szCs w:val="24"/>
          <w:lang w:val="en-US"/>
        </w:rPr>
        <w:t xml:space="preserve"> </w:t>
      </w:r>
    </w:p>
    <w:p>
      <w:pPr>
        <w:keepNext/>
        <w:keepLines/>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To what extent have the objectives of the MFA operation been achieved?</w:t>
      </w:r>
    </w:p>
    <w:p>
      <w:pPr>
        <w:keepNext/>
        <w:keepLines/>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2.1. To what extent has the MFA operation been effective in promoting macroeconomic stability, easing external financing constraints and alleviating Ukraine’s balance of payments and budgetary needs?</w:t>
      </w: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2.2. To what extent has the MFA operation been effective in promoting structural reforms?</w:t>
      </w:r>
    </w:p>
    <w:p>
      <w:pPr>
        <w:spacing w:before="24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2.1.</w:t>
      </w:r>
      <w:r>
        <w:rPr>
          <w:rFonts w:ascii="Times New Roman" w:hAnsi="Times New Roman" w:cs="Times New Roman"/>
          <w:noProof/>
          <w:sz w:val="24"/>
          <w:szCs w:val="24"/>
          <w:lang w:val="en-GB"/>
        </w:rPr>
        <w:t xml:space="preserve"> The financial support provided under MFA-III has strongly contributed to the </w:t>
      </w:r>
      <w:r>
        <w:rPr>
          <w:rFonts w:ascii="Times New Roman" w:hAnsi="Times New Roman" w:cs="Times New Roman"/>
          <w:b/>
          <w:noProof/>
          <w:sz w:val="24"/>
          <w:szCs w:val="24"/>
          <w:lang w:val="en-GB"/>
        </w:rPr>
        <w:t>improvement of Ukraine’s economic performance</w:t>
      </w:r>
      <w:r>
        <w:rPr>
          <w:rFonts w:ascii="Times New Roman" w:hAnsi="Times New Roman" w:cs="Times New Roman"/>
          <w:noProof/>
          <w:sz w:val="24"/>
          <w:szCs w:val="24"/>
          <w:lang w:val="en-GB"/>
        </w:rPr>
        <w:t xml:space="preserve"> from 2016. As described in section 3, Ukraine returned to modest growth in the first half of 2016, started to consolidate its public finance and regained access to the international debt markets. The majority of the experts interviewed in the evaluation study believe that the macroeconomic outcomes would have been less favourable in the absence of MFA-III. In particular, the highly favourable terms of the loan allowed for a reduction in the cost of public debt, as compared to alternative sources of financing. The magnitude of the intervention allowed the Ukrainian government to pursue </w:t>
      </w:r>
      <w:r>
        <w:rPr>
          <w:rFonts w:ascii="Times New Roman" w:hAnsi="Times New Roman" w:cs="Times New Roman"/>
          <w:b/>
          <w:noProof/>
          <w:sz w:val="24"/>
          <w:szCs w:val="24"/>
          <w:lang w:val="en-GB"/>
        </w:rPr>
        <w:t>fiscal savings</w:t>
      </w:r>
      <w:r>
        <w:rPr>
          <w:rFonts w:ascii="Times New Roman" w:hAnsi="Times New Roman" w:cs="Times New Roman"/>
          <w:noProof/>
          <w:sz w:val="24"/>
          <w:szCs w:val="24"/>
          <w:lang w:val="en-GB"/>
        </w:rPr>
        <w:t xml:space="preserve">, without burdening public spending cuts and creating room for much-needed structural reforms. MFA conditionality helped in identifying key priorities for fiscal governance, guiding Ukraine in its recovery path.  </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The results of the counterfactual analysis suggest that in the absence of the MFA’s first tranche in 2015, when Ukraine had no access to international debt markets, the most plausible course of actions for Ukrainian government would have been </w:t>
      </w:r>
      <w:r>
        <w:rPr>
          <w:rFonts w:ascii="Times New Roman" w:hAnsi="Times New Roman" w:cs="Times New Roman"/>
          <w:noProof/>
          <w:sz w:val="24"/>
          <w:szCs w:val="24"/>
          <w:lang w:val="en-US"/>
        </w:rPr>
        <w:t xml:space="preserve">fiscal adjustment in the form of drastic expenditure cuts. Domestic borrowing possibilities were severely restricted by the ongoing restructuring of the banking sector; </w:t>
      </w:r>
      <w:r>
        <w:rPr>
          <w:rFonts w:ascii="Times New Roman" w:hAnsi="Times New Roman" w:cs="Times New Roman"/>
          <w:noProof/>
          <w:sz w:val="24"/>
          <w:szCs w:val="24"/>
          <w:lang w:val="en-GB"/>
        </w:rPr>
        <w:t xml:space="preserve">raising revenue through higher taxes and/or privatisation would have been similarly impossible. </w:t>
      </w:r>
      <w:r>
        <w:rPr>
          <w:rFonts w:ascii="Times New Roman" w:hAnsi="Times New Roman" w:cs="Times New Roman"/>
          <w:noProof/>
          <w:sz w:val="24"/>
          <w:szCs w:val="24"/>
          <w:lang w:val="en-US"/>
        </w:rPr>
        <w:t>Likewise, increased financing from the IMF and World Bank would have been highly unlikely. However, substantial cuts in public spending could have jeopardised the country's path to economic recovery, with likely repercussions in terms of social tensions and political consensus.</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Had the second tranche in 2017 not been disbursed, the analysis shows that the most plausible course of action would have been to raise the required financing from the domestic debt market, which had already recovered by then. The additional cost of debt, stemming from the higher interest rates in domestic borrowing compared to MFA financing, would have reached USD 30 million.</w:t>
      </w: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Overall, under a scenario assuming no MFA-III and no IMF support to Ukraine, due to lack of access to international markets and very limited domestic funding possibilities, Ukraine would have most likely defaulted on its debts in 2015-2017, with hard-to-predict but certainly disruptive economic, social and political implications.</w:t>
      </w: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noProof/>
          <w:sz w:val="24"/>
          <w:szCs w:val="24"/>
          <w:lang w:val="en-US"/>
        </w:rPr>
        <w:t>Beyond financial contribution, MFA and other international donor programmes played a key role in renewing investors’ confidence and improving the country’s rating. This allowed Ukraine to regain access to international debt markets by 2017, which would have been unlikely in the absence of the above-mentioned interventions. Improved business confidence contributed to a strong rebound in investment activity and domestic demand, leading to economic recovery. Furthermore, t</w:t>
      </w:r>
      <w:r>
        <w:rPr>
          <w:rFonts w:ascii="Times New Roman" w:hAnsi="Times New Roman" w:cs="Times New Roman"/>
          <w:noProof/>
          <w:sz w:val="24"/>
          <w:szCs w:val="24"/>
          <w:shd w:val="clear" w:color="auto" w:fill="FFFFFF"/>
          <w:lang w:val="en-US"/>
        </w:rPr>
        <w:t xml:space="preserve">he support granted by the EU and other international partners, coupled with a current account adjustment and a gradual return of private financial flows, helped Ukraine replenish its international reserves to USD 18.8 billion at the end of 2017. </w:t>
      </w:r>
    </w:p>
    <w:p>
      <w:pPr>
        <w:pStyle w:val="BodyText"/>
        <w:spacing w:line="240" w:lineRule="auto"/>
        <w:jc w:val="both"/>
        <w:rPr>
          <w:rFonts w:ascii="Times New Roman" w:hAnsi="Times New Roman" w:cs="Times New Roman"/>
          <w:noProof/>
          <w:sz w:val="24"/>
          <w:szCs w:val="24"/>
          <w:lang w:val="en-US"/>
        </w:rPr>
      </w:pPr>
      <w:bookmarkStart w:id="19" w:name="_Toc518383273"/>
      <w:bookmarkStart w:id="20" w:name="_Toc29824060"/>
      <w:bookmarkStart w:id="21" w:name="_Toc482889918"/>
      <w:bookmarkStart w:id="22" w:name="_Toc498433866"/>
      <w:r>
        <w:rPr>
          <w:rFonts w:ascii="Times New Roman" w:hAnsi="Times New Roman" w:cs="Times New Roman"/>
          <w:noProof/>
          <w:sz w:val="24"/>
          <w:u w:val="single"/>
          <w:lang w:val="en-US"/>
        </w:rPr>
        <w:t>2.2</w:t>
      </w:r>
      <w:r>
        <w:rPr>
          <w:rFonts w:ascii="Times New Roman" w:hAnsi="Times New Roman" w:cs="Times New Roman"/>
          <w:noProof/>
          <w:sz w:val="24"/>
          <w:lang w:val="en-US"/>
        </w:rPr>
        <w:t xml:space="preserve"> </w:t>
      </w:r>
      <w:r>
        <w:rPr>
          <w:rFonts w:ascii="Times New Roman" w:hAnsi="Times New Roman" w:cs="Times New Roman"/>
          <w:noProof/>
          <w:sz w:val="24"/>
          <w:szCs w:val="24"/>
          <w:lang w:val="en-GB"/>
        </w:rPr>
        <w:t xml:space="preserve">With respect to the short and medium-term </w:t>
      </w:r>
      <w:r>
        <w:rPr>
          <w:rFonts w:ascii="Times New Roman" w:hAnsi="Times New Roman" w:cs="Times New Roman"/>
          <w:b/>
          <w:noProof/>
          <w:sz w:val="24"/>
          <w:szCs w:val="24"/>
          <w:lang w:val="en-GB"/>
        </w:rPr>
        <w:t>structural effects</w:t>
      </w:r>
      <w:r>
        <w:rPr>
          <w:rFonts w:ascii="Times New Roman" w:hAnsi="Times New Roman" w:cs="Times New Roman"/>
          <w:noProof/>
          <w:sz w:val="24"/>
          <w:szCs w:val="24"/>
          <w:lang w:val="en-GB"/>
        </w:rPr>
        <w:t xml:space="preserve"> of the MFA operation of 2015-2017, there has been </w:t>
      </w:r>
      <w:r>
        <w:rPr>
          <w:rFonts w:ascii="Times New Roman" w:hAnsi="Times New Roman" w:cs="Times New Roman"/>
          <w:noProof/>
          <w:sz w:val="24"/>
          <w:szCs w:val="24"/>
          <w:lang w:val="en-US"/>
        </w:rPr>
        <w:t>tangible progress beyond the fulfilment of the specific MFA-III conditions. Firstly, the energy sector is no longer causing budgetary problems to the Ukrainian government, helping the country to get on a path towards greater fiscal sustainability. Indeed, before 2014, the state-owned Naftogaz Group was a "black hole" in the Ukrainian government budget, with losses amounting to circa 6.2% of the country's GDP. In 2019, the restructured Naftogaz group accounted for nearly 16% of total revenues of the State budget</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lang w:val="en-US"/>
        </w:rPr>
        <w:t xml:space="preserve">, registering a remarkable reverse of trend since 2014. </w:t>
      </w:r>
    </w:p>
    <w:p>
      <w:pPr>
        <w:pStyle w:val="BodyText"/>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field of public finance management, the e-procurement system, </w:t>
      </w:r>
      <w:r>
        <w:rPr>
          <w:rFonts w:ascii="Times New Roman" w:hAnsi="Times New Roman" w:cs="Times New Roman"/>
          <w:i/>
          <w:noProof/>
          <w:sz w:val="24"/>
          <w:szCs w:val="24"/>
          <w:lang w:val="en-US"/>
        </w:rPr>
        <w:t>ProZorro</w:t>
      </w:r>
      <w:r>
        <w:rPr>
          <w:rFonts w:ascii="Times New Roman" w:hAnsi="Times New Roman" w:cs="Times New Roman"/>
          <w:noProof/>
          <w:sz w:val="24"/>
          <w:szCs w:val="24"/>
          <w:lang w:val="en-US"/>
        </w:rPr>
        <w:t xml:space="preserve">, has been widely acknowledged as a success, both domestically and internationally. Several steps have also been achieved in the field of taxation, including significant reduction of VAT refund arrears. </w:t>
      </w:r>
    </w:p>
    <w:p>
      <w:pPr>
        <w:pStyle w:val="BodyText"/>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Some key milestones have also been achieved in the fight against corruption. Prior to 2015, Ukraine did not have dedicated institutions to fight corruption. The set-up of a new institutional architecture has therefore been a major undertaking and a breakthrough in constructing a systemic approach to tackle this phenomenon in the country. Given the early stage of Ukraine’s democratic transition, conditionalities agreed with the Ukrainian government required a split of competences among separate institutions, rather than opting for a single, central anti-corruption body. As part of MFA conditionality, the National Anti-Corruption Bureau (NABU), the National Agency for Prevention of Corruption (NAPC) and the</w:t>
      </w:r>
      <w:r>
        <w:rPr>
          <w:rFonts w:ascii="Times New Roman" w:hAnsi="Times New Roman" w:cs="Times New Roman"/>
          <w:noProof/>
          <w:sz w:val="24"/>
          <w:szCs w:val="24"/>
          <w:lang w:val="en-GB"/>
        </w:rPr>
        <w:t xml:space="preserve"> Specialised</w:t>
      </w:r>
      <w:r>
        <w:rPr>
          <w:rFonts w:ascii="Times New Roman" w:hAnsi="Times New Roman" w:cs="Times New Roman"/>
          <w:noProof/>
          <w:sz w:val="24"/>
          <w:szCs w:val="24"/>
          <w:lang w:val="en-US"/>
        </w:rPr>
        <w:t xml:space="preserve"> Anti-Corruption Prosecution Office (SAPO) were established. Overall, NABU can be seen as a successful example of a broadly independent body, despite some limitations. On the contrary, the other two institutions still lack full political independence. An electronic </w:t>
      </w:r>
      <w:r>
        <w:rPr>
          <w:rFonts w:ascii="Times New Roman" w:hAnsi="Times New Roman" w:cs="Times New Roman"/>
          <w:noProof/>
          <w:sz w:val="24"/>
          <w:szCs w:val="24"/>
          <w:shd w:val="clear" w:color="auto" w:fill="FEFEFE"/>
          <w:lang w:val="en-US"/>
        </w:rPr>
        <w:t xml:space="preserve">asset declaration system for public officials also entered into force in 2016, but the actual verification initially lacked credibility, scale and speed. An automatic verification mechanism to check the declarations started operating only in 2019, </w:t>
      </w:r>
      <w:r>
        <w:rPr>
          <w:rFonts w:ascii="Times New Roman" w:hAnsi="Times New Roman" w:cs="Times New Roman"/>
          <w:noProof/>
          <w:sz w:val="24"/>
          <w:szCs w:val="24"/>
          <w:lang w:val="en-US"/>
        </w:rPr>
        <w:t xml:space="preserve">as part of MFA-IV. </w:t>
      </w:r>
    </w:p>
    <w:p>
      <w:pPr>
        <w:spacing w:after="0"/>
        <w:jc w:val="both"/>
        <w:rPr>
          <w:rFonts w:ascii="Times New Roman" w:hAnsi="Times New Roman" w:cs="Times New Roman"/>
          <w:i/>
          <w:noProof/>
          <w:sz w:val="24"/>
          <w:szCs w:val="24"/>
          <w:lang w:val="en-GB"/>
        </w:rPr>
      </w:pPr>
      <w:r>
        <w:rPr>
          <w:rFonts w:ascii="Times New Roman" w:hAnsi="Times New Roman" w:cs="Times New Roman"/>
          <w:i/>
          <w:noProof/>
          <w:sz w:val="24"/>
          <w:szCs w:val="24"/>
          <w:lang w:val="en-US"/>
        </w:rPr>
        <w:t xml:space="preserve">Overall, the EU MFA has proven to be essential for a consolidation of the country's balance-of-payments and public budget. The magnitude of the intervention allowed for fiscal savings, necessary for the implementation of needed structural reforms. The simultaneous commitment of the EU and IMF has also allowed a renewed increase in investors and business confidence. </w:t>
      </w:r>
      <w:r>
        <w:rPr>
          <w:rFonts w:ascii="Times New Roman" w:hAnsi="Times New Roman" w:cs="Times New Roman"/>
          <w:i/>
          <w:noProof/>
          <w:sz w:val="24"/>
          <w:szCs w:val="24"/>
          <w:lang w:val="en-GB"/>
        </w:rPr>
        <w:t xml:space="preserve">With regard to structural reforms, MFA-III was effective in promoting a variety of measures in the areas of public finance management, energy policy, business environment, financial sector, social policy and anti-corruption, although some of these reforms required subsequent efforts at a later stage. </w:t>
      </w:r>
    </w:p>
    <w:p>
      <w:pPr>
        <w:pStyle w:val="BodyText"/>
        <w:spacing w:line="240" w:lineRule="auto"/>
        <w:jc w:val="both"/>
        <w:rPr>
          <w:rFonts w:ascii="Times New Roman" w:hAnsi="Times New Roman" w:cs="Times New Roman"/>
          <w:i/>
          <w:noProof/>
          <w:sz w:val="24"/>
          <w:szCs w:val="24"/>
          <w:lang w:val="en-GB"/>
        </w:rPr>
      </w:pPr>
    </w:p>
    <w:p>
      <w:pPr>
        <w:pStyle w:val="BodyText"/>
        <w:spacing w:line="240" w:lineRule="auto"/>
        <w:jc w:val="both"/>
        <w:rPr>
          <w:rFonts w:ascii="Times New Roman" w:hAnsi="Times New Roman" w:cs="Times New Roman"/>
          <w:b/>
          <w:i/>
          <w:noProof/>
          <w:sz w:val="24"/>
          <w:szCs w:val="24"/>
          <w:u w:val="single"/>
          <w:lang w:val="en-US"/>
        </w:rPr>
      </w:pPr>
      <w:r>
        <w:rPr>
          <w:rFonts w:ascii="Times New Roman" w:hAnsi="Times New Roman" w:cs="Times New Roman"/>
          <w:b/>
          <w:i/>
          <w:noProof/>
          <w:sz w:val="24"/>
          <w:szCs w:val="24"/>
          <w:u w:val="single"/>
          <w:lang w:val="en-US"/>
        </w:rPr>
        <w:t>Efficiency</w:t>
      </w:r>
    </w:p>
    <w:p>
      <w:pPr>
        <w:pStyle w:val="Heading2"/>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color w:val="auto"/>
          <w:sz w:val="24"/>
          <w:szCs w:val="24"/>
          <w:lang w:val="en-US"/>
        </w:rPr>
      </w:pPr>
      <w:bookmarkStart w:id="23" w:name="_Toc482889902"/>
      <w:bookmarkStart w:id="24" w:name="_Toc498433860"/>
      <w:bookmarkStart w:id="25" w:name="_Toc29824054"/>
      <w:r>
        <w:rPr>
          <w:rFonts w:ascii="Times New Roman" w:hAnsi="Times New Roman" w:cs="Times New Roman"/>
          <w:b/>
          <w:noProof/>
          <w:color w:val="auto"/>
          <w:sz w:val="24"/>
          <w:szCs w:val="24"/>
          <w:lang w:val="en-US"/>
        </w:rPr>
        <w:t>Question 3</w:t>
      </w:r>
      <w:bookmarkEnd w:id="23"/>
      <w:bookmarkEnd w:id="24"/>
      <w:bookmarkEnd w:id="25"/>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To what extent did the MFA operation design and implementation allow to carry out the intervention efficiently?</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3.1. In what way has the design of the MFA assistance conditioned the performance of the operation in respect to its costs and its objectives?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3.1</w:t>
      </w:r>
      <w:r>
        <w:rPr>
          <w:rFonts w:ascii="Times New Roman" w:hAnsi="Times New Roman" w:cs="Times New Roman"/>
          <w:noProof/>
          <w:sz w:val="24"/>
          <w:szCs w:val="24"/>
          <w:lang w:val="en-GB"/>
        </w:rPr>
        <w:t xml:space="preserve"> To answer to this question, some key issues need to be addressed: (i) the ownership of the programme by the Ukrainian authorities; (ii) their capacity to undertake reforms; (iii) the effectiveness of monitoring activities; (iv) the effectiveness of the dialogue among concerned parties; and (v) the visibility of the MFA operation.</w:t>
      </w:r>
    </w:p>
    <w:p>
      <w:pPr>
        <w:pStyle w:val="Bullet1Space"/>
        <w:tabs>
          <w:tab w:val="clear" w:pos="851"/>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The level of </w:t>
      </w:r>
      <w:r>
        <w:rPr>
          <w:rFonts w:ascii="Times New Roman" w:hAnsi="Times New Roman" w:cs="Times New Roman"/>
          <w:b/>
          <w:noProof/>
          <w:color w:val="auto"/>
          <w:sz w:val="24"/>
          <w:szCs w:val="24"/>
        </w:rPr>
        <w:t>ownership</w:t>
      </w:r>
      <w:r>
        <w:rPr>
          <w:rFonts w:ascii="Times New Roman" w:hAnsi="Times New Roman" w:cs="Times New Roman"/>
          <w:noProof/>
          <w:color w:val="auto"/>
          <w:sz w:val="24"/>
          <w:szCs w:val="24"/>
        </w:rPr>
        <w:t xml:space="preserve"> of the reforms underpinning the MFA operation turned out to be more fragile than initially anticipated by the European Commission and other donors between 2015 and 2018. Ownership was uneven across the various Ukrainian authorities and bodies in charge of the implementation of the specific conditions: while it was consistently high for the Ministry of Finance and the National Bank of Ukraine, some of the other institutions were much less involved. The factors explaining this drop in ownership were the resistance against some of the reforms from vested interests, also in the Ukrainian Parliament, as well as the uneven performance and frequent personnel changes in many parts of the Ukrainian public administration. In many areas, however, reforms were promoted thanks to the diligent monitoring and the continuous pressure applied by the Ukrainian civil society on the successive governments.</w:t>
      </w:r>
    </w:p>
    <w:p>
      <w:pPr>
        <w:pStyle w:val="Bullet1Space"/>
        <w:tabs>
          <w:tab w:val="clear" w:pos="851"/>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Even where present, </w:t>
      </w:r>
      <w:r>
        <w:rPr>
          <w:rFonts w:ascii="Times New Roman" w:hAnsi="Times New Roman" w:cs="Times New Roman"/>
          <w:b/>
          <w:noProof/>
          <w:color w:val="auto"/>
          <w:sz w:val="24"/>
          <w:szCs w:val="24"/>
        </w:rPr>
        <w:t>capacity</w:t>
      </w:r>
      <w:r>
        <w:rPr>
          <w:rFonts w:ascii="Times New Roman" w:hAnsi="Times New Roman" w:cs="Times New Roman"/>
          <w:noProof/>
          <w:color w:val="auto"/>
          <w:sz w:val="24"/>
          <w:szCs w:val="24"/>
        </w:rPr>
        <w:t xml:space="preserve"> issues did not seem to cause the lack of progress on key reforms, as confirmed by the external evaluation report. However, the pressure placed on the Ukrainian authorities, due to the high number of conditions required in a limited time period, is believed to have caused an overloading of Ukrainian institutions. This may have led to consequent delays in some of the measures to be taken. On the other hand, the good </w:t>
      </w:r>
      <w:r>
        <w:rPr>
          <w:rFonts w:ascii="Times New Roman" w:hAnsi="Times New Roman" w:cs="Times New Roman"/>
          <w:b/>
          <w:noProof/>
          <w:color w:val="auto"/>
          <w:sz w:val="24"/>
          <w:szCs w:val="24"/>
        </w:rPr>
        <w:t>collaboration</w:t>
      </w:r>
      <w:r>
        <w:rPr>
          <w:rFonts w:ascii="Times New Roman" w:hAnsi="Times New Roman" w:cs="Times New Roman"/>
          <w:noProof/>
          <w:color w:val="auto"/>
          <w:sz w:val="24"/>
          <w:szCs w:val="24"/>
        </w:rPr>
        <w:t xml:space="preserve"> among Ukrainian authorities and with the EU counterparts has been instrumental for a common understanding and commitment to the conditionality, as well as for a proper management of disbursements.</w:t>
      </w:r>
    </w:p>
    <w:p>
      <w:pPr>
        <w:pStyle w:val="Bullet1Space"/>
        <w:tabs>
          <w:tab w:val="clear" w:pos="851"/>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Regular progress reports submitted by Ukrainian authorities, missions of DG ECFIN staff to Kyiv, and exchanges with experts from the EU Delegation constituted the primary tool for </w:t>
      </w:r>
      <w:r>
        <w:rPr>
          <w:rFonts w:ascii="Times New Roman" w:hAnsi="Times New Roman" w:cs="Times New Roman"/>
          <w:b/>
          <w:noProof/>
          <w:color w:val="auto"/>
          <w:sz w:val="24"/>
          <w:szCs w:val="24"/>
        </w:rPr>
        <w:t>monitoring</w:t>
      </w:r>
      <w:r>
        <w:rPr>
          <w:rFonts w:ascii="Times New Roman" w:hAnsi="Times New Roman" w:cs="Times New Roman"/>
          <w:noProof/>
          <w:color w:val="auto"/>
          <w:sz w:val="24"/>
          <w:szCs w:val="24"/>
        </w:rPr>
        <w:t xml:space="preserve"> the MFA operation. Given the complementarity with the conditionality of other donor programmes, there was regular and close collaboration with other international actors (in particular with the IMF). This contributed to a proper conceptualization and implementation of the monitoring activity. </w:t>
      </w:r>
    </w:p>
    <w:p>
      <w:pPr>
        <w:pStyle w:val="Bullet1Space"/>
        <w:tabs>
          <w:tab w:val="clear" w:pos="851"/>
        </w:tabs>
        <w:ind w:left="0" w:firstLine="0"/>
        <w:jc w:val="both"/>
        <w:rPr>
          <w:rFonts w:ascii="Times New Roman" w:hAnsi="Times New Roman" w:cs="Times New Roman"/>
          <w:noProof/>
          <w:color w:val="auto"/>
          <w:sz w:val="24"/>
          <w:szCs w:val="24"/>
          <w:lang w:val="en-US"/>
        </w:rPr>
      </w:pPr>
      <w:r>
        <w:rPr>
          <w:rFonts w:ascii="Times New Roman" w:hAnsi="Times New Roman" w:cs="Times New Roman"/>
          <w:noProof/>
          <w:color w:val="auto"/>
          <w:sz w:val="24"/>
          <w:szCs w:val="24"/>
          <w:lang w:val="en-US"/>
        </w:rPr>
        <w:t xml:space="preserve">Finally, the </w:t>
      </w:r>
      <w:r>
        <w:rPr>
          <w:rFonts w:ascii="Times New Roman" w:hAnsi="Times New Roman" w:cs="Times New Roman"/>
          <w:b/>
          <w:noProof/>
          <w:color w:val="auto"/>
          <w:sz w:val="24"/>
          <w:szCs w:val="24"/>
          <w:lang w:val="en-US"/>
        </w:rPr>
        <w:t>visibility</w:t>
      </w:r>
      <w:r>
        <w:rPr>
          <w:rFonts w:ascii="Times New Roman" w:hAnsi="Times New Roman" w:cs="Times New Roman"/>
          <w:noProof/>
          <w:color w:val="auto"/>
          <w:sz w:val="24"/>
          <w:szCs w:val="24"/>
          <w:lang w:val="en-US"/>
        </w:rPr>
        <w:t xml:space="preserve"> of the MFA-III proved to be limited, as was the case for other MFA operations. To promote MFA-III, the Commission envisaged press conferences and press releases at the time of (i) the approval of the operation, (ii) the signature of the MoU, and (iii) the subsequent disbursements. </w:t>
      </w:r>
      <w:r>
        <w:rPr>
          <w:rFonts w:ascii="Times New Roman" w:hAnsi="Times New Roman" w:cs="Times New Roman"/>
          <w:noProof/>
          <w:color w:val="auto"/>
          <w:sz w:val="24"/>
        </w:rPr>
        <w:t>The press releases described general budget allocations; particular conditions included in the operation; progress made by Ukraine in achieving agreed milestones; and the release of MFA disbursements.</w:t>
      </w:r>
      <w:r>
        <w:rPr>
          <w:noProof/>
          <w:color w:val="auto"/>
          <w:sz w:val="24"/>
        </w:rPr>
        <w:t xml:space="preserve"> </w:t>
      </w:r>
      <w:r>
        <w:rPr>
          <w:rFonts w:ascii="Times New Roman" w:hAnsi="Times New Roman" w:cs="Times New Roman"/>
          <w:noProof/>
          <w:color w:val="auto"/>
          <w:sz w:val="24"/>
          <w:szCs w:val="24"/>
          <w:lang w:val="en-US"/>
        </w:rPr>
        <w:t xml:space="preserve">Contributing factors to a low level of MFA-III awareness may include: (i) complexity of public finance and macroeconomic issues for the general public and the way it was communicated; (ii) lack of publicity on MFA conditionality, financial aspects of the support and impacts of the programme; and (iii) confusion of MFA-III with other EU and IFI programmes. Feedbacks gathered from the key consulted stakeholders on this matter, during the external evaluation, confirmed the limited visibility. These findings highlight scope for improvement for future EU interventions. </w:t>
      </w:r>
    </w:p>
    <w:p>
      <w:pPr>
        <w:pStyle w:val="Bullet1Space"/>
        <w:tabs>
          <w:tab w:val="clear" w:pos="851"/>
        </w:tabs>
        <w:ind w:left="0" w:firstLine="0"/>
        <w:jc w:val="both"/>
        <w:rPr>
          <w:rFonts w:ascii="Times New Roman" w:hAnsi="Times New Roman"/>
          <w:i/>
          <w:noProof/>
          <w:sz w:val="24"/>
        </w:rPr>
      </w:pPr>
      <w:r>
        <w:rPr>
          <w:rFonts w:ascii="Times New Roman" w:hAnsi="Times New Roman" w:cs="Times New Roman"/>
          <w:i/>
          <w:noProof/>
          <w:sz w:val="24"/>
          <w:szCs w:val="24"/>
        </w:rPr>
        <w:t xml:space="preserve">Overall, the </w:t>
      </w:r>
      <w:r>
        <w:rPr>
          <w:rFonts w:ascii="Times New Roman" w:hAnsi="Times New Roman"/>
          <w:i/>
          <w:noProof/>
          <w:sz w:val="24"/>
        </w:rPr>
        <w:t>efficiency of the MFA-III operation was somewhat limited by the design of the conditionality package and other parallel shortcomings, related to reduced ownership and administrative capacity. The resistance from vested interest played a crucial role in the delays of many policy reforms, having</w:t>
      </w:r>
      <w:r>
        <w:rPr>
          <w:rFonts w:ascii="Times New Roman" w:hAnsi="Times New Roman" w:cs="Times New Roman"/>
          <w:i/>
          <w:noProof/>
          <w:color w:val="auto"/>
          <w:sz w:val="24"/>
          <w:szCs w:val="24"/>
        </w:rPr>
        <w:t xml:space="preserve"> relatively strong leverage over Ukrainian authorities. While there has been good collaboration between the EU and Ukrainian counterparts on the implementation process, the visibility and awareness of the conditions attached to MFA-III proved to be relatively limited.</w:t>
      </w:r>
    </w:p>
    <w:p>
      <w:pPr>
        <w:pStyle w:val="Bullet1Space"/>
        <w:tabs>
          <w:tab w:val="clear" w:pos="851"/>
        </w:tabs>
        <w:ind w:left="0" w:firstLine="0"/>
        <w:jc w:val="both"/>
        <w:rPr>
          <w:rFonts w:ascii="Times New Roman" w:hAnsi="Times New Roman" w:cs="Times New Roman"/>
          <w:b/>
          <w:i/>
          <w:noProof/>
          <w:color w:val="auto"/>
          <w:sz w:val="24"/>
          <w:szCs w:val="24"/>
          <w:u w:val="single"/>
          <w:lang w:val="en-US"/>
        </w:rPr>
      </w:pPr>
    </w:p>
    <w:p>
      <w:pPr>
        <w:pStyle w:val="Bullet1Space"/>
        <w:tabs>
          <w:tab w:val="clear" w:pos="851"/>
        </w:tabs>
        <w:ind w:left="0" w:firstLine="0"/>
        <w:jc w:val="both"/>
        <w:rPr>
          <w:rFonts w:ascii="Times New Roman" w:hAnsi="Times New Roman" w:cs="Times New Roman"/>
          <w:b/>
          <w:i/>
          <w:noProof/>
          <w:color w:val="auto"/>
          <w:sz w:val="24"/>
          <w:szCs w:val="24"/>
          <w:u w:val="single"/>
          <w:lang w:val="en-US"/>
        </w:rPr>
      </w:pPr>
      <w:r>
        <w:rPr>
          <w:rFonts w:ascii="Times New Roman" w:hAnsi="Times New Roman" w:cs="Times New Roman"/>
          <w:b/>
          <w:i/>
          <w:noProof/>
          <w:color w:val="auto"/>
          <w:sz w:val="24"/>
          <w:szCs w:val="24"/>
          <w:u w:val="single"/>
          <w:lang w:val="en-US"/>
        </w:rPr>
        <w:t>EU added-value</w:t>
      </w:r>
    </w:p>
    <w:p>
      <w:pPr>
        <w:pStyle w:val="Heading2"/>
        <w:pBdr>
          <w:top w:val="single" w:sz="4" w:space="1" w:color="auto"/>
          <w:left w:val="single" w:sz="4" w:space="1" w:color="auto"/>
          <w:bottom w:val="single" w:sz="4" w:space="1" w:color="auto"/>
          <w:right w:val="single" w:sz="4" w:space="4" w:color="auto"/>
        </w:pBdr>
        <w:spacing w:after="120" w:line="240" w:lineRule="auto"/>
        <w:jc w:val="both"/>
        <w:rPr>
          <w:rFonts w:ascii="Times New Roman" w:hAnsi="Times New Roman" w:cs="Times New Roman"/>
          <w:noProof/>
          <w:color w:val="auto"/>
          <w:sz w:val="24"/>
          <w:szCs w:val="24"/>
          <w:lang w:val="en-US"/>
        </w:rPr>
      </w:pPr>
      <w:bookmarkStart w:id="26" w:name="_Toc29824055"/>
      <w:r>
        <w:rPr>
          <w:rFonts w:ascii="Times New Roman" w:hAnsi="Times New Roman" w:cs="Times New Roman"/>
          <w:b/>
          <w:noProof/>
          <w:color w:val="auto"/>
          <w:sz w:val="24"/>
          <w:szCs w:val="24"/>
          <w:lang w:val="en-US"/>
        </w:rPr>
        <w:t>Question 4</w:t>
      </w:r>
      <w:bookmarkEnd w:id="26"/>
    </w:p>
    <w:p>
      <w:pPr>
        <w:pStyle w:val="DefaultText"/>
        <w:pBdr>
          <w:top w:val="single" w:sz="4" w:space="1" w:color="auto"/>
          <w:left w:val="single" w:sz="4" w:space="1"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What was the rationale for an intervention at EU level and to what extent did the MFA operation add value compared to interventions by other international donors? Did the operation actually lead to the expected impacts and added value of international cooperation and what can be learnt for future operations?</w:t>
      </w:r>
    </w:p>
    <w:p>
      <w:pPr>
        <w:spacing w:before="240"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intervention primarily aimed to provide financing to Ukraine at a time of crisis when market-based sources of funding were inaccessible. MFA was an indispensable part of the overall external financial assistance package put in place by the international community in 2015. With the highly concessional terms of the loans, MFA also translated into fiscal savings for the government and a gradual adjustment of the public deficit. The financial added value of MFA operations also derives from the fact that the EU could quickly mobilise and coordinate a wider amount of resources, as compared to any other individual donor country</w:t>
      </w:r>
      <w:r>
        <w:rPr>
          <w:rStyle w:val="FootnoteReference"/>
          <w:rFonts w:ascii="Times New Roman" w:hAnsi="Times New Roman" w:cs="Times New Roman"/>
          <w:noProof/>
          <w:szCs w:val="24"/>
          <w:lang w:val="en-GB"/>
        </w:rPr>
        <w:footnoteReference w:id="29"/>
      </w:r>
      <w:r>
        <w:rPr>
          <w:rFonts w:ascii="Times New Roman" w:hAnsi="Times New Roman" w:cs="Times New Roman"/>
          <w:noProof/>
          <w:sz w:val="24"/>
          <w:szCs w:val="24"/>
          <w:lang w:val="en-GB"/>
        </w:rPr>
        <w:t xml:space="preserve">. Beyond the financial contribution, MFA conditionality granted a politically reinforcing effect that contributed to the sustained mobilisation of the authorities around crucial (and often new) reform areas. The anti-corruption field and public procurement reform are two areas where the EU stimulus was particularly helpful, as highlighted by the successful achievements reported before. Moreover, even for those areas in which the level of political ownership was already high (i.e. public finance management and financial sector), international support played a key role in facilitating the policy process at Parliamentary level.   </w:t>
      </w:r>
    </w:p>
    <w:p>
      <w:pPr>
        <w:pStyle w:val="BodyText"/>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Another (indirect) contribution of MFA-III relates to the increase of confidence among private investors. The MFA-III, together with other international donors’ support, helped to restore confidence in the economy, as confirmed by the majority of experts consulted in the external ex-post evaluation. The renewed confidence was also reflected in the appreciation of the hryvnia between February and mid-March 2015 (time when the IMF programme was negotiated and concluded and the parameters of MFA-III were finalized), and in the improvement of Ukraine’s rating</w:t>
      </w:r>
      <w:r>
        <w:rPr>
          <w:rStyle w:val="FootnoteReference"/>
          <w:rFonts w:ascii="Times New Roman" w:hAnsi="Times New Roman" w:cs="Times New Roman"/>
          <w:noProof/>
          <w:sz w:val="24"/>
          <w:szCs w:val="24"/>
          <w:lang w:val="en-US"/>
        </w:rPr>
        <w:footnoteReference w:id="30"/>
      </w:r>
      <w:r>
        <w:rPr>
          <w:rFonts w:ascii="Times New Roman" w:hAnsi="Times New Roman" w:cs="Times New Roman"/>
          <w:noProof/>
          <w:sz w:val="24"/>
          <w:szCs w:val="24"/>
          <w:lang w:val="en-US"/>
        </w:rPr>
        <w:t xml:space="preserve">. </w:t>
      </w:r>
    </w:p>
    <w:p>
      <w:pPr>
        <w:pStyle w:val="BodyText"/>
        <w:spacing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Overall, the ability of the EU to mobilise and coordinate significant financial resources at a relatively quick speed was a key rationale for this intervention, in a time in which Ukraine’s financing need was still extremely high. MFA conditionality granted a politically reinforcing effect that contributed to the sustained mobilisation of Ukrainian authorities around crucial reform areas. The programme also added value through its confidence-boosting effect on the private sector. </w:t>
      </w:r>
    </w:p>
    <w:p>
      <w:pPr>
        <w:pStyle w:val="BodyText"/>
        <w:spacing w:line="240" w:lineRule="auto"/>
        <w:jc w:val="both"/>
        <w:rPr>
          <w:rFonts w:ascii="Times New Roman" w:hAnsi="Times New Roman" w:cs="Times New Roman"/>
          <w:i/>
          <w:noProof/>
          <w:sz w:val="24"/>
          <w:szCs w:val="24"/>
          <w:lang w:val="en-GB"/>
        </w:rPr>
      </w:pPr>
    </w:p>
    <w:p>
      <w:pPr>
        <w:pStyle w:val="BodyText"/>
        <w:spacing w:line="240" w:lineRule="auto"/>
        <w:jc w:val="both"/>
        <w:rPr>
          <w:rFonts w:ascii="Times New Roman" w:hAnsi="Times New Roman" w:cs="Times New Roman"/>
          <w:b/>
          <w:i/>
          <w:noProof/>
          <w:sz w:val="24"/>
          <w:szCs w:val="24"/>
          <w:u w:val="single"/>
          <w:lang w:val="en-US"/>
        </w:rPr>
      </w:pPr>
      <w:r>
        <w:rPr>
          <w:rFonts w:ascii="Times New Roman" w:hAnsi="Times New Roman" w:cs="Times New Roman"/>
          <w:b/>
          <w:i/>
          <w:noProof/>
          <w:sz w:val="24"/>
          <w:szCs w:val="24"/>
          <w:u w:val="single"/>
          <w:lang w:val="en-US"/>
        </w:rPr>
        <w:t>Coherence</w:t>
      </w:r>
    </w:p>
    <w:p>
      <w:pPr>
        <w:pStyle w:val="Heading2"/>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b/>
          <w:noProof/>
          <w:color w:val="auto"/>
          <w:sz w:val="24"/>
          <w:szCs w:val="24"/>
          <w:lang w:val="en-US"/>
        </w:rPr>
      </w:pPr>
      <w:bookmarkStart w:id="27" w:name="_Toc29824056"/>
      <w:r>
        <w:rPr>
          <w:rFonts w:ascii="Times New Roman" w:hAnsi="Times New Roman" w:cs="Times New Roman"/>
          <w:b/>
          <w:noProof/>
          <w:color w:val="auto"/>
          <w:sz w:val="24"/>
          <w:szCs w:val="24"/>
          <w:lang w:val="en-US"/>
        </w:rPr>
        <w:t>Question 5</w:t>
      </w:r>
      <w:bookmarkEnd w:id="27"/>
      <w:r>
        <w:rPr>
          <w:rFonts w:ascii="Times New Roman" w:hAnsi="Times New Roman" w:cs="Times New Roman"/>
          <w:b/>
          <w:noProof/>
          <w:color w:val="auto"/>
          <w:sz w:val="24"/>
          <w:szCs w:val="24"/>
          <w:lang w:val="en-US"/>
        </w:rPr>
        <w:t xml:space="preserve"> </w:t>
      </w:r>
    </w:p>
    <w:p>
      <w:pPr>
        <w:pStyle w:val="DefaultText"/>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To what extent was the MFA operation in line with key principles, objectives and measures taken in other EU external actions towards Ukraine?</w:t>
      </w:r>
    </w:p>
    <w:p>
      <w:pPr>
        <w:pStyle w:val="DefaultText"/>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5.1. To what extent was MFA-III coherent with the broad policy framework guiding the EU-Ukraine relationship?</w:t>
      </w:r>
    </w:p>
    <w:p>
      <w:pPr>
        <w:pStyle w:val="DefaultText"/>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5.2. To what extent the operation was coherent with the overall EU budget support package?</w:t>
      </w:r>
    </w:p>
    <w:p>
      <w:pPr>
        <w:pStyle w:val="DefaultText"/>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5.3. To what extent it was coherent with other donors’ interventions (i.e. IMF, the World Bank)?</w:t>
      </w:r>
    </w:p>
    <w:p>
      <w:pPr>
        <w:pStyle w:val="BodyText"/>
        <w:spacing w:before="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u w:val="single"/>
          <w:lang w:val="en-GB"/>
        </w:rPr>
        <w:t>5.1</w:t>
      </w:r>
      <w:r>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US"/>
        </w:rPr>
        <w:t>The implementation period of MFA-III (2015-2017) coincided with the entry into force of the</w:t>
      </w:r>
      <w:r>
        <w:rPr>
          <w:rFonts w:ascii="Times New Roman" w:hAnsi="Times New Roman" w:cs="Times New Roman"/>
          <w:b/>
          <w:noProof/>
          <w:sz w:val="24"/>
          <w:szCs w:val="24"/>
          <w:lang w:val="en-US"/>
        </w:rPr>
        <w:t xml:space="preserve"> </w:t>
      </w:r>
      <w:r>
        <w:rPr>
          <w:rStyle w:val="Strong"/>
          <w:rFonts w:ascii="Times New Roman" w:hAnsi="Times New Roman" w:cs="Times New Roman"/>
          <w:noProof/>
          <w:sz w:val="24"/>
          <w:szCs w:val="24"/>
          <w:lang w:val="en-US"/>
        </w:rPr>
        <w:t>Association Agreement</w:t>
      </w:r>
      <w:r>
        <w:rPr>
          <w:rStyle w:val="Strong"/>
          <w:rFonts w:ascii="Times New Roman" w:hAnsi="Times New Roman" w:cs="Times New Roman"/>
          <w:b w:val="0"/>
          <w:noProof/>
          <w:sz w:val="24"/>
          <w:szCs w:val="24"/>
          <w:lang w:val="en-US"/>
        </w:rPr>
        <w:t xml:space="preserve"> (AA)</w:t>
      </w:r>
      <w:r>
        <w:rPr>
          <w:rStyle w:val="FootnoteReference"/>
          <w:rFonts w:ascii="Times New Roman" w:hAnsi="Times New Roman" w:cs="Times New Roman"/>
          <w:b/>
          <w:bCs/>
          <w:noProof/>
          <w:szCs w:val="24"/>
          <w:lang w:val="en-US"/>
        </w:rPr>
        <w:footnoteReference w:id="31"/>
      </w:r>
      <w:r>
        <w:rPr>
          <w:rFonts w:ascii="Times New Roman" w:hAnsi="Times New Roman" w:cs="Times New Roman"/>
          <w:b/>
          <w:noProof/>
          <w:sz w:val="24"/>
          <w:szCs w:val="24"/>
          <w:lang w:val="en-US"/>
        </w:rPr>
        <w:t xml:space="preserve">, </w:t>
      </w:r>
      <w:r>
        <w:rPr>
          <w:rFonts w:ascii="Times New Roman" w:hAnsi="Times New Roman" w:cs="Times New Roman"/>
          <w:noProof/>
          <w:sz w:val="24"/>
          <w:szCs w:val="24"/>
          <w:lang w:val="en-US"/>
        </w:rPr>
        <w:t>including a</w:t>
      </w:r>
      <w:r>
        <w:rPr>
          <w:rFonts w:ascii="Times New Roman" w:hAnsi="Times New Roman" w:cs="Times New Roman"/>
          <w:b/>
          <w:noProof/>
          <w:sz w:val="24"/>
          <w:szCs w:val="24"/>
          <w:lang w:val="en-US"/>
        </w:rPr>
        <w:t xml:space="preserve"> </w:t>
      </w:r>
      <w:r>
        <w:rPr>
          <w:rStyle w:val="Strong"/>
          <w:rFonts w:ascii="Times New Roman" w:hAnsi="Times New Roman" w:cs="Times New Roman"/>
          <w:b w:val="0"/>
          <w:noProof/>
          <w:sz w:val="24"/>
          <w:szCs w:val="24"/>
          <w:lang w:val="en-US"/>
        </w:rPr>
        <w:t xml:space="preserve">Deep and Comprehensive Free Trade Area (DCFTA). This agreement </w:t>
      </w:r>
      <w:r>
        <w:rPr>
          <w:rFonts w:ascii="Times New Roman" w:hAnsi="Times New Roman" w:cs="Times New Roman"/>
          <w:noProof/>
          <w:sz w:val="24"/>
          <w:szCs w:val="24"/>
          <w:lang w:val="en-US"/>
        </w:rPr>
        <w:t xml:space="preserve">is the main tool for bringing Ukraine and the EU closer together, promoting deeper political ties, stronger economic links and respect for common values. The AA was signed in 2014; the DCFTA was applied since January 2016 and the full Association Agreement formally entered into force in September 2017. Title V, VI and VII of the AA outline a framework for an EU intervention in support to Ukrainian institutions, financial sector and economic activity. Mapping the conditions of the MFA-III against the short-term priorities established in the AA shows that MFA conditions were well aligned with the key priorities guiding EU-Ukraine relations. </w:t>
      </w:r>
    </w:p>
    <w:p>
      <w:pPr>
        <w:pStyle w:val="BodyText"/>
        <w:spacing w:line="240" w:lineRule="auto"/>
        <w:jc w:val="both"/>
        <w:rPr>
          <w:rFonts w:ascii="Times New Roman" w:hAnsi="Times New Roman" w:cs="Times New Roman"/>
          <w:iCs/>
          <w:noProof/>
          <w:sz w:val="24"/>
          <w:szCs w:val="24"/>
          <w:lang w:val="en-US"/>
        </w:rPr>
      </w:pPr>
      <w:r>
        <w:rPr>
          <w:rFonts w:ascii="Times New Roman" w:hAnsi="Times New Roman" w:cs="Times New Roman"/>
          <w:noProof/>
          <w:sz w:val="24"/>
          <w:szCs w:val="24"/>
          <w:u w:val="single"/>
          <w:lang w:val="en-US"/>
        </w:rPr>
        <w:t>5.2</w:t>
      </w:r>
      <w:r>
        <w:rPr>
          <w:rFonts w:ascii="Times New Roman" w:hAnsi="Times New Roman" w:cs="Times New Roman"/>
          <w:noProof/>
          <w:sz w:val="24"/>
          <w:szCs w:val="24"/>
          <w:lang w:val="en-US"/>
        </w:rPr>
        <w:t xml:space="preserve"> MFA-III formed part of the wider package of </w:t>
      </w:r>
      <w:r>
        <w:rPr>
          <w:rFonts w:ascii="Times New Roman" w:hAnsi="Times New Roman" w:cs="Times New Roman"/>
          <w:b/>
          <w:noProof/>
          <w:sz w:val="24"/>
          <w:szCs w:val="24"/>
          <w:lang w:val="en-US"/>
        </w:rPr>
        <w:t>EU support to Ukraine</w:t>
      </w:r>
      <w:r>
        <w:rPr>
          <w:rFonts w:ascii="Times New Roman" w:hAnsi="Times New Roman" w:cs="Times New Roman"/>
          <w:noProof/>
          <w:sz w:val="24"/>
          <w:szCs w:val="24"/>
          <w:lang w:val="en-US"/>
        </w:rPr>
        <w:t xml:space="preserve">, including budget support, sectoral grant programmes and technical assistance that targeted largely the same areas as MFA-III (anti-corruption, public finance management, customs, public administration reform, energy). Over the period 2015-2017, EU deployed a total of EUR 840 million of grant support to Ukraine.  </w:t>
      </w:r>
    </w:p>
    <w:p>
      <w:pPr>
        <w:pStyle w:val="BodyText"/>
        <w:spacing w:line="240" w:lineRule="auto"/>
        <w:jc w:val="both"/>
        <w:rPr>
          <w:rFonts w:ascii="Times New Roman" w:hAnsi="Times New Roman" w:cs="Times New Roman"/>
          <w:noProof/>
          <w:sz w:val="24"/>
          <w:szCs w:val="24"/>
          <w:lang w:val="en-US"/>
        </w:rPr>
      </w:pPr>
      <w:r>
        <w:rPr>
          <w:rFonts w:ascii="Times New Roman" w:hAnsi="Times New Roman" w:cs="Times New Roman"/>
          <w:iCs/>
          <w:noProof/>
          <w:sz w:val="24"/>
          <w:szCs w:val="24"/>
          <w:lang w:val="en-US"/>
        </w:rPr>
        <w:t xml:space="preserve">Out of this amount, EUR 150 million was disbursed as budget support (most of it as State Building Contract - SBC), on top of the EUR 265 million from SBC disbursed in 2014. </w:t>
      </w:r>
      <w:r>
        <w:rPr>
          <w:rFonts w:ascii="Times New Roman" w:hAnsi="Times New Roman" w:cs="Times New Roman"/>
          <w:noProof/>
          <w:sz w:val="24"/>
          <w:szCs w:val="24"/>
          <w:lang w:val="en-US"/>
        </w:rPr>
        <w:t xml:space="preserve">At the time MFA-III was designed, the SBC programme was in place but the benchmarks for the second tranche were yet to be met. MFA-III contributed with a reinforcing effect on several key conditions, such as: the establishment of a verification system for asset declaration; the entry into force of the law on civil service; and the transparency around public procurement contracts.   </w:t>
      </w:r>
    </w:p>
    <w:p>
      <w:pPr>
        <w:pStyle w:val="BodyText"/>
        <w:spacing w:line="240" w:lineRule="auto"/>
        <w:jc w:val="both"/>
        <w:rPr>
          <w:rFonts w:ascii="Times New Roman" w:hAnsi="Times New Roman" w:cs="Times New Roman"/>
          <w:noProof/>
          <w:sz w:val="24"/>
          <w:szCs w:val="24"/>
          <w:u w:val="single"/>
          <w:lang w:val="en-US"/>
        </w:rPr>
      </w:pPr>
      <w:r>
        <w:rPr>
          <w:rFonts w:ascii="Times New Roman" w:hAnsi="Times New Roman" w:cs="Times New Roman"/>
          <w:iCs/>
          <w:noProof/>
          <w:sz w:val="24"/>
          <w:szCs w:val="24"/>
          <w:u w:val="single"/>
          <w:lang w:val="en-US"/>
        </w:rPr>
        <w:t>5.3</w:t>
      </w:r>
      <w:r>
        <w:rPr>
          <w:rFonts w:ascii="Times New Roman" w:hAnsi="Times New Roman" w:cs="Times New Roman"/>
          <w:iCs/>
          <w:noProof/>
          <w:sz w:val="24"/>
          <w:szCs w:val="24"/>
          <w:lang w:val="en-US"/>
        </w:rPr>
        <w:t xml:space="preserve"> </w:t>
      </w:r>
      <w:r>
        <w:rPr>
          <w:rFonts w:ascii="Times New Roman" w:hAnsi="Times New Roman" w:cs="Times New Roman"/>
          <w:noProof/>
          <w:sz w:val="24"/>
          <w:szCs w:val="24"/>
          <w:bdr w:val="none" w:sz="0" w:space="0" w:color="auto" w:frame="1"/>
          <w:lang w:val="en-US"/>
        </w:rPr>
        <w:t xml:space="preserve">MFA-III conditions were complementary to the reform packages included in the programmes of the IMF and the World Bank for Ukraine. For instance, in the field of </w:t>
      </w:r>
      <w:r>
        <w:rPr>
          <w:rFonts w:ascii="Times New Roman" w:hAnsi="Times New Roman" w:cs="Times New Roman"/>
          <w:noProof/>
          <w:sz w:val="24"/>
          <w:szCs w:val="24"/>
          <w:lang w:val="en-US"/>
        </w:rPr>
        <w:t>public procurement (PP), the IMF introduced a condition calling for the adoption of a new PP law; the World Bank also urged the adoption of a new PP law reducing the exemptions in competitive procurements. MFA-III then followed up with the introduction of an e-procurement system.</w:t>
      </w:r>
      <w:r>
        <w:rPr>
          <w:rFonts w:ascii="Times New Roman" w:hAnsi="Times New Roman" w:cs="Times New Roman"/>
          <w:noProof/>
          <w:sz w:val="24"/>
          <w:szCs w:val="24"/>
          <w:bdr w:val="none" w:sz="0" w:space="0" w:color="auto" w:frame="1"/>
          <w:lang w:val="en-US"/>
        </w:rPr>
        <w:t xml:space="preserve"> </w:t>
      </w:r>
    </w:p>
    <w:p>
      <w:pPr>
        <w:spacing w:before="240"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relation to reform of the National Bank of Ukraine (NBU), the EU put in place conditions on systemic banks and on related counterparties (MFA-III). The IMF tied its support to conditions related to internal control rules and governance and to autonomy framework of the NBU. This last condition was reinforced by the World Bank, which also introduced the implementation of a crisis management strategy (Development Policy Loan 1). </w:t>
      </w:r>
    </w:p>
    <w:p>
      <w:pPr>
        <w:spacing w:before="240"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On energy sector reform, the IMF pushed for the adoption of a new Gas Market Law and MFA-III for the secondary legislation. In addition, both MFA and the World Bank supported a strengthening of the independence of the regulator. Some reforms were supported only by one of the donors: only MFA-III focused on social safety nets for IDPs, while monetary policy and pensions were only addressed by the IMF.</w:t>
      </w:r>
    </w:p>
    <w:p>
      <w:pPr>
        <w:spacing w:before="120" w:after="120" w:line="240" w:lineRule="auto"/>
        <w:jc w:val="both"/>
        <w:rPr>
          <w:rFonts w:ascii="Times New Roman" w:hAnsi="Times New Roman" w:cs="Times New Roman"/>
          <w:i/>
          <w:noProof/>
          <w:sz w:val="24"/>
          <w:szCs w:val="24"/>
          <w:lang w:val="en-GB"/>
        </w:rPr>
      </w:pPr>
      <w:r>
        <w:rPr>
          <w:rFonts w:ascii="Times New Roman" w:hAnsi="Times New Roman" w:cs="Times New Roman"/>
          <w:i/>
          <w:noProof/>
          <w:sz w:val="24"/>
          <w:szCs w:val="24"/>
          <w:lang w:val="en-GB"/>
        </w:rPr>
        <w:t xml:space="preserve">Overall, the measures of MFA-III were completely aligned with key principles and measures taken in the EU external actions towards Ukraine. The conditions attached to the programmes supported reforms in many of the areas covered by the AA/DCFTA between the EU and Ukraine. In addition, the operation was coherent with budget support commitments taken by the EU towards Ukraine, and with reform packages associated with the IMF’s and World Bank’s arrangements with the country. </w:t>
      </w:r>
    </w:p>
    <w:p>
      <w:pPr>
        <w:spacing w:before="120" w:after="120" w:line="240" w:lineRule="auto"/>
        <w:jc w:val="both"/>
        <w:rPr>
          <w:rFonts w:ascii="Times New Roman" w:hAnsi="Times New Roman" w:cs="Times New Roman"/>
          <w:noProof/>
          <w:sz w:val="24"/>
          <w:szCs w:val="24"/>
          <w:lang w:val="en-US"/>
        </w:rPr>
      </w:pPr>
    </w:p>
    <w:p>
      <w:pPr>
        <w:spacing w:before="120" w:after="120" w:line="240" w:lineRule="auto"/>
        <w:jc w:val="both"/>
        <w:rPr>
          <w:rFonts w:ascii="Times New Roman" w:hAnsi="Times New Roman" w:cs="Times New Roman"/>
          <w:b/>
          <w:i/>
          <w:noProof/>
          <w:sz w:val="24"/>
          <w:szCs w:val="24"/>
          <w:u w:val="single"/>
          <w:lang w:val="en-US"/>
        </w:rPr>
      </w:pPr>
      <w:r>
        <w:rPr>
          <w:rFonts w:ascii="Times New Roman" w:hAnsi="Times New Roman" w:cs="Times New Roman"/>
          <w:b/>
          <w:i/>
          <w:noProof/>
          <w:sz w:val="24"/>
          <w:szCs w:val="24"/>
          <w:u w:val="single"/>
          <w:lang w:val="en-US"/>
        </w:rPr>
        <w:t>Social Impact</w:t>
      </w:r>
    </w:p>
    <w:p>
      <w:pPr>
        <w:pStyle w:val="Heading2"/>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color w:val="auto"/>
          <w:sz w:val="24"/>
          <w:szCs w:val="24"/>
          <w:lang w:val="en-US"/>
        </w:rPr>
      </w:pPr>
      <w:bookmarkStart w:id="28" w:name="_Toc29824057"/>
      <w:r>
        <w:rPr>
          <w:rFonts w:ascii="Times New Roman" w:hAnsi="Times New Roman" w:cs="Times New Roman"/>
          <w:b/>
          <w:noProof/>
          <w:color w:val="auto"/>
          <w:sz w:val="24"/>
          <w:szCs w:val="24"/>
          <w:lang w:val="en-US"/>
        </w:rPr>
        <w:t>Question 6</w:t>
      </w:r>
      <w:bookmarkEnd w:id="28"/>
      <w:r>
        <w:rPr>
          <w:rFonts w:ascii="Times New Roman" w:hAnsi="Times New Roman" w:cs="Times New Roman"/>
          <w:b/>
          <w:noProof/>
          <w:color w:val="auto"/>
          <w:sz w:val="24"/>
          <w:szCs w:val="24"/>
          <w:lang w:val="en-US"/>
        </w:rPr>
        <w:t xml:space="preserve"> </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What was the social impact of the MFA operation?</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6.1. Which were the direct effects of MFA conditionalities on the social situation in Ukraine?</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6.2. Which have been the indirect effects of MFA operations on government policies and economic stability (as explored in the counterfactual analysis)?</w:t>
      </w:r>
    </w:p>
    <w:p>
      <w:pPr>
        <w:pStyle w:val="Bullet1Space"/>
        <w:tabs>
          <w:tab w:val="clear" w:pos="851"/>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u w:val="single"/>
        </w:rPr>
        <w:t>6.1</w:t>
      </w:r>
      <w:r>
        <w:rPr>
          <w:rFonts w:ascii="Times New Roman" w:hAnsi="Times New Roman" w:cs="Times New Roman"/>
          <w:noProof/>
          <w:color w:val="auto"/>
          <w:sz w:val="24"/>
          <w:szCs w:val="24"/>
        </w:rPr>
        <w:t xml:space="preserve"> The MFA operation included four conditions having a direct social impact. Two of them concerned a full functioning of the compensation schemes aimed at protecting poorer households from increasing energy prices, in view of the liberalisation of the energy market. Two further conditions covered an effective provision and evaluation of social assistance to internally displaced persons (IDPs). In order to cushion the social impact of the energy tariff increases introduced since 2014, the housing utility subsidies were introduced in 2017 with their targeting subsequently improved. Moreover, the social assistance programme for IDPs (the temporary assistance set up as an interim measure during the conflict in the East) was made permanent. However, the suspension of social payments to many IDPs has damaged the living standards of many Ukrainian citizens, and resumption process was slow and inefficient. </w:t>
      </w:r>
    </w:p>
    <w:p>
      <w:pPr>
        <w:pStyle w:val="Bullet1Space"/>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u w:val="single"/>
        </w:rPr>
        <w:t>6.2</w:t>
      </w:r>
      <w:r>
        <w:rPr>
          <w:rFonts w:ascii="Times New Roman" w:hAnsi="Times New Roman" w:cs="Times New Roman"/>
          <w:noProof/>
          <w:color w:val="auto"/>
          <w:sz w:val="24"/>
          <w:szCs w:val="24"/>
        </w:rPr>
        <w:t xml:space="preserve"> With respect to the indirect social impact of MFA operation, most of the social indicators such as average wages, households’ incomes and poverty rate have improved during and after the MFA-III operation; the unemployment rate slightly increased between 2015 and 2017, but went down from 2018. For instance, nominal wage growth and average household expenditure exceeded consumer price inflation in that period. Obviously, MFA-III was only one of many factors influencing the social situation in Ukraine.  </w:t>
      </w:r>
    </w:p>
    <w:p>
      <w:pPr>
        <w:pStyle w:val="Bullet1Space"/>
        <w:tabs>
          <w:tab w:val="clear" w:pos="851"/>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As mentioned before, the results of the counterfactual analysis show that in the absence of the first tranche of the MFA, substantial reductions in government spending would have been necessary. In particular, the government would probably have responded by delaying increases in public pension payments (decreasing the value of these payments in real terms), negatively affecting household resources from 2015. An absence of the</w:t>
      </w:r>
      <w:r>
        <w:rPr>
          <w:rFonts w:ascii="Times New Roman" w:hAnsi="Times New Roman" w:cs="Times New Roman"/>
          <w:b/>
          <w:bCs/>
          <w:noProof/>
          <w:color w:val="auto"/>
          <w:sz w:val="24"/>
          <w:szCs w:val="24"/>
        </w:rPr>
        <w:t xml:space="preserve"> </w:t>
      </w:r>
      <w:r>
        <w:rPr>
          <w:rFonts w:ascii="Times New Roman" w:hAnsi="Times New Roman" w:cs="Times New Roman"/>
          <w:noProof/>
          <w:color w:val="auto"/>
          <w:sz w:val="24"/>
          <w:szCs w:val="24"/>
        </w:rPr>
        <w:t>second tranche conditionalities would likely have had a negative impact on the pace and depth of reform of social safety nets. This would have affected the social situation in Ukraine, considering the need for compensation mechanisms to protect vulnerable households and the importance of the resumption of social benefits and services for IDPs. Increased domestic financing, with limited social impacts, would likely have offset the absence of budgetary support (provided by MFA).</w:t>
      </w:r>
    </w:p>
    <w:p>
      <w:pPr>
        <w:pStyle w:val="Bullet1Space"/>
        <w:tabs>
          <w:tab w:val="clear" w:pos="851"/>
        </w:tabs>
        <w:ind w:left="0" w:firstLine="0"/>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Moreover, an absence of any support from the IMF and MFA would likely have created a sovereign debt crisis. Such a crisis typically blights the economy with issues such as a sharp economic recession with corresponding increases of the unemployment rate, high levels of inflation and/or cuts to public services and wages, all of which would have had a substantial negative effect on the social situation in Ukraine.</w:t>
      </w:r>
    </w:p>
    <w:p>
      <w:pPr>
        <w:pStyle w:val="Bullet1Space"/>
        <w:tabs>
          <w:tab w:val="clear" w:pos="851"/>
        </w:tabs>
        <w:ind w:left="0" w:firstLine="0"/>
        <w:jc w:val="both"/>
        <w:rPr>
          <w:rFonts w:ascii="Times New Roman" w:hAnsi="Times New Roman" w:cs="Times New Roman"/>
          <w:i/>
          <w:noProof/>
          <w:color w:val="auto"/>
          <w:sz w:val="24"/>
          <w:szCs w:val="24"/>
        </w:rPr>
      </w:pPr>
      <w:r>
        <w:rPr>
          <w:rFonts w:ascii="Times New Roman" w:hAnsi="Times New Roman" w:cs="Times New Roman"/>
          <w:i/>
          <w:noProof/>
          <w:color w:val="auto"/>
          <w:sz w:val="24"/>
          <w:szCs w:val="24"/>
        </w:rPr>
        <w:t xml:space="preserve">Overall, MFA-III had a positive social impact on Ukrainian population, </w:t>
      </w:r>
      <w:r>
        <w:rPr>
          <w:rFonts w:ascii="Times New Roman" w:hAnsi="Times New Roman" w:cs="Times New Roman"/>
          <w:i/>
          <w:noProof/>
          <w:sz w:val="24"/>
          <w:szCs w:val="24"/>
        </w:rPr>
        <w:t xml:space="preserve">strengthening the social safety net and protecting low-income households against higher prices resulting from energy reforms. The majority of social indicators also improved in this period. </w:t>
      </w:r>
      <w:r>
        <w:rPr>
          <w:rFonts w:ascii="Times New Roman" w:hAnsi="Times New Roman" w:cs="Times New Roman"/>
          <w:i/>
          <w:noProof/>
          <w:color w:val="auto"/>
          <w:sz w:val="24"/>
          <w:szCs w:val="24"/>
        </w:rPr>
        <w:t xml:space="preserve"> </w:t>
      </w:r>
    </w:p>
    <w:p>
      <w:pPr>
        <w:pStyle w:val="Bullet1Space"/>
        <w:tabs>
          <w:tab w:val="clear" w:pos="851"/>
        </w:tabs>
        <w:ind w:left="0" w:firstLine="0"/>
        <w:jc w:val="both"/>
        <w:rPr>
          <w:rFonts w:ascii="Times New Roman" w:hAnsi="Times New Roman" w:cs="Times New Roman"/>
          <w:i/>
          <w:noProof/>
          <w:color w:val="auto"/>
          <w:sz w:val="24"/>
          <w:szCs w:val="24"/>
        </w:rPr>
      </w:pPr>
    </w:p>
    <w:p>
      <w:pPr>
        <w:pStyle w:val="Bullet1Space"/>
        <w:tabs>
          <w:tab w:val="clear" w:pos="851"/>
        </w:tabs>
        <w:ind w:left="0" w:firstLine="0"/>
        <w:jc w:val="both"/>
        <w:rPr>
          <w:rFonts w:ascii="Times New Roman" w:hAnsi="Times New Roman" w:cs="Times New Roman"/>
          <w:b/>
          <w:i/>
          <w:noProof/>
          <w:color w:val="auto"/>
          <w:sz w:val="24"/>
          <w:szCs w:val="24"/>
          <w:u w:val="single"/>
        </w:rPr>
      </w:pPr>
      <w:r>
        <w:rPr>
          <w:rFonts w:ascii="Times New Roman" w:hAnsi="Times New Roman" w:cs="Times New Roman"/>
          <w:b/>
          <w:i/>
          <w:noProof/>
          <w:color w:val="auto"/>
          <w:sz w:val="24"/>
          <w:szCs w:val="24"/>
          <w:u w:val="single"/>
        </w:rPr>
        <w:t>Public Debt Sustainability</w:t>
      </w:r>
    </w:p>
    <w:p>
      <w:pPr>
        <w:pStyle w:val="Heading2"/>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noProof/>
          <w:color w:val="auto"/>
          <w:sz w:val="24"/>
          <w:szCs w:val="24"/>
          <w:lang w:val="en-GB"/>
        </w:rPr>
      </w:pPr>
      <w:bookmarkStart w:id="29" w:name="_Toc29824058"/>
      <w:r>
        <w:rPr>
          <w:rFonts w:ascii="Times New Roman" w:hAnsi="Times New Roman" w:cs="Times New Roman"/>
          <w:b/>
          <w:noProof/>
          <w:color w:val="auto"/>
          <w:sz w:val="24"/>
          <w:szCs w:val="24"/>
          <w:lang w:val="en-US"/>
        </w:rPr>
        <w:t>Question 7</w:t>
      </w:r>
      <w:bookmarkEnd w:id="29"/>
      <w:r>
        <w:rPr>
          <w:rFonts w:ascii="Times New Roman" w:hAnsi="Times New Roman" w:cs="Times New Roman"/>
          <w:b/>
          <w:noProof/>
          <w:color w:val="auto"/>
          <w:sz w:val="24"/>
          <w:szCs w:val="24"/>
          <w:lang w:val="en-US"/>
        </w:rPr>
        <w:t xml:space="preserve"> </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noProof/>
          <w:sz w:val="24"/>
        </w:rPr>
      </w:pPr>
      <w:r>
        <w:rPr>
          <w:rFonts w:ascii="Times New Roman" w:hAnsi="Times New Roman"/>
          <w:b/>
          <w:noProof/>
          <w:sz w:val="24"/>
        </w:rPr>
        <w:t>What was the impact of the MFA operation on public debt sustainability?</w:t>
      </w:r>
    </w:p>
    <w:p>
      <w:pPr>
        <w:pStyle w:val="DefaultText"/>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sz w:val="24"/>
        </w:rPr>
      </w:pPr>
      <w:r>
        <w:rPr>
          <w:rFonts w:ascii="Times New Roman" w:hAnsi="Times New Roman"/>
          <w:noProof/>
          <w:sz w:val="24"/>
        </w:rPr>
        <w:t>7.1 To what extent has the MFA/IMF assistance contributed to returning the fiscal situation of Ukraine to a sustainable path over the medium to longer term?</w:t>
      </w:r>
    </w:p>
    <w:p>
      <w:pPr>
        <w:spacing w:before="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u w:val="single"/>
          <w:lang w:val="en-GB"/>
        </w:rPr>
        <w:t>7.1</w:t>
      </w:r>
      <w:r>
        <w:rPr>
          <w:rFonts w:ascii="Times New Roman" w:hAnsi="Times New Roman" w:cs="Times New Roman"/>
          <w:noProof/>
          <w:sz w:val="24"/>
          <w:szCs w:val="24"/>
          <w:lang w:val="en-GB"/>
        </w:rPr>
        <w:t xml:space="preserve"> </w:t>
      </w:r>
    </w:p>
    <w:p>
      <w:pPr>
        <w:spacing w:line="240" w:lineRule="auto"/>
        <w:jc w:val="center"/>
        <w:rPr>
          <w:rFonts w:ascii="Times New Roman" w:hAnsi="Times New Roman" w:cs="Times New Roman"/>
          <w:i/>
          <w:noProof/>
          <w:sz w:val="20"/>
          <w:szCs w:val="24"/>
          <w:lang w:val="en-GB"/>
        </w:rPr>
      </w:pPr>
      <w:r>
        <w:rPr>
          <w:rFonts w:ascii="Times New Roman" w:hAnsi="Times New Roman" w:cs="Times New Roman"/>
          <w:i/>
          <w:noProof/>
          <w:sz w:val="20"/>
          <w:szCs w:val="24"/>
          <w:lang w:val="en-GB"/>
        </w:rPr>
        <w:t>Figure 5.7.1 macroeconomic variables and debt indicators for Ukraine in 2014-2017</w:t>
      </w:r>
    </w:p>
    <w:tbl>
      <w:tblPr>
        <w:tblW w:w="9426"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83"/>
        <w:gridCol w:w="1602"/>
        <w:gridCol w:w="1147"/>
        <w:gridCol w:w="1147"/>
        <w:gridCol w:w="1147"/>
      </w:tblGrid>
      <w:tr>
        <w:trPr>
          <w:trHeight w:val="561"/>
          <w:jc w:val="center"/>
        </w:trPr>
        <w:tc>
          <w:tcPr>
            <w:tcW w:w="4383"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Indicator</w:t>
            </w:r>
          </w:p>
        </w:tc>
        <w:tc>
          <w:tcPr>
            <w:tcW w:w="1602"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2014</w:t>
            </w:r>
          </w:p>
        </w:tc>
        <w:tc>
          <w:tcPr>
            <w:tcW w:w="1147"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2015</w:t>
            </w:r>
          </w:p>
        </w:tc>
        <w:tc>
          <w:tcPr>
            <w:tcW w:w="1147"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2016</w:t>
            </w:r>
          </w:p>
        </w:tc>
        <w:tc>
          <w:tcPr>
            <w:tcW w:w="1147" w:type="dxa"/>
            <w:shd w:val="clear" w:color="auto" w:fill="1F4E79" w:themeFill="accent1" w:themeFillShade="80"/>
            <w:noWrap/>
            <w:vAlign w:val="center"/>
            <w:hideMark/>
          </w:tcPr>
          <w:p>
            <w:pPr>
              <w:spacing w:after="0" w:line="240" w:lineRule="auto"/>
              <w:jc w:val="center"/>
              <w:rPr>
                <w:rFonts w:ascii="Times New Roman" w:eastAsia="Times New Roman" w:hAnsi="Times New Roman" w:cs="Times New Roman"/>
                <w:b/>
                <w:bCs/>
                <w:noProof/>
                <w:color w:val="FFFFFF" w:themeColor="background1"/>
                <w:sz w:val="20"/>
                <w:szCs w:val="20"/>
                <w:lang w:val="en-GB" w:eastAsia="zh-CN"/>
              </w:rPr>
            </w:pPr>
            <w:r>
              <w:rPr>
                <w:rFonts w:ascii="Times New Roman" w:eastAsia="Times New Roman" w:hAnsi="Times New Roman" w:cs="Times New Roman"/>
                <w:b/>
                <w:bCs/>
                <w:noProof/>
                <w:color w:val="FFFFFF" w:themeColor="background1"/>
                <w:sz w:val="20"/>
                <w:szCs w:val="20"/>
                <w:lang w:val="en-GB" w:eastAsia="zh-CN"/>
              </w:rPr>
              <w:t>2017</w:t>
            </w:r>
          </w:p>
        </w:tc>
      </w:tr>
      <w:tr>
        <w:trPr>
          <w:trHeight w:val="336"/>
          <w:jc w:val="center"/>
        </w:trPr>
        <w:tc>
          <w:tcPr>
            <w:tcW w:w="4383"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Real GDP change, %</w:t>
            </w:r>
          </w:p>
        </w:tc>
        <w:tc>
          <w:tcPr>
            <w:tcW w:w="1602"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-6.6</w:t>
            </w:r>
          </w:p>
        </w:tc>
        <w:tc>
          <w:tcPr>
            <w:tcW w:w="1147"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-9.8</w:t>
            </w:r>
          </w:p>
        </w:tc>
        <w:tc>
          <w:tcPr>
            <w:tcW w:w="1147"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2.4</w:t>
            </w:r>
          </w:p>
        </w:tc>
        <w:tc>
          <w:tcPr>
            <w:tcW w:w="1147"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2.5</w:t>
            </w:r>
          </w:p>
        </w:tc>
      </w:tr>
      <w:tr>
        <w:trPr>
          <w:trHeight w:val="570"/>
          <w:jc w:val="center"/>
        </w:trPr>
        <w:tc>
          <w:tcPr>
            <w:tcW w:w="4383" w:type="dxa"/>
            <w:shd w:val="clear" w:color="000000" w:fill="FFFFFF"/>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Consumer price inflation, %, end of period</w:t>
            </w:r>
          </w:p>
        </w:tc>
        <w:tc>
          <w:tcPr>
            <w:tcW w:w="1602"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17.5</w:t>
            </w:r>
          </w:p>
        </w:tc>
        <w:tc>
          <w:tcPr>
            <w:tcW w:w="1147"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43.4</w:t>
            </w:r>
          </w:p>
        </w:tc>
        <w:tc>
          <w:tcPr>
            <w:tcW w:w="1147"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12.4</w:t>
            </w:r>
          </w:p>
        </w:tc>
        <w:tc>
          <w:tcPr>
            <w:tcW w:w="1147" w:type="dxa"/>
            <w:shd w:val="clear" w:color="auto" w:fill="auto"/>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13.7</w:t>
            </w:r>
          </w:p>
        </w:tc>
      </w:tr>
      <w:tr>
        <w:trPr>
          <w:trHeight w:val="427"/>
          <w:jc w:val="center"/>
        </w:trPr>
        <w:tc>
          <w:tcPr>
            <w:tcW w:w="4383" w:type="dxa"/>
            <w:shd w:val="clear" w:color="auto" w:fill="DEEAF6" w:themeFill="accent1" w:themeFillTint="33"/>
            <w:noWrap/>
            <w:vAlign w:val="center"/>
            <w:hideMark/>
          </w:tcPr>
          <w:p>
            <w:pPr>
              <w:spacing w:after="0" w:line="240" w:lineRule="auto"/>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Gross Public debt, % of GDP</w:t>
            </w:r>
          </w:p>
        </w:tc>
        <w:tc>
          <w:tcPr>
            <w:tcW w:w="1602"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70.3</w:t>
            </w:r>
          </w:p>
        </w:tc>
        <w:tc>
          <w:tcPr>
            <w:tcW w:w="1147"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79.7</w:t>
            </w:r>
          </w:p>
        </w:tc>
        <w:tc>
          <w:tcPr>
            <w:tcW w:w="1147"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81.2</w:t>
            </w:r>
          </w:p>
        </w:tc>
        <w:tc>
          <w:tcPr>
            <w:tcW w:w="1147" w:type="dxa"/>
            <w:shd w:val="clear" w:color="auto" w:fill="DEEAF6" w:themeFill="accent1" w:themeFillTint="33"/>
            <w:noWrap/>
            <w:vAlign w:val="center"/>
            <w:hideMark/>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72.3</w:t>
            </w:r>
          </w:p>
        </w:tc>
      </w:tr>
      <w:tr>
        <w:trPr>
          <w:trHeight w:val="427"/>
          <w:jc w:val="center"/>
        </w:trPr>
        <w:tc>
          <w:tcPr>
            <w:tcW w:w="4383" w:type="dxa"/>
            <w:shd w:val="clear" w:color="auto" w:fill="FFFFFF" w:themeFill="background1"/>
            <w:noWrap/>
            <w:vAlign w:val="center"/>
          </w:tcPr>
          <w:p>
            <w:pPr>
              <w:spacing w:after="0" w:line="240" w:lineRule="auto"/>
              <w:rPr>
                <w:rFonts w:ascii="Times New Roman" w:eastAsia="Times New Roman" w:hAnsi="Times New Roman" w:cs="Times New Roman"/>
                <w:noProof/>
                <w:sz w:val="20"/>
                <w:szCs w:val="20"/>
                <w:lang w:val="en-GB" w:eastAsia="zh-CN"/>
              </w:rPr>
            </w:pPr>
            <w:r>
              <w:rPr>
                <w:rFonts w:ascii="Times New Roman" w:hAnsi="Times New Roman" w:cs="Times New Roman"/>
                <w:noProof/>
                <w:sz w:val="20"/>
                <w:szCs w:val="20"/>
                <w:lang w:val="en-US"/>
              </w:rPr>
              <w:t>Public gross financing needs (% GDP)</w:t>
            </w:r>
          </w:p>
        </w:tc>
        <w:tc>
          <w:tcPr>
            <w:tcW w:w="1602" w:type="dxa"/>
            <w:shd w:val="clear" w:color="auto" w:fill="FFFFFF" w:themeFill="background1"/>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6.0</w:t>
            </w:r>
          </w:p>
        </w:tc>
        <w:tc>
          <w:tcPr>
            <w:tcW w:w="1147" w:type="dxa"/>
            <w:shd w:val="clear" w:color="auto" w:fill="FFFFFF" w:themeFill="background1"/>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12.5</w:t>
            </w:r>
          </w:p>
        </w:tc>
        <w:tc>
          <w:tcPr>
            <w:tcW w:w="1147" w:type="dxa"/>
            <w:shd w:val="clear" w:color="auto" w:fill="FFFFFF" w:themeFill="background1"/>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12.9</w:t>
            </w:r>
          </w:p>
        </w:tc>
        <w:tc>
          <w:tcPr>
            <w:tcW w:w="1147" w:type="dxa"/>
            <w:shd w:val="clear" w:color="auto" w:fill="FFFFFF" w:themeFill="background1"/>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9.4</w:t>
            </w:r>
          </w:p>
        </w:tc>
      </w:tr>
      <w:tr>
        <w:trPr>
          <w:trHeight w:val="427"/>
          <w:jc w:val="center"/>
        </w:trPr>
        <w:tc>
          <w:tcPr>
            <w:tcW w:w="4383" w:type="dxa"/>
            <w:shd w:val="clear" w:color="auto" w:fill="DEEAF6" w:themeFill="accent1" w:themeFillTint="33"/>
            <w:noWrap/>
            <w:vAlign w:val="center"/>
          </w:tcPr>
          <w:p>
            <w:pPr>
              <w:spacing w:after="0" w:line="240" w:lineRule="auto"/>
              <w:rPr>
                <w:rFonts w:ascii="Times New Roman" w:eastAsia="Times New Roman" w:hAnsi="Times New Roman" w:cs="Times New Roman"/>
                <w:noProof/>
                <w:sz w:val="20"/>
                <w:szCs w:val="20"/>
                <w:lang w:val="en-GB" w:eastAsia="zh-CN"/>
              </w:rPr>
            </w:pPr>
            <w:r>
              <w:rPr>
                <w:rFonts w:ascii="Times New Roman" w:hAnsi="Times New Roman" w:cs="Times New Roman"/>
                <w:noProof/>
                <w:sz w:val="20"/>
                <w:szCs w:val="20"/>
                <w:lang w:val="en-US"/>
              </w:rPr>
              <w:t>Combined fiscal deficit, incl. Naftogaz deficit (% GDP)</w:t>
            </w:r>
          </w:p>
        </w:tc>
        <w:tc>
          <w:tcPr>
            <w:tcW w:w="1602" w:type="dxa"/>
            <w:shd w:val="clear" w:color="auto" w:fill="DEEAF6" w:themeFill="accent1" w:themeFillTint="33"/>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10.0</w:t>
            </w:r>
          </w:p>
        </w:tc>
        <w:tc>
          <w:tcPr>
            <w:tcW w:w="1147" w:type="dxa"/>
            <w:shd w:val="clear" w:color="auto" w:fill="DEEAF6" w:themeFill="accent1" w:themeFillTint="33"/>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2.0</w:t>
            </w:r>
          </w:p>
        </w:tc>
        <w:tc>
          <w:tcPr>
            <w:tcW w:w="1147" w:type="dxa"/>
            <w:shd w:val="clear" w:color="auto" w:fill="DEEAF6" w:themeFill="accent1" w:themeFillTint="33"/>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2.3</w:t>
            </w:r>
          </w:p>
        </w:tc>
        <w:tc>
          <w:tcPr>
            <w:tcW w:w="1147" w:type="dxa"/>
            <w:shd w:val="clear" w:color="auto" w:fill="DEEAF6" w:themeFill="accent1" w:themeFillTint="33"/>
            <w:noWrap/>
            <w:vAlign w:val="center"/>
          </w:tcPr>
          <w:p>
            <w:pPr>
              <w:spacing w:after="0" w:line="240" w:lineRule="auto"/>
              <w:jc w:val="right"/>
              <w:rPr>
                <w:rFonts w:ascii="Times New Roman" w:eastAsia="Times New Roman" w:hAnsi="Times New Roman" w:cs="Times New Roman"/>
                <w:noProof/>
                <w:sz w:val="20"/>
                <w:szCs w:val="20"/>
                <w:lang w:val="en-GB" w:eastAsia="zh-CN"/>
              </w:rPr>
            </w:pPr>
            <w:r>
              <w:rPr>
                <w:rFonts w:ascii="Times New Roman" w:eastAsia="Times New Roman" w:hAnsi="Times New Roman" w:cs="Times New Roman"/>
                <w:noProof/>
                <w:sz w:val="20"/>
                <w:szCs w:val="20"/>
                <w:lang w:val="en-GB" w:eastAsia="zh-CN"/>
              </w:rPr>
              <w:t>2.4</w:t>
            </w:r>
          </w:p>
        </w:tc>
      </w:tr>
    </w:tbl>
    <w:p>
      <w:pPr>
        <w:pStyle w:val="BodyText"/>
        <w:rPr>
          <w:rFonts w:ascii="Times New Roman" w:hAnsi="Times New Roman" w:cs="Times New Roman"/>
          <w:i/>
          <w:noProof/>
          <w:sz w:val="18"/>
          <w:szCs w:val="27"/>
          <w:shd w:val="clear" w:color="auto" w:fill="FFFFFF"/>
          <w:lang w:val="en-US"/>
        </w:rPr>
      </w:pPr>
      <w:r>
        <w:rPr>
          <w:rFonts w:ascii="Times New Roman" w:hAnsi="Times New Roman" w:cs="Times New Roman"/>
          <w:i/>
          <w:noProof/>
          <w:sz w:val="18"/>
          <w:szCs w:val="27"/>
          <w:shd w:val="clear" w:color="auto" w:fill="FFFFFF"/>
          <w:lang w:val="en-US"/>
        </w:rPr>
        <w:t xml:space="preserve">Sources: National Bank of Ukraine, Ministry of Finance of </w:t>
      </w:r>
      <w:r>
        <w:rPr>
          <w:rFonts w:ascii="Times New Roman" w:hAnsi="Times New Roman" w:cs="Times New Roman"/>
          <w:i/>
          <w:noProof/>
          <w:sz w:val="18"/>
          <w:szCs w:val="18"/>
          <w:shd w:val="clear" w:color="auto" w:fill="FFFFFF"/>
          <w:lang w:val="en-US"/>
        </w:rPr>
        <w:t xml:space="preserve">Ukraine; </w:t>
      </w:r>
      <w:r>
        <w:rPr>
          <w:rFonts w:ascii="Times New Roman" w:hAnsi="Times New Roman"/>
          <w:i/>
          <w:iCs/>
          <w:noProof/>
          <w:color w:val="000000" w:themeColor="text1"/>
          <w:sz w:val="18"/>
          <w:szCs w:val="18"/>
          <w:lang w:val="en-US"/>
        </w:rPr>
        <w:t>IMF; Dragon Capital.</w:t>
      </w:r>
      <w:r>
        <w:rPr>
          <w:rFonts w:ascii="Times New Roman" w:hAnsi="Times New Roman"/>
          <w:i/>
          <w:iCs/>
          <w:noProof/>
          <w:color w:val="000000" w:themeColor="text1"/>
          <w:lang w:val="en-US"/>
        </w:rPr>
        <w:t xml:space="preserve"> </w:t>
      </w:r>
    </w:p>
    <w:p>
      <w:pPr>
        <w:pStyle w:val="BodyText"/>
        <w:spacing w:before="240" w:line="240" w:lineRule="auto"/>
        <w:jc w:val="both"/>
        <w:rPr>
          <w:rFonts w:ascii="Times New Roman" w:hAnsi="Times New Roman" w:cs="Times New Roman"/>
          <w:noProof/>
          <w:sz w:val="24"/>
          <w:szCs w:val="24"/>
          <w:lang w:val="en-US"/>
        </w:rPr>
      </w:pPr>
      <w:r>
        <w:rPr>
          <w:rFonts w:ascii="Times New Roman" w:eastAsia="Times New Roman" w:hAnsi="Times New Roman" w:cs="Times New Roman"/>
          <w:iCs/>
          <w:noProof/>
          <w:snapToGrid w:val="0"/>
          <w:sz w:val="24"/>
          <w:szCs w:val="24"/>
          <w:lang w:val="en-US"/>
        </w:rPr>
        <w:t xml:space="preserve">According to data, Ukraine’s debt-to-GDP ratio increased dramatically from 40% in 2013 to 70% in 2014, 80% in 2015 and 81% in 2016, </w:t>
      </w:r>
      <w:r>
        <w:rPr>
          <w:rFonts w:ascii="Times New Roman" w:hAnsi="Times New Roman" w:cs="Times New Roman"/>
          <w:noProof/>
          <w:sz w:val="24"/>
          <w:szCs w:val="24"/>
          <w:lang w:val="en-US"/>
        </w:rPr>
        <w:t xml:space="preserve">before declining in the following years. Such a rapid increase in the ratio was largely driven by the depreciation of the hryvnia, as approximately 62% of Ukraine’s public debt was denominated in foreign currencies in 2014. As the hryvnia depreciated against the US dollar by 33% in 2014 and by a further 46% in 2015, foreign-currency denominated liabilities increased substantially in UAH terms. In addition, the combined public finance deficit, including the deficit of Naftogaz, exceeded 10% of GDP in 2014. The public gross financing needs relative to GDP were also impacted in 2015-2017. The ratio increased to 12.5% in 2015, primarily resulting from the currency depreciation, and it continued to rise in the following year, because of the increased financing needs related to resolutions and recapitalisations in the banking sector. Both indicators (debt-to-GDP and financing needs) improved in 2017 and the risk to debt sustainability moderated, thanks to the economic recovery, fiscal consolidation and the stabilization of the situation in the East.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MFA-III operation played a key role in smoothing Ukraine’s adjustment path. The substantial financial contribution provided at highly favourable terms (in a period in which Ukraine was not granted with access to international debt markets) allowed for fiscal savings, facilitating structural reforms and social spending. In the absence of the first tranche of MFA-III, the Ukrainian government would have been forced to make significant cuts in public spending. This would have led to an initial reduction in the amount of public debt, but could be politically difficult to accept and could jeopardize the upcoming reforms in the country. Had Ukraine not received the second tranche of MFA-III funding in April 2017, the most likely counterfactual - borrowing the equivalent amount from domestic debt markets to fill the financing gap - would imply additional interest payments estimated at some USD 30 million over the next period, but no major risk to debt sustainability. </w:t>
      </w:r>
    </w:p>
    <w:p>
      <w:pPr>
        <w:pStyle w:val="BodyText"/>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scenario in which Ukraine did not receive funding from MFA-III nor the IMF, this would have severely impaired the country’s ability to attract funding from domestic and international debt markets and would have decreased the availability of assistance from sources such as the World Bank and the EBRD. As a result, Ukraine would most likely have defaulted on its debts over 2015-2017. </w:t>
      </w:r>
    </w:p>
    <w:p>
      <w:pPr>
        <w:pStyle w:val="BodyText"/>
        <w:spacing w:line="240" w:lineRule="auto"/>
        <w:jc w:val="both"/>
        <w:rPr>
          <w:b/>
          <w:iCs/>
          <w:noProof/>
          <w:lang w:val="en-US"/>
        </w:rPr>
      </w:pPr>
      <w:r>
        <w:rPr>
          <w:rFonts w:ascii="Times New Roman" w:hAnsi="Times New Roman" w:cs="Times New Roman"/>
          <w:i/>
          <w:noProof/>
          <w:sz w:val="24"/>
          <w:szCs w:val="24"/>
          <w:lang w:val="en-GB"/>
        </w:rPr>
        <w:t>Overall, MFA-III had a positive direct and indirect impact on Ukraine's public debt sustainability through a variety of channels, including a signalling effect acting as catalyst for additional financial support and investor confidence. With the return of the economy to growth in 2016 and with quasi-fiscal deficits being nearly eliminated, Ukraine managed to put its debt ratio on a clear downward path and reduce its public debt-to-GDP ratio to 72% at the end of 2017.</w:t>
      </w:r>
    </w:p>
    <w:p>
      <w:pPr>
        <w:pStyle w:val="BodyText"/>
        <w:spacing w:line="240" w:lineRule="auto"/>
        <w:jc w:val="both"/>
        <w:rPr>
          <w:b/>
          <w:iCs/>
          <w:noProof/>
          <w:lang w:val="en-US"/>
        </w:rPr>
      </w:pPr>
    </w:p>
    <w:p>
      <w:pPr>
        <w:pStyle w:val="BodyText"/>
        <w:numPr>
          <w:ilvl w:val="0"/>
          <w:numId w:val="24"/>
        </w:numPr>
        <w:spacing w:line="240" w:lineRule="auto"/>
        <w:ind w:left="426" w:hanging="426"/>
        <w:jc w:val="both"/>
        <w:rPr>
          <w:rFonts w:ascii="Times New Roman" w:hAnsi="Times New Roman" w:cs="Times New Roman"/>
          <w:b/>
          <w:noProof/>
          <w:sz w:val="24"/>
          <w:lang w:val="en-US"/>
        </w:rPr>
      </w:pPr>
      <w:r>
        <w:rPr>
          <w:rFonts w:ascii="Times New Roman" w:hAnsi="Times New Roman" w:cs="Times New Roman"/>
          <w:b/>
          <w:noProof/>
          <w:sz w:val="24"/>
          <w:lang w:val="en-US"/>
        </w:rPr>
        <w:t>CONCLUSIONS</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April 2015, the European Parliament and Council adopted a third MFA operation of EUR 1.8 billion to support Ukraine. The EU agreed on this operation relatively swiftly to support the country in addressing a growing balance-of-payment crisis, which was triggered by the economic and political crisis that followed the Russian annexation of the Crimean peninsula in 2014, and the subsequent conflicts in the eastern part of the country.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Staff Working Document is informed by an external ex-post evaluation conducted by ICF, in collaboration with Cambridge Econometrics, which covered the relevance, efficiency, effectiveness, coherence, and EU value added of this MFA. It also explored the social impact of MFA and its effect on Ukraine’s public debt sustainability. Limitations encountered relate predominantly to the changing economic environment over the period during which the MFA-III took place, and the fact that MFA-III was implemented in parallel with other EU and international support programmes (making it hard to disentangle the impact of the MFA operation specifically). Furthermore, the outbreak of the Covid-19 pandemic made it somewhat difficult to guarantee an active participation and a high response rate of key consulted stakeholders because of the virtual contacts taken with online focus groups and interviews. Nevertheless, these limitations do not put into question the overall reliability of the evaluation analysis as the wide range of sources, the use of different evaluation techniques, alternative scenarios and multiple rounds of feedback mitigated them.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Overall, the evaluation found that MFA-III was </w:t>
      </w:r>
      <w:r>
        <w:rPr>
          <w:rFonts w:ascii="Times New Roman" w:hAnsi="Times New Roman" w:cs="Times New Roman"/>
          <w:b/>
          <w:noProof/>
          <w:sz w:val="24"/>
          <w:szCs w:val="24"/>
          <w:lang w:val="en-GB"/>
        </w:rPr>
        <w:t>highly relevant</w:t>
      </w:r>
      <w:r>
        <w:rPr>
          <w:rFonts w:ascii="Times New Roman" w:hAnsi="Times New Roman" w:cs="Times New Roman"/>
          <w:noProof/>
          <w:sz w:val="24"/>
          <w:szCs w:val="24"/>
          <w:lang w:val="en-GB"/>
        </w:rPr>
        <w:t xml:space="preserve"> in terms of its objectives and form (loans). The timing of disbursements and the unprecedented size of the envelope (EUR 1.8 billion, of which EUR 1.2 billion disbursed) have largely facilitated Ukraine's adjustment path towards macroeconomic stability.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MFA policy conditionality covered the most relevant reform challenges in Ukraine, namely: (i) public finance management, (ii) social safety net, (iii) financial sector, (iv) governance and transparency; (v) energy; and (vi) business environment. </w:t>
      </w:r>
    </w:p>
    <w:p>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Out of three MFA tranches foreseen in the MoU, two were disbursed in July 2015 and April 2017 respectively. The third tranche was not released due to four unmet conditions. Two conditions were on anti-corruption, where Ukraine did not manage to set up two verification systems for asset disclosure and for the accuracy of the information provided by companies on beneficial ownership. A third condition was on</w:t>
      </w:r>
      <w:r>
        <w:rPr>
          <w:rFonts w:ascii="Times New Roman" w:hAnsi="Times New Roman" w:cs="Times New Roman"/>
          <w:noProof/>
          <w:sz w:val="24"/>
          <w:szCs w:val="24"/>
          <w:lang w:val="en-US"/>
        </w:rPr>
        <w:t xml:space="preserve"> trade</w:t>
      </w:r>
      <w:r>
        <w:rPr>
          <w:rStyle w:val="CommentReference"/>
          <w:noProof/>
          <w:lang w:val="en-US"/>
        </w:rPr>
        <w:t>,</w:t>
      </w:r>
      <w:r>
        <w:rPr>
          <w:rFonts w:ascii="Times New Roman" w:hAnsi="Times New Roman" w:cs="Times New Roman"/>
          <w:noProof/>
          <w:sz w:val="24"/>
          <w:szCs w:val="24"/>
          <w:lang w:val="en-US"/>
        </w:rPr>
        <w:t xml:space="preserve"> with Ukraine maintaining the export ban on unprocessed timber. The last condition referred to the financial sector, with the necessary legislation to establish a central credit registry not being adopted by the expiry date of the operation. </w:t>
      </w:r>
      <w:r>
        <w:rPr>
          <w:rFonts w:ascii="Times New Roman" w:hAnsi="Times New Roman" w:cs="Times New Roman"/>
          <w:noProof/>
          <w:sz w:val="24"/>
          <w:szCs w:val="24"/>
          <w:lang w:val="en-GB"/>
        </w:rPr>
        <w:t xml:space="preserve">The main reasons for not implementing these measures within the agreed timeframe were: (1) a lack of political will; (2) the bureaucracy, which slowed the process; (3) a (too) high ambition level for some conditions, outside the main focus area of the reforms (for instance, the condition on beneficial ownership) and (4) vested interest of some stakeholders. </w:t>
      </w:r>
      <w:r>
        <w:rPr>
          <w:rFonts w:ascii="Times New Roman" w:hAnsi="Times New Roman" w:cs="Times New Roman"/>
          <w:noProof/>
          <w:sz w:val="24"/>
          <w:szCs w:val="24"/>
          <w:lang w:val="en-US"/>
        </w:rPr>
        <w:t xml:space="preserve">The evidence that the anti-corruption conditions were met at a later stage - for the disbursement of the first tranche of MFA-IV- highlights that the most complex reforms may require a longer time horizon for implementation than the two and a half years foreseen by the MFA. Therefore, particular attention is required while choosing the related targets, to ensure their feasibility already in the short term. In light of the flexibility already granted with two waivers for the disbursement of the second tranche and the prominent role given by the EU to fight corruption, the non-disbursement decision of the third tranche is deemed justified. </w:t>
      </w:r>
    </w:p>
    <w:p>
      <w:pPr>
        <w:pStyle w:val="BodyText"/>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evaluation found that </w:t>
      </w:r>
      <w:r>
        <w:rPr>
          <w:rFonts w:ascii="Times New Roman" w:hAnsi="Times New Roman"/>
          <w:noProof/>
          <w:sz w:val="24"/>
          <w:szCs w:val="24"/>
          <w:lang w:val="en-GB"/>
        </w:rPr>
        <w:t xml:space="preserve">MFA-III was </w:t>
      </w:r>
      <w:r>
        <w:rPr>
          <w:rFonts w:ascii="Times New Roman" w:hAnsi="Times New Roman"/>
          <w:b/>
          <w:noProof/>
          <w:sz w:val="24"/>
          <w:szCs w:val="24"/>
          <w:lang w:val="en-GB"/>
        </w:rPr>
        <w:t>effective</w:t>
      </w:r>
      <w:r>
        <w:rPr>
          <w:rFonts w:ascii="Times New Roman" w:hAnsi="Times New Roman"/>
          <w:noProof/>
          <w:sz w:val="24"/>
          <w:szCs w:val="24"/>
          <w:lang w:val="en-GB"/>
        </w:rPr>
        <w:t xml:space="preserve"> in</w:t>
      </w:r>
      <w:r>
        <w:rPr>
          <w:rFonts w:ascii="Times New Roman" w:hAnsi="Times New Roman" w:cs="Times New Roman"/>
          <w:noProof/>
          <w:sz w:val="24"/>
          <w:szCs w:val="24"/>
          <w:shd w:val="clear" w:color="auto" w:fill="FFFFFF"/>
          <w:lang w:val="en-US"/>
        </w:rPr>
        <w:t xml:space="preserve"> </w:t>
      </w:r>
      <w:r>
        <w:rPr>
          <w:rFonts w:ascii="Times New Roman" w:hAnsi="Times New Roman" w:cs="Times New Roman"/>
          <w:noProof/>
          <w:sz w:val="24"/>
          <w:szCs w:val="24"/>
          <w:lang w:val="en-GB"/>
        </w:rPr>
        <w:t>supporting fiscal consolidation</w:t>
      </w:r>
      <w:r>
        <w:rPr>
          <w:rFonts w:ascii="Times New Roman" w:hAnsi="Times New Roman"/>
          <w:noProof/>
          <w:sz w:val="24"/>
          <w:szCs w:val="24"/>
          <w:lang w:val="en-GB"/>
        </w:rPr>
        <w:t xml:space="preserve"> and in helping Ukraine to improve its</w:t>
      </w:r>
      <w:r>
        <w:rPr>
          <w:rFonts w:ascii="Times New Roman" w:hAnsi="Times New Roman" w:cs="Times New Roman"/>
          <w:noProof/>
          <w:sz w:val="24"/>
          <w:szCs w:val="24"/>
          <w:lang w:val="en-GB"/>
        </w:rPr>
        <w:t xml:space="preserve"> balance-of-payments position. In the period of the implementation of MFA-III, Ukraine returned to modest economic growth, consolidated its public finance and regained access to the international debt markets. The majority of the experts interviewed in the evaluation study believe that the macroeconomic outcomes would have been less favourable in the absence of MFA-III. In the counterfactual scenario without MFA-III, the Ukrainian authorities would most likely have had to further cut current budgetary expenditures, which could jeopardize the political acceptance of reforms.</w:t>
      </w:r>
      <w:r>
        <w:rPr>
          <w:rFonts w:ascii="Times New Roman" w:hAnsi="Times New Roman" w:cs="Times New Roman"/>
          <w:noProof/>
          <w:sz w:val="24"/>
          <w:szCs w:val="24"/>
          <w:lang w:val="en-US"/>
        </w:rPr>
        <w:t xml:space="preserve"> The simultaneous commitment of the EU and IMF has also allowed a return of investors’ and business confidence. </w:t>
      </w:r>
      <w:r>
        <w:rPr>
          <w:rFonts w:ascii="Times New Roman" w:hAnsi="Times New Roman" w:cs="Times New Roman"/>
          <w:noProof/>
          <w:sz w:val="24"/>
          <w:szCs w:val="24"/>
          <w:lang w:val="en-GB"/>
        </w:rPr>
        <w:t xml:space="preserve">  </w:t>
      </w:r>
    </w:p>
    <w:p>
      <w:pPr>
        <w:pStyle w:val="BodyText"/>
        <w:spacing w:after="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With respect to structural reforms, </w:t>
      </w:r>
      <w:r>
        <w:rPr>
          <w:rFonts w:ascii="Times New Roman" w:hAnsi="Times New Roman" w:cs="Times New Roman"/>
          <w:noProof/>
          <w:sz w:val="24"/>
          <w:szCs w:val="24"/>
          <w:lang w:val="en-US"/>
        </w:rPr>
        <w:t>MFA-III was in general effective in promoting a variety of measures in the areas covered by the programme.</w:t>
      </w:r>
      <w:r>
        <w:rPr>
          <w:rFonts w:ascii="Times New Roman" w:hAnsi="Times New Roman" w:cs="Times New Roman"/>
          <w:noProof/>
          <w:sz w:val="24"/>
          <w:szCs w:val="24"/>
          <w:lang w:val="en-GB"/>
        </w:rPr>
        <w:t xml:space="preserve"> Some of the conditions brought </w:t>
      </w:r>
      <w:r>
        <w:rPr>
          <w:rFonts w:ascii="Times New Roman" w:hAnsi="Times New Roman" w:cs="Times New Roman"/>
          <w:noProof/>
          <w:sz w:val="24"/>
          <w:szCs w:val="24"/>
          <w:lang w:val="en-US"/>
        </w:rPr>
        <w:t>particularly satisfactory results, such as setting up and implementation of an online public procurement platform (</w:t>
      </w:r>
      <w:r>
        <w:rPr>
          <w:rFonts w:ascii="Times New Roman" w:hAnsi="Times New Roman" w:cs="Times New Roman"/>
          <w:i/>
          <w:noProof/>
          <w:sz w:val="24"/>
          <w:szCs w:val="24"/>
          <w:lang w:val="en-US"/>
        </w:rPr>
        <w:t>ProZorro</w:t>
      </w:r>
      <w:r>
        <w:rPr>
          <w:rFonts w:ascii="Times New Roman" w:hAnsi="Times New Roman" w:cs="Times New Roman"/>
          <w:noProof/>
          <w:sz w:val="24"/>
          <w:szCs w:val="24"/>
          <w:lang w:val="en-US"/>
        </w:rPr>
        <w:t xml:space="preserve">) and turning </w:t>
      </w:r>
      <w:r>
        <w:rPr>
          <w:rFonts w:ascii="Times New Roman" w:hAnsi="Times New Roman"/>
          <w:noProof/>
          <w:sz w:val="24"/>
          <w:szCs w:val="24"/>
          <w:lang w:val="en-GB"/>
        </w:rPr>
        <w:t xml:space="preserve">the state-owned Naftogaz Group from a loss-making company into the main contributor to the State budget. On the other hand, </w:t>
      </w:r>
      <w:r>
        <w:rPr>
          <w:rFonts w:ascii="Times New Roman" w:hAnsi="Times New Roman" w:cs="Times New Roman"/>
          <w:noProof/>
          <w:sz w:val="24"/>
          <w:szCs w:val="24"/>
          <w:lang w:val="en-US"/>
        </w:rPr>
        <w:t xml:space="preserve">the implementation of some conditions met difficulties, especially in the field of anti-corruption and trade. </w:t>
      </w:r>
    </w:p>
    <w:p>
      <w:pPr>
        <w:pStyle w:val="BodyText"/>
        <w:spacing w:after="24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w:t>
      </w:r>
      <w:r>
        <w:rPr>
          <w:rFonts w:ascii="Times New Roman" w:hAnsi="Times New Roman" w:cs="Times New Roman"/>
          <w:b/>
          <w:noProof/>
          <w:sz w:val="24"/>
          <w:szCs w:val="24"/>
          <w:lang w:val="en-US"/>
        </w:rPr>
        <w:t>efficiency</w:t>
      </w:r>
      <w:r>
        <w:rPr>
          <w:rFonts w:ascii="Times New Roman" w:hAnsi="Times New Roman" w:cs="Times New Roman"/>
          <w:noProof/>
          <w:sz w:val="24"/>
          <w:szCs w:val="24"/>
          <w:lang w:val="en-US"/>
        </w:rPr>
        <w:t xml:space="preserve"> of the MFA-III operation was somewhat limited by the complex design of the conditionality package and a reduced ownership of conditionalities by the Ukrainian side. This limited ownership, leading to delays in the implementation of the agreed policy actions, can be attributed to (i) limited institutional capacity; (ii) political and economic instability and (iii) vested interests opposing the reforms. A high number of conditions (36 in total), coupled with the relatively short time horizon for implementation, influenced Ukraine’s ability to deliver on all the policy reforms and limited the efficiency of the overall financial intervention. As a result and learning from this operation, the European Commission envisaged fewer conditions with reform milestones broken into smaller and achievable targets, for the following MFA-IV operation to Ukraine. While there has been good collaboration between the EU and Ukrainian counterparts during the implementation process, the visibility and awareness of the conditions attached to MFA-III was limited.</w:t>
      </w:r>
    </w:p>
    <w:p>
      <w:pPr>
        <w:spacing w:before="24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MFA-III was deemed </w:t>
      </w:r>
      <w:r>
        <w:rPr>
          <w:rFonts w:ascii="Times New Roman" w:hAnsi="Times New Roman" w:cs="Times New Roman"/>
          <w:b/>
          <w:noProof/>
          <w:sz w:val="24"/>
          <w:szCs w:val="24"/>
          <w:lang w:val="en-US"/>
        </w:rPr>
        <w:t>coherent</w:t>
      </w:r>
      <w:r>
        <w:rPr>
          <w:rFonts w:ascii="Times New Roman" w:hAnsi="Times New Roman" w:cs="Times New Roman"/>
          <w:noProof/>
          <w:sz w:val="24"/>
          <w:szCs w:val="24"/>
          <w:lang w:val="en-US"/>
        </w:rPr>
        <w:t xml:space="preserve"> with the broad policy framework guiding the EU-Ukraine relations, notably the Association Agreement. There is a high degree of consistency in a number of reform areas between EU budget support programmes and MFA conditionality. Furthermore, as far as external coherence is concerned, the MFA has not only contributed to ‘burden sharing’ with the International Monetary Fund and other donors in financial terms, but also reinforced reforms promoted by the IMF and World Bank through the use of cross conditionality and complementary conditions.</w:t>
      </w:r>
    </w:p>
    <w:p>
      <w:pPr>
        <w:spacing w:before="24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GB"/>
        </w:rPr>
        <w:t xml:space="preserve">The ability of the EU to mobilise and coordinate significant financial resources at a relatively quick speed was a key rationale for this intervention, at a time in which Ukraine’s financing need was still extremely high. MFA conditionality granted a politically reinforcing effect that contributed to the sustained mobilisation of Ukrainian authorities around crucial reform areas. The programme also </w:t>
      </w:r>
      <w:r>
        <w:rPr>
          <w:rFonts w:ascii="Times New Roman" w:hAnsi="Times New Roman" w:cs="Times New Roman"/>
          <w:b/>
          <w:noProof/>
          <w:sz w:val="24"/>
          <w:szCs w:val="24"/>
          <w:lang w:val="en-GB"/>
        </w:rPr>
        <w:t>added value</w:t>
      </w:r>
      <w:r>
        <w:rPr>
          <w:rFonts w:ascii="Times New Roman" w:hAnsi="Times New Roman" w:cs="Times New Roman"/>
          <w:noProof/>
          <w:sz w:val="24"/>
          <w:szCs w:val="24"/>
          <w:lang w:val="en-GB"/>
        </w:rPr>
        <w:t xml:space="preserve"> through its confidence-boosting effect on the private sector. </w:t>
      </w:r>
    </w:p>
    <w:p>
      <w:pPr>
        <w:pStyle w:val="BodyText"/>
        <w:spacing w:after="24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 xml:space="preserve">MFA-III had both a direct and indirect impact on the </w:t>
      </w:r>
      <w:r>
        <w:rPr>
          <w:rFonts w:ascii="Times New Roman" w:hAnsi="Times New Roman" w:cs="Times New Roman"/>
          <w:b/>
          <w:noProof/>
          <w:sz w:val="24"/>
          <w:szCs w:val="24"/>
          <w:lang w:val="en-US"/>
        </w:rPr>
        <w:t xml:space="preserve">social situation </w:t>
      </w:r>
      <w:r>
        <w:rPr>
          <w:rFonts w:ascii="Times New Roman" w:hAnsi="Times New Roman" w:cs="Times New Roman"/>
          <w:noProof/>
          <w:sz w:val="24"/>
          <w:szCs w:val="24"/>
          <w:lang w:val="en-US"/>
        </w:rPr>
        <w:t xml:space="preserve">in Ukraine. The MFA operation included four conditions having a direct social impact, which concerned functioning and better targeting of compensation schemes aiming at protecting households from increasing energy prices, as well as provision of social assistance to internally displaced persons (IDPs). These conditions provided a tangible improvement in the situation of poorer households, in spite of a temporary suspension of social payments to many IDPs living in the non-government-controlled areas in Eastern Ukraine and their slow resumption. A counterfactual analysis shows that in the absence of MFA and IMF support, the indirect effects on the social situation in Ukraine would have been severe. </w:t>
      </w:r>
    </w:p>
    <w:p>
      <w:pPr>
        <w:spacing w:line="240" w:lineRule="auto"/>
        <w:jc w:val="both"/>
        <w:rPr>
          <w:rFonts w:ascii="Times New Roman" w:hAnsi="Times New Roman" w:cs="Times New Roman"/>
          <w:iCs/>
          <w:noProof/>
          <w:sz w:val="24"/>
          <w:szCs w:val="24"/>
          <w:lang w:val="en-GB"/>
        </w:rPr>
      </w:pPr>
      <w:r>
        <w:rPr>
          <w:rFonts w:ascii="Times New Roman" w:hAnsi="Times New Roman" w:cs="Times New Roman"/>
          <w:noProof/>
          <w:sz w:val="24"/>
          <w:szCs w:val="24"/>
          <w:lang w:val="en-GB"/>
        </w:rPr>
        <w:t xml:space="preserve">Finally, MFA-III had a </w:t>
      </w:r>
      <w:r>
        <w:rPr>
          <w:rFonts w:ascii="Times New Roman" w:hAnsi="Times New Roman" w:cs="Times New Roman"/>
          <w:b/>
          <w:noProof/>
          <w:sz w:val="24"/>
          <w:szCs w:val="24"/>
          <w:lang w:val="en-GB"/>
        </w:rPr>
        <w:t>crucial role in improving the</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 xml:space="preserve">sustainability of Ukraine’s public debt. </w:t>
      </w:r>
      <w:r>
        <w:rPr>
          <w:rFonts w:ascii="Times New Roman" w:hAnsi="Times New Roman" w:cs="Times New Roman"/>
          <w:noProof/>
          <w:sz w:val="24"/>
          <w:szCs w:val="24"/>
          <w:lang w:val="en-GB"/>
        </w:rPr>
        <w:t>The programme allowed for fiscal savings, stemming from the highly favourable terms of the loans, helping Ukraine to smoothen its adjustment path and to create fiscal space for reforms and sustained social spending. MFA had also a signalling effect, acting as catalyst for additional financial support and investor confidence.</w:t>
      </w:r>
    </w:p>
    <w:p>
      <w:pPr>
        <w:spacing w:line="240" w:lineRule="auto"/>
        <w:jc w:val="both"/>
        <w:rPr>
          <w:rFonts w:ascii="Times New Roman" w:hAnsi="Times New Roman" w:cs="Times New Roman"/>
          <w:noProof/>
          <w:lang w:val="en"/>
        </w:rPr>
      </w:pPr>
      <w:r>
        <w:rPr>
          <w:rFonts w:ascii="Times New Roman" w:hAnsi="Times New Roman" w:cs="Times New Roman"/>
          <w:noProof/>
          <w:sz w:val="24"/>
          <w:szCs w:val="24"/>
          <w:lang w:val="en-US"/>
        </w:rPr>
        <w:t xml:space="preserve">In conclusion, MFA-III was highly relevant to support </w:t>
      </w:r>
      <w:r>
        <w:rPr>
          <w:rFonts w:ascii="Times New Roman" w:hAnsi="Times New Roman" w:cs="Times New Roman"/>
          <w:noProof/>
          <w:sz w:val="24"/>
          <w:szCs w:val="24"/>
          <w:lang w:val="en-GB"/>
        </w:rPr>
        <w:t>Ukraine in addressing its balance-of-payment problems and implementing key structural reforms to stabilise the economy and enhance the sustainability of its external position. It allowed for</w:t>
      </w:r>
      <w:r>
        <w:rPr>
          <w:rFonts w:ascii="Times New Roman" w:hAnsi="Times New Roman" w:cs="Times New Roman"/>
          <w:noProof/>
          <w:sz w:val="24"/>
          <w:szCs w:val="24"/>
          <w:lang w:val="en-US"/>
        </w:rPr>
        <w:t xml:space="preserve"> fiscal savings and financial benefits, and </w:t>
      </w:r>
      <w:r>
        <w:rPr>
          <w:rFonts w:ascii="Times New Roman" w:hAnsi="Times New Roman" w:cs="Times New Roman"/>
          <w:noProof/>
          <w:sz w:val="24"/>
          <w:szCs w:val="24"/>
          <w:lang w:val="en-GB"/>
        </w:rPr>
        <w:t>acted as catalyst for additional financial support and investor confidence.</w:t>
      </w:r>
      <w:r>
        <w:rPr>
          <w:rFonts w:ascii="Times New Roman" w:hAnsi="Times New Roman" w:cs="Times New Roman"/>
          <w:noProof/>
          <w:sz w:val="24"/>
          <w:szCs w:val="24"/>
          <w:lang w:val="en-US"/>
        </w:rPr>
        <w:t xml:space="preserve"> The MFA conditionality package was </w:t>
      </w:r>
      <w:r>
        <w:rPr>
          <w:rFonts w:ascii="Times New Roman" w:hAnsi="Times New Roman" w:cs="Times New Roman"/>
          <w:noProof/>
          <w:sz w:val="24"/>
          <w:szCs w:val="24"/>
          <w:lang w:val="en-GB"/>
        </w:rPr>
        <w:t>highly relevant to the country's needs</w:t>
      </w:r>
      <w:r>
        <w:rPr>
          <w:rFonts w:ascii="Times New Roman" w:hAnsi="Times New Roman" w:cs="Times New Roman"/>
          <w:noProof/>
          <w:sz w:val="24"/>
          <w:szCs w:val="24"/>
          <w:lang w:val="en-US"/>
        </w:rPr>
        <w:t xml:space="preserve"> and fully aligned with the related IMF programme. It created a politically reinforcing effect that contributed to the mobilisation of Ukrainian authorities around essential reforms, especially in areas not covered by other international donor programmes. </w:t>
      </w:r>
      <w:r>
        <w:rPr>
          <w:rFonts w:ascii="Times New Roman" w:hAnsi="Times New Roman" w:cs="Times New Roman"/>
          <w:noProof/>
          <w:sz w:val="24"/>
          <w:szCs w:val="24"/>
          <w:lang w:val="en-GB"/>
        </w:rPr>
        <w:t>However, t</w:t>
      </w:r>
      <w:r>
        <w:rPr>
          <w:rFonts w:ascii="Times New Roman" w:hAnsi="Times New Roman" w:cs="Times New Roman"/>
          <w:noProof/>
          <w:sz w:val="24"/>
          <w:szCs w:val="24"/>
          <w:lang w:val="en-US"/>
        </w:rPr>
        <w:t xml:space="preserve">he high number of conditions and level of ambition, coupled with the relatively short time horizon for implementation, hampered </w:t>
      </w:r>
      <w:r>
        <w:rPr>
          <w:rFonts w:ascii="Times New Roman" w:hAnsi="Times New Roman" w:cs="Times New Roman"/>
          <w:noProof/>
          <w:lang w:val="en-US"/>
        </w:rPr>
        <w:t xml:space="preserve">Ukraine’s ability to deliver on all the policy reforms and limited the efficiency of the overall financial intervention. More </w:t>
      </w:r>
      <w:r>
        <w:rPr>
          <w:rFonts w:ascii="Times New Roman" w:hAnsi="Times New Roman" w:cs="Times New Roman"/>
          <w:noProof/>
          <w:lang w:val="en"/>
        </w:rPr>
        <w:t>sparing use of conditionality, with reforms milestones broken into smaller targets, might have sustained a better motivation and feasibility throughout the operation.</w:t>
      </w:r>
    </w:p>
    <w:p>
      <w:pPr>
        <w:autoSpaceDE w:val="0"/>
        <w:autoSpaceDN w:val="0"/>
        <w:spacing w:before="40" w:after="40" w:line="240" w:lineRule="auto"/>
        <w:rPr>
          <w:rFonts w:ascii="Times New Roman" w:hAnsi="Times New Roman" w:cs="Times New Roman"/>
          <w:noProof/>
          <w:lang w:val="en-GB"/>
        </w:rPr>
      </w:pPr>
      <w:r>
        <w:rPr>
          <w:rFonts w:ascii="Times New Roman" w:hAnsi="Times New Roman" w:cs="Times New Roman"/>
          <w:noProof/>
          <w:lang w:val="en"/>
        </w:rPr>
        <w:t>Overall, the</w:t>
      </w:r>
      <w:r>
        <w:rPr>
          <w:rFonts w:ascii="Times New Roman" w:hAnsi="Times New Roman" w:cs="Times New Roman"/>
          <w:noProof/>
          <w:lang w:val="en-GB"/>
        </w:rPr>
        <w:t xml:space="preserve"> ex-post evaluation showed that MFA conditionality tends to be </w:t>
      </w:r>
      <w:r>
        <w:rPr>
          <w:rFonts w:ascii="Times New Roman" w:hAnsi="Times New Roman" w:cs="Times New Roman"/>
          <w:b/>
          <w:bCs/>
          <w:noProof/>
          <w:lang w:val="en-GB"/>
        </w:rPr>
        <w:t>more effective when:</w:t>
      </w:r>
    </w:p>
    <w:p>
      <w:pPr>
        <w:pStyle w:val="ListParagraph"/>
        <w:numPr>
          <w:ilvl w:val="6"/>
          <w:numId w:val="6"/>
        </w:numPr>
        <w:autoSpaceDE w:val="0"/>
        <w:autoSpaceDN w:val="0"/>
        <w:spacing w:before="40" w:after="40" w:line="240" w:lineRule="auto"/>
        <w:ind w:left="709"/>
        <w:jc w:val="both"/>
        <w:rPr>
          <w:rFonts w:ascii="Times New Roman" w:hAnsi="Times New Roman" w:cs="Times New Roman"/>
          <w:noProof/>
          <w:lang w:val="en-GB"/>
        </w:rPr>
      </w:pPr>
      <w:r>
        <w:rPr>
          <w:rFonts w:ascii="Times New Roman" w:hAnsi="Times New Roman" w:cs="Times New Roman"/>
          <w:noProof/>
          <w:lang w:val="en-GB"/>
        </w:rPr>
        <w:t>A high level of political ownership of the reform programme is ensured;</w:t>
      </w:r>
    </w:p>
    <w:p>
      <w:pPr>
        <w:pStyle w:val="ListParagraph"/>
        <w:numPr>
          <w:ilvl w:val="6"/>
          <w:numId w:val="6"/>
        </w:numPr>
        <w:autoSpaceDE w:val="0"/>
        <w:autoSpaceDN w:val="0"/>
        <w:spacing w:before="40" w:after="40" w:line="240" w:lineRule="auto"/>
        <w:ind w:left="709"/>
        <w:jc w:val="both"/>
        <w:rPr>
          <w:rFonts w:ascii="Times New Roman" w:hAnsi="Times New Roman" w:cs="Times New Roman"/>
          <w:noProof/>
          <w:lang w:val="en-GB"/>
        </w:rPr>
      </w:pPr>
      <w:r>
        <w:rPr>
          <w:rFonts w:ascii="Times New Roman" w:hAnsi="Times New Roman" w:cs="Times New Roman"/>
          <w:noProof/>
          <w:lang w:val="en-GB"/>
        </w:rPr>
        <w:t xml:space="preserve">A strong alignment with other EU and international donors programmes is foreseen, especially for those interventions which appear to be more problematic; </w:t>
      </w:r>
    </w:p>
    <w:p>
      <w:pPr>
        <w:pStyle w:val="ListParagraph"/>
        <w:numPr>
          <w:ilvl w:val="0"/>
          <w:numId w:val="6"/>
        </w:numPr>
        <w:autoSpaceDE w:val="0"/>
        <w:autoSpaceDN w:val="0"/>
        <w:spacing w:before="40" w:after="0" w:line="240" w:lineRule="auto"/>
        <w:ind w:left="720"/>
        <w:jc w:val="both"/>
        <w:rPr>
          <w:rFonts w:ascii="Times New Roman" w:hAnsi="Times New Roman" w:cs="Times New Roman"/>
          <w:noProof/>
          <w:lang w:val="en-GB"/>
        </w:rPr>
      </w:pPr>
      <w:r>
        <w:rPr>
          <w:rFonts w:ascii="Times New Roman" w:hAnsi="Times New Roman" w:cs="Times New Roman"/>
          <w:noProof/>
          <w:lang w:val="en-GB"/>
        </w:rPr>
        <w:t xml:space="preserve">Continuous technical assistance and advice is granted during the implementation process. </w:t>
      </w:r>
    </w:p>
    <w:p>
      <w:pPr>
        <w:spacing w:after="120" w:line="240" w:lineRule="auto"/>
        <w:jc w:val="both"/>
        <w:rPr>
          <w:rFonts w:ascii="Times New Roman" w:hAnsi="Times New Roman"/>
          <w:noProof/>
          <w:sz w:val="24"/>
          <w:lang w:val="en-US"/>
        </w:rPr>
      </w:pPr>
    </w:p>
    <w:p>
      <w:pPr>
        <w:spacing w:after="120" w:line="240" w:lineRule="auto"/>
        <w:jc w:val="both"/>
        <w:rPr>
          <w:rFonts w:ascii="Times New Roman" w:hAnsi="Times New Roman"/>
          <w:noProof/>
          <w:sz w:val="24"/>
          <w:lang w:val="en-US"/>
        </w:rPr>
      </w:pPr>
      <w:r>
        <w:rPr>
          <w:rFonts w:ascii="Times New Roman" w:hAnsi="Times New Roman"/>
          <w:noProof/>
          <w:sz w:val="24"/>
          <w:lang w:val="en-US"/>
        </w:rPr>
        <w:t>A number of the conclusions related to the assessment of the evaluation criteria will require further consideration and may benefit from cross-comparison with other completed MFA operations. A meta-evaluation is planned for end of 2021 and will explore these points in more detail. The meta-evaluation will provide a synthesis of the results of the evaluation studies of MFA operations carried out in the last ten years and will consider the reliability and relevance of the methodology, process, outputs, and outcomes of all the MFA operations undertaken. In addition, the exercise will assess the timeline of MFA operations and potential linkages to added value and operational visibility.</w:t>
      </w:r>
    </w:p>
    <w:p>
      <w:pPr>
        <w:pStyle w:val="no-heading-blue-1"/>
        <w:spacing w:after="240" w:line="240" w:lineRule="auto"/>
        <w:jc w:val="both"/>
        <w:rPr>
          <w:rFonts w:ascii="Times New Roman" w:hAnsi="Times New Roman"/>
          <w:noProof/>
          <w:color w:val="auto"/>
          <w:sz w:val="28"/>
        </w:rPr>
      </w:pPr>
      <w:r>
        <w:rPr>
          <w:rFonts w:ascii="Times New Roman" w:hAnsi="Times New Roman"/>
          <w:noProof/>
          <w:color w:val="auto"/>
          <w:sz w:val="28"/>
        </w:rPr>
        <w:t>Annex 1: Procedural information</w:t>
      </w:r>
      <w:bookmarkEnd w:id="19"/>
      <w:bookmarkEnd w:id="20"/>
    </w:p>
    <w:p>
      <w:pPr>
        <w:pStyle w:val="Heading2"/>
        <w:tabs>
          <w:tab w:val="num" w:pos="1200"/>
        </w:tabs>
        <w:spacing w:after="120"/>
        <w:rPr>
          <w:rFonts w:ascii="Times New Roman" w:hAnsi="Times New Roman" w:cs="Times New Roman"/>
          <w:b/>
          <w:noProof/>
          <w:sz w:val="24"/>
          <w:szCs w:val="24"/>
          <w:lang w:val="en-US"/>
        </w:rPr>
      </w:pPr>
      <w:bookmarkStart w:id="30" w:name="_Toc29824061"/>
      <w:r>
        <w:rPr>
          <w:rFonts w:ascii="Times New Roman" w:hAnsi="Times New Roman" w:cs="Times New Roman"/>
          <w:b/>
          <w:noProof/>
          <w:color w:val="auto"/>
          <w:sz w:val="24"/>
          <w:szCs w:val="24"/>
          <w:lang w:val="en-US"/>
        </w:rPr>
        <w:t>A1.1 Organization, design and timing</w:t>
      </w:r>
      <w:bookmarkEnd w:id="30"/>
    </w:p>
    <w:p>
      <w:pPr>
        <w:pStyle w:val="DefaultText"/>
        <w:spacing w:after="120" w:line="240" w:lineRule="auto"/>
        <w:jc w:val="both"/>
        <w:rPr>
          <w:rFonts w:ascii="Times New Roman" w:hAnsi="Times New Roman"/>
          <w:noProof/>
          <w:sz w:val="24"/>
        </w:rPr>
      </w:pPr>
      <w:r>
        <w:rPr>
          <w:rFonts w:ascii="Times New Roman" w:hAnsi="Times New Roman"/>
          <w:noProof/>
          <w:sz w:val="24"/>
        </w:rPr>
        <w:t>The ex-post evaluation assessed the EUR 1.8 billion MFA operation in Ukraine, which was approved in 2015 and implemented between 2015-2017. The assessment was in line with article 34(1) of the Financial Regulation</w:t>
      </w:r>
      <w:r>
        <w:rPr>
          <w:rStyle w:val="FootnoteReference"/>
          <w:rFonts w:ascii="Times New Roman" w:hAnsi="Times New Roman"/>
          <w:noProof/>
          <w:sz w:val="24"/>
        </w:rPr>
        <w:footnoteReference w:id="32"/>
      </w:r>
      <w:r>
        <w:rPr>
          <w:rFonts w:ascii="Times New Roman" w:hAnsi="Times New Roman"/>
          <w:noProof/>
          <w:sz w:val="24"/>
        </w:rPr>
        <w:t xml:space="preserve"> and the relevant MFA Decision</w:t>
      </w:r>
      <w:r>
        <w:rPr>
          <w:rStyle w:val="FootnoteReference"/>
          <w:rFonts w:ascii="Times New Roman" w:hAnsi="Times New Roman"/>
          <w:noProof/>
          <w:sz w:val="24"/>
        </w:rPr>
        <w:footnoteReference w:id="33"/>
      </w:r>
      <w:r>
        <w:rPr>
          <w:rFonts w:ascii="Times New Roman" w:hAnsi="Times New Roman"/>
          <w:noProof/>
          <w:sz w:val="24"/>
        </w:rPr>
        <w:t xml:space="preserve">, which required the European Commission to submit an ex-post evaluation report to the European Parliament and the Council. The objective of the evaluation was to draw lessons with respect to the EU’s financial assistance, in particular the design and implementation of the programme and the way it contributed to achieving macroeconomic stabilisation and fostering structural reforms. Apart from identifying areas of improvement for similar on-going or future possible interventions, the evaluation also aimed at ensuring better transparency and accountability of the Commission’s activities. </w:t>
      </w:r>
    </w:p>
    <w:p>
      <w:pPr>
        <w:pStyle w:val="DefaultText"/>
        <w:spacing w:after="120" w:line="240" w:lineRule="auto"/>
        <w:jc w:val="both"/>
        <w:rPr>
          <w:rFonts w:ascii="Times New Roman" w:hAnsi="Times New Roman"/>
          <w:noProof/>
          <w:sz w:val="24"/>
        </w:rPr>
      </w:pPr>
      <w:r>
        <w:rPr>
          <w:rFonts w:ascii="Times New Roman" w:hAnsi="Times New Roman"/>
          <w:noProof/>
          <w:sz w:val="24"/>
        </w:rPr>
        <w:t>The evaluation looked at various aspects of this particular EU intervention (relevance, effectiveness, efficiency, EU added value, coherence with other EU policies towards Ukraine, social impact and the impact on the sustainability of Ukraine’s public debt). In order to ensure validity, the analysis and conclusions are based on the evidence obtained using several evaluation methods (documentary review, macroeconomic data analysis, targeted stakeholder interviews, case studies, focus groups, qualitative counterfactual analysis, a Delphi survey and a social-impact analysis).</w:t>
      </w:r>
    </w:p>
    <w:p>
      <w:pPr>
        <w:pStyle w:val="DefaultText"/>
        <w:spacing w:after="120" w:line="240" w:lineRule="auto"/>
        <w:jc w:val="both"/>
        <w:rPr>
          <w:rFonts w:ascii="Times New Roman" w:hAnsi="Times New Roman"/>
          <w:noProof/>
          <w:sz w:val="24"/>
        </w:rPr>
      </w:pPr>
      <w:r>
        <w:rPr>
          <w:rFonts w:ascii="Times New Roman" w:hAnsi="Times New Roman"/>
          <w:noProof/>
          <w:sz w:val="24"/>
        </w:rPr>
        <w:t>The lead DG to carry out and manage this evaluation has been the Directorate General for Economic and Financial Affairs (DG ECFIN). DG ECFIN chaired the ISG that was set up to manage the evaluation. Apart from DG ECFIN, the ISG comprised of representatives of other Commission services (the Secretariat General and the Directorate-General for Neighbourhood and Enlargement Negotiations) and the EEAS.</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D</w:t>
      </w:r>
      <w:r>
        <w:rPr>
          <w:rFonts w:ascii="Times New Roman" w:hAnsi="Times New Roman" w:cs="Times New Roman"/>
          <w:i/>
          <w:noProof/>
          <w:sz w:val="24"/>
          <w:szCs w:val="24"/>
          <w:lang w:val="en-GB"/>
        </w:rPr>
        <w:t>e</w:t>
      </w:r>
      <w:r>
        <w:rPr>
          <w:rFonts w:ascii="Times New Roman" w:hAnsi="Times New Roman" w:cs="Times New Roman"/>
          <w:noProof/>
          <w:sz w:val="24"/>
          <w:szCs w:val="24"/>
          <w:lang w:val="en-GB"/>
        </w:rPr>
        <w:t>cide planning entry for the ex post evaluation of MFA-III for Ukraine is PLAN2020/6383 and the indicative roadmap for the evaluation was published in March 2020</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lang w:val="en-GB"/>
        </w:rPr>
        <w:t xml:space="preserve"> to seek wider feedback. In the context of the framework contract for the provision of evaluation services related to MFA programmes, in November 2019 the Commission awarded the specific contract to undertake the external evaluation to ICF Consulting Services Ltd.  </w:t>
      </w:r>
    </w:p>
    <w:p>
      <w:pPr>
        <w:pStyle w:val="DefaultText"/>
        <w:spacing w:after="120" w:line="240" w:lineRule="auto"/>
        <w:jc w:val="both"/>
        <w:rPr>
          <w:rFonts w:ascii="Times New Roman" w:hAnsi="Times New Roman"/>
          <w:noProof/>
          <w:sz w:val="24"/>
        </w:rPr>
      </w:pPr>
      <w:r>
        <w:rPr>
          <w:rFonts w:ascii="Times New Roman" w:hAnsi="Times New Roman"/>
          <w:noProof/>
          <w:sz w:val="24"/>
        </w:rPr>
        <w:t>A kick-off meeting, where the ISG and the external contractor discussed the deliverables and the evaluation methods, took place in January 2020. This was followed by meetings on the inception and interim reports in, respectively, February 2020 and May 2020. The draft final report was submitted in June 2020 with updates provided for a final version approved in August 2020. In addition to meetings, ISG members were continuously informed and consulted (via email and by phone) during the evaluation. The work of the external contractor was complemented by internal analysis from Commission services.</w:t>
      </w:r>
    </w:p>
    <w:p>
      <w:pPr>
        <w:pStyle w:val="no-heading-blue-1"/>
        <w:spacing w:after="240" w:line="240" w:lineRule="auto"/>
        <w:jc w:val="both"/>
        <w:rPr>
          <w:rFonts w:ascii="Times New Roman" w:hAnsi="Times New Roman"/>
          <w:noProof/>
          <w:color w:val="auto"/>
          <w:sz w:val="28"/>
        </w:rPr>
      </w:pPr>
      <w:bookmarkStart w:id="31" w:name="_Toc518383274"/>
      <w:bookmarkStart w:id="32" w:name="_Toc29824063"/>
      <w:bookmarkStart w:id="33" w:name="_Toc478414259"/>
      <w:bookmarkEnd w:id="21"/>
      <w:bookmarkEnd w:id="22"/>
      <w:r>
        <w:rPr>
          <w:rFonts w:ascii="Times New Roman" w:hAnsi="Times New Roman"/>
          <w:noProof/>
          <w:color w:val="auto"/>
          <w:sz w:val="28"/>
        </w:rPr>
        <w:t>Annex 2: Stakeholder consultation</w:t>
      </w:r>
      <w:bookmarkEnd w:id="31"/>
      <w:r>
        <w:rPr>
          <w:rFonts w:ascii="Times New Roman" w:hAnsi="Times New Roman"/>
          <w:noProof/>
          <w:color w:val="auto"/>
          <w:sz w:val="28"/>
        </w:rPr>
        <w:t xml:space="preserve"> strategy</w:t>
      </w:r>
      <w:bookmarkEnd w:id="32"/>
      <w:r>
        <w:rPr>
          <w:rStyle w:val="FootnoteReference"/>
          <w:rFonts w:ascii="Times New Roman" w:hAnsi="Times New Roman"/>
          <w:noProof/>
          <w:color w:val="auto"/>
        </w:rPr>
        <w:footnoteReference w:id="35"/>
      </w:r>
    </w:p>
    <w:p>
      <w:pPr>
        <w:pStyle w:val="DefaultText"/>
        <w:spacing w:line="240" w:lineRule="auto"/>
        <w:jc w:val="both"/>
        <w:rPr>
          <w:rFonts w:ascii="Times New Roman" w:hAnsi="Times New Roman"/>
          <w:noProof/>
          <w:sz w:val="24"/>
        </w:rPr>
      </w:pPr>
      <w:r>
        <w:rPr>
          <w:rFonts w:ascii="Times New Roman" w:hAnsi="Times New Roman"/>
          <w:noProof/>
          <w:sz w:val="24"/>
        </w:rPr>
        <w:t xml:space="preserve">The stakeholder consultation strategy was developed with the overall objective to collect information and opinions on various aspects of the MFA operation in Ukraine, structured around the main evaluation criteria. It was designed to collect as much valuable and relevant information as possible from various groups and people involved. In addition to the information collected through key document reviews, the information obtained via consultation was used to support an ex-post assessment of the design, implementation and impact of the MFA-III operation by acting as source of evidence to address each of the evaluation questions. </w:t>
      </w:r>
    </w:p>
    <w:p>
      <w:pPr>
        <w:pStyle w:val="DefaultText"/>
        <w:spacing w:line="240" w:lineRule="auto"/>
        <w:jc w:val="both"/>
        <w:rPr>
          <w:rFonts w:ascii="Times New Roman" w:hAnsi="Times New Roman"/>
          <w:noProof/>
          <w:sz w:val="24"/>
        </w:rPr>
      </w:pPr>
    </w:p>
    <w:p>
      <w:pPr>
        <w:pStyle w:val="DefaultText"/>
        <w:spacing w:after="240" w:line="240" w:lineRule="auto"/>
        <w:jc w:val="both"/>
        <w:rPr>
          <w:rFonts w:ascii="Times New Roman" w:hAnsi="Times New Roman"/>
          <w:noProof/>
          <w:sz w:val="24"/>
        </w:rPr>
      </w:pPr>
      <w:r>
        <w:rPr>
          <w:rFonts w:ascii="Times New Roman" w:hAnsi="Times New Roman"/>
          <w:noProof/>
          <w:sz w:val="24"/>
        </w:rPr>
        <w:t>The consultation was developed in line with the Better Regulation Guidelines on stakeholder consultation</w:t>
      </w:r>
      <w:r>
        <w:rPr>
          <w:rStyle w:val="FootnoteReference"/>
          <w:rFonts w:ascii="Times New Roman" w:hAnsi="Times New Roman"/>
          <w:noProof/>
          <w:sz w:val="24"/>
        </w:rPr>
        <w:footnoteReference w:id="36"/>
      </w:r>
      <w:r>
        <w:rPr>
          <w:rFonts w:ascii="Times New Roman" w:hAnsi="Times New Roman"/>
          <w:noProof/>
          <w:sz w:val="24"/>
        </w:rPr>
        <w:t xml:space="preserve"> and it focused on (i) extracting recollections from the period in which the operation was designed and implemented, and also (ii) on collecting views on the period after the MFA had ended, to assess its impact and sustainability. </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Consultation tools were tailored to each targeted stakeholder group, to collect information most appropriate to their knowledge. These tools were also associated with different aspects of the MFA operation in Ukraine. As for primary data collection activities, these principally included: (1) a Delphi survey; (2) in-depth interviews with key (EU and Ukrainian) stakeholders; (3) an online focus group with civil society organisations and other non-governmental stakeholders. In addition, an evaluation roadmap was published from 6</w:t>
      </w:r>
      <w:r>
        <w:rPr>
          <w:rFonts w:asciiTheme="majorBidi" w:hAnsiTheme="majorBidi" w:cstheme="majorBidi"/>
          <w:noProof/>
          <w:sz w:val="24"/>
          <w:szCs w:val="24"/>
          <w:vertAlign w:val="superscript"/>
          <w:lang w:val="en-GB"/>
        </w:rPr>
        <w:t>th</w:t>
      </w:r>
      <w:r>
        <w:rPr>
          <w:rFonts w:asciiTheme="majorBidi" w:hAnsiTheme="majorBidi" w:cstheme="majorBidi"/>
          <w:noProof/>
          <w:sz w:val="24"/>
          <w:szCs w:val="24"/>
          <w:lang w:val="en-GB"/>
        </w:rPr>
        <w:t xml:space="preserve"> March – 3</w:t>
      </w:r>
      <w:r>
        <w:rPr>
          <w:rFonts w:asciiTheme="majorBidi" w:hAnsiTheme="majorBidi" w:cstheme="majorBidi"/>
          <w:noProof/>
          <w:sz w:val="24"/>
          <w:szCs w:val="24"/>
          <w:vertAlign w:val="superscript"/>
          <w:lang w:val="en-GB"/>
        </w:rPr>
        <w:t>rd</w:t>
      </w:r>
      <w:r>
        <w:rPr>
          <w:rFonts w:asciiTheme="majorBidi" w:hAnsiTheme="majorBidi" w:cstheme="majorBidi"/>
          <w:noProof/>
          <w:sz w:val="24"/>
          <w:szCs w:val="24"/>
          <w:lang w:val="en-GB"/>
        </w:rPr>
        <w:t xml:space="preserve"> April 2020 to seek wider feedback. Feedback received was considered as part of the evaluation process.</w:t>
      </w:r>
    </w:p>
    <w:p>
      <w:pPr>
        <w:pStyle w:val="AnnexH2"/>
        <w:numPr>
          <w:ilvl w:val="0"/>
          <w:numId w:val="0"/>
        </w:numPr>
        <w:spacing w:before="200" w:after="120" w:line="240" w:lineRule="auto"/>
        <w:jc w:val="both"/>
        <w:rPr>
          <w:rFonts w:asciiTheme="majorBidi" w:hAnsiTheme="majorBidi" w:cstheme="majorBidi"/>
          <w:noProof/>
          <w:color w:val="000000" w:themeColor="text1"/>
          <w:sz w:val="24"/>
        </w:rPr>
      </w:pPr>
      <w:bookmarkStart w:id="34" w:name="_Toc472769298"/>
      <w:r>
        <w:rPr>
          <w:rFonts w:asciiTheme="majorBidi" w:hAnsiTheme="majorBidi" w:cstheme="majorBidi"/>
          <w:noProof/>
          <w:color w:val="000000" w:themeColor="text1"/>
          <w:sz w:val="24"/>
        </w:rPr>
        <w:t>A2.1 Mapping of stakeholder groups</w:t>
      </w:r>
      <w:bookmarkEnd w:id="34"/>
    </w:p>
    <w:p>
      <w:p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GB"/>
        </w:rPr>
        <w:t xml:space="preserve">Consultation was targeted to specialists – either people who have been closely involved in the development and/or the implementation of the MFA-III operation, or people with expert knowledge in the areas related to the objectives of MFA-III. They were representatives of Ukrainian authorities and civil society, International Financial Institutions and EU institutions. </w:t>
      </w:r>
      <w:r>
        <w:rPr>
          <w:rFonts w:asciiTheme="majorBidi" w:hAnsiTheme="majorBidi" w:cstheme="majorBidi"/>
          <w:noProof/>
          <w:sz w:val="24"/>
          <w:szCs w:val="24"/>
          <w:lang w:val="en-US"/>
        </w:rPr>
        <w:t xml:space="preserve">In total, 101 people were consulted through a Delphi survey, in-depth interviews and an online focus group. Consultees can be grouped across the following four groups: </w:t>
      </w:r>
    </w:p>
    <w:p>
      <w:pPr>
        <w:spacing w:line="240" w:lineRule="auto"/>
        <w:jc w:val="both"/>
        <w:rPr>
          <w:rFonts w:asciiTheme="majorBidi" w:hAnsiTheme="majorBidi" w:cstheme="majorBidi"/>
          <w:b/>
          <w:noProof/>
          <w:sz w:val="24"/>
          <w:szCs w:val="24"/>
          <w:lang w:val="en-US"/>
        </w:rPr>
      </w:pPr>
      <w:r>
        <w:rPr>
          <w:rFonts w:asciiTheme="majorBidi" w:hAnsiTheme="majorBidi" w:cstheme="majorBidi"/>
          <w:b/>
          <w:noProof/>
          <w:sz w:val="24"/>
          <w:szCs w:val="24"/>
          <w:lang w:val="en-US"/>
        </w:rPr>
        <w:t>Ukraine public institutions:</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Ministry of Finance</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Ministry of Social Policy</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National Anti-Corruption Bureau</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National Bank of Ukraine</w:t>
      </w:r>
    </w:p>
    <w:p>
      <w:pPr>
        <w:spacing w:line="240" w:lineRule="auto"/>
        <w:jc w:val="both"/>
        <w:rPr>
          <w:rFonts w:asciiTheme="majorBidi" w:hAnsiTheme="majorBidi" w:cstheme="majorBidi"/>
          <w:b/>
          <w:noProof/>
          <w:sz w:val="24"/>
          <w:szCs w:val="24"/>
          <w:lang w:val="en-US"/>
        </w:rPr>
      </w:pPr>
      <w:r>
        <w:rPr>
          <w:rFonts w:asciiTheme="majorBidi" w:hAnsiTheme="majorBidi" w:cstheme="majorBidi"/>
          <w:b/>
          <w:noProof/>
          <w:sz w:val="24"/>
          <w:szCs w:val="24"/>
          <w:lang w:val="en-US"/>
        </w:rPr>
        <w:t>Ukraine civil society organisations:</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NGOs </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Think tanks</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Academics</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Media</w:t>
      </w:r>
    </w:p>
    <w:p>
      <w:pPr>
        <w:spacing w:line="240" w:lineRule="auto"/>
        <w:jc w:val="both"/>
        <w:rPr>
          <w:rFonts w:asciiTheme="majorBidi" w:hAnsiTheme="majorBidi" w:cstheme="majorBidi"/>
          <w:b/>
          <w:noProof/>
          <w:sz w:val="24"/>
          <w:szCs w:val="24"/>
          <w:lang w:val="en-US"/>
        </w:rPr>
      </w:pPr>
      <w:r>
        <w:rPr>
          <w:rFonts w:asciiTheme="majorBidi" w:hAnsiTheme="majorBidi" w:cstheme="majorBidi"/>
          <w:b/>
          <w:noProof/>
          <w:sz w:val="24"/>
          <w:szCs w:val="24"/>
          <w:lang w:val="en-US"/>
        </w:rPr>
        <w:t>Wider Donor community:</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IMF</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EBRD</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World Bank</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OECD</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GIZ</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Credit rating agencies</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Banks</w:t>
      </w:r>
    </w:p>
    <w:p>
      <w:pPr>
        <w:spacing w:line="240" w:lineRule="auto"/>
        <w:jc w:val="both"/>
        <w:rPr>
          <w:rFonts w:asciiTheme="majorBidi" w:hAnsiTheme="majorBidi" w:cstheme="majorBidi"/>
          <w:b/>
          <w:noProof/>
          <w:sz w:val="24"/>
          <w:szCs w:val="24"/>
          <w:lang w:val="en-US"/>
        </w:rPr>
      </w:pPr>
      <w:r>
        <w:rPr>
          <w:rFonts w:asciiTheme="majorBidi" w:hAnsiTheme="majorBidi" w:cstheme="majorBidi"/>
          <w:b/>
          <w:noProof/>
          <w:sz w:val="24"/>
          <w:szCs w:val="24"/>
          <w:lang w:val="en-US"/>
        </w:rPr>
        <w:t>European Union:</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European Commission</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European External Action Service</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Member State Permanent Representatives to the EU </w:t>
      </w:r>
    </w:p>
    <w:p>
      <w:pPr>
        <w:pStyle w:val="ListParagraph"/>
        <w:numPr>
          <w:ilvl w:val="1"/>
          <w:numId w:val="13"/>
        </w:numPr>
        <w:spacing w:line="240" w:lineRule="auto"/>
        <w:jc w:val="both"/>
        <w:rPr>
          <w:rFonts w:asciiTheme="majorBidi" w:hAnsiTheme="majorBidi" w:cstheme="majorBidi"/>
          <w:noProof/>
          <w:sz w:val="24"/>
          <w:szCs w:val="24"/>
          <w:lang w:val="en-US"/>
        </w:rPr>
      </w:pPr>
      <w:r>
        <w:rPr>
          <w:rFonts w:asciiTheme="majorBidi" w:hAnsiTheme="majorBidi" w:cstheme="majorBidi"/>
          <w:noProof/>
          <w:sz w:val="24"/>
          <w:szCs w:val="24"/>
          <w:lang w:val="en-US"/>
        </w:rPr>
        <w:t>European business representatives</w:t>
      </w:r>
    </w:p>
    <w:p>
      <w:pPr>
        <w:spacing w:line="240" w:lineRule="auto"/>
        <w:jc w:val="both"/>
        <w:rPr>
          <w:rFonts w:asciiTheme="majorBidi" w:hAnsiTheme="majorBidi" w:cstheme="majorBidi"/>
          <w:b/>
          <w:noProof/>
          <w:color w:val="000000" w:themeColor="text1"/>
          <w:sz w:val="24"/>
          <w:lang w:val="en-US"/>
        </w:rPr>
      </w:pPr>
      <w:r>
        <w:rPr>
          <w:rFonts w:asciiTheme="majorBidi" w:hAnsiTheme="majorBidi" w:cstheme="majorBidi"/>
          <w:b/>
          <w:noProof/>
          <w:color w:val="000000" w:themeColor="text1"/>
          <w:sz w:val="24"/>
          <w:lang w:val="en-US"/>
        </w:rPr>
        <w:t>A2.2 Methods and tools for engaging with stakeholders</w:t>
      </w:r>
    </w:p>
    <w:p>
      <w:pPr>
        <w:spacing w:line="240" w:lineRule="auto"/>
        <w:jc w:val="both"/>
        <w:rPr>
          <w:rFonts w:asciiTheme="majorBidi" w:hAnsiTheme="majorBidi" w:cstheme="majorBidi"/>
          <w:b/>
          <w:noProof/>
          <w:sz w:val="24"/>
          <w:szCs w:val="24"/>
          <w:lang w:val="en-US"/>
        </w:rPr>
      </w:pPr>
      <w:r>
        <w:rPr>
          <w:rFonts w:asciiTheme="majorBidi" w:hAnsiTheme="majorBidi" w:cstheme="majorBidi"/>
          <w:b/>
          <w:i/>
          <w:noProof/>
          <w:sz w:val="24"/>
          <w:lang w:val="en-US"/>
        </w:rPr>
        <w:t>A2.2.1 Delphi Survey</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The Delphi Survey seek to establish views on the role and contribution of the MFA in achieving macroeconomic stability, easing external financing constraints and alleviating Ukraine’s balance of payments and budgetary needs. Responses gathered from the Delphi panel fed into the analysis of the relevance, effectiveness, and efficiency of the MFA operation as well as the debt sustainability and social impact analyses. </w:t>
      </w:r>
    </w:p>
    <w:p>
      <w:pPr>
        <w:spacing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Twenty-one respondents provided complete answers to the survey. Respondents included representatives from think tanks, academia, banks, credit rating agencies, investment funds, media and consulting.</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The Delphi Survey was carried out on the basis of structured questionnaires. Specifically, participants were asked to elaborate on the plausible scenario(s) had (i) the EU MFA-III, or (ii) the joint MFA-IMF action not been implemented. As mentioned above, the Survey also covered aspects relating to the role of the MFA operation in promoting structural reforms and its social impact. A full analysis of the Delphi survey results is contained in Annex 4 of the external evaluation report</w:t>
      </w:r>
      <w:r>
        <w:rPr>
          <w:rStyle w:val="FootnoteReference"/>
          <w:rFonts w:asciiTheme="majorBidi" w:hAnsiTheme="majorBidi" w:cstheme="majorBidi"/>
          <w:noProof/>
          <w:szCs w:val="24"/>
          <w:lang w:val="en-GB"/>
        </w:rPr>
        <w:footnoteReference w:id="37"/>
      </w:r>
      <w:r>
        <w:rPr>
          <w:rFonts w:asciiTheme="majorBidi" w:hAnsiTheme="majorBidi" w:cstheme="majorBidi"/>
          <w:noProof/>
          <w:sz w:val="24"/>
          <w:szCs w:val="24"/>
          <w:lang w:val="en-GB"/>
        </w:rPr>
        <w:t xml:space="preserve">. </w:t>
      </w:r>
    </w:p>
    <w:p>
      <w:pPr>
        <w:pStyle w:val="AnnexH4"/>
        <w:numPr>
          <w:ilvl w:val="0"/>
          <w:numId w:val="0"/>
        </w:numPr>
        <w:tabs>
          <w:tab w:val="left" w:pos="1134"/>
        </w:tabs>
        <w:spacing w:line="240" w:lineRule="auto"/>
        <w:jc w:val="both"/>
        <w:rPr>
          <w:rFonts w:asciiTheme="majorBidi" w:hAnsiTheme="majorBidi" w:cstheme="majorBidi"/>
          <w:i/>
          <w:noProof/>
          <w:sz w:val="24"/>
        </w:rPr>
      </w:pPr>
      <w:r>
        <w:rPr>
          <w:rFonts w:asciiTheme="majorBidi" w:hAnsiTheme="majorBidi" w:cstheme="majorBidi"/>
          <w:i/>
          <w:noProof/>
          <w:sz w:val="24"/>
        </w:rPr>
        <w:t>A2.2.2 In-depth interviews</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ICF conducted forty semi-structured interviews with key stakeholders. An important aim of these targeted interviews was to explore selected stakeholders’ perspectives on the MFA operation in Ukraine. Specifically, detailed information was gathered on the operation, including (but not restricted to): its design and implementation; perceived/realised impact(s), notably its effectiveness in driving reform and / or macroeconomic stability; its ‘added-value’ when compared to other/similar support; and potential future improvements. </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The objective was to interview various officials and representatives of the Ukrainian national authorities (and other public entities involved in the implementation of the operation), the wider donor community and the European Commission. Additional interviews were conducted with representatives of the business community, the research sphere and the general population (notably in the recipient country). The main focus of each interview varied by stakeholder type. Annex 2 of the external evaluation report</w:t>
      </w:r>
      <w:r>
        <w:rPr>
          <w:rStyle w:val="FootnoteReference"/>
          <w:rFonts w:asciiTheme="majorBidi" w:hAnsiTheme="majorBidi" w:cstheme="majorBidi"/>
          <w:noProof/>
          <w:szCs w:val="24"/>
          <w:lang w:val="en-GB"/>
        </w:rPr>
        <w:footnoteReference w:id="38"/>
      </w:r>
      <w:r>
        <w:rPr>
          <w:rFonts w:asciiTheme="majorBidi" w:hAnsiTheme="majorBidi" w:cstheme="majorBidi"/>
          <w:noProof/>
          <w:sz w:val="24"/>
          <w:szCs w:val="24"/>
          <w:lang w:val="en-GB"/>
        </w:rPr>
        <w:t xml:space="preserve"> provides details on the main points of discussion by stakeholder group mapped across the evaluation criteria. </w:t>
      </w:r>
    </w:p>
    <w:p>
      <w:pPr>
        <w:pStyle w:val="AnnexH4"/>
        <w:numPr>
          <w:ilvl w:val="0"/>
          <w:numId w:val="0"/>
        </w:numPr>
        <w:tabs>
          <w:tab w:val="left" w:pos="1134"/>
        </w:tabs>
        <w:spacing w:line="240" w:lineRule="auto"/>
        <w:jc w:val="both"/>
        <w:rPr>
          <w:rFonts w:asciiTheme="majorBidi" w:hAnsiTheme="majorBidi" w:cstheme="majorBidi"/>
          <w:i/>
          <w:noProof/>
          <w:sz w:val="24"/>
        </w:rPr>
      </w:pPr>
      <w:r>
        <w:rPr>
          <w:rFonts w:asciiTheme="majorBidi" w:hAnsiTheme="majorBidi" w:cstheme="majorBidi"/>
          <w:i/>
          <w:noProof/>
          <w:sz w:val="24"/>
        </w:rPr>
        <w:t>A2.2.3 Focus group</w:t>
      </w:r>
    </w:p>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 xml:space="preserve">An online focus group discussion with non-government/private sector representatives, based in Ukraine, was organised. </w:t>
      </w:r>
    </w:p>
    <w:p>
      <w:pPr>
        <w:spacing w:after="0"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The aim of the focus group was to capture additional insights, perspectives, and thoughts in relation to the MFA operation in Ukraine. The discussion was steered to specific topics, including (but not restricted to):</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ayout w:type="fixed"/>
        <w:tblCellMar>
          <w:top w:w="57" w:type="dxa"/>
          <w:left w:w="0" w:type="dxa"/>
          <w:bottom w:w="57" w:type="dxa"/>
          <w:right w:w="0" w:type="dxa"/>
        </w:tblCellMar>
        <w:tblLook w:val="04A0" w:firstRow="1" w:lastRow="0" w:firstColumn="1" w:lastColumn="0" w:noHBand="0" w:noVBand="1"/>
      </w:tblPr>
      <w:tblGrid>
        <w:gridCol w:w="9072"/>
      </w:tblGrid>
      <w:tr>
        <w:trPr>
          <w:trHeight w:val="1078"/>
        </w:trPr>
        <w:tc>
          <w:tcPr>
            <w:tcW w:w="9072" w:type="dxa"/>
            <w:shd w:val="clear" w:color="auto" w:fill="auto"/>
          </w:tcPr>
          <w:p>
            <w:pPr>
              <w:pStyle w:val="list-bullet-color-table"/>
              <w:numPr>
                <w:ilvl w:val="0"/>
                <w:numId w:val="18"/>
              </w:numPr>
              <w:spacing w:before="240" w:line="240" w:lineRule="auto"/>
              <w:jc w:val="both"/>
              <w:rPr>
                <w:rFonts w:ascii="Times New Roman" w:hAnsi="Times New Roman"/>
                <w:noProof/>
                <w:sz w:val="24"/>
              </w:rPr>
            </w:pPr>
            <w:r>
              <w:rPr>
                <w:rFonts w:ascii="Times New Roman" w:hAnsi="Times New Roman"/>
                <w:noProof/>
                <w:sz w:val="24"/>
              </w:rPr>
              <w:t xml:space="preserve">Added value of MFA-III as part of the broader package of assistance, in terms of (i) visibility of the assistance; (ii) attitudes towards the EU among the general public; </w:t>
            </w:r>
          </w:p>
          <w:p>
            <w:pPr>
              <w:pStyle w:val="list-bullet-color-table"/>
              <w:numPr>
                <w:ilvl w:val="0"/>
                <w:numId w:val="18"/>
              </w:numPr>
              <w:spacing w:before="240" w:line="240" w:lineRule="auto"/>
              <w:jc w:val="both"/>
              <w:rPr>
                <w:rFonts w:ascii="Times New Roman" w:hAnsi="Times New Roman"/>
                <w:noProof/>
                <w:sz w:val="24"/>
              </w:rPr>
            </w:pPr>
            <w:r>
              <w:rPr>
                <w:rFonts w:ascii="Times New Roman" w:hAnsi="Times New Roman"/>
                <w:noProof/>
                <w:sz w:val="24"/>
              </w:rPr>
              <w:t xml:space="preserve">Issues related to non-disbursement of the third tranche (awareness, justification level, economic and political implications); </w:t>
            </w:r>
          </w:p>
          <w:p>
            <w:pPr>
              <w:pStyle w:val="list-bullet-color-table"/>
              <w:numPr>
                <w:ilvl w:val="0"/>
                <w:numId w:val="18"/>
              </w:numPr>
              <w:spacing w:before="240" w:line="240" w:lineRule="auto"/>
              <w:jc w:val="both"/>
              <w:rPr>
                <w:rFonts w:ascii="Times New Roman" w:hAnsi="Times New Roman"/>
                <w:noProof/>
                <w:sz w:val="24"/>
              </w:rPr>
            </w:pPr>
            <w:r>
              <w:rPr>
                <w:rFonts w:ascii="Times New Roman" w:hAnsi="Times New Roman"/>
                <w:noProof/>
                <w:sz w:val="24"/>
              </w:rPr>
              <w:t xml:space="preserve">EU and MFA-III’s contribution to Ukraine’s overall reform efforts;  </w:t>
            </w:r>
          </w:p>
          <w:p>
            <w:pPr>
              <w:pStyle w:val="list-bullet-color-table"/>
              <w:numPr>
                <w:ilvl w:val="0"/>
                <w:numId w:val="18"/>
              </w:numPr>
              <w:spacing w:before="240" w:after="240" w:line="240" w:lineRule="auto"/>
              <w:jc w:val="both"/>
              <w:rPr>
                <w:rFonts w:ascii="Times New Roman" w:hAnsi="Times New Roman"/>
                <w:noProof/>
                <w:sz w:val="24"/>
              </w:rPr>
            </w:pPr>
            <w:r>
              <w:rPr>
                <w:rFonts w:ascii="Times New Roman" w:hAnsi="Times New Roman"/>
                <w:noProof/>
                <w:sz w:val="24"/>
              </w:rPr>
              <w:t xml:space="preserve">Three in-depth discussions of specific reform areas: anti-corruption and judiciary; business environment; public administration reform. </w:t>
            </w:r>
            <w:r>
              <w:rPr>
                <w:rFonts w:asciiTheme="majorBidi" w:hAnsiTheme="majorBidi" w:cstheme="majorBidi"/>
                <w:noProof/>
                <w:sz w:val="24"/>
              </w:rPr>
              <w:t xml:space="preserve"> </w:t>
            </w:r>
          </w:p>
        </w:tc>
      </w:tr>
    </w:tbl>
    <w:p>
      <w:pPr>
        <w:spacing w:line="240" w:lineRule="auto"/>
        <w:jc w:val="both"/>
        <w:rPr>
          <w:rFonts w:asciiTheme="majorBidi" w:hAnsiTheme="majorBidi" w:cstheme="majorBidi"/>
          <w:noProof/>
          <w:sz w:val="24"/>
          <w:szCs w:val="24"/>
          <w:lang w:val="en-GB"/>
        </w:rPr>
      </w:pPr>
      <w:r>
        <w:rPr>
          <w:rFonts w:asciiTheme="majorBidi" w:hAnsiTheme="majorBidi" w:cstheme="majorBidi"/>
          <w:noProof/>
          <w:sz w:val="24"/>
          <w:szCs w:val="24"/>
          <w:lang w:val="en-GB"/>
        </w:rPr>
        <w:t>A summary of the focus group discussion is included at Annex 3 of the external evaluation report</w:t>
      </w:r>
      <w:r>
        <w:rPr>
          <w:rStyle w:val="FootnoteReference"/>
          <w:rFonts w:asciiTheme="majorBidi" w:hAnsiTheme="majorBidi" w:cstheme="majorBidi"/>
          <w:noProof/>
          <w:szCs w:val="24"/>
          <w:lang w:val="en-GB"/>
        </w:rPr>
        <w:footnoteReference w:id="39"/>
      </w:r>
      <w:r>
        <w:rPr>
          <w:rFonts w:asciiTheme="majorBidi" w:hAnsiTheme="majorBidi" w:cstheme="majorBidi"/>
          <w:noProof/>
          <w:sz w:val="24"/>
          <w:szCs w:val="24"/>
          <w:lang w:val="en-GB"/>
        </w:rPr>
        <w:t xml:space="preserve">. </w:t>
      </w:r>
    </w:p>
    <w:p>
      <w:pPr>
        <w:pStyle w:val="AnnexH4"/>
        <w:numPr>
          <w:ilvl w:val="0"/>
          <w:numId w:val="0"/>
        </w:numPr>
        <w:tabs>
          <w:tab w:val="left" w:pos="1134"/>
        </w:tabs>
        <w:spacing w:line="240" w:lineRule="auto"/>
        <w:jc w:val="both"/>
        <w:rPr>
          <w:rFonts w:asciiTheme="majorBidi" w:hAnsiTheme="majorBidi" w:cstheme="majorBidi"/>
          <w:i/>
          <w:noProof/>
          <w:sz w:val="24"/>
        </w:rPr>
      </w:pPr>
      <w:r>
        <w:rPr>
          <w:rFonts w:asciiTheme="majorBidi" w:hAnsiTheme="majorBidi" w:cstheme="majorBidi"/>
          <w:i/>
          <w:noProof/>
          <w:sz w:val="24"/>
        </w:rPr>
        <w:t>A2.2.4 Stakeholder validation workshop</w:t>
      </w:r>
    </w:p>
    <w:p>
      <w:pPr>
        <w:pStyle w:val="BodyText"/>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Towards the end of the evaluation process, a stakeholder validation workshop was</w:t>
      </w:r>
      <w:r>
        <w:rPr>
          <w:rFonts w:ascii="Times New Roman" w:hAnsi="Times New Roman" w:cs="Times New Roman"/>
          <w:noProof/>
          <w:sz w:val="24"/>
          <w:szCs w:val="24"/>
          <w:lang w:val="en-GB"/>
        </w:rPr>
        <w:t xml:space="preserve"> held to test and validate the emerging findings with stakeholders closely involved in the negotiation and/or implementation of MFA-III. The workshop</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GB"/>
        </w:rPr>
        <w:t xml:space="preserve">consisted of a short presentation of the main findings and conclusions, followed by discussion and feedback. </w:t>
      </w:r>
    </w:p>
    <w:p>
      <w:pPr>
        <w:pStyle w:val="Body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Participant groups included:</w:t>
      </w:r>
    </w:p>
    <w:p>
      <w:pPr>
        <w:pStyle w:val="Bullet1Space"/>
        <w:numPr>
          <w:ilvl w:val="0"/>
          <w:numId w:val="30"/>
        </w:numPr>
        <w:ind w:left="680"/>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EU: DG ECFIN, SGUA, EEAS, EU Delegation in Kyiv  </w:t>
      </w:r>
    </w:p>
    <w:p>
      <w:pPr>
        <w:pStyle w:val="Bullet1Space"/>
        <w:numPr>
          <w:ilvl w:val="0"/>
          <w:numId w:val="30"/>
        </w:numPr>
        <w:ind w:left="680"/>
        <w:jc w:val="both"/>
        <w:rPr>
          <w:rFonts w:ascii="Times New Roman" w:hAnsi="Times New Roman" w:cs="Times New Roman"/>
          <w:noProof/>
          <w:sz w:val="24"/>
          <w:szCs w:val="24"/>
        </w:rPr>
      </w:pPr>
      <w:r>
        <w:rPr>
          <w:rFonts w:ascii="Times New Roman" w:hAnsi="Times New Roman" w:cs="Times New Roman"/>
          <w:noProof/>
          <w:sz w:val="24"/>
          <w:szCs w:val="24"/>
        </w:rPr>
        <w:t xml:space="preserve">Ukraine: NBU, Ministry of Finance </w:t>
      </w:r>
    </w:p>
    <w:p>
      <w:pPr>
        <w:pStyle w:val="Bullet1Space"/>
        <w:numPr>
          <w:ilvl w:val="0"/>
          <w:numId w:val="30"/>
        </w:numPr>
        <w:ind w:left="680"/>
        <w:jc w:val="both"/>
        <w:rPr>
          <w:rFonts w:ascii="Times New Roman" w:hAnsi="Times New Roman" w:cs="Times New Roman"/>
          <w:noProof/>
          <w:sz w:val="24"/>
          <w:szCs w:val="24"/>
        </w:rPr>
      </w:pPr>
      <w:r>
        <w:rPr>
          <w:rFonts w:ascii="Times New Roman" w:hAnsi="Times New Roman" w:cs="Times New Roman"/>
          <w:noProof/>
          <w:sz w:val="24"/>
          <w:szCs w:val="24"/>
        </w:rPr>
        <w:t>IMF representative</w:t>
      </w:r>
      <w:r>
        <w:rPr>
          <w:noProof/>
        </w:rPr>
        <w:t xml:space="preserve"> </w:t>
      </w:r>
      <w:r>
        <w:rPr>
          <w:rFonts w:asciiTheme="majorBidi" w:hAnsiTheme="majorBidi"/>
          <w:b/>
          <w:noProof/>
          <w:sz w:val="28"/>
          <w:szCs w:val="24"/>
          <w:lang w:val="en-US"/>
        </w:rPr>
        <w:br w:type="page"/>
      </w:r>
    </w:p>
    <w:p>
      <w:pPr>
        <w:pStyle w:val="Heading2"/>
        <w:numPr>
          <w:ilvl w:val="1"/>
          <w:numId w:val="0"/>
        </w:numPr>
        <w:spacing w:before="120" w:after="120"/>
        <w:ind w:left="680" w:hanging="680"/>
        <w:rPr>
          <w:rFonts w:asciiTheme="majorBidi" w:hAnsiTheme="majorBidi"/>
          <w:b/>
          <w:noProof/>
          <w:color w:val="auto"/>
          <w:sz w:val="28"/>
          <w:szCs w:val="24"/>
          <w:lang w:val="en-US"/>
        </w:rPr>
      </w:pPr>
      <w:r>
        <w:rPr>
          <w:rFonts w:asciiTheme="majorBidi" w:hAnsiTheme="majorBidi"/>
          <w:b/>
          <w:noProof/>
          <w:color w:val="auto"/>
          <w:sz w:val="28"/>
          <w:szCs w:val="24"/>
          <w:lang w:val="en-US"/>
        </w:rPr>
        <w:t xml:space="preserve">Annex 3: </w:t>
      </w:r>
      <w:bookmarkStart w:id="35" w:name="_Toc527109469"/>
      <w:bookmarkStart w:id="36" w:name="_Toc534626804"/>
      <w:bookmarkStart w:id="37" w:name="_Toc2573334"/>
      <w:bookmarkStart w:id="38" w:name="_Toc2573724"/>
      <w:bookmarkStart w:id="39" w:name="_Toc6561308"/>
      <w:bookmarkStart w:id="40" w:name="_Toc10818167"/>
      <w:bookmarkStart w:id="41" w:name="_Toc11420854"/>
      <w:r>
        <w:rPr>
          <w:rFonts w:asciiTheme="majorBidi" w:hAnsiTheme="majorBidi"/>
          <w:b/>
          <w:noProof/>
          <w:color w:val="auto"/>
          <w:sz w:val="28"/>
          <w:szCs w:val="24"/>
          <w:lang w:val="en-US"/>
        </w:rPr>
        <w:t>Methods and data sources</w:t>
      </w:r>
      <w:bookmarkEnd w:id="35"/>
      <w:bookmarkEnd w:id="36"/>
      <w:bookmarkEnd w:id="37"/>
      <w:bookmarkEnd w:id="38"/>
      <w:bookmarkEnd w:id="39"/>
      <w:bookmarkEnd w:id="40"/>
      <w:bookmarkEnd w:id="41"/>
    </w:p>
    <w:p>
      <w:pPr>
        <w:spacing w:line="240" w:lineRule="auto"/>
        <w:ind w:right="-1"/>
        <w:jc w:val="both"/>
        <w:rPr>
          <w:rFonts w:asciiTheme="majorBidi" w:hAnsiTheme="majorBidi" w:cstheme="majorBidi"/>
          <w:noProof/>
          <w:sz w:val="24"/>
          <w:szCs w:val="24"/>
          <w:lang w:val="en-US"/>
        </w:rPr>
      </w:pPr>
      <w:r>
        <w:rPr>
          <w:rFonts w:asciiTheme="majorBidi" w:hAnsiTheme="majorBidi" w:cstheme="majorBidi"/>
          <w:noProof/>
          <w:sz w:val="24"/>
          <w:szCs w:val="24"/>
          <w:lang w:val="en-GB"/>
        </w:rPr>
        <w:t xml:space="preserve">An evaluation matrix was developed to guide the choice and design of specific research methods, as well as to provide a framework for subsequent data analysis and interpretation. </w:t>
      </w:r>
      <w:r>
        <w:rPr>
          <w:rFonts w:asciiTheme="majorBidi" w:hAnsiTheme="majorBidi" w:cstheme="majorBidi"/>
          <w:noProof/>
          <w:sz w:val="24"/>
          <w:szCs w:val="24"/>
          <w:lang w:val="en-US"/>
        </w:rPr>
        <w:t xml:space="preserve">The table below provides a high-level overview of the data collection methods and analytical techniques that were used to address each evaluation criteria. Further details are provided in the sub-sections that follow. </w:t>
      </w:r>
    </w:p>
    <w:p>
      <w:pPr>
        <w:pStyle w:val="AnnexTable"/>
        <w:keepLines/>
        <w:numPr>
          <w:ilvl w:val="0"/>
          <w:numId w:val="0"/>
        </w:numPr>
        <w:spacing w:line="240" w:lineRule="auto"/>
        <w:jc w:val="center"/>
        <w:outlineLvl w:val="2"/>
        <w:rPr>
          <w:rFonts w:asciiTheme="majorBidi" w:hAnsiTheme="majorBidi" w:cstheme="majorBidi"/>
          <w:i/>
          <w:noProof/>
          <w:color w:val="auto"/>
          <w:sz w:val="20"/>
        </w:rPr>
      </w:pPr>
      <w:bookmarkStart w:id="42" w:name="_Toc2573670"/>
      <w:bookmarkStart w:id="43" w:name="_Toc4516535"/>
      <w:bookmarkStart w:id="44" w:name="_Toc9407951"/>
      <w:r>
        <w:rPr>
          <w:rFonts w:asciiTheme="majorBidi" w:hAnsiTheme="majorBidi" w:cstheme="majorBidi"/>
          <w:i/>
          <w:noProof/>
          <w:color w:val="auto"/>
          <w:sz w:val="20"/>
          <w:lang w:val="en-US"/>
        </w:rPr>
        <w:t xml:space="preserve">Table A3.1 </w:t>
      </w:r>
      <w:r>
        <w:rPr>
          <w:rFonts w:asciiTheme="majorBidi" w:hAnsiTheme="majorBidi" w:cstheme="majorBidi"/>
          <w:i/>
          <w:noProof/>
          <w:color w:val="auto"/>
          <w:sz w:val="20"/>
        </w:rPr>
        <w:t>Overview of the methods and techniques used for the evaluation</w:t>
      </w:r>
      <w:bookmarkEnd w:id="42"/>
      <w:bookmarkEnd w:id="43"/>
      <w:bookmarkEnd w:id="44"/>
    </w:p>
    <w:tbl>
      <w:tblPr>
        <w:tblStyle w:val="TableGrid"/>
        <w:tblW w:w="9361" w:type="dxa"/>
        <w:tblLayout w:type="fixed"/>
        <w:tblCellMar>
          <w:left w:w="0" w:type="dxa"/>
          <w:right w:w="0" w:type="dxa"/>
        </w:tblCellMar>
        <w:tblLook w:val="04A0" w:firstRow="1" w:lastRow="0" w:firstColumn="1" w:lastColumn="0" w:noHBand="0" w:noVBand="1"/>
      </w:tblPr>
      <w:tblGrid>
        <w:gridCol w:w="2273"/>
        <w:gridCol w:w="1276"/>
        <w:gridCol w:w="1559"/>
        <w:gridCol w:w="1276"/>
        <w:gridCol w:w="1559"/>
        <w:gridCol w:w="1418"/>
      </w:tblGrid>
      <w:tr>
        <w:trPr>
          <w:cantSplit/>
          <w:trHeight w:val="610"/>
          <w:tblHeader/>
        </w:trPr>
        <w:tc>
          <w:tcPr>
            <w:tcW w:w="2273" w:type="dxa"/>
            <w:tcBorders>
              <w:bottom w:val="single" w:sz="4" w:space="0" w:color="auto"/>
              <w:right w:val="nil"/>
            </w:tcBorders>
            <w:shd w:val="clear" w:color="auto" w:fill="1F4E79" w:themeFill="accent1" w:themeFillShade="80"/>
            <w:vAlign w:val="center"/>
          </w:tcPr>
          <w:p>
            <w:pPr>
              <w:pStyle w:val="TableHeadingWhite"/>
              <w:ind w:left="-142"/>
              <w:rPr>
                <w:rFonts w:asciiTheme="majorBidi" w:hAnsiTheme="majorBidi" w:cstheme="majorBidi"/>
                <w:noProof/>
                <w:sz w:val="22"/>
              </w:rPr>
            </w:pPr>
          </w:p>
        </w:tc>
        <w:tc>
          <w:tcPr>
            <w:tcW w:w="1276" w:type="dxa"/>
            <w:tcBorders>
              <w:left w:val="nil"/>
              <w:bottom w:val="single" w:sz="4" w:space="0" w:color="auto"/>
              <w:right w:val="nil"/>
            </w:tcBorders>
            <w:shd w:val="clear" w:color="auto" w:fill="1F4E79" w:themeFill="accent1" w:themeFillShade="80"/>
            <w:vAlign w:val="center"/>
          </w:tcPr>
          <w:p>
            <w:pPr>
              <w:pStyle w:val="TableHeadingWhite"/>
              <w:rPr>
                <w:rFonts w:asciiTheme="majorBidi" w:hAnsiTheme="majorBidi" w:cstheme="majorBidi"/>
                <w:noProof/>
                <w:sz w:val="22"/>
              </w:rPr>
            </w:pPr>
            <w:r>
              <w:rPr>
                <w:rFonts w:asciiTheme="majorBidi" w:hAnsiTheme="majorBidi" w:cstheme="majorBidi"/>
                <w:noProof/>
                <w:sz w:val="22"/>
              </w:rPr>
              <w:t>Relevance</w:t>
            </w:r>
          </w:p>
        </w:tc>
        <w:tc>
          <w:tcPr>
            <w:tcW w:w="1559" w:type="dxa"/>
            <w:tcBorders>
              <w:left w:val="nil"/>
              <w:bottom w:val="single" w:sz="4" w:space="0" w:color="auto"/>
              <w:right w:val="nil"/>
            </w:tcBorders>
            <w:shd w:val="clear" w:color="auto" w:fill="1F4E79" w:themeFill="accent1" w:themeFillShade="80"/>
            <w:vAlign w:val="center"/>
          </w:tcPr>
          <w:p>
            <w:pPr>
              <w:pStyle w:val="TableHeadingWhite"/>
              <w:rPr>
                <w:rFonts w:asciiTheme="majorBidi" w:hAnsiTheme="majorBidi" w:cstheme="majorBidi"/>
                <w:noProof/>
                <w:sz w:val="22"/>
              </w:rPr>
            </w:pPr>
            <w:r>
              <w:rPr>
                <w:rFonts w:asciiTheme="majorBidi" w:hAnsiTheme="majorBidi" w:cstheme="majorBidi"/>
                <w:noProof/>
                <w:sz w:val="22"/>
              </w:rPr>
              <w:t>Effectiveness</w:t>
            </w:r>
          </w:p>
        </w:tc>
        <w:tc>
          <w:tcPr>
            <w:tcW w:w="1276" w:type="dxa"/>
            <w:tcBorders>
              <w:left w:val="nil"/>
              <w:bottom w:val="single" w:sz="4" w:space="0" w:color="auto"/>
              <w:right w:val="nil"/>
            </w:tcBorders>
            <w:shd w:val="clear" w:color="auto" w:fill="1F4E79" w:themeFill="accent1" w:themeFillShade="80"/>
            <w:vAlign w:val="center"/>
          </w:tcPr>
          <w:p>
            <w:pPr>
              <w:pStyle w:val="TableHeadingWhite"/>
              <w:rPr>
                <w:rFonts w:asciiTheme="majorBidi" w:hAnsiTheme="majorBidi" w:cstheme="majorBidi"/>
                <w:noProof/>
                <w:sz w:val="22"/>
              </w:rPr>
            </w:pPr>
            <w:r>
              <w:rPr>
                <w:rFonts w:asciiTheme="majorBidi" w:hAnsiTheme="majorBidi" w:cstheme="majorBidi"/>
                <w:noProof/>
                <w:sz w:val="22"/>
              </w:rPr>
              <w:t>Efficiency</w:t>
            </w:r>
          </w:p>
        </w:tc>
        <w:tc>
          <w:tcPr>
            <w:tcW w:w="1559" w:type="dxa"/>
            <w:tcBorders>
              <w:left w:val="nil"/>
              <w:bottom w:val="single" w:sz="4" w:space="0" w:color="auto"/>
              <w:right w:val="nil"/>
            </w:tcBorders>
            <w:shd w:val="clear" w:color="auto" w:fill="1F4E79" w:themeFill="accent1" w:themeFillShade="80"/>
            <w:vAlign w:val="center"/>
          </w:tcPr>
          <w:p>
            <w:pPr>
              <w:pStyle w:val="TableHeadingWhite"/>
              <w:rPr>
                <w:rFonts w:asciiTheme="majorBidi" w:hAnsiTheme="majorBidi" w:cstheme="majorBidi"/>
                <w:noProof/>
                <w:sz w:val="22"/>
              </w:rPr>
            </w:pPr>
            <w:r>
              <w:rPr>
                <w:rFonts w:asciiTheme="majorBidi" w:hAnsiTheme="majorBidi" w:cstheme="majorBidi"/>
                <w:noProof/>
                <w:sz w:val="22"/>
              </w:rPr>
              <w:t>Coherence</w:t>
            </w:r>
          </w:p>
        </w:tc>
        <w:tc>
          <w:tcPr>
            <w:tcW w:w="1418" w:type="dxa"/>
            <w:tcBorders>
              <w:left w:val="nil"/>
              <w:bottom w:val="single" w:sz="4" w:space="0" w:color="auto"/>
            </w:tcBorders>
            <w:shd w:val="clear" w:color="auto" w:fill="1F4E79" w:themeFill="accent1" w:themeFillShade="80"/>
            <w:vAlign w:val="center"/>
          </w:tcPr>
          <w:p>
            <w:pPr>
              <w:pStyle w:val="TableHeadingWhite"/>
              <w:rPr>
                <w:rFonts w:asciiTheme="majorBidi" w:hAnsiTheme="majorBidi" w:cstheme="majorBidi"/>
                <w:noProof/>
                <w:sz w:val="22"/>
              </w:rPr>
            </w:pPr>
            <w:r>
              <w:rPr>
                <w:rFonts w:asciiTheme="majorBidi" w:hAnsiTheme="majorBidi" w:cstheme="majorBidi"/>
                <w:noProof/>
                <w:sz w:val="22"/>
              </w:rPr>
              <w:t>EU added value</w:t>
            </w:r>
          </w:p>
        </w:tc>
      </w:tr>
      <w:tr>
        <w:trPr>
          <w:trHeight w:val="528"/>
        </w:trPr>
        <w:tc>
          <w:tcPr>
            <w:tcW w:w="2273" w:type="dxa"/>
            <w:tcBorders>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Documentary review</w:t>
            </w:r>
          </w:p>
        </w:tc>
        <w:tc>
          <w:tcPr>
            <w:tcW w:w="1276" w:type="dxa"/>
            <w:tcBorders>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418" w:type="dxa"/>
            <w:tcBorders>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r>
      <w:tr>
        <w:trPr>
          <w:trHeight w:val="542"/>
        </w:trPr>
        <w:tc>
          <w:tcPr>
            <w:tcW w:w="2273" w:type="dxa"/>
            <w:tcBorders>
              <w:top w:val="single" w:sz="4" w:space="0" w:color="auto"/>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Macroeconomic data analysis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418" w:type="dxa"/>
            <w:tcBorders>
              <w:top w:val="single" w:sz="4" w:space="0" w:color="auto"/>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r>
      <w:tr>
        <w:trPr>
          <w:trHeight w:val="551"/>
        </w:trPr>
        <w:tc>
          <w:tcPr>
            <w:tcW w:w="2273" w:type="dxa"/>
            <w:tcBorders>
              <w:top w:val="single" w:sz="4" w:space="0" w:color="auto"/>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Key informant / stakeholder interviews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418" w:type="dxa"/>
            <w:tcBorders>
              <w:top w:val="single" w:sz="4" w:space="0" w:color="auto"/>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r>
      <w:tr>
        <w:trPr>
          <w:trHeight w:val="542"/>
        </w:trPr>
        <w:tc>
          <w:tcPr>
            <w:tcW w:w="2273" w:type="dxa"/>
            <w:tcBorders>
              <w:top w:val="single" w:sz="4" w:space="0" w:color="auto"/>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Online Focus group</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418" w:type="dxa"/>
            <w:tcBorders>
              <w:top w:val="single" w:sz="4" w:space="0" w:color="auto"/>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r>
      <w:tr>
        <w:trPr>
          <w:trHeight w:val="553"/>
        </w:trPr>
        <w:tc>
          <w:tcPr>
            <w:tcW w:w="2273" w:type="dxa"/>
            <w:tcBorders>
              <w:top w:val="single" w:sz="4" w:space="0" w:color="auto"/>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Delphi survey</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418" w:type="dxa"/>
            <w:tcBorders>
              <w:top w:val="single" w:sz="4" w:space="0" w:color="auto"/>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r>
      <w:tr>
        <w:trPr>
          <w:trHeight w:val="534"/>
        </w:trPr>
        <w:tc>
          <w:tcPr>
            <w:tcW w:w="2273" w:type="dxa"/>
            <w:tcBorders>
              <w:top w:val="single" w:sz="4" w:space="0" w:color="auto"/>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Case studies (structural reforms)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418" w:type="dxa"/>
            <w:tcBorders>
              <w:top w:val="single" w:sz="4" w:space="0" w:color="auto"/>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r>
      <w:tr>
        <w:trPr>
          <w:trHeight w:val="653"/>
        </w:trPr>
        <w:tc>
          <w:tcPr>
            <w:tcW w:w="2273" w:type="dxa"/>
            <w:tcBorders>
              <w:top w:val="single" w:sz="4" w:space="0" w:color="auto"/>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Qualitative counterfactual analysis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418" w:type="dxa"/>
            <w:tcBorders>
              <w:top w:val="single" w:sz="4" w:space="0" w:color="auto"/>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r>
      <w:tr>
        <w:trPr>
          <w:trHeight w:val="506"/>
        </w:trPr>
        <w:tc>
          <w:tcPr>
            <w:tcW w:w="2273" w:type="dxa"/>
            <w:tcBorders>
              <w:top w:val="single" w:sz="4" w:space="0" w:color="auto"/>
              <w:bottom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Social impact analysis</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559" w:type="dxa"/>
            <w:tcBorders>
              <w:top w:val="single" w:sz="4" w:space="0" w:color="auto"/>
              <w:left w:val="nil"/>
              <w:bottom w:val="single" w:sz="4" w:space="0" w:color="auto"/>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418" w:type="dxa"/>
            <w:tcBorders>
              <w:top w:val="single" w:sz="4" w:space="0" w:color="auto"/>
              <w:left w:val="nil"/>
              <w:bottom w:val="single" w:sz="4" w:space="0" w:color="auto"/>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r>
      <w:tr>
        <w:trPr>
          <w:trHeight w:val="528"/>
        </w:trPr>
        <w:tc>
          <w:tcPr>
            <w:tcW w:w="2273" w:type="dxa"/>
            <w:tcBorders>
              <w:top w:val="single" w:sz="4" w:space="0" w:color="auto"/>
              <w:right w:val="nil"/>
            </w:tcBorders>
            <w:shd w:val="clear" w:color="auto" w:fill="DEEAF6" w:themeFill="accent1" w:themeFillTint="33"/>
            <w:vAlign w:val="center"/>
          </w:tcPr>
          <w:p>
            <w:pPr>
              <w:pStyle w:val="TableText"/>
              <w:rPr>
                <w:rFonts w:asciiTheme="majorBidi" w:hAnsiTheme="majorBidi" w:cstheme="majorBidi"/>
                <w:noProof/>
              </w:rPr>
            </w:pPr>
            <w:r>
              <w:rPr>
                <w:rFonts w:asciiTheme="majorBidi" w:hAnsiTheme="majorBidi" w:cstheme="majorBidi"/>
                <w:noProof/>
              </w:rPr>
              <w:t>Debt sustainability analysis</w:t>
            </w:r>
          </w:p>
        </w:tc>
        <w:tc>
          <w:tcPr>
            <w:tcW w:w="1276" w:type="dxa"/>
            <w:tcBorders>
              <w:top w:val="single" w:sz="4" w:space="0" w:color="auto"/>
              <w:left w:val="nil"/>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559" w:type="dxa"/>
            <w:tcBorders>
              <w:top w:val="single" w:sz="4" w:space="0" w:color="auto"/>
              <w:left w:val="nil"/>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r>
              <w:rPr>
                <w:rFonts w:asciiTheme="majorBidi" w:hAnsiTheme="majorBidi" w:cstheme="majorBidi"/>
                <w:noProof/>
                <w:color w:val="1F4E79" w:themeColor="accent1" w:themeShade="80"/>
                <w:sz w:val="24"/>
              </w:rPr>
              <w:t>●●●</w:t>
            </w:r>
          </w:p>
        </w:tc>
        <w:tc>
          <w:tcPr>
            <w:tcW w:w="1276" w:type="dxa"/>
            <w:tcBorders>
              <w:top w:val="single" w:sz="4" w:space="0" w:color="auto"/>
              <w:left w:val="nil"/>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559" w:type="dxa"/>
            <w:tcBorders>
              <w:top w:val="single" w:sz="4" w:space="0" w:color="auto"/>
              <w:left w:val="nil"/>
              <w:righ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c>
          <w:tcPr>
            <w:tcW w:w="1418" w:type="dxa"/>
            <w:tcBorders>
              <w:top w:val="single" w:sz="4" w:space="0" w:color="auto"/>
              <w:left w:val="nil"/>
            </w:tcBorders>
            <w:shd w:val="clear" w:color="auto" w:fill="FFFFFF" w:themeFill="background1"/>
            <w:vAlign w:val="center"/>
          </w:tcPr>
          <w:p>
            <w:pPr>
              <w:pStyle w:val="TableText"/>
              <w:rPr>
                <w:rFonts w:asciiTheme="majorBidi" w:hAnsiTheme="majorBidi" w:cstheme="majorBidi"/>
                <w:noProof/>
                <w:color w:val="1F4E79" w:themeColor="accent1" w:themeShade="80"/>
                <w:sz w:val="24"/>
              </w:rPr>
            </w:pPr>
          </w:p>
        </w:tc>
      </w:tr>
    </w:tbl>
    <w:p>
      <w:pPr>
        <w:pStyle w:val="BodyText"/>
        <w:spacing w:after="0" w:line="240" w:lineRule="auto"/>
        <w:jc w:val="both"/>
        <w:rPr>
          <w:rFonts w:asciiTheme="majorBidi" w:hAnsiTheme="majorBidi" w:cstheme="majorBidi"/>
          <w:i/>
          <w:noProof/>
          <w:sz w:val="20"/>
          <w:szCs w:val="24"/>
          <w:lang w:val="en-US"/>
        </w:rPr>
      </w:pPr>
      <w:r>
        <w:rPr>
          <w:rFonts w:asciiTheme="majorBidi" w:hAnsiTheme="majorBidi" w:cstheme="majorBidi"/>
          <w:i/>
          <w:noProof/>
          <w:color w:val="1F4E79" w:themeColor="accent1" w:themeShade="80"/>
          <w:sz w:val="20"/>
          <w:szCs w:val="24"/>
          <w:lang w:val="en-US"/>
        </w:rPr>
        <w:t xml:space="preserve">●●● </w:t>
      </w:r>
      <w:r>
        <w:rPr>
          <w:rFonts w:asciiTheme="majorBidi" w:hAnsiTheme="majorBidi" w:cstheme="majorBidi"/>
          <w:i/>
          <w:noProof/>
          <w:sz w:val="20"/>
          <w:szCs w:val="24"/>
          <w:lang w:val="en-US"/>
        </w:rPr>
        <w:t>a very important method for addressing the evaluation criterion</w:t>
      </w:r>
    </w:p>
    <w:p>
      <w:pPr>
        <w:pStyle w:val="BodyText"/>
        <w:spacing w:after="0" w:line="240" w:lineRule="auto"/>
        <w:jc w:val="both"/>
        <w:rPr>
          <w:rFonts w:asciiTheme="majorBidi" w:hAnsiTheme="majorBidi" w:cstheme="majorBidi"/>
          <w:i/>
          <w:noProof/>
          <w:sz w:val="20"/>
          <w:szCs w:val="24"/>
          <w:lang w:val="en-US"/>
        </w:rPr>
      </w:pPr>
      <w:r>
        <w:rPr>
          <w:rFonts w:asciiTheme="majorBidi" w:hAnsiTheme="majorBidi" w:cstheme="majorBidi"/>
          <w:i/>
          <w:noProof/>
          <w:color w:val="1F4E79" w:themeColor="accent1" w:themeShade="80"/>
          <w:sz w:val="20"/>
          <w:szCs w:val="24"/>
          <w:lang w:val="en-US"/>
        </w:rPr>
        <w:t>●●</w:t>
      </w:r>
      <w:r>
        <w:rPr>
          <w:rFonts w:asciiTheme="majorBidi" w:hAnsiTheme="majorBidi" w:cstheme="majorBidi"/>
          <w:i/>
          <w:noProof/>
          <w:color w:val="44546A" w:themeColor="text2"/>
          <w:sz w:val="20"/>
          <w:szCs w:val="24"/>
          <w:lang w:val="en-US"/>
        </w:rPr>
        <w:t xml:space="preserve"> </w:t>
      </w:r>
      <w:r>
        <w:rPr>
          <w:rFonts w:asciiTheme="majorBidi" w:hAnsiTheme="majorBidi" w:cstheme="majorBidi"/>
          <w:i/>
          <w:noProof/>
          <w:sz w:val="20"/>
          <w:szCs w:val="24"/>
          <w:lang w:val="en-US"/>
        </w:rPr>
        <w:t xml:space="preserve">an important method for addressing the evaluation criterion </w:t>
      </w:r>
    </w:p>
    <w:p>
      <w:pPr>
        <w:pStyle w:val="BodyText"/>
        <w:spacing w:after="0" w:line="240" w:lineRule="auto"/>
        <w:jc w:val="both"/>
        <w:rPr>
          <w:rFonts w:asciiTheme="majorBidi" w:hAnsiTheme="majorBidi" w:cstheme="majorBidi"/>
          <w:i/>
          <w:noProof/>
          <w:sz w:val="20"/>
          <w:szCs w:val="24"/>
          <w:lang w:val="en-US"/>
        </w:rPr>
      </w:pPr>
      <w:r>
        <w:rPr>
          <w:rFonts w:asciiTheme="majorBidi" w:hAnsiTheme="majorBidi" w:cstheme="majorBidi"/>
          <w:i/>
          <w:noProof/>
          <w:color w:val="1F4E79" w:themeColor="accent1" w:themeShade="80"/>
          <w:sz w:val="20"/>
          <w:szCs w:val="24"/>
          <w:lang w:val="en-US"/>
        </w:rPr>
        <w:t>●</w:t>
      </w:r>
      <w:r>
        <w:rPr>
          <w:rFonts w:asciiTheme="majorBidi" w:hAnsiTheme="majorBidi" w:cstheme="majorBidi"/>
          <w:i/>
          <w:noProof/>
          <w:color w:val="44546A" w:themeColor="text2"/>
          <w:sz w:val="20"/>
          <w:szCs w:val="24"/>
          <w:lang w:val="en-US"/>
        </w:rPr>
        <w:t xml:space="preserve"> </w:t>
      </w:r>
      <w:r>
        <w:rPr>
          <w:rFonts w:asciiTheme="majorBidi" w:hAnsiTheme="majorBidi" w:cstheme="majorBidi"/>
          <w:i/>
          <w:noProof/>
          <w:sz w:val="20"/>
          <w:szCs w:val="24"/>
          <w:lang w:val="en-US"/>
        </w:rPr>
        <w:t>a complementary method</w:t>
      </w:r>
    </w:p>
    <w:p>
      <w:pPr>
        <w:pStyle w:val="BodyText"/>
        <w:jc w:val="both"/>
        <w:rPr>
          <w:rFonts w:asciiTheme="majorBidi" w:hAnsiTheme="majorBidi" w:cstheme="majorBidi"/>
          <w:noProof/>
          <w:sz w:val="20"/>
          <w:szCs w:val="24"/>
          <w:lang w:val="en-US"/>
        </w:rPr>
      </w:pPr>
    </w:p>
    <w:p>
      <w:pPr>
        <w:pStyle w:val="Heading3"/>
        <w:tabs>
          <w:tab w:val="num" w:pos="1200"/>
        </w:tabs>
        <w:jc w:val="both"/>
        <w:rPr>
          <w:rFonts w:ascii="Times New Roman" w:hAnsi="Times New Roman" w:cs="Times New Roman"/>
          <w:b w:val="0"/>
          <w:i/>
          <w:noProof/>
          <w:sz w:val="24"/>
        </w:rPr>
      </w:pPr>
      <w:r>
        <w:rPr>
          <w:rFonts w:ascii="Times New Roman" w:hAnsi="Times New Roman" w:cs="Times New Roman"/>
          <w:bCs w:val="0"/>
          <w:noProof/>
          <w:sz w:val="24"/>
        </w:rPr>
        <w:t>A3.1 Documentary review</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All relevant literature and official documentation published by European Institutions, Ukrainian authorities and other international organizations, such as the IMF and the World Bank was reviewed to inform the evaluation. </w:t>
      </w:r>
    </w:p>
    <w:p>
      <w:pPr>
        <w:pStyle w:val="BodyText"/>
        <w:jc w:val="both"/>
        <w:rPr>
          <w:rFonts w:ascii="Times New Roman" w:hAnsi="Times New Roman" w:cs="Times New Roman"/>
          <w:noProof/>
          <w:sz w:val="24"/>
          <w:lang w:val="en-US"/>
        </w:rPr>
      </w:pPr>
      <w:r>
        <w:rPr>
          <w:rFonts w:ascii="Times New Roman" w:hAnsi="Times New Roman" w:cs="Times New Roman"/>
          <w:noProof/>
          <w:sz w:val="24"/>
          <w:lang w:val="en-US"/>
        </w:rPr>
        <w:t xml:space="preserve">Table A3.2 below provides an overview of the sources and types of documentary evidence assembled and reviewed, while table A3.3 details key macroeconomic indicators and data sources used.   </w:t>
      </w:r>
    </w:p>
    <w:p>
      <w:pPr>
        <w:pStyle w:val="BodyText"/>
        <w:jc w:val="both"/>
        <w:rPr>
          <w:noProof/>
          <w:lang w:val="en-GB"/>
        </w:rPr>
      </w:pPr>
    </w:p>
    <w:p>
      <w:pPr>
        <w:pStyle w:val="AnnexTable"/>
        <w:keepLines/>
        <w:numPr>
          <w:ilvl w:val="0"/>
          <w:numId w:val="0"/>
        </w:numPr>
        <w:spacing w:line="240" w:lineRule="auto"/>
        <w:jc w:val="center"/>
        <w:outlineLvl w:val="2"/>
        <w:rPr>
          <w:rFonts w:ascii="Times New Roman" w:hAnsi="Times New Roman"/>
          <w:i/>
          <w:noProof/>
          <w:color w:val="auto"/>
          <w:sz w:val="20"/>
        </w:rPr>
      </w:pPr>
      <w:r>
        <w:rPr>
          <w:rFonts w:ascii="Times New Roman" w:hAnsi="Times New Roman"/>
          <w:i/>
          <w:noProof/>
          <w:color w:val="auto"/>
          <w:sz w:val="20"/>
        </w:rPr>
        <w:t>Table A3.2 Documentary sources of evidence for the evaluation</w:t>
      </w:r>
    </w:p>
    <w:tbl>
      <w:tblPr>
        <w:tblW w:w="936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Description w:val="False|True|False"/>
      </w:tblPr>
      <w:tblGrid>
        <w:gridCol w:w="2982"/>
        <w:gridCol w:w="6379"/>
      </w:tblGrid>
      <w:tr>
        <w:trPr>
          <w:cantSplit/>
          <w:trHeight w:val="492"/>
          <w:tblHeader/>
        </w:trPr>
        <w:tc>
          <w:tcPr>
            <w:tcW w:w="2982" w:type="dxa"/>
            <w:shd w:val="clear" w:color="auto" w:fill="1F4E79" w:themeFill="accent1" w:themeFillShade="80"/>
          </w:tcPr>
          <w:p>
            <w:pPr>
              <w:pStyle w:val="TableHeadingWhite"/>
              <w:rPr>
                <w:rFonts w:ascii="Times New Roman" w:hAnsi="Times New Roman"/>
                <w:noProof/>
                <w:color w:val="FFFFFF" w:themeColor="background1"/>
                <w:sz w:val="22"/>
                <w:szCs w:val="20"/>
              </w:rPr>
            </w:pPr>
            <w:r>
              <w:rPr>
                <w:rFonts w:ascii="Times New Roman" w:hAnsi="Times New Roman"/>
                <w:noProof/>
                <w:color w:val="FFFFFF" w:themeColor="background1"/>
                <w:sz w:val="22"/>
                <w:szCs w:val="20"/>
              </w:rPr>
              <w:t>Type</w:t>
            </w:r>
          </w:p>
        </w:tc>
        <w:tc>
          <w:tcPr>
            <w:tcW w:w="6379" w:type="dxa"/>
            <w:shd w:val="clear" w:color="auto" w:fill="1F4E79" w:themeFill="accent1" w:themeFillShade="80"/>
          </w:tcPr>
          <w:p>
            <w:pPr>
              <w:pStyle w:val="TableHeadingWhite"/>
              <w:rPr>
                <w:rFonts w:ascii="Times New Roman" w:hAnsi="Times New Roman"/>
                <w:noProof/>
                <w:color w:val="FFFFFF" w:themeColor="background1"/>
                <w:sz w:val="22"/>
                <w:szCs w:val="20"/>
              </w:rPr>
            </w:pPr>
            <w:r>
              <w:rPr>
                <w:rFonts w:ascii="Times New Roman" w:hAnsi="Times New Roman"/>
                <w:noProof/>
                <w:color w:val="FFFFFF" w:themeColor="background1"/>
                <w:sz w:val="22"/>
                <w:szCs w:val="20"/>
              </w:rPr>
              <w:t>Description</w:t>
            </w:r>
          </w:p>
        </w:tc>
      </w:tr>
      <w:tr>
        <w:tc>
          <w:tcPr>
            <w:tcW w:w="2982" w:type="dxa"/>
            <w:tcBorders>
              <w:bottom w:val="single" w:sz="4" w:space="0" w:color="auto"/>
            </w:tcBorders>
            <w:shd w:val="clear" w:color="auto" w:fill="auto"/>
            <w:vAlign w:val="center"/>
          </w:tcPr>
          <w:p>
            <w:pPr>
              <w:pStyle w:val="TableText"/>
              <w:rPr>
                <w:rFonts w:ascii="Times New Roman" w:hAnsi="Times New Roman" w:cs="Times New Roman"/>
                <w:noProof/>
                <w:color w:val="auto"/>
                <w:sz w:val="18"/>
                <w:szCs w:val="20"/>
              </w:rPr>
            </w:pPr>
            <w:r>
              <w:rPr>
                <w:rFonts w:ascii="Times New Roman" w:hAnsi="Times New Roman" w:cs="Times New Roman"/>
                <w:noProof/>
                <w:color w:val="auto"/>
                <w:sz w:val="18"/>
                <w:szCs w:val="20"/>
              </w:rPr>
              <w:t>European Commission files relating to the MFA-III operation</w:t>
            </w:r>
          </w:p>
        </w:tc>
        <w:tc>
          <w:tcPr>
            <w:tcW w:w="6379" w:type="dxa"/>
            <w:tcBorders>
              <w:bottom w:val="single" w:sz="4" w:space="0" w:color="auto"/>
            </w:tcBorders>
            <w:shd w:val="clear" w:color="auto" w:fill="auto"/>
            <w:vAlign w:val="center"/>
          </w:tcPr>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 xml:space="preserve">Council Decision 2015/601/EU; </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Ex ante assessment;</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MoU for MFA-III;</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Operational assessment;</w:t>
            </w:r>
          </w:p>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hAnsi="Times New Roman" w:cs="Times New Roman"/>
                <w:noProof/>
                <w:sz w:val="18"/>
                <w:szCs w:val="20"/>
                <w:lang w:val="en-US"/>
              </w:rPr>
              <w:t>Preparatory documents submitted to the Economic and Financial Committee;</w:t>
            </w:r>
          </w:p>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eastAsia="Calibri" w:hAnsi="Times New Roman" w:cs="Times New Roman"/>
                <w:noProof/>
                <w:sz w:val="18"/>
                <w:szCs w:val="20"/>
                <w:lang w:val="en-US"/>
              </w:rPr>
              <w:t>Documentation on other EU assistance to Ukraine (State Building Contract (SBC) documentation and evaluation report) and the overarching policy framework (including annual report on implementation of the AA).</w:t>
            </w:r>
          </w:p>
        </w:tc>
      </w:tr>
      <w:tr>
        <w:tc>
          <w:tcPr>
            <w:tcW w:w="2982" w:type="dxa"/>
            <w:tcBorders>
              <w:top w:val="single" w:sz="4" w:space="0" w:color="auto"/>
              <w:bottom w:val="single" w:sz="4" w:space="0" w:color="auto"/>
            </w:tcBorders>
            <w:shd w:val="clear" w:color="auto" w:fill="auto"/>
            <w:vAlign w:val="center"/>
          </w:tcPr>
          <w:p>
            <w:pPr>
              <w:pStyle w:val="TableText"/>
              <w:rPr>
                <w:rFonts w:ascii="Times New Roman" w:hAnsi="Times New Roman" w:cs="Times New Roman"/>
                <w:noProof/>
                <w:color w:val="auto"/>
                <w:sz w:val="18"/>
                <w:szCs w:val="20"/>
              </w:rPr>
            </w:pPr>
            <w:r>
              <w:rPr>
                <w:rFonts w:ascii="Times New Roman" w:hAnsi="Times New Roman" w:cs="Times New Roman"/>
                <w:noProof/>
                <w:color w:val="auto"/>
                <w:sz w:val="18"/>
                <w:szCs w:val="20"/>
              </w:rPr>
              <w:t>EU policy-related documentation</w:t>
            </w:r>
          </w:p>
        </w:tc>
        <w:tc>
          <w:tcPr>
            <w:tcW w:w="6379" w:type="dxa"/>
            <w:tcBorders>
              <w:top w:val="single" w:sz="4" w:space="0" w:color="auto"/>
              <w:bottom w:val="single" w:sz="4" w:space="0" w:color="auto"/>
            </w:tcBorders>
            <w:shd w:val="clear" w:color="auto" w:fill="auto"/>
            <w:vAlign w:val="center"/>
          </w:tcPr>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 xml:space="preserve">Association Agenda; </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 xml:space="preserve">Progress reports on Association Agenda; </w:t>
            </w:r>
          </w:p>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hAnsi="Times New Roman" w:cs="Times New Roman"/>
                <w:noProof/>
                <w:sz w:val="18"/>
                <w:szCs w:val="20"/>
                <w:lang w:val="en-US"/>
              </w:rPr>
              <w:t xml:space="preserve">Reports on the implementation of the European Neighbourhood Policy (ENP) and the Visa Liberalisation Action Plan; </w:t>
            </w:r>
          </w:p>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hAnsi="Times New Roman" w:cs="Times New Roman"/>
                <w:noProof/>
                <w:sz w:val="18"/>
                <w:szCs w:val="20"/>
                <w:lang w:val="en-US"/>
              </w:rPr>
              <w:t xml:space="preserve">Reports on financing spent on EU sector budget support; </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Technical assistance project descriptions.</w:t>
            </w:r>
          </w:p>
        </w:tc>
      </w:tr>
      <w:tr>
        <w:tc>
          <w:tcPr>
            <w:tcW w:w="2982" w:type="dxa"/>
            <w:tcBorders>
              <w:top w:val="single" w:sz="4" w:space="0" w:color="auto"/>
              <w:bottom w:val="single" w:sz="4" w:space="0" w:color="auto"/>
            </w:tcBorders>
            <w:shd w:val="clear" w:color="auto" w:fill="auto"/>
            <w:vAlign w:val="center"/>
          </w:tcPr>
          <w:p>
            <w:pPr>
              <w:pStyle w:val="TableText"/>
              <w:rPr>
                <w:rFonts w:ascii="Times New Roman" w:hAnsi="Times New Roman" w:cs="Times New Roman"/>
                <w:noProof/>
                <w:color w:val="auto"/>
                <w:sz w:val="18"/>
                <w:szCs w:val="20"/>
              </w:rPr>
            </w:pPr>
            <w:r>
              <w:rPr>
                <w:rFonts w:ascii="Times New Roman" w:hAnsi="Times New Roman" w:cs="Times New Roman"/>
                <w:noProof/>
                <w:color w:val="auto"/>
                <w:sz w:val="18"/>
                <w:szCs w:val="20"/>
              </w:rPr>
              <w:t xml:space="preserve">Documentation published by the Ukrainian authorities </w:t>
            </w:r>
          </w:p>
        </w:tc>
        <w:tc>
          <w:tcPr>
            <w:tcW w:w="6379" w:type="dxa"/>
            <w:tcBorders>
              <w:top w:val="single" w:sz="4" w:space="0" w:color="auto"/>
              <w:bottom w:val="single" w:sz="4" w:space="0" w:color="auto"/>
            </w:tcBorders>
            <w:shd w:val="clear" w:color="auto" w:fill="auto"/>
            <w:vAlign w:val="center"/>
          </w:tcPr>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 xml:space="preserve">Economic strategies; </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 xml:space="preserve">Reform programme action plans; </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Newswires.</w:t>
            </w:r>
          </w:p>
        </w:tc>
      </w:tr>
      <w:tr>
        <w:tc>
          <w:tcPr>
            <w:tcW w:w="2982" w:type="dxa"/>
            <w:tcBorders>
              <w:top w:val="single" w:sz="4" w:space="0" w:color="auto"/>
              <w:bottom w:val="single" w:sz="4" w:space="0" w:color="auto"/>
            </w:tcBorders>
            <w:shd w:val="clear" w:color="auto" w:fill="auto"/>
            <w:vAlign w:val="center"/>
          </w:tcPr>
          <w:p>
            <w:pPr>
              <w:pStyle w:val="TableText"/>
              <w:rPr>
                <w:rFonts w:ascii="Times New Roman" w:hAnsi="Times New Roman" w:cs="Times New Roman"/>
                <w:noProof/>
                <w:color w:val="auto"/>
                <w:sz w:val="18"/>
                <w:szCs w:val="20"/>
              </w:rPr>
            </w:pPr>
            <w:r>
              <w:rPr>
                <w:rFonts w:ascii="Times New Roman" w:hAnsi="Times New Roman" w:cs="Times New Roman"/>
                <w:noProof/>
                <w:color w:val="auto"/>
                <w:sz w:val="18"/>
                <w:szCs w:val="20"/>
              </w:rPr>
              <w:t xml:space="preserve">IMF documents </w:t>
            </w:r>
          </w:p>
        </w:tc>
        <w:tc>
          <w:tcPr>
            <w:tcW w:w="6379" w:type="dxa"/>
            <w:tcBorders>
              <w:top w:val="single" w:sz="4" w:space="0" w:color="auto"/>
              <w:bottom w:val="single" w:sz="4" w:space="0" w:color="auto"/>
            </w:tcBorders>
            <w:shd w:val="clear" w:color="auto" w:fill="auto"/>
            <w:vAlign w:val="center"/>
          </w:tcPr>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hAnsi="Times New Roman" w:cs="Times New Roman"/>
                <w:noProof/>
                <w:sz w:val="18"/>
                <w:szCs w:val="20"/>
                <w:lang w:val="en-US"/>
              </w:rPr>
              <w:t xml:space="preserve">Letters of Intent submitted by Ukrainian authorities to the IMF; </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 xml:space="preserve">IMF country reports, reviews; </w:t>
            </w:r>
          </w:p>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Some IMF research publications;</w:t>
            </w:r>
          </w:p>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hAnsi="Times New Roman" w:cs="Times New Roman"/>
                <w:noProof/>
                <w:sz w:val="18"/>
                <w:szCs w:val="20"/>
                <w:lang w:val="en-US"/>
              </w:rPr>
              <w:t>Relevant evaluations, including the ex post evaluation of the 2015 EFF programme.</w:t>
            </w:r>
          </w:p>
        </w:tc>
      </w:tr>
      <w:tr>
        <w:tc>
          <w:tcPr>
            <w:tcW w:w="2982" w:type="dxa"/>
            <w:tcBorders>
              <w:top w:val="single" w:sz="4" w:space="0" w:color="auto"/>
              <w:bottom w:val="single" w:sz="4" w:space="0" w:color="auto"/>
            </w:tcBorders>
            <w:shd w:val="clear" w:color="auto" w:fill="auto"/>
            <w:vAlign w:val="center"/>
          </w:tcPr>
          <w:p>
            <w:pPr>
              <w:pStyle w:val="TableText"/>
              <w:rPr>
                <w:rFonts w:ascii="Times New Roman" w:hAnsi="Times New Roman" w:cs="Times New Roman"/>
                <w:noProof/>
                <w:color w:val="auto"/>
                <w:sz w:val="18"/>
                <w:szCs w:val="20"/>
              </w:rPr>
            </w:pPr>
            <w:r>
              <w:rPr>
                <w:rFonts w:ascii="Times New Roman" w:hAnsi="Times New Roman" w:cs="Times New Roman"/>
                <w:noProof/>
                <w:color w:val="auto"/>
                <w:sz w:val="18"/>
                <w:szCs w:val="20"/>
              </w:rPr>
              <w:t xml:space="preserve">World Bank data and documents </w:t>
            </w:r>
          </w:p>
        </w:tc>
        <w:tc>
          <w:tcPr>
            <w:tcW w:w="6379" w:type="dxa"/>
            <w:tcBorders>
              <w:top w:val="single" w:sz="4" w:space="0" w:color="auto"/>
              <w:bottom w:val="single" w:sz="4" w:space="0" w:color="auto"/>
            </w:tcBorders>
            <w:shd w:val="clear" w:color="auto" w:fill="auto"/>
            <w:vAlign w:val="center"/>
          </w:tcPr>
          <w:p>
            <w:pPr>
              <w:pStyle w:val="ListParagraph"/>
              <w:numPr>
                <w:ilvl w:val="0"/>
                <w:numId w:val="22"/>
              </w:numPr>
              <w:spacing w:before="120" w:after="120" w:line="240" w:lineRule="auto"/>
              <w:rPr>
                <w:rFonts w:ascii="Times New Roman" w:hAnsi="Times New Roman" w:cs="Times New Roman"/>
                <w:noProof/>
                <w:sz w:val="18"/>
                <w:szCs w:val="20"/>
              </w:rPr>
            </w:pPr>
            <w:r>
              <w:rPr>
                <w:rFonts w:ascii="Times New Roman" w:hAnsi="Times New Roman" w:cs="Times New Roman"/>
                <w:noProof/>
                <w:sz w:val="18"/>
                <w:szCs w:val="20"/>
              </w:rPr>
              <w:t xml:space="preserve">Country Partnership Strategies; </w:t>
            </w:r>
          </w:p>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hAnsi="Times New Roman" w:cs="Times New Roman"/>
                <w:noProof/>
                <w:sz w:val="18"/>
                <w:szCs w:val="20"/>
                <w:lang w:val="en-US"/>
              </w:rPr>
              <w:t xml:space="preserve">Programme documents relating to the Bank’s Development Policy Loan 2 and Financial Development Policy Loan (DPL) and Financial Sector Development Policy Loan (FSDPL) 1 &amp; 2; </w:t>
            </w:r>
          </w:p>
          <w:p>
            <w:pPr>
              <w:pStyle w:val="ListParagraph"/>
              <w:numPr>
                <w:ilvl w:val="0"/>
                <w:numId w:val="22"/>
              </w:numPr>
              <w:spacing w:before="120" w:after="120" w:line="240" w:lineRule="auto"/>
              <w:rPr>
                <w:rFonts w:ascii="Times New Roman" w:hAnsi="Times New Roman" w:cs="Times New Roman"/>
                <w:noProof/>
                <w:sz w:val="18"/>
                <w:szCs w:val="20"/>
                <w:lang w:val="en-US"/>
              </w:rPr>
            </w:pPr>
            <w:r>
              <w:rPr>
                <w:rFonts w:ascii="Times New Roman" w:hAnsi="Times New Roman" w:cs="Times New Roman"/>
                <w:noProof/>
                <w:sz w:val="18"/>
                <w:szCs w:val="20"/>
                <w:lang w:val="en-US"/>
              </w:rPr>
              <w:t>Documents relating to projects supporting relevant reforms.</w:t>
            </w:r>
          </w:p>
        </w:tc>
      </w:tr>
      <w:tr>
        <w:tc>
          <w:tcPr>
            <w:tcW w:w="2982" w:type="dxa"/>
            <w:tcBorders>
              <w:top w:val="single" w:sz="4" w:space="0" w:color="auto"/>
            </w:tcBorders>
            <w:shd w:val="clear" w:color="auto" w:fill="auto"/>
            <w:vAlign w:val="center"/>
          </w:tcPr>
          <w:p>
            <w:pPr>
              <w:pStyle w:val="TableText"/>
              <w:rPr>
                <w:rFonts w:ascii="Times New Roman" w:hAnsi="Times New Roman" w:cs="Times New Roman"/>
                <w:noProof/>
                <w:color w:val="auto"/>
                <w:sz w:val="18"/>
                <w:szCs w:val="20"/>
              </w:rPr>
            </w:pPr>
            <w:r>
              <w:rPr>
                <w:rFonts w:ascii="Times New Roman" w:hAnsi="Times New Roman" w:cs="Times New Roman"/>
                <w:noProof/>
                <w:color w:val="auto"/>
                <w:sz w:val="18"/>
                <w:szCs w:val="20"/>
              </w:rPr>
              <w:t>Other</w:t>
            </w:r>
          </w:p>
        </w:tc>
        <w:tc>
          <w:tcPr>
            <w:tcW w:w="6379" w:type="dxa"/>
            <w:tcBorders>
              <w:top w:val="single" w:sz="4" w:space="0" w:color="auto"/>
            </w:tcBorders>
            <w:shd w:val="clear" w:color="auto" w:fill="auto"/>
            <w:vAlign w:val="center"/>
          </w:tcPr>
          <w:p>
            <w:pPr>
              <w:pStyle w:val="ListParagraph"/>
              <w:numPr>
                <w:ilvl w:val="0"/>
                <w:numId w:val="22"/>
              </w:numPr>
              <w:spacing w:before="120" w:after="120" w:line="240" w:lineRule="auto"/>
              <w:rPr>
                <w:rFonts w:ascii="Times New Roman" w:eastAsia="Calibri" w:hAnsi="Times New Roman" w:cs="Times New Roman"/>
                <w:noProof/>
                <w:sz w:val="18"/>
                <w:szCs w:val="20"/>
                <w:lang w:val="en-US"/>
              </w:rPr>
            </w:pPr>
            <w:r>
              <w:rPr>
                <w:rFonts w:ascii="Times New Roman" w:eastAsia="Calibri" w:hAnsi="Times New Roman" w:cs="Times New Roman"/>
                <w:noProof/>
                <w:sz w:val="18"/>
                <w:szCs w:val="20"/>
                <w:lang w:val="en-US"/>
              </w:rPr>
              <w:t xml:space="preserve">Data and reports prepared by other IFIs (e.g. EBRD) and key bilateral donors; </w:t>
            </w:r>
          </w:p>
          <w:p>
            <w:pPr>
              <w:pStyle w:val="ListParagraph"/>
              <w:numPr>
                <w:ilvl w:val="0"/>
                <w:numId w:val="22"/>
              </w:numPr>
              <w:spacing w:before="120" w:after="120" w:line="240" w:lineRule="auto"/>
              <w:rPr>
                <w:rFonts w:ascii="Times New Roman" w:eastAsia="Calibri" w:hAnsi="Times New Roman" w:cs="Times New Roman"/>
                <w:noProof/>
                <w:sz w:val="18"/>
                <w:szCs w:val="20"/>
                <w:lang w:val="en-US"/>
              </w:rPr>
            </w:pPr>
            <w:r>
              <w:rPr>
                <w:rFonts w:ascii="Times New Roman" w:eastAsia="Calibri" w:hAnsi="Times New Roman" w:cs="Times New Roman"/>
                <w:noProof/>
                <w:sz w:val="18"/>
                <w:szCs w:val="20"/>
                <w:lang w:val="en-US"/>
              </w:rPr>
              <w:t>Reports on particular reforms in Ukraine from civil society organisations;</w:t>
            </w:r>
          </w:p>
          <w:p>
            <w:pPr>
              <w:pStyle w:val="ListParagraph"/>
              <w:numPr>
                <w:ilvl w:val="0"/>
                <w:numId w:val="22"/>
              </w:numPr>
              <w:spacing w:before="120" w:after="120" w:line="240" w:lineRule="auto"/>
              <w:rPr>
                <w:rFonts w:ascii="Times New Roman" w:eastAsia="Calibri" w:hAnsi="Times New Roman" w:cs="Times New Roman"/>
                <w:noProof/>
                <w:sz w:val="18"/>
                <w:szCs w:val="20"/>
                <w:lang w:val="en-US"/>
              </w:rPr>
            </w:pPr>
            <w:r>
              <w:rPr>
                <w:rFonts w:ascii="Times New Roman" w:eastAsia="Calibri" w:hAnsi="Times New Roman" w:cs="Times New Roman"/>
                <w:noProof/>
                <w:sz w:val="18"/>
                <w:szCs w:val="20"/>
                <w:lang w:val="en-US"/>
              </w:rPr>
              <w:t>Local research publications provided by Ukrainian think tanks and non-governmental organisations (NGOs), e.g. IER;</w:t>
            </w:r>
          </w:p>
          <w:p>
            <w:pPr>
              <w:pStyle w:val="ListParagraph"/>
              <w:numPr>
                <w:ilvl w:val="0"/>
                <w:numId w:val="22"/>
              </w:numPr>
              <w:spacing w:before="120" w:after="120" w:line="240" w:lineRule="auto"/>
              <w:rPr>
                <w:rFonts w:ascii="Times New Roman" w:eastAsia="Calibri" w:hAnsi="Times New Roman" w:cs="Times New Roman"/>
                <w:noProof/>
                <w:sz w:val="18"/>
                <w:szCs w:val="20"/>
                <w:lang w:val="en-US"/>
              </w:rPr>
            </w:pPr>
            <w:r>
              <w:rPr>
                <w:rFonts w:ascii="Times New Roman" w:eastAsia="Calibri" w:hAnsi="Times New Roman" w:cs="Times New Roman"/>
                <w:noProof/>
                <w:sz w:val="18"/>
                <w:szCs w:val="20"/>
                <w:lang w:val="en-US"/>
              </w:rPr>
              <w:t>Academic and grey literature on political and economic developments in Ukraine and its progress with the implementation of structural reforms;</w:t>
            </w:r>
          </w:p>
          <w:p>
            <w:pPr>
              <w:pStyle w:val="ListParagraph"/>
              <w:numPr>
                <w:ilvl w:val="0"/>
                <w:numId w:val="22"/>
              </w:numPr>
              <w:spacing w:before="120" w:after="120" w:line="240" w:lineRule="auto"/>
              <w:rPr>
                <w:rFonts w:ascii="Times New Roman" w:eastAsia="Calibri" w:hAnsi="Times New Roman" w:cs="Times New Roman"/>
                <w:noProof/>
                <w:sz w:val="18"/>
                <w:szCs w:val="20"/>
                <w:lang w:val="en-US"/>
              </w:rPr>
            </w:pPr>
            <w:r>
              <w:rPr>
                <w:rFonts w:ascii="Times New Roman" w:eastAsia="Calibri" w:hAnsi="Times New Roman" w:cs="Times New Roman"/>
                <w:noProof/>
                <w:sz w:val="18"/>
                <w:szCs w:val="20"/>
                <w:lang w:val="en-US"/>
              </w:rPr>
              <w:t>Reports produced by major credit rating agencies.</w:t>
            </w:r>
          </w:p>
        </w:tc>
      </w:tr>
    </w:tbl>
    <w:p>
      <w:pPr>
        <w:pStyle w:val="BodyText"/>
        <w:ind w:left="2124" w:firstLine="708"/>
        <w:rPr>
          <w:rFonts w:ascii="Times New Roman" w:hAnsi="Times New Roman" w:cs="Times New Roman"/>
          <w:i/>
          <w:noProof/>
          <w:sz w:val="20"/>
          <w:szCs w:val="20"/>
          <w:lang w:val="en-US"/>
        </w:rPr>
      </w:pPr>
      <w:r>
        <w:rPr>
          <w:rFonts w:ascii="Times New Roman" w:hAnsi="Times New Roman" w:cs="Times New Roman"/>
          <w:i/>
          <w:noProof/>
          <w:sz w:val="20"/>
          <w:szCs w:val="20"/>
          <w:lang w:val="en-US"/>
        </w:rPr>
        <w:t xml:space="preserve"> </w:t>
      </w:r>
    </w:p>
    <w:p>
      <w:pPr>
        <w:pStyle w:val="BodyText"/>
        <w:rPr>
          <w:rFonts w:ascii="Times New Roman" w:hAnsi="Times New Roman" w:cs="Times New Roman"/>
          <w:noProof/>
          <w:color w:val="000000" w:themeColor="text1"/>
          <w:sz w:val="20"/>
          <w:szCs w:val="20"/>
          <w:lang w:val="en-GB"/>
        </w:rPr>
      </w:pPr>
    </w:p>
    <w:p>
      <w:pPr>
        <w:pStyle w:val="AnnexTable"/>
        <w:keepLines/>
        <w:numPr>
          <w:ilvl w:val="0"/>
          <w:numId w:val="0"/>
        </w:numPr>
        <w:spacing w:line="240" w:lineRule="auto"/>
        <w:jc w:val="center"/>
        <w:outlineLvl w:val="2"/>
        <w:rPr>
          <w:rFonts w:ascii="Times New Roman" w:eastAsiaTheme="majorEastAsia" w:hAnsi="Times New Roman"/>
          <w:b/>
          <w:noProof/>
          <w:color w:val="auto"/>
          <w:sz w:val="24"/>
          <w:szCs w:val="22"/>
        </w:rPr>
      </w:pPr>
      <w:bookmarkStart w:id="45" w:name="_Toc9407953"/>
      <w:bookmarkStart w:id="46" w:name="_Toc4516537"/>
      <w:bookmarkStart w:id="47" w:name="_Toc2573672"/>
      <w:bookmarkStart w:id="48" w:name="_Ref526240235"/>
    </w:p>
    <w:p>
      <w:pPr>
        <w:pStyle w:val="AnnexTable"/>
        <w:keepLines/>
        <w:numPr>
          <w:ilvl w:val="0"/>
          <w:numId w:val="0"/>
        </w:numPr>
        <w:spacing w:line="240" w:lineRule="auto"/>
        <w:jc w:val="center"/>
        <w:outlineLvl w:val="2"/>
        <w:rPr>
          <w:rFonts w:ascii="Times New Roman" w:hAnsi="Times New Roman"/>
          <w:i/>
          <w:noProof/>
          <w:color w:val="auto"/>
          <w:sz w:val="20"/>
        </w:rPr>
      </w:pPr>
      <w:r>
        <w:rPr>
          <w:rFonts w:ascii="Times New Roman" w:hAnsi="Times New Roman"/>
          <w:i/>
          <w:noProof/>
          <w:color w:val="auto"/>
          <w:sz w:val="20"/>
        </w:rPr>
        <w:t>Table A3.3 Key Macroeconomic Indicators and Data Sources</w:t>
      </w:r>
      <w:bookmarkEnd w:id="45"/>
      <w:bookmarkEnd w:id="46"/>
      <w:bookmarkEnd w:id="47"/>
      <w:bookmarkEnd w:id="48"/>
    </w:p>
    <w:tbl>
      <w:tblPr>
        <w:tblW w:w="949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Description w:val="False|True|False"/>
      </w:tblPr>
      <w:tblGrid>
        <w:gridCol w:w="1980"/>
        <w:gridCol w:w="1985"/>
        <w:gridCol w:w="2976"/>
        <w:gridCol w:w="2552"/>
      </w:tblGrid>
      <w:tr>
        <w:trPr>
          <w:cantSplit/>
          <w:trHeight w:val="20"/>
          <w:tblHeader/>
        </w:trPr>
        <w:tc>
          <w:tcPr>
            <w:tcW w:w="1980" w:type="dxa"/>
            <w:shd w:val="clear" w:color="auto" w:fill="1F4E79" w:themeFill="accent1" w:themeFillShade="80"/>
            <w:tcMar>
              <w:top w:w="80" w:type="dxa"/>
              <w:left w:w="137" w:type="dxa"/>
              <w:bottom w:w="80" w:type="dxa"/>
              <w:right w:w="137" w:type="dxa"/>
            </w:tcMar>
            <w:hideMark/>
          </w:tcPr>
          <w:p>
            <w:pPr>
              <w:pStyle w:val="TableHeadingWhite"/>
              <w:spacing w:line="276" w:lineRule="auto"/>
              <w:rPr>
                <w:rFonts w:ascii="Times New Roman" w:hAnsi="Times New Roman"/>
                <w:noProof/>
                <w:color w:val="FFFFFF" w:themeColor="background1"/>
                <w:szCs w:val="18"/>
              </w:rPr>
            </w:pPr>
            <w:r>
              <w:rPr>
                <w:rStyle w:val="None"/>
                <w:rFonts w:ascii="Times New Roman" w:hAnsi="Times New Roman"/>
                <w:noProof/>
                <w:color w:val="FFFFFF" w:themeColor="background1"/>
                <w:szCs w:val="18"/>
              </w:rPr>
              <w:t>Component</w:t>
            </w:r>
          </w:p>
        </w:tc>
        <w:tc>
          <w:tcPr>
            <w:tcW w:w="1985" w:type="dxa"/>
            <w:shd w:val="clear" w:color="auto" w:fill="1F4E79" w:themeFill="accent1" w:themeFillShade="80"/>
            <w:tcMar>
              <w:top w:w="80" w:type="dxa"/>
              <w:left w:w="137" w:type="dxa"/>
              <w:bottom w:w="80" w:type="dxa"/>
              <w:right w:w="137" w:type="dxa"/>
            </w:tcMar>
            <w:hideMark/>
          </w:tcPr>
          <w:p>
            <w:pPr>
              <w:pStyle w:val="TableHeadingWhite"/>
              <w:spacing w:line="276" w:lineRule="auto"/>
              <w:rPr>
                <w:rFonts w:ascii="Times New Roman" w:hAnsi="Times New Roman"/>
                <w:noProof/>
                <w:color w:val="FFFFFF" w:themeColor="background1"/>
                <w:szCs w:val="18"/>
              </w:rPr>
            </w:pPr>
            <w:r>
              <w:rPr>
                <w:rStyle w:val="None"/>
                <w:rFonts w:ascii="Times New Roman" w:hAnsi="Times New Roman"/>
                <w:noProof/>
                <w:color w:val="FFFFFF" w:themeColor="background1"/>
                <w:szCs w:val="18"/>
              </w:rPr>
              <w:t>Data type</w:t>
            </w:r>
          </w:p>
        </w:tc>
        <w:tc>
          <w:tcPr>
            <w:tcW w:w="2976" w:type="dxa"/>
            <w:shd w:val="clear" w:color="auto" w:fill="1F4E79" w:themeFill="accent1" w:themeFillShade="80"/>
            <w:tcMar>
              <w:top w:w="80" w:type="dxa"/>
              <w:left w:w="137" w:type="dxa"/>
              <w:bottom w:w="80" w:type="dxa"/>
              <w:right w:w="137" w:type="dxa"/>
            </w:tcMar>
            <w:hideMark/>
          </w:tcPr>
          <w:p>
            <w:pPr>
              <w:pStyle w:val="TableHeadingWhite"/>
              <w:spacing w:line="276" w:lineRule="auto"/>
              <w:rPr>
                <w:rFonts w:ascii="Times New Roman" w:hAnsi="Times New Roman"/>
                <w:noProof/>
                <w:color w:val="FFFFFF" w:themeColor="background1"/>
                <w:szCs w:val="18"/>
              </w:rPr>
            </w:pPr>
            <w:r>
              <w:rPr>
                <w:rStyle w:val="None"/>
                <w:rFonts w:ascii="Times New Roman" w:hAnsi="Times New Roman"/>
                <w:noProof/>
                <w:color w:val="FFFFFF" w:themeColor="background1"/>
                <w:szCs w:val="18"/>
              </w:rPr>
              <w:t>Description</w:t>
            </w:r>
          </w:p>
        </w:tc>
        <w:tc>
          <w:tcPr>
            <w:tcW w:w="2552" w:type="dxa"/>
            <w:shd w:val="clear" w:color="auto" w:fill="1F4E79" w:themeFill="accent1" w:themeFillShade="80"/>
            <w:tcMar>
              <w:top w:w="80" w:type="dxa"/>
              <w:left w:w="137" w:type="dxa"/>
              <w:bottom w:w="80" w:type="dxa"/>
              <w:right w:w="137" w:type="dxa"/>
            </w:tcMar>
            <w:hideMark/>
          </w:tcPr>
          <w:p>
            <w:pPr>
              <w:pStyle w:val="TableHeadingWhite"/>
              <w:spacing w:line="276" w:lineRule="auto"/>
              <w:rPr>
                <w:rFonts w:ascii="Times New Roman" w:hAnsi="Times New Roman"/>
                <w:noProof/>
                <w:color w:val="FFFFFF" w:themeColor="background1"/>
                <w:szCs w:val="18"/>
              </w:rPr>
            </w:pPr>
            <w:r>
              <w:rPr>
                <w:rStyle w:val="None"/>
                <w:rFonts w:ascii="Times New Roman" w:hAnsi="Times New Roman"/>
                <w:noProof/>
                <w:color w:val="FFFFFF" w:themeColor="background1"/>
                <w:szCs w:val="18"/>
              </w:rPr>
              <w:t>Key data source(s)</w:t>
            </w:r>
          </w:p>
        </w:tc>
      </w:tr>
      <w:tr>
        <w:trPr>
          <w:cantSplit/>
          <w:trHeight w:val="20"/>
          <w:tblHeader/>
        </w:trPr>
        <w:tc>
          <w:tcPr>
            <w:tcW w:w="1980" w:type="dxa"/>
            <w:shd w:val="clear" w:color="auto" w:fill="DEEAF6" w:themeFill="accent1" w:themeFillTint="33"/>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The real economy</w:t>
            </w:r>
          </w:p>
        </w:tc>
        <w:tc>
          <w:tcPr>
            <w:tcW w:w="1985"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National accounts</w:t>
            </w:r>
          </w:p>
        </w:tc>
        <w:tc>
          <w:tcPr>
            <w:tcW w:w="2976"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Style w:val="None"/>
                <w:rFonts w:ascii="Times New Roman" w:hAnsi="Times New Roman"/>
                <w:b w:val="0"/>
                <w:noProof/>
                <w:color w:val="auto"/>
                <w:szCs w:val="18"/>
              </w:rPr>
            </w:pPr>
            <w:r>
              <w:rPr>
                <w:rStyle w:val="None"/>
                <w:rFonts w:ascii="Times New Roman" w:hAnsi="Times New Roman"/>
                <w:b w:val="0"/>
                <w:noProof/>
                <w:color w:val="auto"/>
                <w:szCs w:val="18"/>
              </w:rPr>
              <w:t xml:space="preserve">Indicators of macroeconomic </w:t>
            </w:r>
          </w:p>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performance</w:t>
            </w:r>
          </w:p>
        </w:tc>
        <w:tc>
          <w:tcPr>
            <w:tcW w:w="2552"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Ministry of Finance, IMF</w:t>
            </w:r>
          </w:p>
        </w:tc>
      </w:tr>
      <w:tr>
        <w:trPr>
          <w:cantSplit/>
          <w:trHeight w:val="20"/>
          <w:tblHeader/>
        </w:trPr>
        <w:tc>
          <w:tcPr>
            <w:tcW w:w="1980" w:type="dxa"/>
            <w:shd w:val="clear" w:color="auto" w:fill="DEEAF6" w:themeFill="accent1" w:themeFillTint="33"/>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Balance of payments</w:t>
            </w:r>
          </w:p>
        </w:tc>
        <w:tc>
          <w:tcPr>
            <w:tcW w:w="1985"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Balance of payments statistics</w:t>
            </w:r>
          </w:p>
        </w:tc>
        <w:tc>
          <w:tcPr>
            <w:tcW w:w="2976"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Indicators of external sustainability and trade conditions</w:t>
            </w:r>
          </w:p>
        </w:tc>
        <w:tc>
          <w:tcPr>
            <w:tcW w:w="2552"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Fonts w:ascii="Times New Roman" w:hAnsi="Times New Roman"/>
                <w:b w:val="0"/>
                <w:noProof/>
                <w:color w:val="auto"/>
                <w:szCs w:val="18"/>
              </w:rPr>
              <w:t>IMF</w:t>
            </w:r>
          </w:p>
        </w:tc>
      </w:tr>
      <w:tr>
        <w:trPr>
          <w:cantSplit/>
          <w:trHeight w:val="20"/>
          <w:tblHeader/>
        </w:trPr>
        <w:tc>
          <w:tcPr>
            <w:tcW w:w="1980" w:type="dxa"/>
            <w:shd w:val="clear" w:color="auto" w:fill="DEEAF6" w:themeFill="accent1" w:themeFillTint="33"/>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Government</w:t>
            </w:r>
          </w:p>
        </w:tc>
        <w:tc>
          <w:tcPr>
            <w:tcW w:w="1985"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Government finance statistics</w:t>
            </w:r>
          </w:p>
        </w:tc>
        <w:tc>
          <w:tcPr>
            <w:tcW w:w="2976"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 xml:space="preserve">Indicators of the government’s fiscal sustainability (expenditure, budget balance, debt, tax revenue etc.) </w:t>
            </w:r>
          </w:p>
        </w:tc>
        <w:tc>
          <w:tcPr>
            <w:tcW w:w="2552"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Ministry of Finance, IMF, World Bank</w:t>
            </w:r>
          </w:p>
        </w:tc>
      </w:tr>
      <w:tr>
        <w:trPr>
          <w:cantSplit/>
          <w:trHeight w:val="20"/>
          <w:tblHeader/>
        </w:trPr>
        <w:tc>
          <w:tcPr>
            <w:tcW w:w="1980" w:type="dxa"/>
            <w:shd w:val="clear" w:color="auto" w:fill="DEEAF6" w:themeFill="accent1" w:themeFillTint="33"/>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Financial System</w:t>
            </w:r>
          </w:p>
        </w:tc>
        <w:tc>
          <w:tcPr>
            <w:tcW w:w="1985"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Monetary statistics</w:t>
            </w:r>
          </w:p>
        </w:tc>
        <w:tc>
          <w:tcPr>
            <w:tcW w:w="2976"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Banking sector, financing condition, interest rates, foreign exchange data, etc.</w:t>
            </w:r>
          </w:p>
        </w:tc>
        <w:tc>
          <w:tcPr>
            <w:tcW w:w="2552"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Ministry of Finance, NBU, IMF</w:t>
            </w:r>
          </w:p>
        </w:tc>
      </w:tr>
      <w:tr>
        <w:trPr>
          <w:cantSplit/>
          <w:trHeight w:val="20"/>
          <w:tblHeader/>
        </w:trPr>
        <w:tc>
          <w:tcPr>
            <w:tcW w:w="1980" w:type="dxa"/>
            <w:shd w:val="clear" w:color="auto" w:fill="DEEAF6" w:themeFill="accent1" w:themeFillTint="33"/>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Labour Market</w:t>
            </w:r>
          </w:p>
        </w:tc>
        <w:tc>
          <w:tcPr>
            <w:tcW w:w="1985"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Other economic statistics</w:t>
            </w:r>
          </w:p>
        </w:tc>
        <w:tc>
          <w:tcPr>
            <w:tcW w:w="2976"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Indicators of socioeconomic performance</w:t>
            </w:r>
          </w:p>
        </w:tc>
        <w:tc>
          <w:tcPr>
            <w:tcW w:w="2552" w:type="dxa"/>
            <w:shd w:val="clear" w:color="auto" w:fill="FFFFFF" w:themeFill="background1"/>
            <w:tcMar>
              <w:top w:w="80" w:type="dxa"/>
              <w:left w:w="137" w:type="dxa"/>
              <w:bottom w:w="80" w:type="dxa"/>
              <w:right w:w="137" w:type="dxa"/>
            </w:tcMar>
            <w:vAlign w:val="center"/>
            <w:hideMark/>
          </w:tcPr>
          <w:p>
            <w:pPr>
              <w:pStyle w:val="TableHeadingWhite"/>
              <w:spacing w:line="276" w:lineRule="auto"/>
              <w:rPr>
                <w:rFonts w:ascii="Times New Roman" w:hAnsi="Times New Roman"/>
                <w:b w:val="0"/>
                <w:noProof/>
                <w:color w:val="auto"/>
                <w:szCs w:val="18"/>
              </w:rPr>
            </w:pPr>
            <w:r>
              <w:rPr>
                <w:rStyle w:val="None"/>
                <w:rFonts w:ascii="Times New Roman" w:hAnsi="Times New Roman"/>
                <w:b w:val="0"/>
                <w:noProof/>
                <w:color w:val="auto"/>
                <w:szCs w:val="18"/>
              </w:rPr>
              <w:t>Ministry of Finance, IMF, World Bank</w:t>
            </w:r>
          </w:p>
        </w:tc>
      </w:tr>
    </w:tbl>
    <w:p>
      <w:pPr>
        <w:pStyle w:val="Heading3"/>
        <w:numPr>
          <w:ilvl w:val="2"/>
          <w:numId w:val="0"/>
        </w:numPr>
        <w:tabs>
          <w:tab w:val="num" w:pos="680"/>
        </w:tabs>
        <w:jc w:val="both"/>
        <w:rPr>
          <w:rFonts w:ascii="Times New Roman" w:hAnsi="Times New Roman" w:cs="Times New Roman"/>
          <w:bCs w:val="0"/>
          <w:noProof/>
          <w:sz w:val="24"/>
          <w:szCs w:val="24"/>
        </w:rPr>
      </w:pP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A3.2 Semi-structured interviews with key stakeholders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Forty key informants were consulted for the purposes of the external evaluation</w:t>
      </w:r>
      <w:r>
        <w:rPr>
          <w:rFonts w:ascii="Times New Roman" w:hAnsi="Times New Roman" w:cs="Times New Roman"/>
          <w:noProof/>
          <w:sz w:val="24"/>
          <w:szCs w:val="24"/>
          <w:vertAlign w:val="superscript"/>
          <w:lang w:val="en-GB"/>
        </w:rPr>
        <w:footnoteReference w:id="40"/>
      </w:r>
      <w:r>
        <w:rPr>
          <w:rFonts w:ascii="Times New Roman" w:hAnsi="Times New Roman" w:cs="Times New Roman"/>
          <w:noProof/>
          <w:sz w:val="24"/>
          <w:szCs w:val="24"/>
          <w:lang w:val="en-GB"/>
        </w:rPr>
        <w:t xml:space="preserve">. The interviews aimed at gathering information on the design, implementation and results of the MFA operation of 2015-2017. </w:t>
      </w:r>
      <w:r>
        <w:rPr>
          <w:rFonts w:ascii="Times New Roman" w:hAnsi="Times New Roman" w:cs="Times New Roman"/>
          <w:noProof/>
          <w:sz w:val="24"/>
          <w:szCs w:val="24"/>
          <w:lang w:val="en-US"/>
        </w:rPr>
        <w:t>Interviewees received a copy of the semi-structured questionnaire in advance that was then used to guide the discussion</w:t>
      </w:r>
      <w:r>
        <w:rPr>
          <w:rFonts w:ascii="Times New Roman" w:hAnsi="Times New Roman" w:cs="Times New Roman"/>
          <w:noProof/>
          <w:sz w:val="24"/>
          <w:szCs w:val="24"/>
          <w:lang w:val="en-GB"/>
        </w:rPr>
        <w:t>. Interviews were held with relevant staff from the European Commission, the EU Delegation in Kyiv, officials from the relevant ministries and agencies in Ukraine, as well as representatives from International Financial Institutions. Annex II of the present document describes the strategy followed for stakeholder consultation.</w:t>
      </w: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A3.3 Focus group</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US"/>
        </w:rPr>
        <w:t>A</w:t>
      </w:r>
      <w:r>
        <w:rPr>
          <w:rFonts w:ascii="Times New Roman" w:hAnsi="Times New Roman" w:cs="Times New Roman"/>
          <w:noProof/>
          <w:sz w:val="24"/>
          <w:szCs w:val="24"/>
          <w:lang w:val="en-GB"/>
        </w:rPr>
        <w:t>n online focus group discussion</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lang w:val="en-GB"/>
        </w:rPr>
        <w:t xml:space="preserve"> was organized, with representatives from Ukrainian civil society, think thanks and the Academia. It complemented and crosschecked information gathered from desk research and targeted stakeholder interviews.  </w:t>
      </w:r>
    </w:p>
    <w:p>
      <w:pPr>
        <w:spacing w:after="120" w:line="240" w:lineRule="auto"/>
        <w:ind w:firstLine="709"/>
        <w:jc w:val="both"/>
        <w:rPr>
          <w:rFonts w:ascii="Times New Roman" w:hAnsi="Times New Roman" w:cs="Times New Roman"/>
          <w:b/>
          <w:noProof/>
          <w:sz w:val="24"/>
          <w:szCs w:val="24"/>
          <w:lang w:val="en-US"/>
        </w:rPr>
      </w:pPr>
    </w:p>
    <w:p>
      <w:pPr>
        <w:spacing w:after="120" w:line="240" w:lineRule="auto"/>
        <w:ind w:firstLine="709"/>
        <w:jc w:val="both"/>
        <w:rPr>
          <w:rFonts w:ascii="Times New Roman" w:hAnsi="Times New Roman" w:cs="Times New Roman"/>
          <w:b/>
          <w:noProof/>
          <w:sz w:val="24"/>
          <w:szCs w:val="24"/>
          <w:lang w:val="en-US"/>
        </w:rPr>
      </w:pPr>
    </w:p>
    <w:p>
      <w:pPr>
        <w:spacing w:after="120" w:line="240" w:lineRule="auto"/>
        <w:jc w:val="both"/>
        <w:rPr>
          <w:rFonts w:ascii="Times New Roman" w:hAnsi="Times New Roman" w:cs="Times New Roman"/>
          <w:noProof/>
          <w:sz w:val="24"/>
          <w:szCs w:val="24"/>
          <w:lang w:val="en-US"/>
        </w:rPr>
      </w:pPr>
      <w:r>
        <w:rPr>
          <w:rFonts w:ascii="Times New Roman" w:hAnsi="Times New Roman" w:cs="Times New Roman"/>
          <w:b/>
          <w:noProof/>
          <w:sz w:val="24"/>
          <w:szCs w:val="24"/>
          <w:lang w:val="en-US"/>
        </w:rPr>
        <w:t>A3.4 Delphi survey</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 Delphi survey was undertaken with a panel of 54 experts, representing the business society, think thanks, financial and macroeconomic analysts, and the Academia. The scope of the survey was to assess on the contribution of the MFA in achieving macroeconomic stability, easing external financing constraints and alleviating Ukraine’s balance of payments and budgetary needs</w:t>
      </w:r>
      <w:r>
        <w:rPr>
          <w:rFonts w:ascii="Times New Roman" w:hAnsi="Times New Roman" w:cs="Times New Roman"/>
          <w:noProof/>
          <w:sz w:val="24"/>
          <w:szCs w:val="24"/>
          <w:vertAlign w:val="superscript"/>
          <w:lang w:val="en-GB"/>
        </w:rPr>
        <w:footnoteReference w:id="42"/>
      </w:r>
      <w:r>
        <w:rPr>
          <w:rFonts w:ascii="Times New Roman" w:hAnsi="Times New Roman" w:cs="Times New Roman"/>
          <w:noProof/>
          <w:sz w:val="24"/>
          <w:szCs w:val="24"/>
          <w:lang w:val="en-GB"/>
        </w:rPr>
        <w:t xml:space="preserve">.  Experts were interviewed using a structured questionnaire and were asked to elaborate on plausible scenario would MFA-III not have been available, and the potential implications. </w:t>
      </w: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A3.5 Case studies</w:t>
      </w:r>
    </w:p>
    <w:p>
      <w:pPr>
        <w:pStyle w:val="BodyText"/>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Two in-depth case studies on MFA-promoted reforms were developed in the areas of (1) anti-corruption (AC) reform and (2) social safety net reform. </w:t>
      </w:r>
    </w:p>
    <w:p>
      <w:pPr>
        <w:pStyle w:val="BodyText"/>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case studies addressed the following aspects:</w:t>
      </w:r>
    </w:p>
    <w:p>
      <w:pPr>
        <w:pStyle w:val="Bullet1Space"/>
        <w:numPr>
          <w:ilvl w:val="0"/>
          <w:numId w:val="23"/>
        </w:numPr>
        <w:spacing w:after="0"/>
        <w:ind w:left="426"/>
        <w:jc w:val="both"/>
        <w:rPr>
          <w:rFonts w:ascii="Times New Roman" w:hAnsi="Times New Roman" w:cs="Times New Roman"/>
          <w:noProof/>
          <w:sz w:val="24"/>
          <w:szCs w:val="24"/>
        </w:rPr>
      </w:pPr>
      <w:r>
        <w:rPr>
          <w:rFonts w:ascii="Times New Roman" w:hAnsi="Times New Roman" w:cs="Times New Roman"/>
          <w:noProof/>
          <w:sz w:val="24"/>
          <w:szCs w:val="24"/>
        </w:rPr>
        <w:t>Rationale behind the selection of specific MFA conditions in the above areas (for AC: #6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tranche, on establishment of AC bodies, #5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tranche, on asset declaration; for Social safety net: #12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tranche, on provision of assistance to IDPs, #16 3</w:t>
      </w:r>
      <w:r>
        <w:rPr>
          <w:rFonts w:ascii="Times New Roman" w:hAnsi="Times New Roman" w:cs="Times New Roman"/>
          <w:noProof/>
          <w:sz w:val="24"/>
          <w:szCs w:val="24"/>
          <w:vertAlign w:val="superscript"/>
        </w:rPr>
        <w:t>rd</w:t>
      </w:r>
      <w:r>
        <w:rPr>
          <w:rFonts w:ascii="Times New Roman" w:hAnsi="Times New Roman" w:cs="Times New Roman"/>
          <w:noProof/>
          <w:sz w:val="24"/>
          <w:szCs w:val="24"/>
        </w:rPr>
        <w:t xml:space="preserve"> tranche, on an evaluation of social service delivery to IDPs), as well as the relevance and added value of MFA conditionality;</w:t>
      </w:r>
    </w:p>
    <w:p>
      <w:pPr>
        <w:pStyle w:val="Bullet1Space"/>
        <w:numPr>
          <w:ilvl w:val="0"/>
          <w:numId w:val="23"/>
        </w:numPr>
        <w:spacing w:after="0"/>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Significance of MFA conditionality in the context of the overall need for reform in a particular thematic area/sector; </w:t>
      </w:r>
    </w:p>
    <w:p>
      <w:pPr>
        <w:pStyle w:val="Bullet1Space"/>
        <w:numPr>
          <w:ilvl w:val="0"/>
          <w:numId w:val="23"/>
        </w:numPr>
        <w:spacing w:after="0"/>
        <w:ind w:left="426"/>
        <w:jc w:val="both"/>
        <w:rPr>
          <w:rFonts w:ascii="Times New Roman" w:hAnsi="Times New Roman" w:cs="Times New Roman"/>
          <w:noProof/>
          <w:sz w:val="24"/>
          <w:szCs w:val="24"/>
        </w:rPr>
      </w:pPr>
      <w:r>
        <w:rPr>
          <w:rFonts w:ascii="Times New Roman" w:hAnsi="Times New Roman" w:cs="Times New Roman"/>
          <w:noProof/>
          <w:sz w:val="24"/>
          <w:szCs w:val="24"/>
        </w:rPr>
        <w:t>How the MFA conditions were implemented and whether the authorities encountered any obstacles in implementing these conditions (i.e. lack of capacity, political or public resistance to change etc.);</w:t>
      </w:r>
    </w:p>
    <w:p>
      <w:pPr>
        <w:pStyle w:val="Bullet1Space"/>
        <w:numPr>
          <w:ilvl w:val="0"/>
          <w:numId w:val="23"/>
        </w:numPr>
        <w:spacing w:after="0"/>
        <w:ind w:left="426"/>
        <w:jc w:val="both"/>
        <w:rPr>
          <w:rFonts w:ascii="Times New Roman" w:hAnsi="Times New Roman" w:cs="Times New Roman"/>
          <w:noProof/>
          <w:sz w:val="24"/>
          <w:szCs w:val="24"/>
        </w:rPr>
      </w:pPr>
      <w:r>
        <w:rPr>
          <w:rFonts w:ascii="Times New Roman" w:hAnsi="Times New Roman" w:cs="Times New Roman"/>
          <w:noProof/>
          <w:sz w:val="24"/>
          <w:szCs w:val="24"/>
        </w:rPr>
        <w:t>Role and contribution of the MFA in promoting reform, including identification of key ‘causal links’;</w:t>
      </w:r>
    </w:p>
    <w:p>
      <w:pPr>
        <w:pStyle w:val="Bullet1Space"/>
        <w:numPr>
          <w:ilvl w:val="0"/>
          <w:numId w:val="23"/>
        </w:numPr>
        <w:ind w:left="426"/>
        <w:jc w:val="both"/>
        <w:rPr>
          <w:rFonts w:ascii="Times New Roman" w:hAnsi="Times New Roman" w:cs="Times New Roman"/>
          <w:noProof/>
          <w:sz w:val="24"/>
          <w:szCs w:val="24"/>
        </w:rPr>
      </w:pPr>
      <w:r>
        <w:rPr>
          <w:rFonts w:ascii="Times New Roman" w:hAnsi="Times New Roman" w:cs="Times New Roman"/>
          <w:noProof/>
          <w:sz w:val="24"/>
          <w:szCs w:val="24"/>
        </w:rPr>
        <w:t>Short, mid and long-term benefits of the MFA conditions.</w:t>
      </w:r>
    </w:p>
    <w:p>
      <w:pPr>
        <w:pStyle w:val="BodyText"/>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addition, the case studies attempted to draw on some lessons learned from the design and implementation of similar previous reforms by two donors, the World Bank and the IMF. </w:t>
      </w:r>
    </w:p>
    <w:p>
      <w:pPr>
        <w:pStyle w:val="BodyText"/>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case studies were primarily based on desk research and stakeholder interviews, and took into account inputs from local economic experts.</w:t>
      </w:r>
    </w:p>
    <w:p>
      <w:pPr>
        <w:pStyle w:val="Heading4"/>
        <w:numPr>
          <w:ilvl w:val="3"/>
          <w:numId w:val="0"/>
        </w:numPr>
        <w:ind w:left="851" w:hanging="851"/>
        <w:jc w:val="both"/>
        <w:rPr>
          <w:rFonts w:ascii="Times New Roman" w:hAnsi="Times New Roman" w:cs="Times New Roman"/>
          <w:i/>
          <w:noProof/>
          <w:sz w:val="24"/>
          <w:szCs w:val="24"/>
          <w:lang w:val="en-US"/>
        </w:rPr>
      </w:pPr>
      <w:r>
        <w:rPr>
          <w:rFonts w:ascii="Times New Roman" w:hAnsi="Times New Roman" w:cs="Times New Roman"/>
          <w:i/>
          <w:noProof/>
          <w:sz w:val="24"/>
          <w:szCs w:val="24"/>
          <w:lang w:val="en-US"/>
        </w:rPr>
        <w:t>Case study on the use of the euro</w:t>
      </w:r>
    </w:p>
    <w:p>
      <w:pPr>
        <w:pStyle w:val="BodyText"/>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This case study examined whether the three MFA operations in Ukraine had any impact – via the above </w:t>
      </w:r>
      <w:r>
        <w:rPr>
          <w:rFonts w:ascii="Times New Roman" w:eastAsia="Calibri" w:hAnsi="Times New Roman" w:cs="Times New Roman"/>
          <w:noProof/>
          <w:sz w:val="24"/>
          <w:szCs w:val="24"/>
          <w:lang w:val="en-US"/>
        </w:rPr>
        <w:t>channels</w:t>
      </w:r>
      <w:r>
        <w:rPr>
          <w:rFonts w:ascii="Times New Roman" w:hAnsi="Times New Roman" w:cs="Times New Roman"/>
          <w:noProof/>
          <w:sz w:val="24"/>
          <w:szCs w:val="24"/>
          <w:lang w:val="en-US"/>
        </w:rPr>
        <w:t xml:space="preserve"> – in promoting the role of the euro in asset and debt management by Ukrainian authorities. The analysis was broken into two components and covered three dimensions: descriptive, exploratory and explanatory (see Table A3.4).</w:t>
      </w:r>
    </w:p>
    <w:p>
      <w:pPr>
        <w:pStyle w:val="BodyText"/>
        <w:spacing w:line="240" w:lineRule="auto"/>
        <w:jc w:val="both"/>
        <w:rPr>
          <w:rFonts w:ascii="Times New Roman" w:hAnsi="Times New Roman" w:cs="Times New Roman"/>
          <w:noProof/>
          <w:sz w:val="24"/>
          <w:szCs w:val="24"/>
          <w:lang w:val="en-US"/>
        </w:rPr>
      </w:pPr>
    </w:p>
    <w:p>
      <w:pPr>
        <w:pStyle w:val="BodyText"/>
        <w:spacing w:line="240" w:lineRule="auto"/>
        <w:jc w:val="both"/>
        <w:rPr>
          <w:rFonts w:ascii="Times New Roman" w:eastAsia="Arial" w:hAnsi="Times New Roman" w:cs="Times New Roman"/>
          <w:noProof/>
          <w:sz w:val="24"/>
          <w:szCs w:val="24"/>
          <w:lang w:val="en-US"/>
        </w:rPr>
      </w:pPr>
    </w:p>
    <w:p>
      <w:pPr>
        <w:pStyle w:val="AnnexTable"/>
        <w:keepLines/>
        <w:numPr>
          <w:ilvl w:val="0"/>
          <w:numId w:val="0"/>
        </w:numPr>
        <w:spacing w:line="240" w:lineRule="auto"/>
        <w:jc w:val="center"/>
        <w:outlineLvl w:val="2"/>
        <w:rPr>
          <w:rFonts w:ascii="Times New Roman" w:hAnsi="Times New Roman"/>
          <w:i/>
          <w:noProof/>
          <w:color w:val="auto"/>
          <w:sz w:val="20"/>
        </w:rPr>
      </w:pPr>
      <w:r>
        <w:rPr>
          <w:rFonts w:ascii="Times New Roman" w:hAnsi="Times New Roman"/>
          <w:i/>
          <w:noProof/>
          <w:color w:val="auto"/>
          <w:sz w:val="20"/>
        </w:rPr>
        <w:t>Table A3.4 Overview of the approach to case study analysis</w:t>
      </w:r>
    </w:p>
    <w:tbl>
      <w:tblPr>
        <w:tblStyle w:val="TableGrid"/>
        <w:tblW w:w="9464" w:type="dxa"/>
        <w:shd w:val="clear" w:color="auto" w:fill="FFFFFF" w:themeFill="background1"/>
        <w:tblLook w:val="04A0" w:firstRow="1" w:lastRow="0" w:firstColumn="1" w:lastColumn="0" w:noHBand="0" w:noVBand="1"/>
      </w:tblPr>
      <w:tblGrid>
        <w:gridCol w:w="3652"/>
        <w:gridCol w:w="2126"/>
        <w:gridCol w:w="1701"/>
        <w:gridCol w:w="1985"/>
      </w:tblGrid>
      <w:tr>
        <w:trPr>
          <w:trHeight w:val="538"/>
        </w:trPr>
        <w:tc>
          <w:tcPr>
            <w:tcW w:w="3652" w:type="dxa"/>
            <w:vMerge w:val="restart"/>
            <w:shd w:val="clear" w:color="auto" w:fill="1F4E79" w:themeFill="accent1" w:themeFillShade="80"/>
            <w:vAlign w:val="center"/>
            <w:hideMark/>
          </w:tcPr>
          <w:p>
            <w:pPr>
              <w:spacing w:line="240" w:lineRule="auto"/>
              <w:jc w:val="center"/>
              <w:rPr>
                <w:rFonts w:ascii="Times New Roman" w:hAnsi="Times New Roman" w:cs="Times New Roman"/>
                <w:b/>
                <w:noProof/>
                <w:color w:val="FFFFFF" w:themeColor="background1"/>
                <w:szCs w:val="24"/>
              </w:rPr>
            </w:pPr>
            <w:r>
              <w:rPr>
                <w:rFonts w:ascii="Times New Roman" w:hAnsi="Times New Roman" w:cs="Times New Roman"/>
                <w:b/>
                <w:noProof/>
                <w:color w:val="FFFFFF" w:themeColor="background1"/>
                <w:szCs w:val="24"/>
              </w:rPr>
              <w:t>Analytical component</w:t>
            </w:r>
          </w:p>
        </w:tc>
        <w:tc>
          <w:tcPr>
            <w:tcW w:w="5812" w:type="dxa"/>
            <w:gridSpan w:val="3"/>
            <w:shd w:val="clear" w:color="auto" w:fill="1F4E79" w:themeFill="accent1" w:themeFillShade="80"/>
            <w:vAlign w:val="bottom"/>
            <w:hideMark/>
          </w:tcPr>
          <w:p>
            <w:pPr>
              <w:spacing w:line="240" w:lineRule="auto"/>
              <w:jc w:val="center"/>
              <w:rPr>
                <w:rFonts w:ascii="Times New Roman" w:hAnsi="Times New Roman" w:cs="Times New Roman"/>
                <w:b/>
                <w:noProof/>
                <w:color w:val="FFFFFF" w:themeColor="background1"/>
                <w:szCs w:val="24"/>
              </w:rPr>
            </w:pPr>
            <w:r>
              <w:rPr>
                <w:rFonts w:ascii="Times New Roman" w:hAnsi="Times New Roman" w:cs="Times New Roman"/>
                <w:b/>
                <w:noProof/>
                <w:color w:val="FFFFFF" w:themeColor="background1"/>
                <w:szCs w:val="24"/>
              </w:rPr>
              <w:t>Analytical dimension</w:t>
            </w:r>
          </w:p>
        </w:tc>
      </w:tr>
      <w:tr>
        <w:trPr>
          <w:trHeight w:val="560"/>
        </w:trPr>
        <w:tc>
          <w:tcPr>
            <w:tcW w:w="3652" w:type="dxa"/>
            <w:vMerge/>
            <w:shd w:val="clear" w:color="auto" w:fill="1F4E79" w:themeFill="accent1" w:themeFillShade="80"/>
            <w:vAlign w:val="center"/>
            <w:hideMark/>
          </w:tcPr>
          <w:p>
            <w:pPr>
              <w:spacing w:line="240" w:lineRule="auto"/>
              <w:jc w:val="center"/>
              <w:rPr>
                <w:rFonts w:ascii="Times New Roman" w:hAnsi="Times New Roman" w:cs="Times New Roman"/>
                <w:b/>
                <w:noProof/>
                <w:color w:val="FFFFFF" w:themeColor="background1"/>
                <w:szCs w:val="24"/>
                <w:lang w:bidi="en-GB"/>
              </w:rPr>
            </w:pPr>
          </w:p>
        </w:tc>
        <w:tc>
          <w:tcPr>
            <w:tcW w:w="2126" w:type="dxa"/>
            <w:shd w:val="clear" w:color="auto" w:fill="1F4E79" w:themeFill="accent1" w:themeFillShade="80"/>
            <w:vAlign w:val="bottom"/>
            <w:hideMark/>
          </w:tcPr>
          <w:p>
            <w:pPr>
              <w:spacing w:line="240" w:lineRule="auto"/>
              <w:jc w:val="center"/>
              <w:rPr>
                <w:rFonts w:ascii="Times New Roman" w:hAnsi="Times New Roman" w:cs="Times New Roman"/>
                <w:b/>
                <w:noProof/>
                <w:color w:val="FFFFFF" w:themeColor="background1"/>
                <w:szCs w:val="24"/>
              </w:rPr>
            </w:pPr>
            <w:r>
              <w:rPr>
                <w:rFonts w:ascii="Times New Roman" w:hAnsi="Times New Roman" w:cs="Times New Roman"/>
                <w:b/>
                <w:noProof/>
                <w:color w:val="FFFFFF" w:themeColor="background1"/>
                <w:szCs w:val="24"/>
              </w:rPr>
              <w:t xml:space="preserve">Descriptive </w:t>
            </w:r>
          </w:p>
        </w:tc>
        <w:tc>
          <w:tcPr>
            <w:tcW w:w="1701" w:type="dxa"/>
            <w:shd w:val="clear" w:color="auto" w:fill="1F4E79" w:themeFill="accent1" w:themeFillShade="80"/>
            <w:vAlign w:val="bottom"/>
            <w:hideMark/>
          </w:tcPr>
          <w:p>
            <w:pPr>
              <w:spacing w:line="240" w:lineRule="auto"/>
              <w:jc w:val="center"/>
              <w:rPr>
                <w:rFonts w:ascii="Times New Roman" w:hAnsi="Times New Roman" w:cs="Times New Roman"/>
                <w:b/>
                <w:noProof/>
                <w:color w:val="FFFFFF" w:themeColor="background1"/>
                <w:szCs w:val="24"/>
              </w:rPr>
            </w:pPr>
            <w:r>
              <w:rPr>
                <w:rFonts w:ascii="Times New Roman" w:hAnsi="Times New Roman" w:cs="Times New Roman"/>
                <w:b/>
                <w:noProof/>
                <w:color w:val="FFFFFF" w:themeColor="background1"/>
                <w:szCs w:val="24"/>
              </w:rPr>
              <w:t xml:space="preserve">Exploratory </w:t>
            </w:r>
          </w:p>
        </w:tc>
        <w:tc>
          <w:tcPr>
            <w:tcW w:w="1985" w:type="dxa"/>
            <w:shd w:val="clear" w:color="auto" w:fill="1F4E79" w:themeFill="accent1" w:themeFillShade="80"/>
            <w:vAlign w:val="bottom"/>
            <w:hideMark/>
          </w:tcPr>
          <w:p>
            <w:pPr>
              <w:spacing w:line="240" w:lineRule="auto"/>
              <w:jc w:val="center"/>
              <w:rPr>
                <w:rFonts w:ascii="Times New Roman" w:hAnsi="Times New Roman" w:cs="Times New Roman"/>
                <w:b/>
                <w:noProof/>
                <w:color w:val="FFFFFF" w:themeColor="background1"/>
                <w:szCs w:val="24"/>
              </w:rPr>
            </w:pPr>
            <w:r>
              <w:rPr>
                <w:rFonts w:ascii="Times New Roman" w:hAnsi="Times New Roman" w:cs="Times New Roman"/>
                <w:b/>
                <w:noProof/>
                <w:color w:val="FFFFFF" w:themeColor="background1"/>
                <w:szCs w:val="24"/>
              </w:rPr>
              <w:t>Explanatory</w:t>
            </w:r>
          </w:p>
        </w:tc>
      </w:tr>
      <w:tr>
        <w:trPr>
          <w:trHeight w:val="2397"/>
        </w:trPr>
        <w:tc>
          <w:tcPr>
            <w:tcW w:w="3652" w:type="dxa"/>
            <w:shd w:val="clear" w:color="auto" w:fill="DEEAF6" w:themeFill="accent1" w:themeFillTint="33"/>
            <w:vAlign w:val="center"/>
            <w:hideMark/>
          </w:tcPr>
          <w:p>
            <w:pPr>
              <w:pStyle w:val="NumbList1"/>
              <w:numPr>
                <w:ilvl w:val="0"/>
                <w:numId w:val="0"/>
              </w:numPr>
              <w:ind w:left="142" w:right="134"/>
              <w:rPr>
                <w:rFonts w:ascii="Times New Roman" w:hAnsi="Times New Roman" w:cs="Times New Roman"/>
                <w:noProof/>
                <w:color w:val="auto"/>
                <w:sz w:val="22"/>
                <w:szCs w:val="24"/>
              </w:rPr>
            </w:pPr>
            <w:r>
              <w:rPr>
                <w:rFonts w:ascii="Times New Roman" w:hAnsi="Times New Roman" w:cs="Times New Roman"/>
                <w:noProof/>
                <w:color w:val="auto"/>
                <w:sz w:val="22"/>
                <w:szCs w:val="24"/>
              </w:rPr>
              <w:t>How the use of the euro has evolved in asset and debt management activities of the Ukrainian authorities</w:t>
            </w:r>
          </w:p>
        </w:tc>
        <w:tc>
          <w:tcPr>
            <w:tcW w:w="2126" w:type="dxa"/>
            <w:shd w:val="clear" w:color="auto" w:fill="FFFFFF" w:themeFill="background1"/>
            <w:hideMark/>
          </w:tcPr>
          <w:p>
            <w:pPr>
              <w:spacing w:line="240" w:lineRule="auto"/>
              <w:jc w:val="both"/>
              <w:rPr>
                <w:rFonts w:ascii="Times New Roman" w:hAnsi="Times New Roman" w:cs="Times New Roman"/>
                <w:noProof/>
                <w:szCs w:val="24"/>
                <w:lang w:val="en-US"/>
              </w:rPr>
            </w:pPr>
          </w:p>
          <w:p>
            <w:pPr>
              <w:spacing w:line="240" w:lineRule="auto"/>
              <w:jc w:val="both"/>
              <w:rPr>
                <w:rFonts w:ascii="Times New Roman" w:hAnsi="Times New Roman" w:cs="Times New Roman"/>
                <w:noProof/>
                <w:szCs w:val="24"/>
                <w:lang w:val="en-US"/>
              </w:rPr>
            </w:pPr>
            <w:r>
              <w:rPr>
                <w:rFonts w:ascii="Times New Roman" w:hAnsi="Times New Roman" w:cs="Times New Roman"/>
                <w:noProof/>
                <w:szCs w:val="24"/>
                <w:lang w:val="en-US"/>
              </w:rPr>
              <w:t>X</w:t>
            </w:r>
          </w:p>
          <w:p>
            <w:pPr>
              <w:spacing w:line="240" w:lineRule="auto"/>
              <w:rPr>
                <w:rFonts w:ascii="Times New Roman" w:hAnsi="Times New Roman" w:cs="Times New Roman"/>
                <w:iCs/>
                <w:noProof/>
                <w:szCs w:val="24"/>
                <w:lang w:val="en-US"/>
              </w:rPr>
            </w:pPr>
            <w:r>
              <w:rPr>
                <w:rFonts w:ascii="Times New Roman" w:hAnsi="Times New Roman" w:cs="Times New Roman"/>
                <w:iCs/>
                <w:noProof/>
                <w:szCs w:val="24"/>
                <w:lang w:val="en-US"/>
              </w:rPr>
              <w:t>Descriptive statistics on use of the euro</w:t>
            </w:r>
          </w:p>
        </w:tc>
        <w:tc>
          <w:tcPr>
            <w:tcW w:w="1701" w:type="dxa"/>
            <w:shd w:val="clear" w:color="auto" w:fill="FFFFFF" w:themeFill="background1"/>
            <w:hideMark/>
          </w:tcPr>
          <w:p>
            <w:pPr>
              <w:spacing w:line="240" w:lineRule="auto"/>
              <w:jc w:val="both"/>
              <w:rPr>
                <w:rFonts w:ascii="Times New Roman" w:hAnsi="Times New Roman" w:cs="Times New Roman"/>
                <w:noProof/>
                <w:szCs w:val="24"/>
                <w:lang w:val="en-US"/>
              </w:rPr>
            </w:pPr>
          </w:p>
          <w:p>
            <w:pPr>
              <w:spacing w:line="240" w:lineRule="auto"/>
              <w:jc w:val="both"/>
              <w:rPr>
                <w:rFonts w:ascii="Times New Roman" w:hAnsi="Times New Roman" w:cs="Times New Roman"/>
                <w:noProof/>
                <w:szCs w:val="24"/>
                <w:lang w:val="en-US"/>
              </w:rPr>
            </w:pPr>
            <w:r>
              <w:rPr>
                <w:rFonts w:ascii="Times New Roman" w:hAnsi="Times New Roman" w:cs="Times New Roman"/>
                <w:noProof/>
                <w:szCs w:val="24"/>
                <w:lang w:val="en-US"/>
              </w:rPr>
              <w:t>X</w:t>
            </w:r>
          </w:p>
          <w:p>
            <w:pPr>
              <w:spacing w:line="240" w:lineRule="auto"/>
              <w:rPr>
                <w:rFonts w:ascii="Times New Roman" w:hAnsi="Times New Roman" w:cs="Times New Roman"/>
                <w:iCs/>
                <w:noProof/>
                <w:szCs w:val="24"/>
                <w:lang w:val="en-US"/>
              </w:rPr>
            </w:pPr>
            <w:r>
              <w:rPr>
                <w:rFonts w:ascii="Times New Roman" w:hAnsi="Times New Roman" w:cs="Times New Roman"/>
                <w:iCs/>
                <w:noProof/>
                <w:szCs w:val="24"/>
                <w:lang w:val="en-US"/>
              </w:rPr>
              <w:t>Factors influencing and driving these changes</w:t>
            </w:r>
          </w:p>
        </w:tc>
        <w:tc>
          <w:tcPr>
            <w:tcW w:w="1985" w:type="dxa"/>
            <w:shd w:val="clear" w:color="auto" w:fill="FFFFFF" w:themeFill="background1"/>
          </w:tcPr>
          <w:p>
            <w:pPr>
              <w:spacing w:line="240" w:lineRule="auto"/>
              <w:jc w:val="both"/>
              <w:rPr>
                <w:rFonts w:ascii="Times New Roman" w:hAnsi="Times New Roman" w:cs="Times New Roman"/>
                <w:noProof/>
                <w:szCs w:val="24"/>
                <w:lang w:val="en-US"/>
              </w:rPr>
            </w:pPr>
          </w:p>
        </w:tc>
      </w:tr>
      <w:tr>
        <w:trPr>
          <w:trHeight w:val="1974"/>
        </w:trPr>
        <w:tc>
          <w:tcPr>
            <w:tcW w:w="3652" w:type="dxa"/>
            <w:shd w:val="clear" w:color="auto" w:fill="DEEAF6" w:themeFill="accent1" w:themeFillTint="33"/>
            <w:vAlign w:val="center"/>
            <w:hideMark/>
          </w:tcPr>
          <w:p>
            <w:pPr>
              <w:pStyle w:val="NumbList1"/>
              <w:numPr>
                <w:ilvl w:val="0"/>
                <w:numId w:val="0"/>
              </w:numPr>
              <w:ind w:left="142"/>
              <w:rPr>
                <w:rFonts w:ascii="Times New Roman" w:hAnsi="Times New Roman" w:cs="Times New Roman"/>
                <w:noProof/>
                <w:color w:val="auto"/>
                <w:sz w:val="22"/>
                <w:szCs w:val="24"/>
              </w:rPr>
            </w:pPr>
            <w:r>
              <w:rPr>
                <w:rFonts w:ascii="Times New Roman" w:hAnsi="Times New Roman" w:cs="Times New Roman"/>
                <w:noProof/>
                <w:color w:val="auto"/>
                <w:sz w:val="22"/>
                <w:szCs w:val="24"/>
              </w:rPr>
              <w:t>Role and contribution of the MFA - whether and how the MFA operations contributed to any of the observed changes in the use of the euro by Ukrainian authorities</w:t>
            </w:r>
          </w:p>
        </w:tc>
        <w:tc>
          <w:tcPr>
            <w:tcW w:w="2126" w:type="dxa"/>
            <w:shd w:val="clear" w:color="auto" w:fill="FFFFFF" w:themeFill="background1"/>
          </w:tcPr>
          <w:p>
            <w:pPr>
              <w:spacing w:line="240" w:lineRule="auto"/>
              <w:jc w:val="both"/>
              <w:rPr>
                <w:rFonts w:ascii="Times New Roman" w:hAnsi="Times New Roman" w:cs="Times New Roman"/>
                <w:noProof/>
                <w:szCs w:val="24"/>
                <w:lang w:val="en-US"/>
              </w:rPr>
            </w:pPr>
          </w:p>
        </w:tc>
        <w:tc>
          <w:tcPr>
            <w:tcW w:w="1701" w:type="dxa"/>
            <w:shd w:val="clear" w:color="auto" w:fill="FFFFFF" w:themeFill="background1"/>
            <w:hideMark/>
          </w:tcPr>
          <w:p>
            <w:pPr>
              <w:spacing w:line="240" w:lineRule="auto"/>
              <w:jc w:val="both"/>
              <w:rPr>
                <w:rFonts w:ascii="Times New Roman" w:hAnsi="Times New Roman" w:cs="Times New Roman"/>
                <w:noProof/>
                <w:szCs w:val="24"/>
                <w:lang w:val="en-US"/>
              </w:rPr>
            </w:pPr>
          </w:p>
          <w:p>
            <w:pPr>
              <w:spacing w:line="240" w:lineRule="auto"/>
              <w:jc w:val="both"/>
              <w:rPr>
                <w:rFonts w:ascii="Times New Roman" w:hAnsi="Times New Roman" w:cs="Times New Roman"/>
                <w:noProof/>
                <w:szCs w:val="24"/>
                <w:lang w:val="en-US"/>
              </w:rPr>
            </w:pPr>
            <w:r>
              <w:rPr>
                <w:rFonts w:ascii="Times New Roman" w:hAnsi="Times New Roman" w:cs="Times New Roman"/>
                <w:noProof/>
                <w:szCs w:val="24"/>
                <w:lang w:val="en-US"/>
              </w:rPr>
              <w:t>X</w:t>
            </w:r>
          </w:p>
          <w:p>
            <w:pPr>
              <w:spacing w:line="240" w:lineRule="auto"/>
              <w:rPr>
                <w:rFonts w:ascii="Times New Roman" w:hAnsi="Times New Roman" w:cs="Times New Roman"/>
                <w:noProof/>
                <w:szCs w:val="24"/>
                <w:lang w:val="en-US"/>
              </w:rPr>
            </w:pPr>
            <w:r>
              <w:rPr>
                <w:rFonts w:ascii="Times New Roman" w:hAnsi="Times New Roman" w:cs="Times New Roman"/>
                <w:iCs/>
                <w:noProof/>
                <w:szCs w:val="24"/>
                <w:lang w:val="en-US"/>
              </w:rPr>
              <w:t>How MFA played a role</w:t>
            </w:r>
          </w:p>
        </w:tc>
        <w:tc>
          <w:tcPr>
            <w:tcW w:w="1985" w:type="dxa"/>
            <w:shd w:val="clear" w:color="auto" w:fill="FFFFFF" w:themeFill="background1"/>
            <w:hideMark/>
          </w:tcPr>
          <w:p>
            <w:pPr>
              <w:spacing w:line="240" w:lineRule="auto"/>
              <w:jc w:val="both"/>
              <w:rPr>
                <w:rFonts w:ascii="Times New Roman" w:hAnsi="Times New Roman" w:cs="Times New Roman"/>
                <w:noProof/>
                <w:szCs w:val="24"/>
                <w:lang w:val="en-US"/>
              </w:rPr>
            </w:pPr>
          </w:p>
          <w:p>
            <w:pPr>
              <w:spacing w:line="240" w:lineRule="auto"/>
              <w:jc w:val="both"/>
              <w:rPr>
                <w:rFonts w:ascii="Times New Roman" w:hAnsi="Times New Roman" w:cs="Times New Roman"/>
                <w:noProof/>
                <w:szCs w:val="24"/>
                <w:lang w:val="en-US"/>
              </w:rPr>
            </w:pPr>
            <w:r>
              <w:rPr>
                <w:rFonts w:ascii="Times New Roman" w:hAnsi="Times New Roman" w:cs="Times New Roman"/>
                <w:noProof/>
                <w:szCs w:val="24"/>
                <w:lang w:val="en-US"/>
              </w:rPr>
              <w:t>X</w:t>
            </w:r>
          </w:p>
          <w:p>
            <w:pPr>
              <w:spacing w:line="240" w:lineRule="auto"/>
              <w:rPr>
                <w:rFonts w:ascii="Times New Roman" w:hAnsi="Times New Roman" w:cs="Times New Roman"/>
                <w:iCs/>
                <w:noProof/>
                <w:szCs w:val="24"/>
                <w:lang w:val="en-US"/>
              </w:rPr>
            </w:pPr>
            <w:r>
              <w:rPr>
                <w:rFonts w:ascii="Times New Roman" w:hAnsi="Times New Roman" w:cs="Times New Roman"/>
                <w:iCs/>
                <w:noProof/>
                <w:szCs w:val="24"/>
                <w:lang w:val="en-US"/>
              </w:rPr>
              <w:t>Whether MFA played a role</w:t>
            </w:r>
          </w:p>
        </w:tc>
      </w:tr>
    </w:tbl>
    <w:p>
      <w:pPr>
        <w:pStyle w:val="BodyText"/>
        <w:spacing w:line="240" w:lineRule="auto"/>
        <w:jc w:val="both"/>
        <w:rPr>
          <w:rFonts w:ascii="Times New Roman" w:hAnsi="Times New Roman" w:cs="Times New Roman"/>
          <w:noProof/>
          <w:sz w:val="24"/>
          <w:szCs w:val="24"/>
          <w:lang w:val="en-US"/>
        </w:rPr>
      </w:pP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A3.6 Qualitative counterfactual analysis</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 qualitative counterfactual analysis was used by the evaluation team rather than a quantitative approach, due to the difficulties of isolating the effects of MFA from other interventions (i.e. the IMF programme, parallel EU interventions and supports from other donors) and other exogenous and/or unobservable factors. It applied a theory-based approach to draw inferences regarding the role and contribution of the MFA in promoting macroeconomic stabilisation. Information gathered through the other methods was used to deduce wat might have happened: in the absence of the first MFA disbursement (alternative 1); in the absence of the second disbursement (alternative 2); in case the third tranche would have been released (alternative 3); and in the absence of both MFA-III and IMF’s EFF operations (alternative 4). </w:t>
      </w:r>
    </w:p>
    <w:p>
      <w:pPr>
        <w:spacing w:after="120" w:line="24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A3.7 Social Impact Analysis (SIA)</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the Social Impact Analysis, the evaluation analysed trends of key indicators prior to, during and after the MFA operation: (i) wages, (ii) social services provided for IDPs, (iii) households expenditures, (iv) employment, (v) unemployment, (vi) pensions. Counterfactual reasoning was applied to deduce the extent to which the MFA operation contributed to the observed outcomes. </w:t>
      </w:r>
    </w:p>
    <w:p>
      <w:pPr>
        <w:spacing w:after="120" w:line="240" w:lineRule="auto"/>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A3.8 Debt Sustainability Analysis (DSA)</w:t>
      </w:r>
    </w:p>
    <w:p>
      <w:pPr>
        <w:pStyle w:val="BodyText"/>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objective of DSA is to evaluate the contribution of the MFA-III operation (2015-17) towards the sustainability of Ukraine’s public debt. The DSA undertaken relies on modelling the key debt burden indicators and macroeconomic variables which affect the path of Ukraine’s debt and its capacity to manage its debt sustainably. A debt sustainability analysis tool developed by the IMF and World Bank for countries that can access international financial markets was used to support the assessment</w:t>
      </w:r>
      <w:r>
        <w:rPr>
          <w:rStyle w:val="FootnoteReference"/>
          <w:rFonts w:ascii="Times New Roman" w:hAnsi="Times New Roman" w:cs="Times New Roman"/>
          <w:noProof/>
          <w:szCs w:val="24"/>
          <w:lang w:val="en-GB"/>
        </w:rPr>
        <w:footnoteReference w:id="43"/>
      </w:r>
      <w:r>
        <w:rPr>
          <w:rFonts w:ascii="Times New Roman" w:hAnsi="Times New Roman" w:cs="Times New Roman"/>
          <w:noProof/>
          <w:sz w:val="24"/>
          <w:szCs w:val="24"/>
          <w:lang w:val="en-GB"/>
        </w:rPr>
        <w:t xml:space="preserve">. </w:t>
      </w:r>
    </w:p>
    <w:p>
      <w:pPr>
        <w:pStyle w:val="BodyText"/>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DSA tool was used to generate short-term and medium-term projections of the dynamics for debt sustainability indicators (the debt-to-GDP ratio and the gross financing need-to-GDP ratio) for years 2015-2017. </w:t>
      </w:r>
    </w:p>
    <w:p>
      <w:pPr>
        <w:pStyle w:val="BodyText"/>
        <w:jc w:val="both"/>
        <w:rPr>
          <w:rFonts w:ascii="Times New Roman" w:hAnsi="Times New Roman" w:cs="Times New Roman"/>
          <w:noProof/>
          <w:sz w:val="24"/>
          <w:szCs w:val="24"/>
          <w:lang w:val="en-GB"/>
        </w:rPr>
      </w:pPr>
    </w:p>
    <w:p>
      <w:pPr>
        <w:spacing w:after="120" w:line="240" w:lineRule="auto"/>
        <w:jc w:val="both"/>
        <w:rPr>
          <w:rFonts w:ascii="Times New Roman" w:hAnsi="Times New Roman" w:cs="Times New Roman"/>
          <w:noProof/>
          <w:sz w:val="24"/>
          <w:szCs w:val="24"/>
          <w:lang w:val="en-GB"/>
        </w:rPr>
      </w:pPr>
    </w:p>
    <w:p>
      <w:pPr>
        <w:pStyle w:val="BodyText"/>
        <w:spacing w:line="240" w:lineRule="auto"/>
        <w:rPr>
          <w:rFonts w:ascii="Times New Roman" w:eastAsia="Arial" w:hAnsi="Times New Roman" w:cs="Times New Roman"/>
          <w:noProof/>
          <w:color w:val="000000"/>
          <w:sz w:val="24"/>
          <w:szCs w:val="24"/>
          <w:bdr w:val="none" w:sz="0" w:space="0" w:color="auto" w:frame="1"/>
          <w:lang w:val="en-US"/>
        </w:rPr>
      </w:pPr>
      <w:bookmarkStart w:id="49" w:name="_Toc518383277"/>
      <w:bookmarkStart w:id="50" w:name="_Toc29824064"/>
      <w:bookmarkStart w:id="51" w:name="_Toc496866696"/>
      <w:bookmarkStart w:id="52" w:name="_Toc496870680"/>
      <w:bookmarkEnd w:id="33"/>
    </w:p>
    <w:p>
      <w:pPr>
        <w:pStyle w:val="no-heading-blue-1"/>
        <w:spacing w:after="240"/>
        <w:jc w:val="both"/>
        <w:rPr>
          <w:noProof/>
        </w:rPr>
      </w:pPr>
      <w:r>
        <w:rPr>
          <w:rFonts w:ascii="Times New Roman" w:hAnsi="Times New Roman"/>
          <w:noProof/>
          <w:color w:val="auto"/>
          <w:sz w:val="28"/>
        </w:rPr>
        <w:t>Annex 4: Timeline</w:t>
      </w:r>
      <w:bookmarkEnd w:id="49"/>
      <w:r>
        <w:rPr>
          <w:rFonts w:ascii="Times New Roman" w:hAnsi="Times New Roman"/>
          <w:noProof/>
          <w:color w:val="auto"/>
          <w:sz w:val="28"/>
        </w:rPr>
        <w:t xml:space="preserve"> of the Ukraine MFA-III operation</w:t>
      </w:r>
      <w:bookmarkEnd w:id="50"/>
    </w:p>
    <w:p>
      <w:pPr>
        <w:pStyle w:val="DefaultText"/>
        <w:jc w:val="center"/>
        <w:rPr>
          <w:rFonts w:ascii="Times New Roman" w:hAnsi="Times New Roman"/>
          <w:i/>
          <w:noProof/>
          <w:sz w:val="20"/>
        </w:rPr>
      </w:pPr>
      <w:r>
        <w:rPr>
          <w:rFonts w:ascii="Times New Roman" w:hAnsi="Times New Roman"/>
          <w:i/>
          <w:noProof/>
          <w:sz w:val="20"/>
        </w:rPr>
        <w:t>Table A4.1</w:t>
      </w:r>
    </w:p>
    <w:tbl>
      <w:tblPr>
        <w:tblStyle w:val="ListTable4-Accent11"/>
        <w:tblW w:w="5000" w:type="pct"/>
        <w:jc w:val="center"/>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500"/>
        <w:gridCol w:w="5251"/>
        <w:gridCol w:w="1572"/>
        <w:gridCol w:w="1253"/>
      </w:tblGrid>
      <w:tr>
        <w:trPr>
          <w:cnfStyle w:val="100000000000" w:firstRow="1" w:lastRow="0" w:firstColumn="0" w:lastColumn="0" w:oddVBand="0" w:evenVBand="0" w:oddHBand="0" w:evenHBand="0" w:firstRowFirstColumn="0" w:firstRowLastColumn="0" w:lastRowFirstColumn="0" w:lastRowLastColumn="0"/>
          <w:trHeight w:val="852"/>
          <w:tblHeader/>
          <w:jc w:val="center"/>
        </w:trPr>
        <w:tc>
          <w:tcPr>
            <w:cnfStyle w:val="001000000000" w:firstRow="0" w:lastRow="0" w:firstColumn="1" w:lastColumn="0" w:oddVBand="0" w:evenVBand="0" w:oddHBand="0" w:evenHBand="0" w:firstRowFirstColumn="0" w:firstRowLastColumn="0" w:lastRowFirstColumn="0" w:lastRowLastColumn="0"/>
            <w:tcW w:w="783" w:type="pct"/>
            <w:tcBorders>
              <w:top w:val="none" w:sz="0" w:space="0" w:color="auto"/>
              <w:left w:val="none" w:sz="0" w:space="0" w:color="auto"/>
              <w:bottom w:val="none" w:sz="0" w:space="0" w:color="auto"/>
            </w:tcBorders>
            <w:shd w:val="clear" w:color="auto" w:fill="1F4E79" w:themeFill="accent1" w:themeFillShade="80"/>
            <w:vAlign w:val="center"/>
          </w:tcPr>
          <w:p>
            <w:pPr>
              <w:jc w:val="center"/>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Date</w:t>
            </w:r>
          </w:p>
        </w:tc>
        <w:tc>
          <w:tcPr>
            <w:tcW w:w="2742" w:type="pct"/>
            <w:tcBorders>
              <w:top w:val="none" w:sz="0" w:space="0" w:color="auto"/>
              <w:bottom w:val="none" w:sz="0" w:space="0" w:color="auto"/>
            </w:tcBorders>
            <w:shd w:val="clear" w:color="auto" w:fill="1F4E79" w:themeFill="accent1" w:themeFillShade="80"/>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MFA progress</w:t>
            </w:r>
          </w:p>
        </w:tc>
        <w:tc>
          <w:tcPr>
            <w:tcW w:w="821" w:type="pct"/>
            <w:tcBorders>
              <w:top w:val="none" w:sz="0" w:space="0" w:color="auto"/>
              <w:bottom w:val="none" w:sz="0" w:space="0" w:color="auto"/>
            </w:tcBorders>
            <w:shd w:val="clear" w:color="auto" w:fill="1F4E79" w:themeFill="accent1" w:themeFillShade="80"/>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MFA milestones</w:t>
            </w:r>
          </w:p>
        </w:tc>
        <w:tc>
          <w:tcPr>
            <w:tcW w:w="654" w:type="pct"/>
            <w:tcBorders>
              <w:top w:val="none" w:sz="0" w:space="0" w:color="auto"/>
              <w:bottom w:val="none" w:sz="0" w:space="0" w:color="auto"/>
              <w:right w:val="none" w:sz="0" w:space="0" w:color="auto"/>
            </w:tcBorders>
            <w:shd w:val="clear" w:color="auto" w:fill="1F4E79" w:themeFill="accent1" w:themeFillShade="80"/>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FFFFFF" w:themeColor="background1"/>
                <w:sz w:val="20"/>
                <w:szCs w:val="20"/>
                <w:lang w:val="en-GB"/>
              </w:rPr>
            </w:pPr>
            <w:r>
              <w:rPr>
                <w:rFonts w:ascii="Times New Roman" w:eastAsia="Times New Roman" w:hAnsi="Times New Roman" w:cs="Times New Roman"/>
                <w:noProof/>
                <w:color w:val="FFFFFF" w:themeColor="background1"/>
                <w:sz w:val="20"/>
                <w:szCs w:val="20"/>
                <w:lang w:val="en-GB"/>
              </w:rPr>
              <w:t>Amount</w:t>
            </w:r>
          </w:p>
        </w:tc>
      </w:tr>
      <w:tr>
        <w:trPr>
          <w:cnfStyle w:val="000000100000" w:firstRow="0" w:lastRow="0" w:firstColumn="0" w:lastColumn="0" w:oddVBand="0" w:evenVBand="0" w:oddHBand="1" w:evenHBand="0" w:firstRowFirstColumn="0" w:firstRowLastColumn="0" w:lastRowFirstColumn="0" w:lastRowLastColumn="0"/>
          <w:trHeight w:val="884"/>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EEAF6" w:themeFill="accent1" w:themeFillTint="33"/>
            <w:vAlign w:val="center"/>
          </w:tcPr>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September 2014</w:t>
            </w:r>
          </w:p>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p>
        </w:tc>
        <w:tc>
          <w:tcPr>
            <w:tcW w:w="2742" w:type="pct"/>
            <w:shd w:val="clear" w:color="auto" w:fill="DEEAF6" w:themeFill="accent1" w:themeFillTint="33"/>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Ukrainian authorities official request for Macro-Financial Assistance (MFA) addressed to the European Commission (EC).</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shd w:val="clear" w:color="auto" w:fill="DEEAF6"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MFA-III request for assistance</w:t>
            </w:r>
          </w:p>
        </w:tc>
        <w:tc>
          <w:tcPr>
            <w:tcW w:w="654" w:type="pct"/>
            <w:shd w:val="clear" w:color="auto" w:fill="DEEAF6"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r>
      <w:tr>
        <w:trPr>
          <w:trHeight w:val="696"/>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hAnsi="Times New Roman" w:cs="Times New Roman"/>
                <w:noProof/>
                <w:sz w:val="20"/>
                <w:szCs w:val="20"/>
              </w:rPr>
            </w:pPr>
            <w:r>
              <w:rPr>
                <w:rFonts w:ascii="Times New Roman" w:hAnsi="Times New Roman" w:cs="Times New Roman"/>
                <w:noProof/>
                <w:sz w:val="20"/>
                <w:szCs w:val="20"/>
                <w:lang w:val="en-US"/>
              </w:rPr>
              <w:t>January</w:t>
            </w:r>
            <w:r>
              <w:rPr>
                <w:rFonts w:ascii="Times New Roman" w:hAnsi="Times New Roman" w:cs="Times New Roman"/>
                <w:noProof/>
                <w:sz w:val="20"/>
                <w:szCs w:val="20"/>
              </w:rPr>
              <w:t xml:space="preserve">    2015</w:t>
            </w:r>
          </w:p>
        </w:tc>
        <w:tc>
          <w:tcPr>
            <w:tcW w:w="2742"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The EC adopted a proposal to provide up to EUR 1.8 billion to Ukraine in the form of loans.</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MFA-III proposal</w:t>
            </w:r>
          </w:p>
        </w:tc>
        <w:tc>
          <w:tcPr>
            <w:tcW w:w="654"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1.8 billion</w:t>
            </w:r>
          </w:p>
        </w:tc>
      </w:tr>
      <w:tr>
        <w:trPr>
          <w:cnfStyle w:val="000000100000" w:firstRow="0" w:lastRow="0" w:firstColumn="0" w:lastColumn="0" w:oddVBand="0" w:evenVBand="0" w:oddHBand="1" w:evenHBand="0" w:firstRowFirstColumn="0" w:firstRowLastColumn="0" w:lastRowFirstColumn="0" w:lastRowLastColumn="0"/>
          <w:trHeight w:val="1153"/>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March       2015</w:t>
            </w:r>
          </w:p>
        </w:tc>
        <w:tc>
          <w:tcPr>
            <w:tcW w:w="2742" w:type="pct"/>
            <w:vAlign w:val="center"/>
          </w:tcPr>
          <w:p>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Immediate disbursement of the IMF’s EFF</w:t>
            </w:r>
          </w:p>
        </w:tc>
        <w:tc>
          <w:tcPr>
            <w:tcW w:w="821"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EFF</w:t>
            </w:r>
          </w:p>
        </w:tc>
        <w:tc>
          <w:tcPr>
            <w:tcW w:w="654"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4.7 billion</w:t>
            </w:r>
          </w:p>
        </w:tc>
      </w:tr>
      <w:tr>
        <w:trPr>
          <w:trHeight w:val="450"/>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FFFFFF" w:themeFill="background1"/>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April 2015</w:t>
            </w:r>
          </w:p>
        </w:tc>
        <w:tc>
          <w:tcPr>
            <w:tcW w:w="2742" w:type="pct"/>
            <w:shd w:val="clear" w:color="auto" w:fill="FFFFFF" w:themeFill="background1"/>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The Parliament and the Council adopted the Decision (No. 601/2015/EU) on 15 April 2015.</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shd w:val="clear" w:color="auto" w:fill="FFFFFF" w:themeFill="background1"/>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MFA-III decision</w:t>
            </w:r>
          </w:p>
        </w:tc>
        <w:tc>
          <w:tcPr>
            <w:tcW w:w="654" w:type="pct"/>
            <w:shd w:val="clear" w:color="auto" w:fill="FFFFFF" w:themeFill="background1"/>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1.8 billion</w:t>
            </w:r>
          </w:p>
        </w:tc>
      </w:tr>
      <w:tr>
        <w:trPr>
          <w:cnfStyle w:val="000000100000" w:firstRow="0" w:lastRow="0" w:firstColumn="0" w:lastColumn="0" w:oddVBand="0" w:evenVBand="0" w:oddHBand="1" w:evenHBand="0" w:firstRowFirstColumn="0" w:firstRowLastColumn="0" w:lastRowFirstColumn="0" w:lastRowLastColumn="0"/>
          <w:trHeight w:val="462"/>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p>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May 2015</w:t>
            </w:r>
          </w:p>
          <w:p>
            <w:pPr>
              <w:rPr>
                <w:rFonts w:ascii="Times New Roman" w:eastAsia="Times New Roman" w:hAnsi="Times New Roman" w:cs="Times New Roman"/>
                <w:noProof/>
                <w:sz w:val="20"/>
                <w:szCs w:val="20"/>
                <w:lang w:val="en-GB"/>
              </w:rPr>
            </w:pPr>
          </w:p>
        </w:tc>
        <w:tc>
          <w:tcPr>
            <w:tcW w:w="2742"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Signature of Memorandum of Understanding (MoU) outlining the specific reform criteria attached to the assistance and</w:t>
            </w:r>
            <w:r>
              <w:rPr>
                <w:rFonts w:ascii="Times New Roman" w:hAnsi="Times New Roman" w:cs="Times New Roman"/>
                <w:noProof/>
                <w:sz w:val="20"/>
                <w:szCs w:val="20"/>
                <w:lang w:val="en-GB"/>
              </w:rPr>
              <w:t xml:space="preserve"> L</w:t>
            </w:r>
            <w:r>
              <w:rPr>
                <w:rFonts w:ascii="Times New Roman" w:eastAsia="Times New Roman" w:hAnsi="Times New Roman" w:cs="Times New Roman"/>
                <w:noProof/>
                <w:sz w:val="20"/>
                <w:szCs w:val="20"/>
                <w:lang w:val="en-GB"/>
              </w:rPr>
              <w:t>oan Facility Agreement (LFA).</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MFA-III </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MoU</w:t>
            </w:r>
          </w:p>
        </w:tc>
        <w:tc>
          <w:tcPr>
            <w:tcW w:w="654"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r>
      <w:tr>
        <w:trPr>
          <w:trHeight w:val="77"/>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FFFFFF" w:themeFill="background1"/>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July 2015</w:t>
            </w:r>
          </w:p>
        </w:tc>
        <w:tc>
          <w:tcPr>
            <w:tcW w:w="2742" w:type="pct"/>
            <w:shd w:val="clear" w:color="auto" w:fill="FFFFFF" w:themeFill="background1"/>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Entry into force of the Loan Facility Agreement (LFA);</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Ratification by the Ukrainian Parliament of the MoU and LFA</w:t>
            </w:r>
          </w:p>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shd w:val="clear" w:color="auto" w:fill="FFFFFF" w:themeFill="background1"/>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MFA-III </w:t>
            </w:r>
          </w:p>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Ratification and entry into force of MoU</w:t>
            </w:r>
          </w:p>
        </w:tc>
        <w:tc>
          <w:tcPr>
            <w:tcW w:w="654" w:type="pct"/>
            <w:shd w:val="clear" w:color="auto" w:fill="FFFFFF" w:themeFill="background1"/>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p>
        </w:tc>
      </w:tr>
      <w:tr>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July 2015</w:t>
            </w:r>
          </w:p>
        </w:tc>
        <w:tc>
          <w:tcPr>
            <w:tcW w:w="2742"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Disbursement of the first instalment of EUR 600 million.</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tc>
        <w:tc>
          <w:tcPr>
            <w:tcW w:w="821"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MFA-III </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1</w:t>
            </w:r>
            <w:r>
              <w:rPr>
                <w:rFonts w:ascii="Times New Roman" w:eastAsia="Times New Roman" w:hAnsi="Times New Roman" w:cs="Times New Roman"/>
                <w:noProof/>
                <w:sz w:val="20"/>
                <w:szCs w:val="20"/>
                <w:vertAlign w:val="superscript"/>
                <w:lang w:val="en-GB"/>
              </w:rPr>
              <w:t>st</w:t>
            </w:r>
            <w:r>
              <w:rPr>
                <w:rFonts w:ascii="Times New Roman" w:eastAsia="Times New Roman" w:hAnsi="Times New Roman" w:cs="Times New Roman"/>
                <w:noProof/>
                <w:sz w:val="20"/>
                <w:szCs w:val="20"/>
                <w:lang w:val="en-GB"/>
              </w:rPr>
              <w:t xml:space="preserve"> loan instalment </w:t>
            </w:r>
          </w:p>
        </w:tc>
        <w:tc>
          <w:tcPr>
            <w:tcW w:w="654"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600 million</w:t>
            </w:r>
          </w:p>
        </w:tc>
      </w:tr>
      <w:tr>
        <w:trPr>
          <w:trHeight w:val="508"/>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July 2015</w:t>
            </w:r>
          </w:p>
        </w:tc>
        <w:tc>
          <w:tcPr>
            <w:tcW w:w="2742"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Disbursement of the second tranche of IMF’s EFF</w:t>
            </w:r>
          </w:p>
        </w:tc>
        <w:tc>
          <w:tcPr>
            <w:tcW w:w="821"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EFF</w:t>
            </w:r>
          </w:p>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1</w:t>
            </w:r>
            <w:r>
              <w:rPr>
                <w:rFonts w:ascii="Times New Roman" w:eastAsia="Times New Roman" w:hAnsi="Times New Roman" w:cs="Times New Roman"/>
                <w:noProof/>
                <w:sz w:val="20"/>
                <w:szCs w:val="20"/>
                <w:vertAlign w:val="superscript"/>
                <w:lang w:val="en-GB"/>
              </w:rPr>
              <w:t>st</w:t>
            </w:r>
            <w:r>
              <w:rPr>
                <w:rFonts w:ascii="Times New Roman" w:eastAsia="Times New Roman" w:hAnsi="Times New Roman" w:cs="Times New Roman"/>
                <w:noProof/>
                <w:sz w:val="20"/>
                <w:szCs w:val="20"/>
                <w:lang w:val="en-GB"/>
              </w:rPr>
              <w:t xml:space="preserve"> loan disbursement</w:t>
            </w:r>
          </w:p>
        </w:tc>
        <w:tc>
          <w:tcPr>
            <w:tcW w:w="654"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EUR 1.55 billion </w:t>
            </w:r>
          </w:p>
        </w:tc>
      </w:tr>
      <w:tr>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September 2016</w:t>
            </w:r>
          </w:p>
        </w:tc>
        <w:tc>
          <w:tcPr>
            <w:tcW w:w="2742"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Disbursement of the third tranche of IMF’s EFF</w:t>
            </w:r>
          </w:p>
        </w:tc>
        <w:tc>
          <w:tcPr>
            <w:tcW w:w="821"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EFF</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2</w:t>
            </w:r>
            <w:r>
              <w:rPr>
                <w:rFonts w:ascii="Times New Roman" w:eastAsia="Times New Roman" w:hAnsi="Times New Roman" w:cs="Times New Roman"/>
                <w:noProof/>
                <w:sz w:val="20"/>
                <w:szCs w:val="20"/>
                <w:vertAlign w:val="superscript"/>
                <w:lang w:val="en-GB"/>
              </w:rPr>
              <w:t>nd</w:t>
            </w:r>
            <w:r>
              <w:rPr>
                <w:rFonts w:ascii="Times New Roman" w:eastAsia="Times New Roman" w:hAnsi="Times New Roman" w:cs="Times New Roman"/>
                <w:noProof/>
                <w:sz w:val="20"/>
                <w:szCs w:val="20"/>
                <w:lang w:val="en-GB"/>
              </w:rPr>
              <w:t xml:space="preserve"> loan disbursement</w:t>
            </w:r>
          </w:p>
        </w:tc>
        <w:tc>
          <w:tcPr>
            <w:tcW w:w="654"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888 million</w:t>
            </w:r>
          </w:p>
        </w:tc>
      </w:tr>
      <w:tr>
        <w:trPr>
          <w:trHeight w:val="508"/>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April 2017</w:t>
            </w:r>
          </w:p>
        </w:tc>
        <w:tc>
          <w:tcPr>
            <w:tcW w:w="2742" w:type="pct"/>
            <w:vAlign w:val="center"/>
          </w:tcPr>
          <w:p>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Disbursement of the fourth tranche of IMF’s EFF</w:t>
            </w:r>
          </w:p>
        </w:tc>
        <w:tc>
          <w:tcPr>
            <w:tcW w:w="821"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EFF</w:t>
            </w:r>
          </w:p>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3</w:t>
            </w:r>
            <w:r>
              <w:rPr>
                <w:rFonts w:ascii="Times New Roman" w:eastAsia="Times New Roman" w:hAnsi="Times New Roman" w:cs="Times New Roman"/>
                <w:noProof/>
                <w:sz w:val="20"/>
                <w:szCs w:val="20"/>
                <w:vertAlign w:val="superscript"/>
                <w:lang w:val="en-GB"/>
              </w:rPr>
              <w:t>rd</w:t>
            </w:r>
            <w:r>
              <w:rPr>
                <w:rFonts w:ascii="Times New Roman" w:eastAsia="Times New Roman" w:hAnsi="Times New Roman" w:cs="Times New Roman"/>
                <w:noProof/>
                <w:sz w:val="20"/>
                <w:szCs w:val="20"/>
                <w:lang w:val="en-GB"/>
              </w:rPr>
              <w:t xml:space="preserve"> loan disbursement</w:t>
            </w:r>
          </w:p>
        </w:tc>
        <w:tc>
          <w:tcPr>
            <w:tcW w:w="654" w:type="pct"/>
            <w:vAlign w:val="center"/>
          </w:tcPr>
          <w:p>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938 million</w:t>
            </w:r>
          </w:p>
        </w:tc>
      </w:tr>
      <w:tr>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EEAF6" w:themeFill="accent1" w:themeFillTint="33"/>
            <w:vAlign w:val="center"/>
          </w:tcPr>
          <w:p>
            <w:pPr>
              <w:jc w:val="center"/>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April 2017</w:t>
            </w:r>
          </w:p>
        </w:tc>
        <w:tc>
          <w:tcPr>
            <w:tcW w:w="2742" w:type="pct"/>
            <w:shd w:val="clear" w:color="auto" w:fill="DEEAF6" w:themeFill="accent1" w:themeFillTint="33"/>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Disbursement of the MFA-III second instalment of EUR 600 million, following satisfactory progress with the implementation of the policy conditionality under the MFA programme, as laid down in the MoU, and the IMF programme</w:t>
            </w:r>
          </w:p>
        </w:tc>
        <w:tc>
          <w:tcPr>
            <w:tcW w:w="821" w:type="pct"/>
            <w:shd w:val="clear" w:color="auto" w:fill="DEEAF6"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 xml:space="preserve">MFA-III </w:t>
            </w:r>
          </w:p>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hAnsi="Times New Roman" w:cs="Times New Roman"/>
                <w:noProof/>
                <w:sz w:val="20"/>
                <w:szCs w:val="20"/>
                <w:lang w:val="en-GB"/>
              </w:rPr>
              <w:t>2</w:t>
            </w:r>
            <w:r>
              <w:rPr>
                <w:rFonts w:ascii="Times New Roman" w:hAnsi="Times New Roman" w:cs="Times New Roman"/>
                <w:noProof/>
                <w:sz w:val="20"/>
                <w:szCs w:val="20"/>
                <w:vertAlign w:val="superscript"/>
                <w:lang w:val="en-GB"/>
              </w:rPr>
              <w:t>nd</w:t>
            </w:r>
            <w:r>
              <w:rPr>
                <w:rFonts w:ascii="Times New Roman" w:hAnsi="Times New Roman" w:cs="Times New Roman"/>
                <w:noProof/>
                <w:sz w:val="20"/>
                <w:szCs w:val="20"/>
                <w:lang w:val="en-GB"/>
              </w:rPr>
              <w:t xml:space="preserve"> </w:t>
            </w:r>
            <w:r>
              <w:rPr>
                <w:rFonts w:ascii="Times New Roman" w:eastAsia="Times New Roman" w:hAnsi="Times New Roman" w:cs="Times New Roman"/>
                <w:noProof/>
                <w:sz w:val="20"/>
                <w:szCs w:val="20"/>
                <w:lang w:val="en-GB"/>
              </w:rPr>
              <w:t xml:space="preserve"> loan instalment </w:t>
            </w:r>
          </w:p>
        </w:tc>
        <w:tc>
          <w:tcPr>
            <w:tcW w:w="654" w:type="pct"/>
            <w:shd w:val="clear" w:color="auto" w:fill="DEEAF6" w:themeFill="accent1" w:themeFillTint="3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sz w:val="20"/>
                <w:szCs w:val="20"/>
                <w:lang w:val="en-GB"/>
              </w:rPr>
            </w:pPr>
            <w:r>
              <w:rPr>
                <w:rFonts w:ascii="Times New Roman" w:eastAsia="Times New Roman" w:hAnsi="Times New Roman" w:cs="Times New Roman"/>
                <w:noProof/>
                <w:sz w:val="20"/>
                <w:szCs w:val="20"/>
                <w:lang w:val="en-GB"/>
              </w:rPr>
              <w:t>EUR 600 million</w:t>
            </w:r>
          </w:p>
        </w:tc>
      </w:tr>
      <w:tr>
        <w:trPr>
          <w:jc w:val="center"/>
        </w:trPr>
        <w:tc>
          <w:tcPr>
            <w:cnfStyle w:val="001000000000" w:firstRow="0" w:lastRow="0" w:firstColumn="1" w:lastColumn="0" w:oddVBand="0" w:evenVBand="0" w:oddHBand="0" w:evenHBand="0" w:firstRowFirstColumn="0" w:firstRowLastColumn="0" w:lastRowFirstColumn="0" w:lastRowLastColumn="0"/>
            <w:tcW w:w="783" w:type="pct"/>
            <w:vAlign w:val="center"/>
          </w:tcPr>
          <w:p>
            <w:pPr>
              <w:jc w:val="center"/>
              <w:rPr>
                <w:rFonts w:ascii="Times New Roman" w:eastAsia="Times New Roman" w:hAnsi="Times New Roman" w:cs="Times New Roman"/>
                <w:iCs/>
                <w:noProof/>
                <w:sz w:val="20"/>
                <w:szCs w:val="20"/>
                <w:lang w:val="en-GB"/>
              </w:rPr>
            </w:pPr>
          </w:p>
          <w:p>
            <w:pPr>
              <w:jc w:val="center"/>
              <w:rPr>
                <w:rFonts w:ascii="Times New Roman" w:eastAsia="Times New Roman" w:hAnsi="Times New Roman" w:cs="Times New Roman"/>
                <w:iCs/>
                <w:noProof/>
                <w:sz w:val="20"/>
                <w:szCs w:val="20"/>
                <w:lang w:val="en-GB"/>
              </w:rPr>
            </w:pPr>
            <w:r>
              <w:rPr>
                <w:rFonts w:ascii="Times New Roman" w:eastAsia="Times New Roman" w:hAnsi="Times New Roman" w:cs="Times New Roman"/>
                <w:iCs/>
                <w:noProof/>
                <w:sz w:val="20"/>
                <w:szCs w:val="20"/>
                <w:lang w:val="en-GB"/>
              </w:rPr>
              <w:t>September  2017</w:t>
            </w:r>
          </w:p>
          <w:p>
            <w:pPr>
              <w:jc w:val="center"/>
              <w:rPr>
                <w:rFonts w:ascii="Times New Roman" w:hAnsi="Times New Roman" w:cs="Times New Roman"/>
                <w:iCs/>
                <w:noProof/>
                <w:sz w:val="20"/>
                <w:szCs w:val="20"/>
              </w:rPr>
            </w:pPr>
          </w:p>
        </w:tc>
        <w:tc>
          <w:tcPr>
            <w:tcW w:w="2742" w:type="pct"/>
            <w:vAlign w:val="center"/>
          </w:tcPr>
          <w:p>
            <w:pPr>
              <w:pStyle w:val="DefaultText"/>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Ukraine’s return to the international bond market</w:t>
            </w:r>
          </w:p>
        </w:tc>
        <w:tc>
          <w:tcPr>
            <w:tcW w:w="821" w:type="pct"/>
            <w:vAlign w:val="center"/>
          </w:tcPr>
          <w:p>
            <w:pPr>
              <w:pStyle w:val="DefaultText"/>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r>
              <w:rPr>
                <w:rFonts w:ascii="Times New Roman" w:hAnsi="Times New Roman"/>
                <w:iCs/>
                <w:noProof/>
                <w:sz w:val="20"/>
                <w:szCs w:val="20"/>
              </w:rPr>
              <w:t>International Market access</w:t>
            </w:r>
          </w:p>
        </w:tc>
        <w:tc>
          <w:tcPr>
            <w:tcW w:w="654" w:type="pct"/>
            <w:vAlign w:val="center"/>
          </w:tcPr>
          <w:p>
            <w:pPr>
              <w:pStyle w:val="DefaultText"/>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Cs/>
                <w:noProof/>
                <w:sz w:val="20"/>
                <w:szCs w:val="20"/>
              </w:rPr>
            </w:pPr>
          </w:p>
        </w:tc>
      </w:tr>
      <w:tr>
        <w:trPr>
          <w:cnfStyle w:val="000000100000" w:firstRow="0" w:lastRow="0" w:firstColumn="0" w:lastColumn="0" w:oddVBand="0" w:evenVBand="0" w:oddHBand="1" w:evenHBand="0" w:firstRowFirstColumn="0" w:firstRowLastColumn="0" w:lastRowFirstColumn="0" w:lastRowLastColumn="0"/>
          <w:trHeight w:val="1483"/>
          <w:jc w:val="center"/>
        </w:trPr>
        <w:tc>
          <w:tcPr>
            <w:cnfStyle w:val="001000000000" w:firstRow="0" w:lastRow="0" w:firstColumn="1" w:lastColumn="0" w:oddVBand="0" w:evenVBand="0" w:oddHBand="0" w:evenHBand="0" w:firstRowFirstColumn="0" w:firstRowLastColumn="0" w:lastRowFirstColumn="0" w:lastRowLastColumn="0"/>
            <w:tcW w:w="783" w:type="pct"/>
            <w:shd w:val="clear" w:color="auto" w:fill="DEEAF6" w:themeFill="accent1" w:themeFillTint="33"/>
            <w:vAlign w:val="center"/>
          </w:tcPr>
          <w:p>
            <w:pPr>
              <w:pStyle w:val="DefaultText"/>
              <w:spacing w:line="240" w:lineRule="auto"/>
              <w:jc w:val="center"/>
              <w:rPr>
                <w:rFonts w:ascii="Times New Roman" w:hAnsi="Times New Roman"/>
                <w:noProof/>
                <w:sz w:val="20"/>
                <w:szCs w:val="20"/>
              </w:rPr>
            </w:pPr>
            <w:r>
              <w:rPr>
                <w:rFonts w:ascii="Times New Roman" w:hAnsi="Times New Roman"/>
                <w:noProof/>
                <w:sz w:val="20"/>
                <w:szCs w:val="20"/>
              </w:rPr>
              <w:t>January 2018</w:t>
            </w:r>
          </w:p>
        </w:tc>
        <w:tc>
          <w:tcPr>
            <w:tcW w:w="2742" w:type="pct"/>
            <w:shd w:val="clear" w:color="auto" w:fill="DEEAF6" w:themeFill="accent1" w:themeFillTint="33"/>
            <w:vAlign w:val="center"/>
          </w:tcPr>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r>
              <w:rPr>
                <w:rFonts w:ascii="Times New Roman" w:hAnsi="Times New Roman"/>
                <w:noProof/>
                <w:sz w:val="20"/>
                <w:szCs w:val="20"/>
              </w:rPr>
              <w:t>Decision of 3</w:t>
            </w:r>
            <w:r>
              <w:rPr>
                <w:rFonts w:ascii="Times New Roman" w:hAnsi="Times New Roman"/>
                <w:noProof/>
                <w:sz w:val="20"/>
                <w:szCs w:val="20"/>
                <w:vertAlign w:val="superscript"/>
              </w:rPr>
              <w:t>rd</w:t>
            </w:r>
            <w:r>
              <w:rPr>
                <w:rFonts w:ascii="Times New Roman" w:hAnsi="Times New Roman"/>
                <w:noProof/>
                <w:sz w:val="20"/>
                <w:szCs w:val="20"/>
              </w:rPr>
              <w:t xml:space="preserve"> tranche of MFA-III cancellation by the EC</w:t>
            </w:r>
          </w:p>
        </w:tc>
        <w:tc>
          <w:tcPr>
            <w:tcW w:w="821" w:type="pct"/>
            <w:shd w:val="clear" w:color="auto" w:fill="DEEAF6" w:themeFill="accent1" w:themeFillTint="33"/>
            <w:vAlign w:val="center"/>
          </w:tcPr>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rPr>
            </w:pP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fr-BE"/>
              </w:rPr>
            </w:pPr>
            <w:r>
              <w:rPr>
                <w:rFonts w:ascii="Times New Roman" w:hAnsi="Times New Roman"/>
                <w:noProof/>
                <w:sz w:val="20"/>
                <w:szCs w:val="20"/>
                <w:lang w:val="fr-BE"/>
              </w:rPr>
              <w:t>MFA-III</w:t>
            </w:r>
          </w:p>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fr-BE"/>
              </w:rPr>
            </w:pPr>
            <w:r>
              <w:rPr>
                <w:rFonts w:ascii="Times New Roman" w:hAnsi="Times New Roman"/>
                <w:noProof/>
                <w:sz w:val="20"/>
                <w:szCs w:val="20"/>
                <w:lang w:val="fr-BE"/>
              </w:rPr>
              <w:t>3</w:t>
            </w:r>
            <w:r>
              <w:rPr>
                <w:rFonts w:ascii="Times New Roman" w:hAnsi="Times New Roman"/>
                <w:noProof/>
                <w:sz w:val="20"/>
                <w:szCs w:val="20"/>
                <w:vertAlign w:val="superscript"/>
                <w:lang w:val="fr-BE"/>
              </w:rPr>
              <w:t>rd</w:t>
            </w:r>
            <w:r>
              <w:rPr>
                <w:rFonts w:ascii="Times New Roman" w:hAnsi="Times New Roman"/>
                <w:noProof/>
                <w:sz w:val="20"/>
                <w:szCs w:val="20"/>
                <w:lang w:val="fr-BE"/>
              </w:rPr>
              <w:t xml:space="preserve"> tranche cancellation</w:t>
            </w:r>
          </w:p>
        </w:tc>
        <w:tc>
          <w:tcPr>
            <w:tcW w:w="654" w:type="pct"/>
            <w:shd w:val="clear" w:color="auto" w:fill="DEEAF6" w:themeFill="accent1" w:themeFillTint="33"/>
            <w:vAlign w:val="center"/>
          </w:tcPr>
          <w:p>
            <w:pPr>
              <w:pStyle w:val="DefaultText"/>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0"/>
                <w:szCs w:val="20"/>
                <w:lang w:val="fr-BE"/>
              </w:rPr>
            </w:pPr>
            <w:r>
              <w:rPr>
                <w:rFonts w:ascii="Times New Roman" w:hAnsi="Times New Roman"/>
                <w:noProof/>
                <w:sz w:val="20"/>
                <w:szCs w:val="20"/>
                <w:lang w:val="fr-BE"/>
              </w:rPr>
              <w:t>EUR 600 million</w:t>
            </w:r>
          </w:p>
        </w:tc>
      </w:tr>
      <w:bookmarkEnd w:id="51"/>
      <w:bookmarkEnd w:id="52"/>
    </w:tbl>
    <w:p>
      <w:pPr>
        <w:jc w:val="both"/>
        <w:rPr>
          <w:rStyle w:val="Strong"/>
          <w:rFonts w:ascii="Times New Roman" w:hAnsi="Times New Roman" w:cs="Times New Roman"/>
          <w:noProof/>
          <w:sz w:val="24"/>
          <w:szCs w:val="24"/>
          <w:lang w:val="en-GB"/>
        </w:rPr>
      </w:pPr>
    </w:p>
    <w:p>
      <w:pPr>
        <w:spacing w:after="160" w:line="259" w:lineRule="auto"/>
        <w:rPr>
          <w:rFonts w:ascii="Times New Roman" w:hAnsi="Times New Roman" w:cs="Times New Roman"/>
          <w:noProof/>
          <w:sz w:val="20"/>
          <w:szCs w:val="20"/>
          <w:u w:val="single"/>
          <w:lang w:val="en-GB"/>
        </w:rPr>
      </w:pPr>
    </w:p>
    <w:sectPr>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9725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800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jc w:val="left"/>
      </w:pPr>
      <w:r>
        <w:rPr>
          <w:rStyle w:val="FootnoteReference"/>
        </w:rPr>
        <w:footnoteRef/>
      </w:r>
      <w:r>
        <w:t xml:space="preserve">     Ex-post evaluation of the third Macro-Financial Assistance operation to Ukraine over the period 2015-2017, available at: </w:t>
      </w:r>
      <w:hyperlink r:id="rId1" w:history="1">
        <w:r>
          <w:rPr>
            <w:rStyle w:val="Hyperlink"/>
            <w:color w:val="auto"/>
          </w:rPr>
          <w:t>https://ec.europa.eu/info/evaluation-reports-economic-and-financial-affairs-policies-and-spending-activities/ex-post-evaluation-mfa-operations-ukraine_en</w:t>
        </w:r>
      </w:hyperlink>
    </w:p>
  </w:footnote>
  <w:footnote w:id="2">
    <w:p>
      <w:pPr>
        <w:pStyle w:val="FootnoteText"/>
        <w:spacing w:after="0"/>
        <w:ind w:left="284" w:hanging="284"/>
        <w:jc w:val="left"/>
        <w:rPr>
          <w:rFonts w:cs="Arial"/>
          <w:szCs w:val="18"/>
        </w:rPr>
      </w:pPr>
      <w:r>
        <w:rPr>
          <w:rStyle w:val="FootnoteReference"/>
          <w:szCs w:val="18"/>
        </w:rPr>
        <w:footnoteRef/>
      </w:r>
      <w:r>
        <w:rPr>
          <w:rFonts w:cs="Arial"/>
          <w:szCs w:val="18"/>
        </w:rPr>
        <w:t xml:space="preserve">      In terms of the use of funds.</w:t>
      </w:r>
    </w:p>
  </w:footnote>
  <w:footnote w:id="3">
    <w:p>
      <w:pPr>
        <w:pStyle w:val="FootnoteText"/>
        <w:spacing w:after="0"/>
        <w:jc w:val="left"/>
      </w:pPr>
      <w:r>
        <w:rPr>
          <w:rStyle w:val="FootnoteReference"/>
        </w:rPr>
        <w:footnoteRef/>
      </w:r>
      <w:r>
        <w:t xml:space="preserve">      Ex-post evaluation and Commission SWD on MFA-I and II to Ukraine are available at:  </w:t>
      </w:r>
      <w:hyperlink r:id="rId2" w:history="1">
        <w:r>
          <w:rPr>
            <w:rStyle w:val="Hyperlink"/>
            <w:color w:val="auto"/>
          </w:rPr>
          <w:t>https://ec.europa.eu/info/evaluation-reports-economic-and-financial-affairs-policies-and-spending-activities/ex-post-evaluation-mfa-operations-ukraine_en</w:t>
        </w:r>
      </w:hyperlink>
    </w:p>
  </w:footnote>
  <w:footnote w:id="4">
    <w:p>
      <w:pPr>
        <w:pStyle w:val="FootnoteText"/>
        <w:spacing w:after="0"/>
        <w:jc w:val="left"/>
        <w:rPr>
          <w:szCs w:val="18"/>
          <w:shd w:val="clear" w:color="auto" w:fill="FFFFFF"/>
        </w:rPr>
      </w:pPr>
      <w:r>
        <w:rPr>
          <w:rStyle w:val="FootnoteReference"/>
          <w:szCs w:val="18"/>
        </w:rPr>
        <w:footnoteRef/>
      </w:r>
      <w:r>
        <w:rPr>
          <w:szCs w:val="18"/>
        </w:rPr>
        <w:t xml:space="preserve">      </w:t>
      </w:r>
      <w:r>
        <w:rPr>
          <w:szCs w:val="18"/>
          <w:shd w:val="clear" w:color="auto" w:fill="FFFFFF"/>
        </w:rPr>
        <w:t>Decision (EU) 2015/601 of the European Parliament and of the Council of 15 April 2015 providing macro-financial assistance to Ukraine:</w:t>
      </w:r>
    </w:p>
    <w:p>
      <w:pPr>
        <w:pStyle w:val="FootnoteText"/>
        <w:spacing w:after="0"/>
        <w:jc w:val="left"/>
        <w:rPr>
          <w:szCs w:val="18"/>
          <w:u w:val="single"/>
          <w:lang w:val="en-IE"/>
        </w:rPr>
      </w:pPr>
      <w:r>
        <w:rPr>
          <w:szCs w:val="18"/>
          <w:shd w:val="clear" w:color="auto" w:fill="FFFFFF"/>
        </w:rPr>
        <w:t xml:space="preserve">        </w:t>
      </w:r>
      <w:hyperlink r:id="rId3" w:history="1">
        <w:r>
          <w:rPr>
            <w:rStyle w:val="Hyperlink"/>
            <w:color w:val="auto"/>
            <w:szCs w:val="18"/>
            <w:shd w:val="clear" w:color="auto" w:fill="FFFFFF"/>
          </w:rPr>
          <w:t>https://eur-lex.europa.eu/legal-content/EN/TXT/?qid=1476965532409&amp;uri=CELEX:32015D0601</w:t>
        </w:r>
      </w:hyperlink>
    </w:p>
  </w:footnote>
  <w:footnote w:id="5">
    <w:p>
      <w:pPr>
        <w:pStyle w:val="FootnoteText"/>
        <w:spacing w:after="0"/>
        <w:jc w:val="left"/>
      </w:pPr>
      <w:r>
        <w:rPr>
          <w:rStyle w:val="FootnoteReference"/>
        </w:rPr>
        <w:footnoteRef/>
      </w:r>
      <w:r>
        <w:t xml:space="preserve">      For an assessment of the main outcomes of MFA-I and II to Ukraine, please refer to the related ex-post evaluation and Commission SWD, available at:  </w:t>
      </w:r>
      <w:hyperlink r:id="rId4" w:history="1">
        <w:r>
          <w:rPr>
            <w:rStyle w:val="Hyperlink"/>
            <w:color w:val="auto"/>
          </w:rPr>
          <w:t>https://ec.europa.eu/info/evaluation-reports-economic-and-financial-affairs-policies-and-spending-activities/ex-post-evaluation-mfa-operations-ukraine_en</w:t>
        </w:r>
      </w:hyperlink>
    </w:p>
  </w:footnote>
  <w:footnote w:id="6">
    <w:p>
      <w:pPr>
        <w:pStyle w:val="FootnoteText"/>
        <w:spacing w:after="0"/>
        <w:jc w:val="left"/>
        <w:rPr>
          <w:color w:val="000000" w:themeColor="text1"/>
        </w:rPr>
      </w:pPr>
      <w:r>
        <w:rPr>
          <w:rStyle w:val="FootnoteReference"/>
          <w:szCs w:val="18"/>
        </w:rPr>
        <w:footnoteRef/>
      </w:r>
      <w:r>
        <w:rPr>
          <w:szCs w:val="18"/>
        </w:rPr>
        <w:t xml:space="preserve">      </w:t>
      </w:r>
      <w:r>
        <w:rPr>
          <w:rFonts w:eastAsia="Calibri" w:cs="Arial"/>
          <w:szCs w:val="18"/>
        </w:rPr>
        <w:t xml:space="preserve">The MFA-III operation expired on 13 January 2018 without the third and final disbursement, given the lack of sufficient progress in the implementation of some of the related conditions. </w:t>
      </w:r>
    </w:p>
  </w:footnote>
  <w:footnote w:id="7">
    <w:p>
      <w:pPr>
        <w:pStyle w:val="FootnoteText"/>
        <w:spacing w:after="0"/>
        <w:ind w:left="426" w:hanging="426"/>
        <w:jc w:val="left"/>
        <w:rPr>
          <w:color w:val="000000" w:themeColor="text1"/>
        </w:rPr>
      </w:pPr>
      <w:r>
        <w:rPr>
          <w:rStyle w:val="FootnoteReference"/>
          <w:color w:val="000000" w:themeColor="text1"/>
        </w:rPr>
        <w:footnoteRef/>
      </w:r>
      <w:r>
        <w:rPr>
          <w:color w:val="000000" w:themeColor="text1"/>
        </w:rPr>
        <w:t xml:space="preserve">     </w:t>
      </w:r>
      <w:hyperlink r:id="rId5" w:history="1">
        <w:r>
          <w:rPr>
            <w:rStyle w:val="Hyperlink"/>
            <w:color w:val="000000" w:themeColor="text1"/>
          </w:rPr>
          <w:t>https://eur-lex.europa.eu/legal-content/EN/TXT/?uri=CELEX:32018R1046</w:t>
        </w:r>
      </w:hyperlink>
    </w:p>
  </w:footnote>
  <w:footnote w:id="8">
    <w:p>
      <w:pPr>
        <w:pStyle w:val="FootnoteText"/>
        <w:spacing w:after="0"/>
        <w:jc w:val="left"/>
        <w:rPr>
          <w:lang w:val="en-IE"/>
        </w:rPr>
      </w:pPr>
      <w:r>
        <w:rPr>
          <w:rStyle w:val="FootnoteReference"/>
          <w:color w:val="000000" w:themeColor="text1"/>
        </w:rPr>
        <w:footnoteRef/>
      </w:r>
      <w:r>
        <w:rPr>
          <w:color w:val="000000" w:themeColor="text1"/>
        </w:rPr>
        <w:t xml:space="preserve">     </w:t>
      </w:r>
      <w:hyperlink r:id="rId6" w:history="1">
        <w:r>
          <w:rPr>
            <w:rStyle w:val="Hyperlink"/>
            <w:color w:val="000000" w:themeColor="text1"/>
          </w:rPr>
          <w:t>https://ec.europa.eu/info/law/better-regulation/have-your-say/initiatives/12118-Ex-post-evaluation-of-macro-financial-assistance-to-Ukraine-</w:t>
        </w:r>
      </w:hyperlink>
    </w:p>
  </w:footnote>
  <w:footnote w:id="9">
    <w:p>
      <w:pPr>
        <w:pStyle w:val="FootnoteText"/>
        <w:spacing w:after="0"/>
      </w:pPr>
      <w:r>
        <w:rPr>
          <w:rStyle w:val="FootnoteReference"/>
        </w:rPr>
        <w:footnoteRef/>
      </w:r>
      <w:r>
        <w:t xml:space="preserve">     The net outflow from the financial account amounted to USD 4.8 billion in January-October 2014. Withdrawals of bank deposits by non-residents were the main factor behind the capital outflow. Both FDI and portfolio investments also recorded outflows in the period, although of a smaller size. </w:t>
      </w:r>
    </w:p>
  </w:footnote>
  <w:footnote w:id="10">
    <w:p>
      <w:pPr>
        <w:pStyle w:val="FootnoteText"/>
        <w:spacing w:after="0"/>
        <w:ind w:left="426" w:hanging="426"/>
        <w:jc w:val="left"/>
        <w:rPr>
          <w:shd w:val="clear" w:color="auto" w:fill="FFFFFF"/>
        </w:rPr>
      </w:pPr>
      <w:r>
        <w:rPr>
          <w:rStyle w:val="FootnoteReference"/>
        </w:rPr>
        <w:footnoteRef/>
      </w:r>
      <w:r>
        <w:t xml:space="preserve">      </w:t>
      </w:r>
      <w:r>
        <w:rPr>
          <w:shd w:val="clear" w:color="auto" w:fill="FFFFFF"/>
        </w:rPr>
        <w:t xml:space="preserve">Commission SWD/2015/0001 final, available at: </w:t>
      </w:r>
    </w:p>
    <w:p>
      <w:pPr>
        <w:pStyle w:val="FootnoteText"/>
        <w:spacing w:after="0"/>
        <w:jc w:val="left"/>
      </w:pPr>
      <w:r>
        <w:t xml:space="preserve">        </w:t>
      </w:r>
      <w:hyperlink r:id="rId7" w:history="1">
        <w:r>
          <w:rPr>
            <w:rStyle w:val="Hyperlink"/>
            <w:color w:val="auto"/>
          </w:rPr>
          <w:t>https://eur-lex.europa.eu/legal-content/EN/TXT/?qid=1476965500936&amp;uri=CELEX:52015SC0001</w:t>
        </w:r>
      </w:hyperlink>
    </w:p>
  </w:footnote>
  <w:footnote w:id="11">
    <w:p>
      <w:pPr>
        <w:pStyle w:val="FootnoteText"/>
        <w:spacing w:after="0"/>
      </w:pPr>
      <w:r>
        <w:rPr>
          <w:rStyle w:val="FootnoteReference"/>
        </w:rPr>
        <w:footnoteRef/>
      </w:r>
      <w:r>
        <w:t xml:space="preserve">     </w:t>
      </w:r>
      <w:hyperlink r:id="rId8" w:history="1">
        <w:r>
          <w:rPr>
            <w:rStyle w:val="Hyperlink"/>
            <w:color w:val="auto"/>
          </w:rPr>
          <w:t>https://eur-lex.europa.eu/legal-content/EN/TXT/?qid=1476965442393&amp;uri=CELEX:52015PC0005</w:t>
        </w:r>
      </w:hyperlink>
    </w:p>
  </w:footnote>
  <w:footnote w:id="12">
    <w:p>
      <w:pPr>
        <w:pStyle w:val="FootnoteText"/>
        <w:spacing w:after="0"/>
      </w:pPr>
      <w:r>
        <w:rPr>
          <w:rStyle w:val="FootnoteReference"/>
        </w:rPr>
        <w:footnoteRef/>
      </w:r>
      <w:r>
        <w:t xml:space="preserve">     </w:t>
      </w:r>
      <w:hyperlink r:id="rId9" w:history="1">
        <w:r>
          <w:rPr>
            <w:rStyle w:val="Hyperlink"/>
            <w:color w:val="auto"/>
          </w:rPr>
          <w:t>https://eur-lex.europa.eu/legal-content/EN/TXT/?qid=1476965532409&amp;uri=CELEX:32015D0601</w:t>
        </w:r>
      </w:hyperlink>
    </w:p>
  </w:footnote>
  <w:footnote w:id="13">
    <w:p>
      <w:pPr>
        <w:pStyle w:val="FootnoteText"/>
        <w:spacing w:after="0"/>
        <w:jc w:val="left"/>
      </w:pPr>
      <w:r>
        <w:rPr>
          <w:rStyle w:val="FootnoteReference"/>
        </w:rPr>
        <w:footnoteRef/>
      </w:r>
      <w:r>
        <w:t xml:space="preserve">     </w:t>
      </w:r>
      <w:hyperlink r:id="rId10" w:history="1">
        <w:r>
          <w:rPr>
            <w:rStyle w:val="Hyperlink"/>
            <w:color w:val="auto"/>
          </w:rPr>
          <w:t>https://ec.europa.eu/economy_finance/international/neighbourhood_policy/doc/mou_eu_ukraine_en.pdf</w:t>
        </w:r>
      </w:hyperlink>
    </w:p>
  </w:footnote>
  <w:footnote w:id="14">
    <w:p>
      <w:pPr>
        <w:pStyle w:val="FootnoteText"/>
        <w:jc w:val="left"/>
      </w:pPr>
      <w:r>
        <w:rPr>
          <w:rStyle w:val="FootnoteReference"/>
        </w:rPr>
        <w:footnoteRef/>
      </w:r>
      <w:r>
        <w:t xml:space="preserve">     Commission Decision EU/2018/405 final. Available at:  </w:t>
      </w:r>
      <w:hyperlink r:id="rId11" w:history="1">
        <w:r>
          <w:rPr>
            <w:rStyle w:val="Hyperlink"/>
            <w:color w:val="auto"/>
          </w:rPr>
          <w:t>https://ec.europa.eu/transparency/regdoc/rep/3/2018/EN/C-2018-405-F1-EN-MAIN-PART-1.PDF</w:t>
        </w:r>
      </w:hyperlink>
    </w:p>
  </w:footnote>
  <w:footnote w:id="15">
    <w:p>
      <w:pPr>
        <w:pStyle w:val="FootnoteText"/>
        <w:spacing w:after="0"/>
        <w:ind w:left="426" w:hanging="426"/>
        <w:jc w:val="left"/>
      </w:pPr>
      <w:r>
        <w:rPr>
          <w:rStyle w:val="FootnoteReference"/>
        </w:rPr>
        <w:footnoteRef/>
      </w:r>
      <w:r>
        <w:t xml:space="preserve">      </w:t>
      </w:r>
      <w:hyperlink r:id="rId12" w:history="1">
        <w:r>
          <w:rPr>
            <w:rStyle w:val="Hyperlink"/>
            <w:color w:val="auto"/>
          </w:rPr>
          <w:t>https://ec.europa.eu/info/business-economy-euro/economic-and-fiscal-policy-coordination/international-economic-relations/macro-financial-assistance-mfa-non-eu-partner-countries_en</w:t>
        </w:r>
      </w:hyperlink>
    </w:p>
  </w:footnote>
  <w:footnote w:id="16">
    <w:p>
      <w:pPr>
        <w:pStyle w:val="FootnoteText"/>
        <w:spacing w:after="0"/>
        <w:ind w:left="284" w:hanging="284"/>
        <w:rPr>
          <w:lang w:val="en-IE"/>
        </w:rPr>
      </w:pPr>
      <w:r>
        <w:rPr>
          <w:rStyle w:val="FootnoteReference"/>
        </w:rPr>
        <w:footnoteRef/>
      </w:r>
      <w:r>
        <w:t xml:space="preserve">      </w:t>
      </w:r>
      <w:r>
        <w:rPr>
          <w:lang w:val="en-IE"/>
        </w:rPr>
        <w:t xml:space="preserve">For the detailed list of policy conditions, please refer to the Memorandum of Understanding, available at: </w:t>
      </w:r>
    </w:p>
    <w:p>
      <w:pPr>
        <w:pStyle w:val="FootnoteText"/>
        <w:spacing w:after="0"/>
        <w:ind w:left="284" w:hanging="284"/>
        <w:rPr>
          <w:lang w:val="en-IE"/>
        </w:rPr>
      </w:pPr>
      <w:r>
        <w:rPr>
          <w:lang w:val="en-IE"/>
        </w:rPr>
        <w:t xml:space="preserve">         </w:t>
      </w:r>
      <w:hyperlink r:id="rId13" w:history="1">
        <w:r>
          <w:rPr>
            <w:rStyle w:val="Hyperlink"/>
            <w:color w:val="auto"/>
            <w:lang w:val="en-IE"/>
          </w:rPr>
          <w:t>https://ec.europa.eu/economy_finance/international/neighbourhood_policy/doc/mou_eu_ukraine_en.pdf</w:t>
        </w:r>
      </w:hyperlink>
    </w:p>
  </w:footnote>
  <w:footnote w:id="17">
    <w:p>
      <w:pPr>
        <w:pStyle w:val="FootnoteText"/>
        <w:ind w:left="426" w:hanging="426"/>
        <w:jc w:val="left"/>
      </w:pPr>
      <w:r>
        <w:rPr>
          <w:rStyle w:val="FootnoteReference"/>
        </w:rPr>
        <w:footnoteRef/>
      </w:r>
      <w:r>
        <w:t xml:space="preserve">      The wood export ban refers to the temporary 10-year ban on export of unprocessed timber put in place by     Ukraine through the Law of Ukraine No 325-VIII of 9 April 2015. The law imposed a ban on the export of all timber except the pine tree as of 1 November 2015, and as of 1 January 2017 of the pine tree as well.</w:t>
      </w:r>
    </w:p>
  </w:footnote>
  <w:footnote w:id="18">
    <w:p>
      <w:pPr>
        <w:pStyle w:val="FootnoteText"/>
        <w:spacing w:after="0"/>
        <w:rPr>
          <w:lang w:val="en-IE"/>
        </w:rPr>
      </w:pPr>
      <w:r>
        <w:rPr>
          <w:rStyle w:val="FootnoteReference"/>
        </w:rPr>
        <w:footnoteRef/>
      </w:r>
      <w:r>
        <w:t xml:space="preserve"> </w:t>
      </w:r>
      <w:r>
        <w:rPr>
          <w:lang w:val="en-IE"/>
        </w:rPr>
        <w:t xml:space="preserve">For more information about the pre-conditions imposed within MFA-IV, please refer to: </w:t>
      </w:r>
      <w:hyperlink r:id="rId14" w:history="1">
        <w:r>
          <w:rPr>
            <w:rStyle w:val="Hyperlink"/>
            <w:color w:val="auto"/>
            <w:lang w:val="en-IE"/>
          </w:rPr>
          <w:t>https://ec.europa.eu/info/business-economy-euro/economic-and-fiscal-policy-coordination/international-economic-relations/enlargement-and-neighbouring-countries/neighbouring-countries-eu/neighbourhood-countries/ukraine_en</w:t>
        </w:r>
      </w:hyperlink>
    </w:p>
  </w:footnote>
  <w:footnote w:id="19">
    <w:p>
      <w:pPr>
        <w:pStyle w:val="FootnoteText"/>
        <w:spacing w:after="0"/>
      </w:pPr>
      <w:r>
        <w:rPr>
          <w:rStyle w:val="FootnoteReference"/>
        </w:rPr>
        <w:footnoteRef/>
      </w:r>
      <w:r>
        <w:t xml:space="preserve"> </w:t>
      </w:r>
      <w:r>
        <w:tab/>
        <w:t xml:space="preserve">European Commission, May 2015. Better Regulation Guidelines. Available at: </w:t>
      </w:r>
    </w:p>
    <w:p>
      <w:pPr>
        <w:pStyle w:val="FootnoteText"/>
        <w:spacing w:after="0"/>
      </w:pPr>
      <w:r>
        <w:t xml:space="preserve">       </w:t>
      </w:r>
      <w:hyperlink r:id="rId15" w:history="1">
        <w:r>
          <w:rPr>
            <w:rStyle w:val="Hyperlink"/>
            <w:color w:val="auto"/>
          </w:rPr>
          <w:t>http://ec.europa.eu/smart-regulation/guidelines/toc_guide_en.htm</w:t>
        </w:r>
      </w:hyperlink>
      <w:r>
        <w:t>.</w:t>
      </w:r>
    </w:p>
  </w:footnote>
  <w:footnote w:id="20">
    <w:p>
      <w:pPr>
        <w:pStyle w:val="FootnoteText"/>
        <w:spacing w:after="0"/>
        <w:jc w:val="left"/>
        <w:rPr>
          <w:lang w:val="hu-HU"/>
        </w:rPr>
      </w:pPr>
      <w:r>
        <w:rPr>
          <w:rStyle w:val="FootnoteReference"/>
        </w:rPr>
        <w:footnoteRef/>
      </w:r>
      <w:r>
        <w:t xml:space="preserve"> </w:t>
      </w:r>
      <w:r>
        <w:tab/>
        <w:t xml:space="preserve">Available at: </w:t>
      </w:r>
      <w:hyperlink r:id="rId16" w:history="1">
        <w:r>
          <w:rPr>
            <w:rStyle w:val="Hyperlink"/>
            <w:color w:val="auto"/>
          </w:rPr>
          <w:t>http://ec.europa.eu/dgs/economy_finance/procurement_grants/calls_for_tender/2015/015d/annex4-methodological_orientations_en.pdf</w:t>
        </w:r>
      </w:hyperlink>
      <w:r>
        <w:t>.</w:t>
      </w:r>
    </w:p>
  </w:footnote>
  <w:footnote w:id="21">
    <w:p>
      <w:pPr>
        <w:pStyle w:val="FootnoteText"/>
        <w:spacing w:after="0"/>
      </w:pPr>
      <w:r>
        <w:rPr>
          <w:rStyle w:val="FootnoteReference"/>
        </w:rPr>
        <w:footnoteRef/>
      </w:r>
      <w:r>
        <w:t xml:space="preserve"> Detailed results are available in Annex IV of the external evaluation report. </w:t>
      </w:r>
    </w:p>
  </w:footnote>
  <w:footnote w:id="22">
    <w:p>
      <w:pPr>
        <w:pStyle w:val="FootnoteText"/>
        <w:spacing w:after="0"/>
      </w:pPr>
      <w:r>
        <w:rPr>
          <w:rStyle w:val="FootnoteReference"/>
        </w:rPr>
        <w:footnoteRef/>
      </w:r>
      <w:r>
        <w:t xml:space="preserve"> Detailed results are available in Annex III of the external evaluation report.</w:t>
      </w:r>
    </w:p>
  </w:footnote>
  <w:footnote w:id="23">
    <w:p>
      <w:pPr>
        <w:pStyle w:val="FootnoteText"/>
        <w:spacing w:after="0"/>
        <w:ind w:left="426" w:hanging="426"/>
      </w:pPr>
      <w:r>
        <w:rPr>
          <w:rStyle w:val="FootnoteReference"/>
        </w:rPr>
        <w:footnoteRef/>
      </w:r>
      <w:r>
        <w:t xml:space="preserve">    Further information concerning methods used to build the evidence for the evaluation is available in Annex 3 of the present Staff Working Document. </w:t>
      </w:r>
    </w:p>
  </w:footnote>
  <w:footnote w:id="24">
    <w:p>
      <w:pPr>
        <w:pStyle w:val="FootnoteText"/>
        <w:spacing w:after="0"/>
        <w:jc w:val="left"/>
        <w:rPr>
          <w:lang w:val="hu-HU"/>
        </w:rPr>
      </w:pPr>
      <w:r>
        <w:rPr>
          <w:rStyle w:val="FootnoteReference"/>
        </w:rPr>
        <w:footnoteRef/>
      </w:r>
      <w:r>
        <w:t xml:space="preserve">     Gap remaining after the contributions from the IMF and the World Bank.</w:t>
      </w:r>
    </w:p>
  </w:footnote>
  <w:footnote w:id="25">
    <w:p>
      <w:pPr>
        <w:pStyle w:val="FootnoteText"/>
        <w:spacing w:after="0"/>
        <w:rPr>
          <w:lang w:val="en-IE"/>
        </w:rPr>
      </w:pPr>
      <w:r>
        <w:rPr>
          <w:rStyle w:val="FootnoteReference"/>
        </w:rPr>
        <w:footnoteRef/>
      </w:r>
      <w:r>
        <w:t xml:space="preserve">     The difference between 5% and 7% was largely caused by the non-disbursement of the third tranche.</w:t>
      </w:r>
    </w:p>
  </w:footnote>
  <w:footnote w:id="26">
    <w:p>
      <w:pPr>
        <w:pStyle w:val="FootnoteText"/>
        <w:spacing w:after="0"/>
      </w:pPr>
      <w:r>
        <w:rPr>
          <w:rStyle w:val="FootnoteReference"/>
        </w:rPr>
        <w:footnoteRef/>
      </w:r>
      <w:r>
        <w:rPr>
          <w:lang w:val="hu-HU"/>
        </w:rPr>
        <w:t xml:space="preserve">   </w:t>
      </w:r>
      <w:r>
        <w:t xml:space="preserve">European Commission (2011). Criteria for determining the use of loans and grants in EU Macro-Financial  Assistance. Available at: </w:t>
      </w:r>
    </w:p>
    <w:p>
      <w:pPr>
        <w:pStyle w:val="FootnoteText"/>
        <w:spacing w:after="0"/>
        <w:rPr>
          <w:lang w:val="hu-HU"/>
        </w:rPr>
      </w:pPr>
      <w:r>
        <w:t xml:space="preserve">       </w:t>
      </w:r>
      <w:hyperlink r:id="rId17" w:history="1">
        <w:r>
          <w:rPr>
            <w:rStyle w:val="Hyperlink"/>
            <w:color w:val="auto"/>
          </w:rPr>
          <w:t>https://eur-lex.europa.eu/legal-content/EN/TXT/PDF/?uri=CELEX:52011SC0874&amp;from=EN</w:t>
        </w:r>
      </w:hyperlink>
    </w:p>
  </w:footnote>
  <w:footnote w:id="27">
    <w:p>
      <w:pPr>
        <w:pStyle w:val="FootnoteText"/>
        <w:spacing w:after="0"/>
      </w:pPr>
      <w:r>
        <w:rPr>
          <w:rStyle w:val="FootnoteReference"/>
        </w:rPr>
        <w:footnoteRef/>
      </w:r>
      <w:r>
        <w:t xml:space="preserve">     MFA-III initially meant to be completed by mid-2016.</w:t>
      </w:r>
    </w:p>
  </w:footnote>
  <w:footnote w:id="28">
    <w:p>
      <w:pPr>
        <w:pStyle w:val="FootnoteText"/>
        <w:spacing w:after="0"/>
        <w:jc w:val="left"/>
      </w:pPr>
      <w:r>
        <w:rPr>
          <w:rStyle w:val="Hyperlink"/>
          <w:color w:val="auto"/>
          <w:u w:val="none"/>
          <w:vertAlign w:val="superscript"/>
        </w:rPr>
        <w:footnoteRef/>
      </w:r>
      <w:r>
        <w:t xml:space="preserve"> </w:t>
      </w:r>
      <w:hyperlink r:id="rId18" w:history="1">
        <w:r>
          <w:rPr>
            <w:rStyle w:val="Hyperlink"/>
            <w:color w:val="auto"/>
          </w:rPr>
          <w:t>https://naftogaz.com/www/3/nakweben.nsf/0/A09B58DD11619020C22584F1002A61B6?OpenDocument&amp;year=2020&amp;month=01&amp;nt=News&amp;</w:t>
        </w:r>
      </w:hyperlink>
    </w:p>
  </w:footnote>
  <w:footnote w:id="29">
    <w:p>
      <w:pPr>
        <w:pStyle w:val="FootnoteText"/>
        <w:spacing w:after="0"/>
        <w:jc w:val="left"/>
      </w:pPr>
      <w:r>
        <w:rPr>
          <w:rStyle w:val="FootnoteReference"/>
        </w:rPr>
        <w:footnoteRef/>
      </w:r>
      <w:r>
        <w:t xml:space="preserve">      </w:t>
      </w:r>
      <w:hyperlink r:id="rId19" w:history="1">
        <w:r>
          <w:rPr>
            <w:rStyle w:val="Hyperlink"/>
            <w:color w:val="auto"/>
          </w:rPr>
          <w:t>https://ec.europa.eu/neighbourhood-enlargement/neighbourhood/countries/ukraine_en</w:t>
        </w:r>
      </w:hyperlink>
    </w:p>
  </w:footnote>
  <w:footnote w:id="30">
    <w:p>
      <w:pPr>
        <w:pStyle w:val="FootnoteText"/>
        <w:spacing w:after="0"/>
        <w:jc w:val="left"/>
      </w:pPr>
      <w:r>
        <w:rPr>
          <w:rStyle w:val="FootnoteReference"/>
        </w:rPr>
        <w:footnoteRef/>
      </w:r>
      <w:r>
        <w:t xml:space="preserve">      Moody’s, 2014-2018. Ukraine. Available at: </w:t>
      </w:r>
      <w:hyperlink r:id="rId20" w:history="1">
        <w:r>
          <w:rPr>
            <w:rStyle w:val="Hyperlink"/>
            <w:color w:val="auto"/>
          </w:rPr>
          <w:t>https://www.moodys.com/credit-ratings/Ukraine-Government-of- credit-rating-600037040?stop_mobi=yes</w:t>
        </w:r>
      </w:hyperlink>
    </w:p>
  </w:footnote>
  <w:footnote w:id="31">
    <w:p>
      <w:pPr>
        <w:pStyle w:val="FootnoteText"/>
        <w:spacing w:after="0"/>
      </w:pPr>
      <w:r>
        <w:rPr>
          <w:rStyle w:val="FootnoteReference"/>
        </w:rPr>
        <w:footnoteRef/>
      </w:r>
      <w:r>
        <w:t xml:space="preserve">     </w:t>
      </w:r>
      <w:hyperlink r:id="rId21" w:history="1">
        <w:r>
          <w:rPr>
            <w:rStyle w:val="Hyperlink"/>
            <w:color w:val="auto"/>
          </w:rPr>
          <w:t>https://trade.ec.europa.eu/doclib/docs/2016/november/tradoc_155103.pdf</w:t>
        </w:r>
      </w:hyperlink>
    </w:p>
  </w:footnote>
  <w:footnote w:id="32">
    <w:p>
      <w:pPr>
        <w:pStyle w:val="FootnoteText"/>
        <w:spacing w:after="0"/>
        <w:jc w:val="left"/>
        <w:rPr>
          <w:lang w:val="hu-HU"/>
        </w:rPr>
      </w:pPr>
      <w:r>
        <w:rPr>
          <w:rStyle w:val="FootnoteReference"/>
          <w:color w:val="000000" w:themeColor="text1"/>
        </w:rPr>
        <w:footnoteRef/>
      </w:r>
      <w:r>
        <w:rPr>
          <w:color w:val="000000" w:themeColor="text1"/>
          <w:lang w:val="hu-HU"/>
        </w:rPr>
        <w:t xml:space="preserve">    </w:t>
      </w:r>
      <w:hyperlink r:id="rId22" w:history="1">
        <w:r>
          <w:rPr>
            <w:rStyle w:val="Hyperlink"/>
            <w:color w:val="000000" w:themeColor="text1"/>
            <w:lang w:val="hu-HU"/>
          </w:rPr>
          <w:t>https://eur-lex.europa.eu/legal-content/EN/TXT/?uri=CELEX:32018R1046</w:t>
        </w:r>
      </w:hyperlink>
    </w:p>
  </w:footnote>
  <w:footnote w:id="33">
    <w:p>
      <w:pPr>
        <w:pStyle w:val="FootnoteText"/>
        <w:spacing w:after="0"/>
        <w:jc w:val="left"/>
        <w:rPr>
          <w:lang w:val="hu-HU"/>
        </w:rPr>
      </w:pPr>
      <w:r>
        <w:rPr>
          <w:rStyle w:val="FootnoteReference"/>
        </w:rPr>
        <w:footnoteRef/>
      </w:r>
      <w:r>
        <w:rPr>
          <w:lang w:val="hu-HU"/>
        </w:rPr>
        <w:t xml:space="preserve">    </w:t>
      </w:r>
      <w:hyperlink r:id="rId23" w:history="1">
        <w:r>
          <w:rPr>
            <w:rStyle w:val="Hyperlink"/>
            <w:color w:val="auto"/>
            <w:lang w:val="hu-HU"/>
          </w:rPr>
          <w:t>https://eur-lex.europa.eu/legal-content/EN/TXT/?qid=1476965532409&amp;uri=CELEX:32015D0601</w:t>
        </w:r>
      </w:hyperlink>
    </w:p>
  </w:footnote>
  <w:footnote w:id="34">
    <w:p>
      <w:pPr>
        <w:pStyle w:val="FootnoteText"/>
        <w:ind w:left="284" w:hanging="284"/>
        <w:jc w:val="left"/>
        <w:rPr>
          <w:lang w:val="hu-HU"/>
        </w:rPr>
      </w:pPr>
      <w:r>
        <w:rPr>
          <w:rStyle w:val="FootnoteReference"/>
        </w:rPr>
        <w:footnoteRef/>
      </w:r>
      <w:r>
        <w:rPr>
          <w:lang w:val="hu-HU"/>
        </w:rPr>
        <w:t xml:space="preserve">    </w:t>
      </w:r>
      <w:hyperlink r:id="rId24" w:history="1">
        <w:r>
          <w:rPr>
            <w:rStyle w:val="Hyperlink"/>
            <w:color w:val="auto"/>
            <w:lang w:val="hu-HU"/>
          </w:rPr>
          <w:t>https://ec.europa.eu/info/law/better-regulation/have-your-say/initiatives/12118-Ex-post-evaluation-of-macro- financial-assistance-to-Ukraine-</w:t>
        </w:r>
      </w:hyperlink>
    </w:p>
  </w:footnote>
  <w:footnote w:id="35">
    <w:p>
      <w:pPr>
        <w:pStyle w:val="FootnoteText"/>
        <w:spacing w:after="0"/>
        <w:rPr>
          <w:lang w:val="hu-HU"/>
        </w:rPr>
      </w:pPr>
      <w:r>
        <w:rPr>
          <w:rStyle w:val="FootnoteReference"/>
        </w:rPr>
        <w:footnoteRef/>
      </w:r>
      <w:r>
        <w:rPr>
          <w:lang w:val="hu-HU"/>
        </w:rPr>
        <w:t xml:space="preserve">    For more information about stakeholder consultation, please refer to Annex I, II, III and IV of the Ex-post evaluation available at: </w:t>
      </w:r>
      <w:hyperlink r:id="rId25" w:history="1">
        <w:r>
          <w:rPr>
            <w:rStyle w:val="Hyperlink"/>
            <w:color w:val="auto"/>
            <w:lang w:val="hu-HU"/>
          </w:rPr>
          <w:t>https://ec.europa.eu/info/evaluation-reports-economic-and-financial-affairs-policies-and-spending-activities/ex-post-evaluation-mfa-operations-ukraine_en</w:t>
        </w:r>
      </w:hyperlink>
    </w:p>
  </w:footnote>
  <w:footnote w:id="36">
    <w:p>
      <w:pPr>
        <w:pStyle w:val="FootnoteText"/>
        <w:spacing w:after="0"/>
        <w:jc w:val="left"/>
        <w:rPr>
          <w:lang w:val="hu-HU"/>
        </w:rPr>
      </w:pPr>
      <w:r>
        <w:rPr>
          <w:rStyle w:val="FootnoteReference"/>
        </w:rPr>
        <w:footnoteRef/>
      </w:r>
      <w:r>
        <w:rPr>
          <w:lang w:val="hu-HU"/>
        </w:rPr>
        <w:t xml:space="preserve">    </w:t>
      </w:r>
      <w:hyperlink r:id="rId26" w:history="1">
        <w:r>
          <w:rPr>
            <w:rStyle w:val="Hyperlink"/>
            <w:color w:val="000000" w:themeColor="text1"/>
            <w:lang w:val="hu-HU"/>
          </w:rPr>
          <w:t>https://ec.europa.eu/info/law/law-making-process/planning-and-proposing-law/better-regulation-why-and-how/better-regulation-guidelines-and-toolbox_en</w:t>
        </w:r>
      </w:hyperlink>
    </w:p>
  </w:footnote>
  <w:footnote w:id="37">
    <w:p>
      <w:pPr>
        <w:pStyle w:val="FootnoteText"/>
      </w:pPr>
      <w:r>
        <w:rPr>
          <w:rStyle w:val="FootnoteReference"/>
        </w:rPr>
        <w:footnoteRef/>
      </w:r>
      <w:r>
        <w:t xml:space="preserve"> Please, refer to: </w:t>
      </w:r>
      <w:hyperlink r:id="rId27" w:history="1">
        <w:r>
          <w:rPr>
            <w:rStyle w:val="Hyperlink"/>
            <w:color w:val="auto"/>
          </w:rPr>
          <w:t>https://ec.europa.eu/info/evaluation-reports-economic-and-financial-affairs-policies-and-spending-activities/ex-post-evaluation-mfa-operations-ukraine_en</w:t>
        </w:r>
      </w:hyperlink>
    </w:p>
  </w:footnote>
  <w:footnote w:id="38">
    <w:p>
      <w:pPr>
        <w:pStyle w:val="FootnoteText"/>
      </w:pPr>
      <w:r>
        <w:rPr>
          <w:rStyle w:val="FootnoteReference"/>
        </w:rPr>
        <w:footnoteRef/>
      </w:r>
      <w:r>
        <w:t xml:space="preserve"> Please, refer to: </w:t>
      </w:r>
      <w:hyperlink r:id="rId28" w:history="1">
        <w:r>
          <w:rPr>
            <w:rStyle w:val="Hyperlink"/>
            <w:color w:val="auto"/>
          </w:rPr>
          <w:t>https://ec.europa.eu/info/evaluation-reports-economic-and-financial-affairs-policies-and-spending-activities/ex-post-evaluation-mfa-operations-ukraine_en</w:t>
        </w:r>
      </w:hyperlink>
    </w:p>
  </w:footnote>
  <w:footnote w:id="39">
    <w:p>
      <w:pPr>
        <w:pStyle w:val="FootnoteText"/>
      </w:pPr>
      <w:r>
        <w:rPr>
          <w:rStyle w:val="FootnoteReference"/>
        </w:rPr>
        <w:footnoteRef/>
      </w:r>
      <w:r>
        <w:t xml:space="preserve"> Please, refer to: </w:t>
      </w:r>
      <w:hyperlink r:id="rId29" w:history="1">
        <w:r>
          <w:rPr>
            <w:rStyle w:val="Hyperlink"/>
            <w:color w:val="auto"/>
          </w:rPr>
          <w:t>https://ec.europa.eu/info/evaluation-reports-economic-and-financial-affairs-policies-and-spending-activities/ex-post-evaluation-mfa-operations-ukraine_en</w:t>
        </w:r>
      </w:hyperlink>
    </w:p>
  </w:footnote>
  <w:footnote w:id="40">
    <w:p>
      <w:pPr>
        <w:pStyle w:val="FootnoteText"/>
        <w:spacing w:after="0"/>
      </w:pPr>
      <w:r>
        <w:rPr>
          <w:rStyle w:val="FootnoteReference"/>
        </w:rPr>
        <w:footnoteRef/>
      </w:r>
      <w:r>
        <w:t xml:space="preserve"> </w:t>
      </w:r>
      <w:r>
        <w:tab/>
        <w:t>See the list of completed interviews in Annex I and II of the external evaluation report.</w:t>
      </w:r>
    </w:p>
  </w:footnote>
  <w:footnote w:id="41">
    <w:p>
      <w:pPr>
        <w:pStyle w:val="FootnoteText"/>
        <w:spacing w:after="0" w:line="276" w:lineRule="auto"/>
      </w:pPr>
      <w:r>
        <w:rPr>
          <w:rStyle w:val="FootnoteReference"/>
        </w:rPr>
        <w:footnoteRef/>
      </w:r>
      <w:r>
        <w:t xml:space="preserve">     See the summary note from focus group discussion in Annex III of the external evaluation report.</w:t>
      </w:r>
    </w:p>
  </w:footnote>
  <w:footnote w:id="42">
    <w:p>
      <w:pPr>
        <w:pStyle w:val="FootnoteText"/>
        <w:spacing w:after="0"/>
      </w:pPr>
      <w:r>
        <w:rPr>
          <w:rStyle w:val="FootnoteReference"/>
        </w:rPr>
        <w:footnoteRef/>
      </w:r>
      <w:r>
        <w:t xml:space="preserve"> </w:t>
      </w:r>
      <w:r>
        <w:tab/>
        <w:t xml:space="preserve">Detailed results are available in Annex IV of the external evaluation report. </w:t>
      </w:r>
    </w:p>
  </w:footnote>
  <w:footnote w:id="43">
    <w:p>
      <w:pPr>
        <w:pStyle w:val="FootnoteText"/>
        <w:rPr>
          <w:lang w:val="en-IE"/>
        </w:rPr>
      </w:pPr>
      <w:r>
        <w:rPr>
          <w:rStyle w:val="FootnoteReference"/>
        </w:rPr>
        <w:footnoteRef/>
      </w:r>
      <w:r>
        <w:t xml:space="preserve"> IMF Staff Guidance Note for Debt Sustainability Analysis in Market-Access Countries, available at: https://www.imf.org/external/np/pp/eng/2013/050913.pdf. For the methodology of DSA calculations in the evaluation of the MFA-III operation 2015-2017 in Ukraine, please also refer to Annex 11 of the external evaluation report.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006"/>
    <w:multiLevelType w:val="multilevel"/>
    <w:tmpl w:val="8F320F56"/>
    <w:styleLink w:val="NumblistTables"/>
    <w:lvl w:ilvl="0">
      <w:start w:val="1"/>
      <w:numFmt w:val="decimal"/>
      <w:lvlText w:val="Table %1."/>
      <w:lvlJc w:val="left"/>
      <w:pPr>
        <w:tabs>
          <w:tab w:val="num" w:pos="1077"/>
        </w:tabs>
        <w:ind w:left="1077" w:hanging="1077"/>
      </w:pPr>
      <w:rPr>
        <w:rFonts w:hint="default"/>
      </w:rPr>
    </w:lvl>
    <w:lvl w:ilvl="1">
      <w:start w:val="1"/>
      <w:numFmt w:val="none"/>
      <w:lvlRestart w:val="0"/>
      <w:lvlText w:val=""/>
      <w:lvlJc w:val="left"/>
      <w:pPr>
        <w:tabs>
          <w:tab w:val="num" w:pos="0"/>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146808CB"/>
    <w:multiLevelType w:val="multilevel"/>
    <w:tmpl w:val="9B0ED194"/>
    <w:styleLink w:val="NumbListFigures"/>
    <w:lvl w:ilvl="0">
      <w:start w:val="1"/>
      <w:numFmt w:val="decimal"/>
      <w:pStyle w:val="FigureTitle"/>
      <w:lvlText w:val="Figure %1."/>
      <w:lvlJc w:val="left"/>
      <w:pPr>
        <w:tabs>
          <w:tab w:val="num" w:pos="3957"/>
        </w:tabs>
        <w:ind w:left="3957" w:hanging="1077"/>
      </w:pPr>
      <w:rPr>
        <w:rFonts w:hint="default"/>
      </w:rPr>
    </w:lvl>
    <w:lvl w:ilvl="1">
      <w:start w:val="1"/>
      <w:numFmt w:val="none"/>
      <w:lvlText w:val=""/>
      <w:lvlJc w:val="left"/>
      <w:pPr>
        <w:tabs>
          <w:tab w:val="num" w:pos="2880"/>
        </w:tabs>
        <w:ind w:left="2880" w:firstLine="0"/>
      </w:pPr>
      <w:rPr>
        <w:rFonts w:hint="default"/>
      </w:rPr>
    </w:lvl>
    <w:lvl w:ilvl="2">
      <w:start w:val="1"/>
      <w:numFmt w:val="none"/>
      <w:lvlText w:val=""/>
      <w:lvlJc w:val="left"/>
      <w:pPr>
        <w:tabs>
          <w:tab w:val="num" w:pos="2880"/>
        </w:tabs>
        <w:ind w:left="2880" w:firstLine="0"/>
      </w:pPr>
      <w:rPr>
        <w:rFonts w:hint="default"/>
      </w:rPr>
    </w:lvl>
    <w:lvl w:ilvl="3">
      <w:start w:val="1"/>
      <w:numFmt w:val="none"/>
      <w:lvlText w:val=""/>
      <w:lvlJc w:val="left"/>
      <w:pPr>
        <w:tabs>
          <w:tab w:val="num" w:pos="2880"/>
        </w:tabs>
        <w:ind w:left="2880" w:firstLine="0"/>
      </w:pPr>
      <w:rPr>
        <w:rFonts w:hint="default"/>
      </w:rPr>
    </w:lvl>
    <w:lvl w:ilvl="4">
      <w:start w:val="1"/>
      <w:numFmt w:val="none"/>
      <w:lvlText w:val=""/>
      <w:lvlJc w:val="left"/>
      <w:pPr>
        <w:tabs>
          <w:tab w:val="num" w:pos="2880"/>
        </w:tabs>
        <w:ind w:left="2880" w:firstLine="0"/>
      </w:pPr>
      <w:rPr>
        <w:rFonts w:hint="default"/>
      </w:rPr>
    </w:lvl>
    <w:lvl w:ilvl="5">
      <w:start w:val="1"/>
      <w:numFmt w:val="none"/>
      <w:lvlText w:val=""/>
      <w:lvlJc w:val="left"/>
      <w:pPr>
        <w:tabs>
          <w:tab w:val="num" w:pos="2880"/>
        </w:tabs>
        <w:ind w:left="2880" w:firstLine="0"/>
      </w:pPr>
      <w:rPr>
        <w:rFonts w:hint="default"/>
      </w:rPr>
    </w:lvl>
    <w:lvl w:ilvl="6">
      <w:start w:val="1"/>
      <w:numFmt w:val="none"/>
      <w:lvlText w:val=""/>
      <w:lvlJc w:val="left"/>
      <w:pPr>
        <w:tabs>
          <w:tab w:val="num" w:pos="2880"/>
        </w:tabs>
        <w:ind w:left="2880" w:firstLine="0"/>
      </w:pPr>
      <w:rPr>
        <w:rFonts w:hint="default"/>
      </w:rPr>
    </w:lvl>
    <w:lvl w:ilvl="7">
      <w:start w:val="1"/>
      <w:numFmt w:val="none"/>
      <w:lvlText w:val=""/>
      <w:lvlJc w:val="left"/>
      <w:pPr>
        <w:tabs>
          <w:tab w:val="num" w:pos="2880"/>
        </w:tabs>
        <w:ind w:left="2880" w:firstLine="0"/>
      </w:pPr>
      <w:rPr>
        <w:rFonts w:hint="default"/>
      </w:rPr>
    </w:lvl>
    <w:lvl w:ilvl="8">
      <w:start w:val="1"/>
      <w:numFmt w:val="none"/>
      <w:lvlText w:val=""/>
      <w:lvlJc w:val="left"/>
      <w:pPr>
        <w:tabs>
          <w:tab w:val="num" w:pos="2880"/>
        </w:tabs>
        <w:ind w:left="2880" w:firstLine="0"/>
      </w:pPr>
      <w:rPr>
        <w:rFonts w:hint="default"/>
      </w:rPr>
    </w:lvl>
  </w:abstractNum>
  <w:abstractNum w:abstractNumId="2">
    <w:nsid w:val="19865AE1"/>
    <w:multiLevelType w:val="multilevel"/>
    <w:tmpl w:val="816EC836"/>
    <w:numStyleLink w:val="NumbListNumb"/>
  </w:abstractNum>
  <w:abstractNum w:abstractNumId="3">
    <w:nsid w:val="1E7117AF"/>
    <w:multiLevelType w:val="multilevel"/>
    <w:tmpl w:val="DE26E144"/>
    <w:styleLink w:val="NumbLstTable"/>
    <w:lvl w:ilvl="0">
      <w:start w:val="1"/>
      <w:numFmt w:val="decimal"/>
      <w:pStyle w:val="TableNumbList1"/>
      <w:lvlText w:val="%1."/>
      <w:lvlJc w:val="left"/>
      <w:pPr>
        <w:tabs>
          <w:tab w:val="num" w:pos="454"/>
        </w:tabs>
        <w:ind w:left="454" w:hanging="341"/>
      </w:pPr>
      <w:rPr>
        <w:rFonts w:hint="default"/>
      </w:rPr>
    </w:lvl>
    <w:lvl w:ilvl="1">
      <w:start w:val="1"/>
      <w:numFmt w:val="bullet"/>
      <w:pStyle w:val="TableBullet1"/>
      <w:lvlText w:val=""/>
      <w:lvlJc w:val="left"/>
      <w:pPr>
        <w:tabs>
          <w:tab w:val="num" w:pos="454"/>
        </w:tabs>
        <w:ind w:left="454" w:hanging="341"/>
      </w:pPr>
      <w:rPr>
        <w:rFonts w:ascii="Wingdings" w:hAnsi="Wingdings" w:hint="default"/>
        <w:color w:val="002395"/>
      </w:rPr>
    </w:lvl>
    <w:lvl w:ilvl="2">
      <w:start w:val="1"/>
      <w:numFmt w:val="lowerLetter"/>
      <w:pStyle w:val="TableNumbList2"/>
      <w:lvlText w:val="%3)"/>
      <w:lvlJc w:val="left"/>
      <w:pPr>
        <w:tabs>
          <w:tab w:val="num" w:pos="794"/>
        </w:tabs>
        <w:ind w:left="794" w:hanging="340"/>
      </w:pPr>
      <w:rPr>
        <w:rFonts w:hint="default"/>
      </w:rPr>
    </w:lvl>
    <w:lvl w:ilvl="3">
      <w:start w:val="1"/>
      <w:numFmt w:val="bullet"/>
      <w:pStyle w:val="TableBullet2"/>
      <w:lvlText w:val="–"/>
      <w:lvlJc w:val="left"/>
      <w:pPr>
        <w:tabs>
          <w:tab w:val="num" w:pos="794"/>
        </w:tabs>
        <w:ind w:left="794" w:hanging="340"/>
      </w:pPr>
      <w:rPr>
        <w:rFonts w:ascii="Arial" w:hAnsi="Arial" w:hint="default"/>
        <w:color w:val="0067AC"/>
      </w:rPr>
    </w:lvl>
    <w:lvl w:ilvl="4">
      <w:start w:val="1"/>
      <w:numFmt w:val="lowerRoman"/>
      <w:pStyle w:val="TableNumbList3"/>
      <w:lvlText w:val="%5."/>
      <w:lvlJc w:val="left"/>
      <w:pPr>
        <w:tabs>
          <w:tab w:val="num" w:pos="1134"/>
        </w:tabs>
        <w:ind w:left="1134" w:hanging="340"/>
      </w:pPr>
      <w:rPr>
        <w:rFonts w:hint="default"/>
      </w:rPr>
    </w:lvl>
    <w:lvl w:ilvl="5">
      <w:start w:val="1"/>
      <w:numFmt w:val="bullet"/>
      <w:pStyle w:val="TableBullet3"/>
      <w:lvlText w:val="○"/>
      <w:lvlJc w:val="left"/>
      <w:pPr>
        <w:tabs>
          <w:tab w:val="num" w:pos="1134"/>
        </w:tabs>
        <w:ind w:left="1134" w:hanging="340"/>
      </w:pPr>
      <w:rPr>
        <w:rFonts w:ascii="Arial" w:hAnsi="Arial" w:hint="default"/>
        <w:color w:val="0067AC"/>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4">
    <w:nsid w:val="1F37420E"/>
    <w:multiLevelType w:val="multilevel"/>
    <w:tmpl w:val="36C690BE"/>
    <w:styleLink w:val="NumbLstAnnex"/>
    <w:lvl w:ilvl="0">
      <w:start w:val="1"/>
      <w:numFmt w:val="decimal"/>
      <w:pStyle w:val="AnnexHeading"/>
      <w:lvlText w:val="Annex %1"/>
      <w:lvlJc w:val="left"/>
      <w:pPr>
        <w:tabs>
          <w:tab w:val="num" w:pos="851"/>
        </w:tabs>
        <w:ind w:left="851" w:hanging="851"/>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851"/>
        </w:tabs>
        <w:ind w:left="851" w:hanging="851"/>
      </w:pPr>
      <w:rPr>
        <w:rFonts w:hint="default"/>
      </w:rPr>
    </w:lvl>
    <w:lvl w:ilvl="5">
      <w:start w:val="1"/>
      <w:numFmt w:val="decimal"/>
      <w:lvlRestart w:val="1"/>
      <w:pStyle w:val="AnnexFigure"/>
      <w:lvlText w:val="Figure A%1.%6"/>
      <w:lvlJc w:val="left"/>
      <w:pPr>
        <w:tabs>
          <w:tab w:val="num" w:pos="851"/>
        </w:tabs>
        <w:ind w:left="851" w:hanging="851"/>
      </w:pPr>
      <w:rPr>
        <w:rFonts w:hint="default"/>
      </w:rPr>
    </w:lvl>
    <w:lvl w:ilvl="6">
      <w:start w:val="1"/>
      <w:numFmt w:val="decimal"/>
      <w:pStyle w:val="AnnexEquation"/>
      <w:lvlText w:val="Equation A%1.%7"/>
      <w:lvlJc w:val="left"/>
      <w:pPr>
        <w:tabs>
          <w:tab w:val="num" w:pos="851"/>
        </w:tabs>
        <w:ind w:left="851" w:hanging="851"/>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5">
    <w:nsid w:val="1F734306"/>
    <w:multiLevelType w:val="multilevel"/>
    <w:tmpl w:val="ADCE60A4"/>
    <w:lvl w:ilvl="0">
      <w:start w:val="1"/>
      <w:numFmt w:val="bullet"/>
      <w:lvlText w:val=""/>
      <w:lvlJc w:val="left"/>
      <w:pPr>
        <w:tabs>
          <w:tab w:val="num" w:pos="480"/>
        </w:tabs>
        <w:ind w:left="480" w:hanging="480"/>
      </w:pPr>
      <w:rPr>
        <w:rFonts w:ascii="Symbol" w:hAnsi="Symbol" w:hint="default"/>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rPr>
        <w:b/>
      </w:rPr>
    </w:lvl>
    <w:lvl w:ilvl="8">
      <w:start w:val="1"/>
      <w:numFmt w:val="lowerRoman"/>
      <w:lvlText w:val="%9."/>
      <w:lvlJc w:val="left"/>
      <w:pPr>
        <w:tabs>
          <w:tab w:val="num" w:pos="3240"/>
        </w:tabs>
        <w:ind w:left="3240" w:hanging="360"/>
      </w:pPr>
    </w:lvl>
  </w:abstractNum>
  <w:abstractNum w:abstractNumId="6">
    <w:nsid w:val="22681583"/>
    <w:multiLevelType w:val="hybridMultilevel"/>
    <w:tmpl w:val="E820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8B5924"/>
    <w:multiLevelType w:val="multilevel"/>
    <w:tmpl w:val="36C690BE"/>
    <w:numStyleLink w:val="NumbLstAnnex"/>
  </w:abstractNum>
  <w:abstractNum w:abstractNumId="8">
    <w:nsid w:val="337C4F08"/>
    <w:multiLevelType w:val="multilevel"/>
    <w:tmpl w:val="688C2EF2"/>
    <w:lvl w:ilvl="0">
      <w:start w:val="1"/>
      <w:numFmt w:val="decimal"/>
      <w:isLg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spacing w:val="-20"/>
      </w:rPr>
    </w:lvl>
    <w:lvl w:ilvl="4">
      <w:start w:val="1"/>
      <w:numFmt w:val="none"/>
      <w:lvlText w:val=""/>
      <w:lvlJc w:val="left"/>
      <w:pPr>
        <w:tabs>
          <w:tab w:val="num" w:pos="680"/>
        </w:tabs>
        <w:ind w:left="680" w:firstLine="0"/>
      </w:pPr>
      <w:rPr>
        <w:rFonts w:hint="default"/>
      </w:rPr>
    </w:lvl>
    <w:lvl w:ilvl="5">
      <w:start w:val="1"/>
      <w:numFmt w:val="none"/>
      <w:lvlText w:val=""/>
      <w:lvlJc w:val="left"/>
      <w:pPr>
        <w:tabs>
          <w:tab w:val="num" w:pos="680"/>
        </w:tabs>
        <w:ind w:left="680" w:firstLine="0"/>
      </w:pPr>
      <w:rPr>
        <w:rFonts w:hint="default"/>
      </w:rPr>
    </w:lvl>
    <w:lvl w:ilvl="6">
      <w:start w:val="1"/>
      <w:numFmt w:val="none"/>
      <w:lvlText w:val=""/>
      <w:lvlJc w:val="left"/>
      <w:pPr>
        <w:tabs>
          <w:tab w:val="num" w:pos="680"/>
        </w:tabs>
        <w:ind w:left="680" w:firstLine="0"/>
      </w:pPr>
      <w:rPr>
        <w:rFonts w:hint="default"/>
      </w:rPr>
    </w:lvl>
    <w:lvl w:ilvl="7">
      <w:start w:val="1"/>
      <w:numFmt w:val="none"/>
      <w:lvlText w:val=""/>
      <w:lvlJc w:val="left"/>
      <w:pPr>
        <w:tabs>
          <w:tab w:val="num" w:pos="680"/>
        </w:tabs>
        <w:ind w:left="680" w:firstLine="0"/>
      </w:pPr>
      <w:rPr>
        <w:rFonts w:hint="default"/>
      </w:rPr>
    </w:lvl>
    <w:lvl w:ilvl="8">
      <w:start w:val="1"/>
      <w:numFmt w:val="none"/>
      <w:lvlText w:val=""/>
      <w:lvlJc w:val="left"/>
      <w:pPr>
        <w:tabs>
          <w:tab w:val="num" w:pos="680"/>
        </w:tabs>
        <w:ind w:left="680" w:firstLine="0"/>
      </w:pPr>
      <w:rPr>
        <w:rFonts w:hint="default"/>
      </w:rPr>
    </w:lvl>
  </w:abstractNum>
  <w:abstractNum w:abstractNumId="9">
    <w:nsid w:val="366C0073"/>
    <w:multiLevelType w:val="multilevel"/>
    <w:tmpl w:val="816EC836"/>
    <w:styleLink w:val="NumbListNumb"/>
    <w:lvl w:ilvl="0">
      <w:start w:val="1"/>
      <w:numFmt w:val="decimal"/>
      <w:pStyle w:val="NumbList1"/>
      <w:lvlText w:val="%1."/>
      <w:lvlJc w:val="left"/>
      <w:pPr>
        <w:tabs>
          <w:tab w:val="num" w:pos="680"/>
        </w:tabs>
        <w:ind w:left="680" w:hanging="340"/>
      </w:pPr>
      <w:rPr>
        <w:rFonts w:hint="default"/>
        <w:color w:val="auto"/>
      </w:rPr>
    </w:lvl>
    <w:lvl w:ilvl="1">
      <w:start w:val="1"/>
      <w:numFmt w:val="lowerLetter"/>
      <w:pStyle w:val="NumbList2"/>
      <w:lvlText w:val="%2)"/>
      <w:lvlJc w:val="left"/>
      <w:pPr>
        <w:tabs>
          <w:tab w:val="num" w:pos="1021"/>
        </w:tabs>
        <w:ind w:left="1021" w:hanging="341"/>
      </w:pPr>
      <w:rPr>
        <w:rFonts w:hint="default"/>
      </w:rPr>
    </w:lvl>
    <w:lvl w:ilvl="2">
      <w:start w:val="1"/>
      <w:numFmt w:val="lowerRoman"/>
      <w:pStyle w:val="NumbList3"/>
      <w:lvlText w:val="%3."/>
      <w:lvlJc w:val="left"/>
      <w:pPr>
        <w:tabs>
          <w:tab w:val="num" w:pos="1361"/>
        </w:tabs>
        <w:ind w:left="1361" w:hanging="340"/>
      </w:pPr>
      <w:rPr>
        <w:rFonts w:hint="default"/>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10">
    <w:nsid w:val="3DB92A87"/>
    <w:multiLevelType w:val="multilevel"/>
    <w:tmpl w:val="2A6AA2B4"/>
    <w:styleLink w:val="Bullets"/>
    <w:lvl w:ilvl="0">
      <w:start w:val="1"/>
      <w:numFmt w:val="bullet"/>
      <w:lvlText w:val=""/>
      <w:lvlJc w:val="left"/>
      <w:pPr>
        <w:tabs>
          <w:tab w:val="num" w:pos="482"/>
        </w:tabs>
        <w:ind w:left="482" w:hanging="340"/>
      </w:pPr>
      <w:rPr>
        <w:rFonts w:ascii="Wingdings" w:hAnsi="Wingdings" w:hint="default"/>
        <w:color w:val="002395"/>
        <w:sz w:val="24"/>
      </w:rPr>
    </w:lvl>
    <w:lvl w:ilvl="1">
      <w:start w:val="1"/>
      <w:numFmt w:val="bullet"/>
      <w:lvlText w:val="-"/>
      <w:lvlJc w:val="left"/>
      <w:pPr>
        <w:tabs>
          <w:tab w:val="num" w:pos="341"/>
        </w:tabs>
        <w:ind w:left="341" w:hanging="341"/>
      </w:pPr>
      <w:rPr>
        <w:rFonts w:ascii="Arial" w:hAnsi="Arial" w:hint="default"/>
        <w:color w:val="auto"/>
        <w:sz w:val="24"/>
      </w:rPr>
    </w:lvl>
    <w:lvl w:ilvl="2">
      <w:start w:val="1"/>
      <w:numFmt w:val="bullet"/>
      <w:lvlText w:val="◦"/>
      <w:lvlJc w:val="left"/>
      <w:pPr>
        <w:tabs>
          <w:tab w:val="num" w:pos="1361"/>
        </w:tabs>
        <w:ind w:left="1361" w:hanging="340"/>
      </w:pPr>
      <w:rPr>
        <w:rFonts w:ascii="Arial" w:hAnsi="Arial" w:hint="default"/>
        <w:color w:val="44546A" w:themeColor="text2"/>
        <w:sz w:val="28"/>
      </w:rPr>
    </w:lvl>
    <w:lvl w:ilvl="3">
      <w:start w:val="1"/>
      <w:numFmt w:val="none"/>
      <w:lvlText w:val=""/>
      <w:lvlJc w:val="left"/>
      <w:pPr>
        <w:tabs>
          <w:tab w:val="num" w:pos="1361"/>
        </w:tabs>
        <w:ind w:left="1361" w:firstLine="0"/>
      </w:pPr>
      <w:rPr>
        <w:rFonts w:hint="default"/>
      </w:rPr>
    </w:lvl>
    <w:lvl w:ilvl="4">
      <w:start w:val="1"/>
      <w:numFmt w:val="none"/>
      <w:lvlText w:val=""/>
      <w:lvlJc w:val="left"/>
      <w:pPr>
        <w:tabs>
          <w:tab w:val="num" w:pos="1361"/>
        </w:tabs>
        <w:ind w:left="1361" w:firstLine="0"/>
      </w:pPr>
      <w:rPr>
        <w:rFonts w:hint="default"/>
      </w:rPr>
    </w:lvl>
    <w:lvl w:ilvl="5">
      <w:start w:val="1"/>
      <w:numFmt w:val="none"/>
      <w:lvlText w:val=""/>
      <w:lvlJc w:val="left"/>
      <w:pPr>
        <w:tabs>
          <w:tab w:val="num" w:pos="1361"/>
        </w:tabs>
        <w:ind w:left="1361" w:firstLine="0"/>
      </w:pPr>
      <w:rPr>
        <w:rFonts w:hint="default"/>
      </w:rPr>
    </w:lvl>
    <w:lvl w:ilvl="6">
      <w:start w:val="1"/>
      <w:numFmt w:val="none"/>
      <w:lvlText w:val=""/>
      <w:lvlJc w:val="left"/>
      <w:pPr>
        <w:tabs>
          <w:tab w:val="num" w:pos="1361"/>
        </w:tabs>
        <w:ind w:left="1361" w:firstLine="0"/>
      </w:pPr>
      <w:rPr>
        <w:rFonts w:hint="default"/>
      </w:rPr>
    </w:lvl>
    <w:lvl w:ilvl="7">
      <w:start w:val="1"/>
      <w:numFmt w:val="none"/>
      <w:lvlText w:val=""/>
      <w:lvlJc w:val="left"/>
      <w:pPr>
        <w:tabs>
          <w:tab w:val="num" w:pos="1361"/>
        </w:tabs>
        <w:ind w:left="1361" w:firstLine="0"/>
      </w:pPr>
      <w:rPr>
        <w:rFonts w:hint="default"/>
      </w:rPr>
    </w:lvl>
    <w:lvl w:ilvl="8">
      <w:start w:val="1"/>
      <w:numFmt w:val="none"/>
      <w:lvlText w:val=""/>
      <w:lvlJc w:val="left"/>
      <w:pPr>
        <w:tabs>
          <w:tab w:val="num" w:pos="1361"/>
        </w:tabs>
        <w:ind w:left="1361" w:firstLine="0"/>
      </w:pPr>
      <w:rPr>
        <w:rFonts w:hint="default"/>
      </w:rPr>
    </w:lvl>
  </w:abstractNum>
  <w:abstractNum w:abstractNumId="11">
    <w:nsid w:val="3EAE6B65"/>
    <w:multiLevelType w:val="multilevel"/>
    <w:tmpl w:val="AF7CA2F4"/>
    <w:name w:val="list-bullet-color-table2"/>
    <w:lvl w:ilvl="0">
      <w:start w:val="1"/>
      <w:numFmt w:val="bullet"/>
      <w:lvlRestart w:val="0"/>
      <w:pStyle w:val="list-bullet-color-table"/>
      <w:lvlText w:val=""/>
      <w:lvlJc w:val="left"/>
      <w:pPr>
        <w:ind w:left="284" w:hanging="284"/>
      </w:pPr>
      <w:rPr>
        <w:rFonts w:ascii="Symbol" w:hAnsi="Symbol" w:hint="default"/>
        <w:color w:val="006DB6"/>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2">
    <w:nsid w:val="3FE74BE9"/>
    <w:multiLevelType w:val="multilevel"/>
    <w:tmpl w:val="BF42E0A0"/>
    <w:name w:val="list-number-black-table2"/>
    <w:lvl w:ilvl="0">
      <w:start w:val="1"/>
      <w:numFmt w:val="decimal"/>
      <w:lvlRestart w:val="0"/>
      <w:pStyle w:val="list-number-black-table"/>
      <w:lvlText w:val="%1."/>
      <w:lvlJc w:val="left"/>
      <w:pPr>
        <w:ind w:left="284" w:hanging="284"/>
      </w:pPr>
      <w:rPr>
        <w:rFonts w:ascii="Arial" w:hAnsi="Arial" w:cs="Arial"/>
        <w:b w:val="0"/>
        <w:i w:val="0"/>
        <w:sz w:val="16"/>
      </w:rPr>
    </w:lvl>
    <w:lvl w:ilvl="1">
      <w:start w:val="1"/>
      <w:numFmt w:val="lowerLetter"/>
      <w:lvlText w:val="%2."/>
      <w:lvlJc w:val="left"/>
      <w:pPr>
        <w:ind w:left="568" w:hanging="284"/>
      </w:pPr>
      <w:rPr>
        <w:rFonts w:ascii="Arial" w:hAnsi="Arial" w:cs="Arial"/>
        <w:b w:val="0"/>
        <w:i w:val="0"/>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13">
    <w:nsid w:val="4A916BAE"/>
    <w:multiLevelType w:val="hybridMultilevel"/>
    <w:tmpl w:val="5E2E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F45F2E"/>
    <w:multiLevelType w:val="hybridMultilevel"/>
    <w:tmpl w:val="5AA034EE"/>
    <w:lvl w:ilvl="0" w:tplc="0809000F">
      <w:start w:val="1"/>
      <w:numFmt w:val="decimal"/>
      <w:lvlText w:val="%1."/>
      <w:lvlJc w:val="left"/>
      <w:pPr>
        <w:ind w:left="360" w:hanging="360"/>
      </w:pPr>
    </w:lvl>
    <w:lvl w:ilvl="1" w:tplc="08090019">
      <w:start w:val="1"/>
      <w:numFmt w:val="lowerLetter"/>
      <w:lvlText w:val="%2."/>
      <w:lvlJc w:val="left"/>
      <w:pPr>
        <w:ind w:left="644" w:hanging="360"/>
      </w:pPr>
    </w:lvl>
    <w:lvl w:ilvl="2" w:tplc="0809001B">
      <w:start w:val="1"/>
      <w:numFmt w:val="lowerRoman"/>
      <w:lvlText w:val="%3."/>
      <w:lvlJc w:val="right"/>
      <w:pPr>
        <w:ind w:left="2160" w:hanging="180"/>
      </w:pPr>
    </w:lvl>
    <w:lvl w:ilvl="3" w:tplc="1EFAD1A2">
      <w:start w:val="2"/>
      <w:numFmt w:val="bullet"/>
      <w:lvlText w:val="-"/>
      <w:lvlJc w:val="left"/>
      <w:pPr>
        <w:ind w:left="502" w:hanging="360"/>
      </w:pPr>
      <w:rPr>
        <w:rFonts w:ascii="Calibri" w:eastAsiaTheme="minorHAnsi" w:hAnsi="Calibri"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F85E00"/>
    <w:multiLevelType w:val="multilevel"/>
    <w:tmpl w:val="2A6AA2B4"/>
    <w:numStyleLink w:val="Bullets"/>
  </w:abstractNum>
  <w:abstractNum w:abstractNumId="16">
    <w:nsid w:val="5BC307C2"/>
    <w:multiLevelType w:val="hybridMultilevel"/>
    <w:tmpl w:val="A2F402EC"/>
    <w:lvl w:ilvl="0" w:tplc="4440BF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0155DD"/>
    <w:multiLevelType w:val="hybridMultilevel"/>
    <w:tmpl w:val="402A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DFA078A2">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57433F"/>
    <w:multiLevelType w:val="singleLevel"/>
    <w:tmpl w:val="3D5ECD48"/>
    <w:lvl w:ilvl="0">
      <w:start w:val="1"/>
      <w:numFmt w:val="bullet"/>
      <w:pStyle w:val="Bullet2Space"/>
      <w:lvlText w:val="–"/>
      <w:lvlJc w:val="left"/>
      <w:pPr>
        <w:tabs>
          <w:tab w:val="num" w:pos="765"/>
        </w:tabs>
        <w:ind w:left="765" w:hanging="283"/>
      </w:pPr>
      <w:rPr>
        <w:rFonts w:ascii="Times New Roman" w:hAnsi="Times New Roman"/>
      </w:rPr>
    </w:lvl>
  </w:abstractNum>
  <w:abstractNum w:abstractNumId="19">
    <w:nsid w:val="6632587F"/>
    <w:multiLevelType w:val="multilevel"/>
    <w:tmpl w:val="874E4376"/>
    <w:lvl w:ilvl="0">
      <w:start w:val="1"/>
      <w:numFmt w:val="bullet"/>
      <w:lvlText w:val=""/>
      <w:lvlJc w:val="left"/>
      <w:pPr>
        <w:ind w:left="360" w:hanging="360"/>
      </w:pPr>
      <w:rPr>
        <w:rFonts w:ascii="Symbol" w:hAnsi="Symbol"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7."/>
      <w:lvlJc w:val="left"/>
      <w:pPr>
        <w:ind w:left="1866" w:hanging="1440"/>
      </w:pPr>
      <w:rPr>
        <w:rFonts w:ascii="Times New Roman" w:eastAsiaTheme="minorHAnsi" w:hAnsi="Times New Roman" w:cs="Times New Roman"/>
        <w:b w:val="0"/>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6A763D2"/>
    <w:multiLevelType w:val="multilevel"/>
    <w:tmpl w:val="2A6AA2B4"/>
    <w:numStyleLink w:val="Bullets"/>
  </w:abstractNum>
  <w:abstractNum w:abstractNumId="21">
    <w:nsid w:val="66DF4EDB"/>
    <w:multiLevelType w:val="multilevel"/>
    <w:tmpl w:val="614C0EFE"/>
    <w:lvl w:ilvl="0">
      <w:start w:val="1"/>
      <w:numFmt w:val="bullet"/>
      <w:pStyle w:val="list-bullet-color"/>
      <w:lvlText w:val=""/>
      <w:lvlJc w:val="left"/>
      <w:pPr>
        <w:ind w:left="568" w:hanging="284"/>
      </w:pPr>
      <w:rPr>
        <w:rFonts w:ascii="Symbol" w:hAnsi="Symbol" w:hint="default"/>
        <w:color w:val="auto"/>
      </w:rPr>
    </w:lvl>
    <w:lvl w:ilvl="1">
      <w:start w:val="1"/>
      <w:numFmt w:val="bullet"/>
      <w:lvlText w:val="-"/>
      <w:lvlJc w:val="left"/>
      <w:pPr>
        <w:ind w:left="852" w:hanging="284"/>
      </w:pPr>
      <w:rPr>
        <w:rFonts w:ascii="Arial" w:hAnsi="Arial"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hint="default"/>
        <w:color w:val="006DB6"/>
      </w:rPr>
    </w:lvl>
    <w:lvl w:ilvl="8">
      <w:start w:val="1"/>
      <w:numFmt w:val="bullet"/>
      <w:lvlText w:val=""/>
      <w:lvlJc w:val="left"/>
      <w:pPr>
        <w:ind w:left="2840" w:hanging="284"/>
      </w:pPr>
      <w:rPr>
        <w:rFonts w:ascii="Symbol" w:hAnsi="Symbol" w:hint="default"/>
        <w:color w:val="006DB6"/>
      </w:rPr>
    </w:lvl>
  </w:abstractNum>
  <w:abstractNum w:abstractNumId="22">
    <w:nsid w:val="6CAE1BA4"/>
    <w:multiLevelType w:val="multilevel"/>
    <w:tmpl w:val="DE26E144"/>
    <w:numStyleLink w:val="NumbLstTable"/>
  </w:abstractNum>
  <w:abstractNum w:abstractNumId="23">
    <w:nsid w:val="70331E91"/>
    <w:multiLevelType w:val="multilevel"/>
    <w:tmpl w:val="36C690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DF26E1"/>
    <w:multiLevelType w:val="hybridMultilevel"/>
    <w:tmpl w:val="D9DC741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lvlOverride w:ilvl="5">
      <w:lvl w:ilvl="5">
        <w:start w:val="1"/>
        <w:numFmt w:val="decimal"/>
        <w:lvlRestart w:val="1"/>
        <w:pStyle w:val="AnnexFigure"/>
        <w:lvlText w:val="Figure A%1.%6"/>
        <w:lvlJc w:val="left"/>
        <w:pPr>
          <w:tabs>
            <w:tab w:val="num" w:pos="851"/>
          </w:tabs>
          <w:ind w:left="851" w:hanging="851"/>
        </w:pPr>
        <w:rPr>
          <w:rFonts w:hint="default"/>
        </w:rPr>
      </w:lvl>
    </w:lvlOverride>
  </w:num>
  <w:num w:numId="3">
    <w:abstractNumId w:val="19"/>
  </w:num>
  <w:num w:numId="4">
    <w:abstractNumId w:val="5"/>
  </w:num>
  <w:num w:numId="5">
    <w:abstractNumId w:val="21"/>
  </w:num>
  <w:num w:numId="6">
    <w:abstractNumId w:val="14"/>
  </w:num>
  <w:num w:numId="7">
    <w:abstractNumId w:val="1"/>
    <w:lvlOverride w:ilvl="0">
      <w:lvl w:ilvl="0">
        <w:start w:val="1"/>
        <w:numFmt w:val="decimal"/>
        <w:pStyle w:val="FigureTitle"/>
        <w:lvlText w:val="Figure %1."/>
        <w:lvlJc w:val="left"/>
        <w:pPr>
          <w:tabs>
            <w:tab w:val="num" w:pos="3237"/>
          </w:tabs>
          <w:ind w:left="3237" w:hanging="1077"/>
        </w:pPr>
        <w:rPr>
          <w:rFonts w:hint="default"/>
        </w:rPr>
      </w:lvl>
    </w:lvlOverride>
  </w:num>
  <w:num w:numId="8">
    <w:abstractNumId w:val="0"/>
  </w:num>
  <w:num w:numId="9">
    <w:abstractNumId w:val="1"/>
    <w:lvlOverride w:ilvl="0">
      <w:lvl w:ilvl="0">
        <w:start w:val="1"/>
        <w:numFmt w:val="decimal"/>
        <w:pStyle w:val="FigureTitle"/>
        <w:lvlText w:val="Figure %1."/>
        <w:lvlJc w:val="left"/>
        <w:pPr>
          <w:tabs>
            <w:tab w:val="num" w:pos="3957"/>
          </w:tabs>
          <w:ind w:left="3957" w:hanging="1077"/>
        </w:pPr>
        <w:rPr>
          <w:rFonts w:hint="default"/>
        </w:rPr>
      </w:lvl>
    </w:lvlOverride>
  </w:num>
  <w:num w:numId="10">
    <w:abstractNumId w:val="8"/>
  </w:num>
  <w:num w:numId="11">
    <w:abstractNumId w:val="1"/>
  </w:num>
  <w:num w:numId="12">
    <w:abstractNumId w:val="6"/>
  </w:num>
  <w:num w:numId="13">
    <w:abstractNumId w:val="10"/>
    <w:lvlOverride w:ilvl="0">
      <w:lvl w:ilvl="0">
        <w:start w:val="1"/>
        <w:numFmt w:val="bullet"/>
        <w:lvlText w:val=""/>
        <w:lvlJc w:val="left"/>
        <w:pPr>
          <w:tabs>
            <w:tab w:val="num" w:pos="482"/>
          </w:tabs>
          <w:ind w:left="482" w:hanging="340"/>
        </w:pPr>
        <w:rPr>
          <w:rFonts w:ascii="Wingdings" w:hAnsi="Wingdings" w:hint="default"/>
          <w:color w:val="auto"/>
          <w:sz w:val="24"/>
        </w:rPr>
      </w:lvl>
    </w:lvlOverride>
    <w:lvlOverride w:ilvl="1">
      <w:lvl w:ilvl="1">
        <w:start w:val="1"/>
        <w:numFmt w:val="bullet"/>
        <w:lvlText w:val="-"/>
        <w:lvlJc w:val="left"/>
        <w:pPr>
          <w:tabs>
            <w:tab w:val="num" w:pos="625"/>
          </w:tabs>
          <w:ind w:left="625" w:hanging="341"/>
        </w:pPr>
        <w:rPr>
          <w:rFonts w:ascii="Arial" w:hAnsi="Arial" w:hint="default"/>
          <w:color w:val="auto"/>
          <w:sz w:val="24"/>
        </w:rPr>
      </w:lvl>
    </w:lvlOverride>
    <w:lvlOverride w:ilvl="2">
      <w:lvl w:ilvl="2">
        <w:start w:val="1"/>
        <w:numFmt w:val="bullet"/>
        <w:lvlText w:val="◦"/>
        <w:lvlJc w:val="left"/>
        <w:pPr>
          <w:tabs>
            <w:tab w:val="num" w:pos="1361"/>
          </w:tabs>
          <w:ind w:left="1361" w:hanging="340"/>
        </w:pPr>
        <w:rPr>
          <w:rFonts w:ascii="Arial" w:hAnsi="Arial" w:hint="default"/>
          <w:color w:val="44546A" w:themeColor="text2"/>
          <w:sz w:val="28"/>
        </w:rPr>
      </w:lvl>
    </w:lvlOverride>
    <w:lvlOverride w:ilvl="3">
      <w:lvl w:ilvl="3">
        <w:start w:val="1"/>
        <w:numFmt w:val="none"/>
        <w:lvlText w:val=""/>
        <w:lvlJc w:val="left"/>
        <w:pPr>
          <w:tabs>
            <w:tab w:val="num" w:pos="1361"/>
          </w:tabs>
          <w:ind w:left="1361" w:firstLine="0"/>
        </w:pPr>
        <w:rPr>
          <w:rFonts w:hint="default"/>
        </w:rPr>
      </w:lvl>
    </w:lvlOverride>
    <w:lvlOverride w:ilvl="4">
      <w:lvl w:ilvl="4">
        <w:start w:val="1"/>
        <w:numFmt w:val="none"/>
        <w:lvlText w:val=""/>
        <w:lvlJc w:val="left"/>
        <w:pPr>
          <w:tabs>
            <w:tab w:val="num" w:pos="1361"/>
          </w:tabs>
          <w:ind w:left="1361" w:firstLine="0"/>
        </w:pPr>
        <w:rPr>
          <w:rFonts w:hint="default"/>
        </w:rPr>
      </w:lvl>
    </w:lvlOverride>
    <w:lvlOverride w:ilvl="5">
      <w:lvl w:ilvl="5">
        <w:start w:val="1"/>
        <w:numFmt w:val="none"/>
        <w:lvlText w:val=""/>
        <w:lvlJc w:val="left"/>
        <w:pPr>
          <w:tabs>
            <w:tab w:val="num" w:pos="1361"/>
          </w:tabs>
          <w:ind w:left="1361" w:firstLine="0"/>
        </w:pPr>
        <w:rPr>
          <w:rFonts w:hint="default"/>
        </w:rPr>
      </w:lvl>
    </w:lvlOverride>
    <w:lvlOverride w:ilvl="6">
      <w:lvl w:ilvl="6">
        <w:start w:val="1"/>
        <w:numFmt w:val="none"/>
        <w:lvlText w:val=""/>
        <w:lvlJc w:val="left"/>
        <w:pPr>
          <w:tabs>
            <w:tab w:val="num" w:pos="1361"/>
          </w:tabs>
          <w:ind w:left="1361" w:firstLine="0"/>
        </w:pPr>
        <w:rPr>
          <w:rFonts w:hint="default"/>
        </w:rPr>
      </w:lvl>
    </w:lvlOverride>
    <w:lvlOverride w:ilvl="7">
      <w:lvl w:ilvl="7">
        <w:start w:val="1"/>
        <w:numFmt w:val="none"/>
        <w:lvlText w:val=""/>
        <w:lvlJc w:val="left"/>
        <w:pPr>
          <w:tabs>
            <w:tab w:val="num" w:pos="1361"/>
          </w:tabs>
          <w:ind w:left="1361" w:firstLine="0"/>
        </w:pPr>
        <w:rPr>
          <w:rFonts w:hint="default"/>
        </w:rPr>
      </w:lvl>
    </w:lvlOverride>
    <w:lvlOverride w:ilvl="8">
      <w:lvl w:ilvl="8">
        <w:start w:val="1"/>
        <w:numFmt w:val="none"/>
        <w:lvlText w:val=""/>
        <w:lvlJc w:val="left"/>
        <w:pPr>
          <w:tabs>
            <w:tab w:val="num" w:pos="1361"/>
          </w:tabs>
          <w:ind w:left="1361" w:firstLine="0"/>
        </w:pPr>
        <w:rPr>
          <w:rFonts w:hint="default"/>
        </w:rPr>
      </w:lvl>
    </w:lvlOverride>
  </w:num>
  <w:num w:numId="14">
    <w:abstractNumId w:val="13"/>
  </w:num>
  <w:num w:numId="15">
    <w:abstractNumId w:val="12"/>
  </w:num>
  <w:num w:numId="16">
    <w:abstractNumId w:val="18"/>
  </w:num>
  <w:num w:numId="17">
    <w:abstractNumId w:val="11"/>
  </w:num>
  <w:num w:numId="18">
    <w:abstractNumId w:val="11"/>
    <w:lvlOverride w:ilvl="0">
      <w:lvl w:ilvl="0">
        <w:start w:val="1"/>
        <w:numFmt w:val="upperLetter"/>
        <w:pStyle w:val="list-bullet-color-table"/>
        <w:lvlText w:val="%1."/>
        <w:lvlJc w:val="left"/>
        <w:pPr>
          <w:ind w:left="502" w:hanging="360"/>
        </w:pPr>
      </w:lvl>
    </w:lvlOverride>
    <w:lvlOverride w:ilvl="1">
      <w:lvl w:ilvl="1">
        <w:start w:val="1"/>
        <w:numFmt w:val="upperLetter"/>
        <w:lvlText w:val="%2."/>
        <w:lvlJc w:val="left"/>
        <w:pPr>
          <w:ind w:left="1212" w:hanging="360"/>
        </w:pPr>
        <w:rPr>
          <w:rFonts w:asciiTheme="majorBidi" w:eastAsia="Times New Roman" w:hAnsiTheme="majorBidi" w:cstheme="majorBidi"/>
        </w:rPr>
      </w:lvl>
    </w:lvlOverride>
    <w:lvlOverride w:ilvl="2">
      <w:lvl w:ilvl="2" w:tentative="1">
        <w:start w:val="1"/>
        <w:numFmt w:val="lowerRoman"/>
        <w:lvlText w:val="%3."/>
        <w:lvlJc w:val="right"/>
        <w:pPr>
          <w:ind w:left="1942" w:hanging="180"/>
        </w:pPr>
      </w:lvl>
    </w:lvlOverride>
    <w:lvlOverride w:ilvl="3">
      <w:lvl w:ilvl="3" w:tentative="1">
        <w:start w:val="1"/>
        <w:numFmt w:val="decimal"/>
        <w:lvlText w:val="%4."/>
        <w:lvlJc w:val="left"/>
        <w:pPr>
          <w:ind w:left="2662" w:hanging="360"/>
        </w:pPr>
      </w:lvl>
    </w:lvlOverride>
    <w:lvlOverride w:ilvl="4">
      <w:lvl w:ilvl="4" w:tentative="1">
        <w:start w:val="1"/>
        <w:numFmt w:val="lowerLetter"/>
        <w:lvlText w:val="%5."/>
        <w:lvlJc w:val="left"/>
        <w:pPr>
          <w:ind w:left="3382" w:hanging="360"/>
        </w:pPr>
      </w:lvl>
    </w:lvlOverride>
    <w:lvlOverride w:ilvl="5">
      <w:lvl w:ilvl="5" w:tentative="1">
        <w:start w:val="1"/>
        <w:numFmt w:val="lowerRoman"/>
        <w:lvlText w:val="%6."/>
        <w:lvlJc w:val="right"/>
        <w:pPr>
          <w:ind w:left="4102" w:hanging="180"/>
        </w:pPr>
      </w:lvl>
    </w:lvlOverride>
    <w:lvlOverride w:ilvl="6">
      <w:lvl w:ilvl="6" w:tentative="1">
        <w:start w:val="1"/>
        <w:numFmt w:val="decimal"/>
        <w:lvlText w:val="%7."/>
        <w:lvlJc w:val="left"/>
        <w:pPr>
          <w:ind w:left="4822" w:hanging="360"/>
        </w:pPr>
      </w:lvl>
    </w:lvlOverride>
    <w:lvlOverride w:ilvl="7">
      <w:lvl w:ilvl="7" w:tentative="1">
        <w:start w:val="1"/>
        <w:numFmt w:val="lowerLetter"/>
        <w:lvlText w:val="%8."/>
        <w:lvlJc w:val="left"/>
        <w:pPr>
          <w:ind w:left="5542" w:hanging="360"/>
        </w:pPr>
      </w:lvl>
    </w:lvlOverride>
    <w:lvlOverride w:ilvl="8">
      <w:lvl w:ilvl="8" w:tentative="1">
        <w:start w:val="1"/>
        <w:numFmt w:val="lowerRoman"/>
        <w:lvlText w:val="%9."/>
        <w:lvlJc w:val="right"/>
        <w:pPr>
          <w:ind w:left="6262" w:hanging="180"/>
        </w:pPr>
      </w:lvl>
    </w:lvlOverride>
  </w:num>
  <w:num w:numId="19">
    <w:abstractNumId w:val="10"/>
    <w:lvlOverride w:ilvl="0">
      <w:lvl w:ilvl="0">
        <w:start w:val="1"/>
        <w:numFmt w:val="bullet"/>
        <w:lvlText w:val=""/>
        <w:lvlJc w:val="left"/>
        <w:pPr>
          <w:tabs>
            <w:tab w:val="num" w:pos="482"/>
          </w:tabs>
          <w:ind w:left="482" w:hanging="340"/>
        </w:pPr>
        <w:rPr>
          <w:rFonts w:ascii="Wingdings" w:hAnsi="Wingdings" w:hint="default"/>
          <w:color w:val="000000" w:themeColor="text1"/>
          <w:sz w:val="24"/>
        </w:rPr>
      </w:lvl>
    </w:lvlOverride>
  </w:num>
  <w:num w:numId="20">
    <w:abstractNumId w:val="10"/>
    <w:lvlOverride w:ilvl="0">
      <w:lvl w:ilvl="0">
        <w:numFmt w:val="decimal"/>
        <w:lvlText w:val=""/>
        <w:lvlJc w:val="left"/>
      </w:lvl>
    </w:lvlOverride>
    <w:lvlOverride w:ilvl="1">
      <w:lvl w:ilvl="1">
        <w:start w:val="1"/>
        <w:numFmt w:val="bullet"/>
        <w:lvlText w:val="-"/>
        <w:lvlJc w:val="left"/>
        <w:pPr>
          <w:tabs>
            <w:tab w:val="num" w:pos="482"/>
          </w:tabs>
          <w:ind w:left="482" w:hanging="341"/>
        </w:pPr>
        <w:rPr>
          <w:rFonts w:ascii="Arial" w:hAnsi="Arial" w:hint="default"/>
          <w:color w:val="auto"/>
          <w:sz w:val="24"/>
        </w:rPr>
      </w:lvl>
    </w:lvlOverride>
  </w:num>
  <w:num w:numId="21">
    <w:abstractNumId w:val="20"/>
    <w:lvlOverride w:ilvl="0">
      <w:lvl w:ilvl="0">
        <w:start w:val="1"/>
        <w:numFmt w:val="bullet"/>
        <w:lvlText w:val=""/>
        <w:lvlJc w:val="left"/>
        <w:pPr>
          <w:tabs>
            <w:tab w:val="num" w:pos="680"/>
          </w:tabs>
          <w:ind w:left="680" w:hanging="340"/>
        </w:pPr>
        <w:rPr>
          <w:rFonts w:ascii="Wingdings" w:hAnsi="Wingdings" w:hint="default"/>
          <w:color w:val="auto"/>
          <w:sz w:val="24"/>
        </w:rPr>
      </w:lvl>
    </w:lvlOverride>
  </w:num>
  <w:num w:numId="22">
    <w:abstractNumId w:val="10"/>
    <w:lvlOverride w:ilvl="0">
      <w:lvl w:ilvl="0">
        <w:start w:val="1"/>
        <w:numFmt w:val="bullet"/>
        <w:lvlText w:val=""/>
        <w:lvlJc w:val="left"/>
        <w:pPr>
          <w:tabs>
            <w:tab w:val="num" w:pos="482"/>
          </w:tabs>
          <w:ind w:left="482" w:hanging="340"/>
        </w:pPr>
        <w:rPr>
          <w:rFonts w:ascii="Wingdings" w:hAnsi="Wingdings" w:hint="default"/>
          <w:color w:val="1F4E79" w:themeColor="accent1" w:themeShade="80"/>
          <w:sz w:val="24"/>
          <w:lang w:val="en-GB"/>
        </w:rPr>
      </w:lvl>
    </w:lvlOverride>
  </w:num>
  <w:num w:numId="23">
    <w:abstractNumId w:val="10"/>
    <w:lvlOverride w:ilvl="0">
      <w:lvl w:ilvl="0">
        <w:start w:val="1"/>
        <w:numFmt w:val="bullet"/>
        <w:lvlText w:val=""/>
        <w:lvlJc w:val="left"/>
        <w:pPr>
          <w:tabs>
            <w:tab w:val="num" w:pos="482"/>
          </w:tabs>
          <w:ind w:left="482" w:hanging="340"/>
        </w:pPr>
        <w:rPr>
          <w:rFonts w:ascii="Wingdings" w:hAnsi="Wingdings" w:hint="default"/>
          <w:color w:val="1F4E79" w:themeColor="accent1" w:themeShade="80"/>
          <w:sz w:val="24"/>
        </w:rPr>
      </w:lvl>
    </w:lvlOverride>
  </w:num>
  <w:num w:numId="24">
    <w:abstractNumId w:val="2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num>
  <w:num w:numId="28">
    <w:abstractNumId w:val="2"/>
  </w:num>
  <w:num w:numId="29">
    <w:abstractNumId w:val="7"/>
  </w:num>
  <w:num w:numId="30">
    <w:abstractNumId w:val="10"/>
  </w:num>
  <w:num w:numId="31">
    <w:abstractNumId w:val="17"/>
  </w:num>
  <w:num w:numId="32">
    <w:abstractNumId w:val="16"/>
  </w:num>
  <w:num w:numId="33">
    <w:abstractNumId w:val="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5B8AFBDE-2F77-448A-802D-918A5F2DD087"/>
    <w:docVar w:name="LW_COVERPAGE_TYPE" w:val="1"/>
    <w:docVar w:name="LW_CROSSREFERENCE" w:val="{COM(2021) 169 final}"/>
    <w:docVar w:name="LW_DocType" w:val="NORMAL"/>
    <w:docVar w:name="LW_EMISSION" w:val="9.4.2021"/>
    <w:docVar w:name="LW_EMISSION_ISODATE" w:val="2021-04-0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valuation of Decision N° 601/2015/EU of the European Parliament and of the Council of 15 April 2015 providing macro financial assistance to Ukraine"/>
    <w:docVar w:name="LW_PART_NBR" w:val="1"/>
    <w:docVar w:name="LW_PART_NBR_TOTAL" w:val="1"/>
    <w:docVar w:name="LW_REF.INST.NEW" w:val="SWD"/>
    <w:docVar w:name="LW_REF.INST.NEW_ADOPTED" w:val="final"/>
    <w:docVar w:name="LW_REF.INST.NEW_TEXT" w:val="(2021) 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valuation Repor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6"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fr-BE"/>
    </w:rPr>
  </w:style>
  <w:style w:type="paragraph" w:styleId="Heading1">
    <w:name w:val="heading 1"/>
    <w:aliases w:val="Heading1,AnnexHeading NoPage,ESHeading 1,Heading 1NoSpace,F3 Heading 1 - Section,(Section),h1,Numbered - 1,Section,Chapter Hdg,CH TITLE 1,Headline 1,cover1,intoduction,head1,Chapter Heading,IMPACT STUDY TITLE1,TITLE 1 NR"/>
    <w:basedOn w:val="Normal"/>
    <w:next w:val="Normal"/>
    <w:link w:val="Heading1Char"/>
    <w:uiPriority w:val="6"/>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2,ESHeading 2,BoxNumb,CaseStudy,Conclusion,Evidence,Recommendation,F4 Heading 2 - SubSection,(SubSection),h2,Para Nos,Para,Main Heading,Main Headi,Numbered - 2,(Main Heading),Paragraph,Sub Heading,ignorer2,Oscar Faber 2"/>
    <w:basedOn w:val="Normal"/>
    <w:next w:val="Normal"/>
    <w:link w:val="Heading2Char"/>
    <w:uiPriority w:val="6"/>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3,ESHeading 3,Box,Stage,F5 Heading 3,h3,Numbered - 3,H3,H31,Headline 3,h31,h32,Sub Paragraph,Voorwoord,ASAPHeading 3,Level 1 - 1,Heading 3 - old,heading 3,Heading 2.3,1.2.3.,Titles,(Alt+3),(Alt+3)1,(Alt+3)2,(Alt+3)3,(Alt+3)4"/>
    <w:basedOn w:val="Normal"/>
    <w:next w:val="Normal"/>
    <w:link w:val="Heading3Char"/>
    <w:uiPriority w:val="6"/>
    <w:qFormat/>
    <w:pPr>
      <w:keepNext/>
      <w:keepLines/>
      <w:tabs>
        <w:tab w:val="num" w:pos="680"/>
      </w:tabs>
      <w:spacing w:before="120" w:after="120" w:line="240" w:lineRule="auto"/>
      <w:ind w:left="680" w:hanging="680"/>
      <w:outlineLvl w:val="2"/>
    </w:pPr>
    <w:rPr>
      <w:rFonts w:ascii="Verdana" w:eastAsiaTheme="majorEastAsia" w:hAnsi="Verdana" w:cstheme="majorBidi"/>
      <w:b/>
      <w:bCs/>
      <w:sz w:val="20"/>
      <w:lang w:val="en-GB"/>
    </w:rPr>
  </w:style>
  <w:style w:type="paragraph" w:styleId="Heading4">
    <w:name w:val="heading 4"/>
    <w:aliases w:val="Heading4,ESHeading 4,GHKContactsHeading,Task,level 3 subhead,PA Micro Section,(Alt+4),H41,(Alt+4)1,H42,(Alt+4)2,H43,(Alt+4)3,H44,(Alt+4)4,H45,(Alt+4)5,H411,(Alt+4)11,H421,(Alt+4)21,H431,(Alt+4)31,H46,(Alt+4)6,H412,(Alt+4)12,H422,H432"/>
    <w:basedOn w:val="Normal"/>
    <w:next w:val="Normal"/>
    <w:link w:val="Heading4Char"/>
    <w:uiPriority w:val="6"/>
    <w:qFormat/>
    <w:pPr>
      <w:keepNext/>
      <w:keepLines/>
      <w:tabs>
        <w:tab w:val="num" w:pos="851"/>
      </w:tabs>
      <w:spacing w:before="120" w:after="120" w:line="240" w:lineRule="auto"/>
      <w:ind w:left="851" w:hanging="851"/>
      <w:outlineLvl w:val="3"/>
    </w:pPr>
    <w:rPr>
      <w:rFonts w:ascii="Verdana" w:eastAsiaTheme="majorEastAsia" w:hAnsi="Verdana" w:cstheme="majorBidi"/>
      <w:b/>
      <w:bCs/>
      <w:iCs/>
      <w:color w:val="000000" w:themeColor="text1"/>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aliases w:val="F_UGent"/>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aliases w:val="F_UGent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character" w:customStyle="1" w:styleId="Marker">
    <w:name w:val="Marker"/>
    <w:basedOn w:val="DefaultParagraphFont"/>
    <w:rPr>
      <w:color w:val="0000FF"/>
      <w:shd w:val="clear" w:color="auto" w:fill="auto"/>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character" w:customStyle="1" w:styleId="Heading1Char">
    <w:name w:val="Heading 1 Char"/>
    <w:aliases w:val="Heading1 Char,AnnexHeading NoPage Char,ESHeading 1 Char,Heading 1NoSpace Char,F3 Heading 1 - Section Char,(Section) Char,h1 Char,Numbered - 1 Char,Section Char,Chapter Hdg Char,CH TITLE 1 Char,Headline 1 Char,cover1 Char,intoduction Char"/>
    <w:basedOn w:val="DefaultParagraphFont"/>
    <w:link w:val="Heading1"/>
    <w:uiPriority w:val="9"/>
    <w:rPr>
      <w:rFonts w:asciiTheme="majorHAnsi" w:eastAsiaTheme="majorEastAsia" w:hAnsiTheme="majorHAnsi" w:cstheme="majorBidi"/>
      <w:color w:val="2E74B5" w:themeColor="accent1" w:themeShade="BF"/>
      <w:sz w:val="32"/>
      <w:szCs w:val="32"/>
      <w:lang w:val="fr-BE"/>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pPr>
      <w:tabs>
        <w:tab w:val="left" w:pos="340"/>
        <w:tab w:val="left" w:pos="1021"/>
        <w:tab w:val="right" w:pos="7938"/>
      </w:tabs>
      <w:spacing w:after="0" w:line="280" w:lineRule="atLeast"/>
      <w:ind w:left="340"/>
    </w:pPr>
    <w:rPr>
      <w:rFonts w:ascii="Arial" w:eastAsia="Times New Roman" w:hAnsi="Arial" w:cs="Times New Roman"/>
      <w:sz w:val="18"/>
      <w:szCs w:val="24"/>
      <w:lang w:val="en-GB" w:eastAsia="nl-NL"/>
    </w:rPr>
  </w:style>
  <w:style w:type="paragraph" w:customStyle="1" w:styleId="AnnexHeading">
    <w:name w:val="AnnexHeading"/>
    <w:basedOn w:val="Normal"/>
    <w:next w:val="BodyText"/>
    <w:uiPriority w:val="6"/>
    <w:qFormat/>
    <w:pPr>
      <w:keepNext/>
      <w:pageBreakBefore/>
      <w:numPr>
        <w:numId w:val="2"/>
      </w:numPr>
      <w:spacing w:before="360" w:after="60" w:line="260" w:lineRule="atLeast"/>
    </w:pPr>
    <w:rPr>
      <w:rFonts w:ascii="Arial" w:hAnsi="Arial" w:cs="Times New Roman"/>
      <w:b/>
      <w:color w:val="5B9BD5" w:themeColor="accent1"/>
      <w:sz w:val="36"/>
      <w:szCs w:val="24"/>
      <w:lang w:val="en-GB"/>
    </w:rPr>
  </w:style>
  <w:style w:type="paragraph" w:customStyle="1" w:styleId="AnnexH2">
    <w:name w:val="AnnexH2"/>
    <w:basedOn w:val="Normal"/>
    <w:next w:val="BodyText"/>
    <w:uiPriority w:val="6"/>
    <w:qFormat/>
    <w:pPr>
      <w:keepNext/>
      <w:numPr>
        <w:ilvl w:val="1"/>
        <w:numId w:val="2"/>
      </w:numPr>
      <w:spacing w:before="360" w:after="60" w:line="260" w:lineRule="atLeast"/>
    </w:pPr>
    <w:rPr>
      <w:rFonts w:ascii="Arial" w:hAnsi="Arial" w:cs="Times New Roman"/>
      <w:b/>
      <w:color w:val="ED7D31" w:themeColor="accent2"/>
      <w:sz w:val="30"/>
      <w:szCs w:val="24"/>
      <w:lang w:val="en-GB"/>
    </w:rPr>
  </w:style>
  <w:style w:type="paragraph" w:customStyle="1" w:styleId="AnnexH3">
    <w:name w:val="AnnexH3"/>
    <w:basedOn w:val="Normal"/>
    <w:next w:val="BodyText"/>
    <w:uiPriority w:val="6"/>
    <w:qFormat/>
    <w:pPr>
      <w:keepNext/>
      <w:numPr>
        <w:ilvl w:val="2"/>
        <w:numId w:val="2"/>
      </w:numPr>
      <w:spacing w:before="360" w:after="60" w:line="260" w:lineRule="atLeast"/>
    </w:pPr>
    <w:rPr>
      <w:rFonts w:ascii="Arial" w:hAnsi="Arial" w:cs="Times New Roman"/>
      <w:b/>
      <w:color w:val="5B9BD5" w:themeColor="accent1"/>
      <w:sz w:val="26"/>
      <w:szCs w:val="24"/>
      <w:lang w:val="en-GB"/>
    </w:rPr>
  </w:style>
  <w:style w:type="paragraph" w:customStyle="1" w:styleId="AnnexH4">
    <w:name w:val="AnnexH4"/>
    <w:basedOn w:val="Normal"/>
    <w:next w:val="BodyText"/>
    <w:uiPriority w:val="6"/>
    <w:qFormat/>
    <w:pPr>
      <w:keepNext/>
      <w:numPr>
        <w:ilvl w:val="3"/>
        <w:numId w:val="2"/>
      </w:numPr>
      <w:spacing w:before="360" w:after="60" w:line="260" w:lineRule="atLeast"/>
    </w:pPr>
    <w:rPr>
      <w:rFonts w:ascii="Arial" w:hAnsi="Arial" w:cs="Times New Roman"/>
      <w:b/>
      <w:szCs w:val="24"/>
      <w:lang w:val="en-GB"/>
    </w:rPr>
  </w:style>
  <w:style w:type="paragraph" w:customStyle="1" w:styleId="AnnexTable">
    <w:name w:val="AnnexTable"/>
    <w:aliases w:val="TableTitle,Table,Figure,ESTable,ESTableLeft,TableSimpleNo,TableLeft,ESFigure,ESFigureLeft,9 pt,Bold,t,T,T + 10 pt + 10 pt,Table Cell,White,Text Gras"/>
    <w:basedOn w:val="Normal"/>
    <w:next w:val="BodyText"/>
    <w:uiPriority w:val="6"/>
    <w:qFormat/>
    <w:pPr>
      <w:keepNext/>
      <w:numPr>
        <w:ilvl w:val="4"/>
        <w:numId w:val="2"/>
      </w:numPr>
      <w:spacing w:before="120" w:after="120" w:line="260" w:lineRule="atLeast"/>
    </w:pPr>
    <w:rPr>
      <w:rFonts w:ascii="Arial" w:hAnsi="Arial" w:cs="Times New Roman"/>
      <w:color w:val="5B9BD5" w:themeColor="accent1"/>
      <w:szCs w:val="24"/>
      <w:lang w:val="en-GB"/>
    </w:rPr>
  </w:style>
  <w:style w:type="paragraph" w:customStyle="1" w:styleId="AnnexFigure">
    <w:name w:val="AnnexFigure"/>
    <w:basedOn w:val="Normal"/>
    <w:next w:val="BodyText"/>
    <w:uiPriority w:val="6"/>
    <w:qFormat/>
    <w:pPr>
      <w:keepNext/>
      <w:numPr>
        <w:ilvl w:val="5"/>
        <w:numId w:val="2"/>
      </w:numPr>
      <w:spacing w:before="120" w:after="120" w:line="260" w:lineRule="atLeast"/>
    </w:pPr>
    <w:rPr>
      <w:rFonts w:ascii="Arial" w:hAnsi="Arial" w:cs="Times New Roman"/>
      <w:color w:val="5B9BD5" w:themeColor="accent1"/>
      <w:szCs w:val="24"/>
      <w:lang w:val="en-GB"/>
    </w:rPr>
  </w:style>
  <w:style w:type="numbering" w:customStyle="1" w:styleId="NumbLstAnnex">
    <w:name w:val="NumbLstAnnex"/>
    <w:aliases w:val="NumbListHeading,NumbLstBoxes,NumbLstExecSumm,NumbLstMain,NumbLstStage,NumbLstTableSimpleNo"/>
    <w:uiPriority w:val="99"/>
    <w:pPr>
      <w:numPr>
        <w:numId w:val="1"/>
      </w:numPr>
    </w:pPr>
  </w:style>
  <w:style w:type="paragraph" w:customStyle="1" w:styleId="AnnexEquation">
    <w:name w:val="AnnexEquation"/>
    <w:basedOn w:val="AnnexFigure"/>
    <w:next w:val="BodyText"/>
    <w:uiPriority w:val="6"/>
    <w:qFormat/>
    <w:pPr>
      <w:numPr>
        <w:ilvl w:val="6"/>
      </w:numPr>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lang w:val="fr-BE"/>
    </w:rPr>
  </w:style>
  <w:style w:type="paragraph" w:customStyle="1" w:styleId="no-heading-blue-1">
    <w:name w:val="no-heading-blue-1"/>
    <w:basedOn w:val="Normal"/>
    <w:next w:val="Normal"/>
    <w:pPr>
      <w:keepNext/>
      <w:keepLines/>
      <w:pageBreakBefore/>
      <w:spacing w:after="840" w:line="280" w:lineRule="atLeast"/>
      <w:outlineLvl w:val="0"/>
    </w:pPr>
    <w:rPr>
      <w:rFonts w:ascii="Arial" w:eastAsia="Times New Roman" w:hAnsi="Arial" w:cs="Times New Roman"/>
      <w:b/>
      <w:color w:val="006DB6"/>
      <w:sz w:val="36"/>
      <w:szCs w:val="24"/>
      <w:lang w:val="en-GB" w:eastAsia="nl-NL"/>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table" w:styleId="TableGrid">
    <w:name w:val="Table Grid"/>
    <w:aliases w:val="Table Format 1,HTG,Tabela Renova,TabelEcorys,Document Table,CV1"/>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ableTextNoSpace"/>
    <w:basedOn w:val="Normal"/>
    <w:uiPriority w:val="15"/>
    <w:qFormat/>
    <w:pPr>
      <w:spacing w:before="120" w:after="0" w:line="240" w:lineRule="auto"/>
      <w:ind w:left="113"/>
    </w:pPr>
    <w:rPr>
      <w:rFonts w:ascii="Verdana" w:hAnsi="Verdana"/>
      <w:color w:val="000000" w:themeColor="text1"/>
      <w:sz w:val="20"/>
      <w:lang w:val="en-GB"/>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1"/>
    <w:basedOn w:val="Normal"/>
    <w:link w:val="ListParagraphChar"/>
    <w:uiPriority w:val="6"/>
    <w:qFormat/>
    <w:pPr>
      <w:ind w:left="720"/>
      <w:contextualSpacing/>
    </w:pPr>
  </w:style>
  <w:style w:type="character" w:customStyle="1" w:styleId="Heading2Char">
    <w:name w:val="Heading 2 Char"/>
    <w:aliases w:val="Heading2 Char,ESHeading 2 Char,BoxNumb Char,CaseStudy Char,Conclusion Char,Evidence Char,Recommendation Char,F4 Heading 2 - SubSection Char,(SubSection) Char,h2 Char,Para Nos Char,Para Char,Main Heading Char,Main Headi Char,Paragraph Char"/>
    <w:basedOn w:val="DefaultParagraphFont"/>
    <w:link w:val="Heading2"/>
    <w:uiPriority w:val="9"/>
    <w:semiHidden/>
    <w:rPr>
      <w:rFonts w:asciiTheme="majorHAnsi" w:eastAsiaTheme="majorEastAsia" w:hAnsiTheme="majorHAnsi" w:cstheme="majorBidi"/>
      <w:color w:val="2E74B5" w:themeColor="accent1" w:themeShade="BF"/>
      <w:sz w:val="26"/>
      <w:szCs w:val="26"/>
      <w:lang w:val="fr-B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harCar1CarChar"/>
    <w:unhideWhenUsed/>
    <w:qFormat/>
    <w:rPr>
      <w:sz w:val="20"/>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after="160" w:line="240" w:lineRule="exact"/>
      <w:jc w:val="both"/>
    </w:pPr>
    <w:rPr>
      <w:sz w:val="20"/>
      <w:vertAlign w:val="superscript"/>
      <w:lang w:val="en-US"/>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6"/>
    <w:rPr>
      <w:lang w:val="fr-BE"/>
    </w:rPr>
  </w:style>
  <w:style w:type="paragraph" w:customStyle="1" w:styleId="list-bullet-color">
    <w:name w:val="list-bullet-color"/>
    <w:basedOn w:val="DefaultText"/>
    <w:link w:val="list-bullet-colorChar"/>
    <w:pPr>
      <w:numPr>
        <w:numId w:val="5"/>
      </w:numPr>
    </w:pPr>
  </w:style>
  <w:style w:type="character" w:customStyle="1" w:styleId="list-bullet-colorChar">
    <w:name w:val="list-bullet-color Char"/>
    <w:basedOn w:val="DefaultTextChar"/>
    <w:link w:val="list-bullet-color"/>
    <w:rPr>
      <w:rFonts w:ascii="Arial" w:eastAsia="Times New Roman" w:hAnsi="Arial" w:cs="Times New Roman"/>
      <w:sz w:val="18"/>
      <w:szCs w:val="24"/>
      <w:lang w:val="en-GB"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vertAlign w:val="superscript"/>
      <w:lang w:val="en-GB"/>
    </w:rPr>
  </w:style>
  <w:style w:type="paragraph" w:customStyle="1" w:styleId="FigureLeft">
    <w:name w:val="FigureLeft"/>
    <w:basedOn w:val="Normal"/>
    <w:next w:val="Normal"/>
    <w:uiPriority w:val="6"/>
    <w:qFormat/>
    <w:pPr>
      <w:keepNext/>
      <w:keepLines/>
      <w:spacing w:before="120" w:after="120" w:line="260" w:lineRule="atLeast"/>
      <w:ind w:left="1191" w:hanging="1191"/>
    </w:pPr>
    <w:rPr>
      <w:rFonts w:ascii="Arial" w:hAnsi="Arial" w:cs="Times New Roman"/>
      <w:color w:val="5B9BD5" w:themeColor="accent1"/>
      <w:sz w:val="24"/>
      <w:szCs w:val="24"/>
      <w:lang w:val="en-GB"/>
    </w:rPr>
  </w:style>
  <w:style w:type="paragraph" w:customStyle="1" w:styleId="FigureTitle">
    <w:name w:val="Figure Title"/>
    <w:basedOn w:val="Normal"/>
    <w:uiPriority w:val="29"/>
    <w:qFormat/>
    <w:pPr>
      <w:keepNext/>
      <w:keepLines/>
      <w:numPr>
        <w:numId w:val="7"/>
      </w:numPr>
      <w:spacing w:before="120" w:after="120" w:line="240" w:lineRule="auto"/>
      <w:outlineLvl w:val="2"/>
    </w:pPr>
    <w:rPr>
      <w:rFonts w:ascii="Verdana" w:eastAsiaTheme="majorEastAsia" w:hAnsi="Verdana" w:cstheme="majorBidi"/>
      <w:bCs/>
      <w:i/>
      <w:sz w:val="20"/>
      <w:lang w:val="en-GB"/>
    </w:rPr>
  </w:style>
  <w:style w:type="numbering" w:customStyle="1" w:styleId="NumbListFigures">
    <w:name w:val="NumbList Figures"/>
    <w:uiPriority w:val="99"/>
    <w:pPr>
      <w:numPr>
        <w:numId w:val="11"/>
      </w:numPr>
    </w:pPr>
  </w:style>
  <w:style w:type="numbering" w:customStyle="1" w:styleId="NumblistTables">
    <w:name w:val="Numblist Tables"/>
    <w:uiPriority w:val="99"/>
    <w:pPr>
      <w:numPr>
        <w:numId w:val="8"/>
      </w:numPr>
    </w:pPr>
  </w:style>
  <w:style w:type="character" w:customStyle="1" w:styleId="TableChar">
    <w:name w:val="Table Char"/>
    <w:basedOn w:val="DefaultParagraphFont"/>
    <w:uiPriority w:val="6"/>
    <w:rPr>
      <w:rFonts w:ascii="Verdana" w:eastAsiaTheme="majorEastAsia" w:hAnsi="Verdana" w:cstheme="majorBidi"/>
      <w:bCs/>
      <w:i/>
      <w:sz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3Char">
    <w:name w:val="Heading 3 Char"/>
    <w:aliases w:val="Heading3 Char,ESHeading 3 Char,Box Char,Stage Char,F5 Heading 3 Char,h3 Char,Numbered - 3 Char,H3 Char,H31 Char,Headline 3 Char,h31 Char,h32 Char,Sub Paragraph Char,Voorwoord Char,ASAPHeading 3 Char,Level 1 - 1 Char,Heading 3 - old Char"/>
    <w:basedOn w:val="DefaultParagraphFont"/>
    <w:link w:val="Heading3"/>
    <w:uiPriority w:val="6"/>
    <w:rPr>
      <w:rFonts w:ascii="Verdana" w:eastAsiaTheme="majorEastAsia" w:hAnsi="Verdana" w:cstheme="majorBidi"/>
      <w:b/>
      <w:bCs/>
      <w:sz w:val="20"/>
      <w:lang w:val="en-GB"/>
    </w:rPr>
  </w:style>
  <w:style w:type="character" w:customStyle="1" w:styleId="Heading4Char">
    <w:name w:val="Heading 4 Char"/>
    <w:aliases w:val="Heading4 Char,ESHeading 4 Char,GHKContactsHeading Char,Task Char,level 3 subhead Char,PA Micro Section Char,(Alt+4) Char,H41 Char,(Alt+4)1 Char,H42 Char,(Alt+4)2 Char,H43 Char,(Alt+4)3 Char,H44 Char,(Alt+4)4 Char,H45 Char,(Alt+4)5 Char"/>
    <w:basedOn w:val="DefaultParagraphFont"/>
    <w:link w:val="Heading4"/>
    <w:uiPriority w:val="6"/>
    <w:rPr>
      <w:rFonts w:ascii="Verdana" w:eastAsiaTheme="majorEastAsia" w:hAnsi="Verdana" w:cstheme="majorBidi"/>
      <w:b/>
      <w:bCs/>
      <w:iCs/>
      <w:color w:val="000000" w:themeColor="text1"/>
      <w:sz w:val="20"/>
      <w:lang w:val="en-GB"/>
    </w:rPr>
  </w:style>
  <w:style w:type="paragraph" w:customStyle="1" w:styleId="TableSource">
    <w:name w:val="TableSource"/>
    <w:basedOn w:val="Normal"/>
    <w:next w:val="Normal"/>
    <w:uiPriority w:val="6"/>
    <w:qFormat/>
    <w:pPr>
      <w:spacing w:before="120" w:after="120" w:line="240" w:lineRule="auto"/>
    </w:pPr>
    <w:rPr>
      <w:rFonts w:ascii="Verdana" w:hAnsi="Verdana"/>
      <w:i/>
      <w:color w:val="000000" w:themeColor="text1"/>
      <w:sz w:val="20"/>
      <w:lang w:val="en-GB"/>
    </w:rPr>
  </w:style>
  <w:style w:type="numbering" w:customStyle="1" w:styleId="Bullets">
    <w:name w:val="Bullets"/>
    <w:aliases w:val="NumbLstBTBullet,NumbLstBullet"/>
    <w:uiPriority w:val="99"/>
    <w:pPr>
      <w:numPr>
        <w:numId w:val="30"/>
      </w:numPr>
    </w:pPr>
  </w:style>
  <w:style w:type="paragraph" w:customStyle="1" w:styleId="Bullet2">
    <w:name w:val="Bullet 2"/>
    <w:aliases w:val="Bullet2,BTBullet2"/>
    <w:basedOn w:val="Normal"/>
    <w:uiPriority w:val="6"/>
    <w:qFormat/>
    <w:pPr>
      <w:tabs>
        <w:tab w:val="num" w:pos="1021"/>
      </w:tabs>
      <w:spacing w:before="120" w:after="120" w:line="240" w:lineRule="auto"/>
      <w:ind w:left="1021" w:hanging="341"/>
      <w:contextualSpacing/>
    </w:pPr>
    <w:rPr>
      <w:rFonts w:ascii="Verdana" w:hAnsi="Verdana"/>
      <w:color w:val="000000" w:themeColor="text1"/>
      <w:sz w:val="20"/>
      <w:lang w:val="en-GB"/>
    </w:rPr>
  </w:style>
  <w:style w:type="paragraph" w:customStyle="1" w:styleId="Bullet1Space">
    <w:name w:val="Bullet 1 Space"/>
    <w:aliases w:val="Bullet1Last,BTBullet1Last"/>
    <w:basedOn w:val="Normal"/>
    <w:link w:val="BTBullet1LastChar"/>
    <w:uiPriority w:val="6"/>
    <w:qFormat/>
    <w:pPr>
      <w:tabs>
        <w:tab w:val="num" w:pos="851"/>
      </w:tabs>
      <w:spacing w:before="120" w:after="120" w:line="240" w:lineRule="auto"/>
      <w:ind w:left="851" w:hanging="851"/>
    </w:pPr>
    <w:rPr>
      <w:rFonts w:ascii="Verdana" w:hAnsi="Verdana"/>
      <w:color w:val="000000" w:themeColor="text1"/>
      <w:sz w:val="20"/>
      <w:lang w:val="en-GB"/>
    </w:rPr>
  </w:style>
  <w:style w:type="paragraph" w:customStyle="1" w:styleId="Bullet3">
    <w:name w:val="Bullet 3"/>
    <w:aliases w:val="Bullet3,BTBullet3"/>
    <w:basedOn w:val="Bullet2"/>
    <w:uiPriority w:val="6"/>
    <w:qFormat/>
    <w:pPr>
      <w:tabs>
        <w:tab w:val="clear" w:pos="1021"/>
        <w:tab w:val="num" w:pos="1361"/>
      </w:tabs>
      <w:ind w:left="1361" w:hanging="340"/>
    </w:pPr>
  </w:style>
  <w:style w:type="character" w:customStyle="1" w:styleId="BTBullet1LastChar">
    <w:name w:val="BTBullet1Last Char"/>
    <w:link w:val="Bullet1Space"/>
    <w:uiPriority w:val="6"/>
    <w:locked/>
    <w:rPr>
      <w:rFonts w:ascii="Verdana" w:hAnsi="Verdana"/>
      <w:color w:val="000000" w:themeColor="text1"/>
      <w:sz w:val="20"/>
      <w:lang w:val="en-GB"/>
    </w:rPr>
  </w:style>
  <w:style w:type="character" w:customStyle="1" w:styleId="BTBullet1Char">
    <w:name w:val="BTBullet1 Char"/>
    <w:uiPriority w:val="6"/>
    <w:locked/>
    <w:rPr>
      <w:rFonts w:ascii="Verdana" w:hAnsi="Verdana"/>
      <w:color w:val="000000" w:themeColor="text1"/>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reference0">
    <w:name w:val="footnotereference"/>
    <w:basedOn w:val="DefaultParagraphFont"/>
  </w:style>
  <w:style w:type="paragraph" w:customStyle="1" w:styleId="list-number-black-table">
    <w:name w:val="list-number-black-table"/>
    <w:basedOn w:val="Normal"/>
    <w:pPr>
      <w:numPr>
        <w:numId w:val="15"/>
      </w:numPr>
      <w:spacing w:after="0" w:line="280" w:lineRule="atLeast"/>
    </w:pPr>
    <w:rPr>
      <w:rFonts w:ascii="Arial" w:eastAsia="Times New Roman" w:hAnsi="Arial" w:cs="Times New Roman"/>
      <w:sz w:val="16"/>
      <w:szCs w:val="24"/>
      <w:lang w:val="en-GB" w:eastAsia="nl-NL"/>
    </w:rPr>
  </w:style>
  <w:style w:type="character" w:styleId="Strong">
    <w:name w:val="Strong"/>
    <w:basedOn w:val="DefaultParagraphFont"/>
    <w:uiPriority w:val="22"/>
    <w:qFormat/>
    <w:rPr>
      <w:b/>
      <w:bCs/>
    </w:rPr>
  </w:style>
  <w:style w:type="paragraph" w:customStyle="1" w:styleId="no-heading-blue-2">
    <w:name w:val="no-heading-blue-2"/>
    <w:basedOn w:val="DefaultText"/>
    <w:next w:val="DefaultText"/>
    <w:pPr>
      <w:keepNext/>
      <w:keepLines/>
      <w:spacing w:after="280"/>
      <w:outlineLvl w:val="1"/>
    </w:pPr>
    <w:rPr>
      <w:color w:val="006DB6"/>
      <w:sz w:val="22"/>
    </w:rPr>
  </w:style>
  <w:style w:type="paragraph" w:customStyle="1" w:styleId="list-bullet-color-table">
    <w:name w:val="list-bullet-color-table"/>
    <w:basedOn w:val="DefaultText"/>
    <w:pPr>
      <w:numPr>
        <w:numId w:val="17"/>
      </w:numPr>
    </w:pPr>
    <w:rPr>
      <w:sz w:val="16"/>
    </w:rPr>
  </w:style>
  <w:style w:type="table" w:customStyle="1" w:styleId="ListTable4-Accent11">
    <w:name w:val="List Table 4 - Accent 11"/>
    <w:basedOn w:val="TableNormal"/>
    <w:uiPriority w:val="49"/>
    <w:pPr>
      <w:spacing w:after="0" w:line="240" w:lineRule="auto"/>
    </w:pPr>
    <w:rPr>
      <w:lang w:val="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HeadingWhite">
    <w:name w:val="TableHeadingWhite"/>
    <w:aliases w:val="TableHeading"/>
    <w:basedOn w:val="Normal"/>
    <w:uiPriority w:val="16"/>
    <w:qFormat/>
    <w:pPr>
      <w:spacing w:before="120" w:after="0" w:line="220" w:lineRule="atLeast"/>
      <w:ind w:left="57" w:right="57"/>
    </w:pPr>
    <w:rPr>
      <w:rFonts w:ascii="Arial" w:hAnsi="Arial" w:cs="Times New Roman"/>
      <w:b/>
      <w:color w:val="FFFFFF"/>
      <w:sz w:val="20"/>
      <w:szCs w:val="24"/>
      <w:lang w:val="en-GB"/>
    </w:rPr>
  </w:style>
  <w:style w:type="paragraph" w:customStyle="1" w:styleId="Bullet2Space">
    <w:name w:val="Bullet 2 Space"/>
    <w:aliases w:val="Bullet2Last,BTBullet2Last"/>
    <w:basedOn w:val="Bullet2"/>
    <w:uiPriority w:val="6"/>
    <w:qFormat/>
    <w:pPr>
      <w:numPr>
        <w:numId w:val="16"/>
      </w:numPr>
      <w:contextualSpacing w:val="0"/>
    </w:pPr>
  </w:style>
  <w:style w:type="character" w:customStyle="1" w:styleId="None">
    <w:name w:val="None"/>
  </w:style>
  <w:style w:type="paragraph" w:customStyle="1" w:styleId="NormalNoSpace">
    <w:name w:val="NormalNoSpace"/>
    <w:aliases w:val="Body TextNoSpace"/>
    <w:basedOn w:val="Normal"/>
    <w:uiPriority w:val="1"/>
    <w:qFormat/>
    <w:pPr>
      <w:spacing w:after="0" w:line="240" w:lineRule="auto"/>
    </w:pPr>
    <w:rPr>
      <w:rFonts w:ascii="Verdana" w:hAnsi="Verdana"/>
      <w:color w:val="000000" w:themeColor="text1"/>
      <w:sz w:val="20"/>
      <w:lang w:val="en-GB"/>
    </w:rPr>
  </w:style>
  <w:style w:type="numbering" w:customStyle="1" w:styleId="NumbLstAnnex1">
    <w:name w:val="NumbLstAnnex1"/>
    <w:uiPriority w:val="99"/>
  </w:style>
  <w:style w:type="numbering" w:customStyle="1" w:styleId="NumbLstBullet1">
    <w:name w:val="NumbLstBullet1"/>
    <w:uiPriority w:val="99"/>
  </w:style>
  <w:style w:type="numbering" w:customStyle="1" w:styleId="NumbListNumb">
    <w:name w:val="NumbList Numb"/>
    <w:aliases w:val="NumbLstNumb,BTNumbLstNumb"/>
    <w:uiPriority w:val="99"/>
    <w:pPr>
      <w:numPr>
        <w:numId w:val="27"/>
      </w:numPr>
    </w:pPr>
  </w:style>
  <w:style w:type="paragraph" w:customStyle="1" w:styleId="NumbList1">
    <w:name w:val="NumbList 1"/>
    <w:aliases w:val="Numblist1,Numblist,BTNumbList"/>
    <w:basedOn w:val="Normal"/>
    <w:link w:val="BTNumbListChar"/>
    <w:uiPriority w:val="4"/>
    <w:qFormat/>
    <w:pPr>
      <w:numPr>
        <w:numId w:val="28"/>
      </w:numPr>
      <w:spacing w:before="120" w:after="120" w:line="240" w:lineRule="auto"/>
      <w:contextualSpacing/>
    </w:pPr>
    <w:rPr>
      <w:rFonts w:ascii="Verdana" w:hAnsi="Verdana"/>
      <w:color w:val="000000" w:themeColor="text1"/>
      <w:sz w:val="20"/>
      <w:lang w:val="en-GB"/>
    </w:rPr>
  </w:style>
  <w:style w:type="paragraph" w:customStyle="1" w:styleId="NumbList2">
    <w:name w:val="NumbList 2"/>
    <w:aliases w:val="NumbList2,BTNumbList2"/>
    <w:basedOn w:val="Normal"/>
    <w:uiPriority w:val="6"/>
    <w:qFormat/>
    <w:pPr>
      <w:numPr>
        <w:ilvl w:val="1"/>
        <w:numId w:val="28"/>
      </w:numPr>
      <w:spacing w:before="120" w:after="120" w:line="240" w:lineRule="auto"/>
      <w:contextualSpacing/>
    </w:pPr>
    <w:rPr>
      <w:rFonts w:ascii="Verdana" w:hAnsi="Verdana"/>
      <w:color w:val="000000" w:themeColor="text1"/>
      <w:sz w:val="20"/>
      <w:lang w:val="en-GB"/>
    </w:rPr>
  </w:style>
  <w:style w:type="paragraph" w:customStyle="1" w:styleId="NumbList3">
    <w:name w:val="NumbList 3"/>
    <w:aliases w:val="NumbList3,BTNumbList3"/>
    <w:basedOn w:val="Normal"/>
    <w:uiPriority w:val="6"/>
    <w:qFormat/>
    <w:pPr>
      <w:numPr>
        <w:ilvl w:val="2"/>
        <w:numId w:val="28"/>
      </w:numPr>
      <w:spacing w:before="120" w:after="120" w:line="240" w:lineRule="auto"/>
    </w:pPr>
    <w:rPr>
      <w:rFonts w:ascii="Verdana" w:hAnsi="Verdana"/>
      <w:color w:val="000000" w:themeColor="text1"/>
      <w:sz w:val="20"/>
      <w:lang w:val="en-GB"/>
    </w:rPr>
  </w:style>
  <w:style w:type="character" w:customStyle="1" w:styleId="BTNumbListChar">
    <w:name w:val="BTNumbList Char"/>
    <w:basedOn w:val="DefaultParagraphFont"/>
    <w:link w:val="NumbList1"/>
    <w:uiPriority w:val="4"/>
    <w:rPr>
      <w:rFonts w:ascii="Verdana" w:hAnsi="Verdana"/>
      <w:color w:val="000000" w:themeColor="text1"/>
      <w:sz w:val="20"/>
      <w:lang w:val="en-GB"/>
    </w:rPr>
  </w:style>
  <w:style w:type="paragraph" w:customStyle="1" w:styleId="Tabfoot">
    <w:name w:val="Tabfoot"/>
    <w:basedOn w:val="Normal"/>
    <w:qFormat/>
    <w:pPr>
      <w:spacing w:after="0" w:line="240" w:lineRule="auto"/>
      <w:ind w:left="720" w:hanging="720"/>
    </w:pPr>
    <w:rPr>
      <w:rFonts w:ascii="Arial" w:eastAsia="Times New Roman" w:hAnsi="Arial" w:cs="Times New Roman"/>
      <w:snapToGrid w:val="0"/>
      <w:color w:val="006398"/>
      <w:sz w:val="18"/>
      <w:szCs w:val="18"/>
      <w:lang w:val="en-US"/>
    </w:rPr>
  </w:style>
  <w:style w:type="paragraph" w:styleId="TOC3">
    <w:name w:val="toc 3"/>
    <w:basedOn w:val="Normal"/>
    <w:next w:val="Normal"/>
    <w:autoRedefine/>
    <w:uiPriority w:val="39"/>
    <w:unhideWhenUsed/>
    <w:pPr>
      <w:spacing w:after="100"/>
      <w:ind w:left="440"/>
    </w:pPr>
  </w:style>
  <w:style w:type="paragraph" w:customStyle="1" w:styleId="TableBullet1">
    <w:name w:val="Table Bullet 1"/>
    <w:aliases w:val="TableBullet,TableBulletLast"/>
    <w:basedOn w:val="TableText"/>
    <w:uiPriority w:val="6"/>
    <w:qFormat/>
    <w:pPr>
      <w:numPr>
        <w:ilvl w:val="1"/>
        <w:numId w:val="34"/>
      </w:numPr>
    </w:pPr>
  </w:style>
  <w:style w:type="numbering" w:customStyle="1" w:styleId="NumbLstTable">
    <w:name w:val="NumbLstTable"/>
    <w:aliases w:val="NumbLstTableBullet,NumbLstTableNumb"/>
    <w:uiPriority w:val="99"/>
    <w:pPr>
      <w:numPr>
        <w:numId w:val="33"/>
      </w:numPr>
    </w:pPr>
  </w:style>
  <w:style w:type="paragraph" w:customStyle="1" w:styleId="TableBullet2">
    <w:name w:val="Table Bullet 2"/>
    <w:basedOn w:val="TableText"/>
    <w:uiPriority w:val="33"/>
    <w:qFormat/>
    <w:pPr>
      <w:numPr>
        <w:ilvl w:val="3"/>
        <w:numId w:val="34"/>
      </w:numPr>
    </w:pPr>
  </w:style>
  <w:style w:type="paragraph" w:customStyle="1" w:styleId="TableBullet3">
    <w:name w:val="Table Bullet 3"/>
    <w:basedOn w:val="TableText"/>
    <w:uiPriority w:val="33"/>
    <w:qFormat/>
    <w:pPr>
      <w:numPr>
        <w:ilvl w:val="5"/>
        <w:numId w:val="34"/>
      </w:numPr>
    </w:pPr>
  </w:style>
  <w:style w:type="paragraph" w:customStyle="1" w:styleId="TableNumbList1">
    <w:name w:val="Table NumbList 1"/>
    <w:aliases w:val="TableNumbList,TableNumbListLast"/>
    <w:basedOn w:val="TableText"/>
    <w:uiPriority w:val="17"/>
    <w:qFormat/>
    <w:pPr>
      <w:numPr>
        <w:numId w:val="34"/>
      </w:numPr>
    </w:pPr>
  </w:style>
  <w:style w:type="paragraph" w:customStyle="1" w:styleId="TableNumbList2">
    <w:name w:val="Table NumbList 2"/>
    <w:basedOn w:val="TableText"/>
    <w:uiPriority w:val="33"/>
    <w:qFormat/>
    <w:pPr>
      <w:numPr>
        <w:ilvl w:val="2"/>
        <w:numId w:val="34"/>
      </w:numPr>
    </w:pPr>
  </w:style>
  <w:style w:type="paragraph" w:customStyle="1" w:styleId="TableNumbList3">
    <w:name w:val="Table NumbList 3"/>
    <w:basedOn w:val="TableText"/>
    <w:uiPriority w:val="33"/>
    <w:qFormat/>
    <w:pPr>
      <w:numPr>
        <w:ilvl w:val="4"/>
        <w:numId w:val="34"/>
      </w:numPr>
    </w:pPr>
  </w:style>
  <w:style w:type="paragraph" w:styleId="Revision">
    <w:name w:val="Revision"/>
    <w:hidden/>
    <w:uiPriority w:val="99"/>
    <w:semiHidden/>
    <w:pPr>
      <w:spacing w:after="0" w:line="240" w:lineRule="auto"/>
    </w:pPr>
    <w:rPr>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NoSpacingChar"/>
    <w:link w:val="FooterSensitivity"/>
    <w:rPr>
      <w:rFonts w:ascii="Times New Roman" w:eastAsiaTheme="minorEastAsia"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NoSpacingChar"/>
    <w:link w:val="HeaderCoverPage"/>
    <w:rPr>
      <w:rFonts w:ascii="Times New Roman" w:eastAsiaTheme="minorEastAsia"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NoSpacingChar"/>
    <w:link w:val="HeaderSensitivity"/>
    <w:rPr>
      <w:rFonts w:ascii="Times New Roman" w:eastAsiaTheme="minorEastAsia" w:hAnsi="Times New Roman" w:cs="Times New Roman"/>
      <w:b/>
      <w:sz w:val="32"/>
      <w:lang w:val="fr-B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NoSpacingChar"/>
    <w:link w:val="HeaderSensitivityRight"/>
    <w:rPr>
      <w:rFonts w:ascii="Times New Roman" w:eastAsiaTheme="minorEastAsia" w:hAnsi="Times New Roman" w:cs="Times New Roman"/>
      <w:sz w:val="28"/>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6" w:qFormat="1"/>
    <w:lsdException w:name="heading 3" w:uiPriority="6" w:qFormat="1"/>
    <w:lsdException w:name="heading 4" w:uiPriority="6"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fr-BE"/>
    </w:rPr>
  </w:style>
  <w:style w:type="paragraph" w:styleId="Heading1">
    <w:name w:val="heading 1"/>
    <w:aliases w:val="Heading1,AnnexHeading NoPage,ESHeading 1,Heading 1NoSpace,F3 Heading 1 - Section,(Section),h1,Numbered - 1,Section,Chapter Hdg,CH TITLE 1,Headline 1,cover1,intoduction,head1,Chapter Heading,IMPACT STUDY TITLE1,TITLE 1 NR"/>
    <w:basedOn w:val="Normal"/>
    <w:next w:val="Normal"/>
    <w:link w:val="Heading1Char"/>
    <w:uiPriority w:val="6"/>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2,ESHeading 2,BoxNumb,CaseStudy,Conclusion,Evidence,Recommendation,F4 Heading 2 - SubSection,(SubSection),h2,Para Nos,Para,Main Heading,Main Headi,Numbered - 2,(Main Heading),Paragraph,Sub Heading,ignorer2,Oscar Faber 2"/>
    <w:basedOn w:val="Normal"/>
    <w:next w:val="Normal"/>
    <w:link w:val="Heading2Char"/>
    <w:uiPriority w:val="6"/>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3,ESHeading 3,Box,Stage,F5 Heading 3,h3,Numbered - 3,H3,H31,Headline 3,h31,h32,Sub Paragraph,Voorwoord,ASAPHeading 3,Level 1 - 1,Heading 3 - old,heading 3,Heading 2.3,1.2.3.,Titles,(Alt+3),(Alt+3)1,(Alt+3)2,(Alt+3)3,(Alt+3)4"/>
    <w:basedOn w:val="Normal"/>
    <w:next w:val="Normal"/>
    <w:link w:val="Heading3Char"/>
    <w:uiPriority w:val="6"/>
    <w:qFormat/>
    <w:pPr>
      <w:keepNext/>
      <w:keepLines/>
      <w:tabs>
        <w:tab w:val="num" w:pos="680"/>
      </w:tabs>
      <w:spacing w:before="120" w:after="120" w:line="240" w:lineRule="auto"/>
      <w:ind w:left="680" w:hanging="680"/>
      <w:outlineLvl w:val="2"/>
    </w:pPr>
    <w:rPr>
      <w:rFonts w:ascii="Verdana" w:eastAsiaTheme="majorEastAsia" w:hAnsi="Verdana" w:cstheme="majorBidi"/>
      <w:b/>
      <w:bCs/>
      <w:sz w:val="20"/>
      <w:lang w:val="en-GB"/>
    </w:rPr>
  </w:style>
  <w:style w:type="paragraph" w:styleId="Heading4">
    <w:name w:val="heading 4"/>
    <w:aliases w:val="Heading4,ESHeading 4,GHKContactsHeading,Task,level 3 subhead,PA Micro Section,(Alt+4),H41,(Alt+4)1,H42,(Alt+4)2,H43,(Alt+4)3,H44,(Alt+4)4,H45,(Alt+4)5,H411,(Alt+4)11,H421,(Alt+4)21,H431,(Alt+4)31,H46,(Alt+4)6,H412,(Alt+4)12,H422,H432"/>
    <w:basedOn w:val="Normal"/>
    <w:next w:val="Normal"/>
    <w:link w:val="Heading4Char"/>
    <w:uiPriority w:val="6"/>
    <w:qFormat/>
    <w:pPr>
      <w:keepNext/>
      <w:keepLines/>
      <w:tabs>
        <w:tab w:val="num" w:pos="851"/>
      </w:tabs>
      <w:spacing w:before="120" w:after="120" w:line="240" w:lineRule="auto"/>
      <w:ind w:left="851" w:hanging="851"/>
      <w:outlineLvl w:val="3"/>
    </w:pPr>
    <w:rPr>
      <w:rFonts w:ascii="Verdana" w:eastAsiaTheme="majorEastAsia" w:hAnsi="Verdana" w:cstheme="majorBidi"/>
      <w:b/>
      <w:bCs/>
      <w:iCs/>
      <w:color w:val="000000" w:themeColor="text1"/>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aliases w:val="F_UGent"/>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aliases w:val="F_UGent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character" w:customStyle="1" w:styleId="Marker">
    <w:name w:val="Marker"/>
    <w:basedOn w:val="DefaultParagraphFont"/>
    <w:rPr>
      <w:color w:val="0000FF"/>
      <w:shd w:val="clear" w:color="auto" w:fill="auto"/>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character" w:customStyle="1" w:styleId="Heading1Char">
    <w:name w:val="Heading 1 Char"/>
    <w:aliases w:val="Heading1 Char,AnnexHeading NoPage Char,ESHeading 1 Char,Heading 1NoSpace Char,F3 Heading 1 - Section Char,(Section) Char,h1 Char,Numbered - 1 Char,Section Char,Chapter Hdg Char,CH TITLE 1 Char,Headline 1 Char,cover1 Char,intoduction Char"/>
    <w:basedOn w:val="DefaultParagraphFont"/>
    <w:link w:val="Heading1"/>
    <w:uiPriority w:val="9"/>
    <w:rPr>
      <w:rFonts w:asciiTheme="majorHAnsi" w:eastAsiaTheme="majorEastAsia" w:hAnsiTheme="majorHAnsi" w:cstheme="majorBidi"/>
      <w:color w:val="2E74B5" w:themeColor="accent1" w:themeShade="BF"/>
      <w:sz w:val="32"/>
      <w:szCs w:val="32"/>
      <w:lang w:val="fr-BE"/>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pPr>
      <w:tabs>
        <w:tab w:val="left" w:pos="340"/>
        <w:tab w:val="left" w:pos="1021"/>
        <w:tab w:val="right" w:pos="7938"/>
      </w:tabs>
      <w:spacing w:after="0" w:line="280" w:lineRule="atLeast"/>
      <w:ind w:left="340"/>
    </w:pPr>
    <w:rPr>
      <w:rFonts w:ascii="Arial" w:eastAsia="Times New Roman" w:hAnsi="Arial" w:cs="Times New Roman"/>
      <w:sz w:val="18"/>
      <w:szCs w:val="24"/>
      <w:lang w:val="en-GB" w:eastAsia="nl-NL"/>
    </w:rPr>
  </w:style>
  <w:style w:type="paragraph" w:customStyle="1" w:styleId="AnnexHeading">
    <w:name w:val="AnnexHeading"/>
    <w:basedOn w:val="Normal"/>
    <w:next w:val="BodyText"/>
    <w:uiPriority w:val="6"/>
    <w:qFormat/>
    <w:pPr>
      <w:keepNext/>
      <w:pageBreakBefore/>
      <w:numPr>
        <w:numId w:val="2"/>
      </w:numPr>
      <w:spacing w:before="360" w:after="60" w:line="260" w:lineRule="atLeast"/>
    </w:pPr>
    <w:rPr>
      <w:rFonts w:ascii="Arial" w:hAnsi="Arial" w:cs="Times New Roman"/>
      <w:b/>
      <w:color w:val="5B9BD5" w:themeColor="accent1"/>
      <w:sz w:val="36"/>
      <w:szCs w:val="24"/>
      <w:lang w:val="en-GB"/>
    </w:rPr>
  </w:style>
  <w:style w:type="paragraph" w:customStyle="1" w:styleId="AnnexH2">
    <w:name w:val="AnnexH2"/>
    <w:basedOn w:val="Normal"/>
    <w:next w:val="BodyText"/>
    <w:uiPriority w:val="6"/>
    <w:qFormat/>
    <w:pPr>
      <w:keepNext/>
      <w:numPr>
        <w:ilvl w:val="1"/>
        <w:numId w:val="2"/>
      </w:numPr>
      <w:spacing w:before="360" w:after="60" w:line="260" w:lineRule="atLeast"/>
    </w:pPr>
    <w:rPr>
      <w:rFonts w:ascii="Arial" w:hAnsi="Arial" w:cs="Times New Roman"/>
      <w:b/>
      <w:color w:val="ED7D31" w:themeColor="accent2"/>
      <w:sz w:val="30"/>
      <w:szCs w:val="24"/>
      <w:lang w:val="en-GB"/>
    </w:rPr>
  </w:style>
  <w:style w:type="paragraph" w:customStyle="1" w:styleId="AnnexH3">
    <w:name w:val="AnnexH3"/>
    <w:basedOn w:val="Normal"/>
    <w:next w:val="BodyText"/>
    <w:uiPriority w:val="6"/>
    <w:qFormat/>
    <w:pPr>
      <w:keepNext/>
      <w:numPr>
        <w:ilvl w:val="2"/>
        <w:numId w:val="2"/>
      </w:numPr>
      <w:spacing w:before="360" w:after="60" w:line="260" w:lineRule="atLeast"/>
    </w:pPr>
    <w:rPr>
      <w:rFonts w:ascii="Arial" w:hAnsi="Arial" w:cs="Times New Roman"/>
      <w:b/>
      <w:color w:val="5B9BD5" w:themeColor="accent1"/>
      <w:sz w:val="26"/>
      <w:szCs w:val="24"/>
      <w:lang w:val="en-GB"/>
    </w:rPr>
  </w:style>
  <w:style w:type="paragraph" w:customStyle="1" w:styleId="AnnexH4">
    <w:name w:val="AnnexH4"/>
    <w:basedOn w:val="Normal"/>
    <w:next w:val="BodyText"/>
    <w:uiPriority w:val="6"/>
    <w:qFormat/>
    <w:pPr>
      <w:keepNext/>
      <w:numPr>
        <w:ilvl w:val="3"/>
        <w:numId w:val="2"/>
      </w:numPr>
      <w:spacing w:before="360" w:after="60" w:line="260" w:lineRule="atLeast"/>
    </w:pPr>
    <w:rPr>
      <w:rFonts w:ascii="Arial" w:hAnsi="Arial" w:cs="Times New Roman"/>
      <w:b/>
      <w:szCs w:val="24"/>
      <w:lang w:val="en-GB"/>
    </w:rPr>
  </w:style>
  <w:style w:type="paragraph" w:customStyle="1" w:styleId="AnnexTable">
    <w:name w:val="AnnexTable"/>
    <w:aliases w:val="TableTitle,Table,Figure,ESTable,ESTableLeft,TableSimpleNo,TableLeft,ESFigure,ESFigureLeft,9 pt,Bold,t,T,T + 10 pt + 10 pt,Table Cell,White,Text Gras"/>
    <w:basedOn w:val="Normal"/>
    <w:next w:val="BodyText"/>
    <w:uiPriority w:val="6"/>
    <w:qFormat/>
    <w:pPr>
      <w:keepNext/>
      <w:numPr>
        <w:ilvl w:val="4"/>
        <w:numId w:val="2"/>
      </w:numPr>
      <w:spacing w:before="120" w:after="120" w:line="260" w:lineRule="atLeast"/>
    </w:pPr>
    <w:rPr>
      <w:rFonts w:ascii="Arial" w:hAnsi="Arial" w:cs="Times New Roman"/>
      <w:color w:val="5B9BD5" w:themeColor="accent1"/>
      <w:szCs w:val="24"/>
      <w:lang w:val="en-GB"/>
    </w:rPr>
  </w:style>
  <w:style w:type="paragraph" w:customStyle="1" w:styleId="AnnexFigure">
    <w:name w:val="AnnexFigure"/>
    <w:basedOn w:val="Normal"/>
    <w:next w:val="BodyText"/>
    <w:uiPriority w:val="6"/>
    <w:qFormat/>
    <w:pPr>
      <w:keepNext/>
      <w:numPr>
        <w:ilvl w:val="5"/>
        <w:numId w:val="2"/>
      </w:numPr>
      <w:spacing w:before="120" w:after="120" w:line="260" w:lineRule="atLeast"/>
    </w:pPr>
    <w:rPr>
      <w:rFonts w:ascii="Arial" w:hAnsi="Arial" w:cs="Times New Roman"/>
      <w:color w:val="5B9BD5" w:themeColor="accent1"/>
      <w:szCs w:val="24"/>
      <w:lang w:val="en-GB"/>
    </w:rPr>
  </w:style>
  <w:style w:type="numbering" w:customStyle="1" w:styleId="NumbLstAnnex">
    <w:name w:val="NumbLstAnnex"/>
    <w:aliases w:val="NumbListHeading,NumbLstBoxes,NumbLstExecSumm,NumbLstMain,NumbLstStage,NumbLstTableSimpleNo"/>
    <w:uiPriority w:val="99"/>
    <w:pPr>
      <w:numPr>
        <w:numId w:val="1"/>
      </w:numPr>
    </w:pPr>
  </w:style>
  <w:style w:type="paragraph" w:customStyle="1" w:styleId="AnnexEquation">
    <w:name w:val="AnnexEquation"/>
    <w:basedOn w:val="AnnexFigure"/>
    <w:next w:val="BodyText"/>
    <w:uiPriority w:val="6"/>
    <w:qFormat/>
    <w:pPr>
      <w:numPr>
        <w:ilvl w:val="6"/>
      </w:numPr>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lang w:val="fr-BE"/>
    </w:rPr>
  </w:style>
  <w:style w:type="paragraph" w:customStyle="1" w:styleId="no-heading-blue-1">
    <w:name w:val="no-heading-blue-1"/>
    <w:basedOn w:val="Normal"/>
    <w:next w:val="Normal"/>
    <w:pPr>
      <w:keepNext/>
      <w:keepLines/>
      <w:pageBreakBefore/>
      <w:spacing w:after="840" w:line="280" w:lineRule="atLeast"/>
      <w:outlineLvl w:val="0"/>
    </w:pPr>
    <w:rPr>
      <w:rFonts w:ascii="Arial" w:eastAsia="Times New Roman" w:hAnsi="Arial" w:cs="Times New Roman"/>
      <w:b/>
      <w:color w:val="006DB6"/>
      <w:sz w:val="36"/>
      <w:szCs w:val="24"/>
      <w:lang w:val="en-GB" w:eastAsia="nl-NL"/>
    </w:rPr>
  </w:style>
  <w:style w:type="paragraph" w:customStyle="1" w:styleId="DefaultText">
    <w:name w:val="Default Text"/>
    <w:basedOn w:val="Normal"/>
    <w:link w:val="DefaultTextChar"/>
    <w:qFormat/>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rPr>
      <w:rFonts w:ascii="Arial" w:eastAsia="Times New Roman" w:hAnsi="Arial" w:cs="Times New Roman"/>
      <w:sz w:val="18"/>
      <w:szCs w:val="24"/>
      <w:lang w:val="en-GB" w:eastAsia="nl-NL"/>
    </w:rPr>
  </w:style>
  <w:style w:type="table" w:styleId="TableGrid">
    <w:name w:val="Table Grid"/>
    <w:aliases w:val="Table Format 1,HTG,Tabela Renova,TabelEcorys,Document Table,CV1"/>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ableTextNoSpace"/>
    <w:basedOn w:val="Normal"/>
    <w:uiPriority w:val="15"/>
    <w:qFormat/>
    <w:pPr>
      <w:spacing w:before="120" w:after="0" w:line="240" w:lineRule="auto"/>
      <w:ind w:left="113"/>
    </w:pPr>
    <w:rPr>
      <w:rFonts w:ascii="Verdana" w:hAnsi="Verdana"/>
      <w:color w:val="000000" w:themeColor="text1"/>
      <w:sz w:val="20"/>
      <w:lang w:val="en-GB"/>
    </w:rPr>
  </w:style>
  <w:style w:type="paragraph" w:styleId="ListParagraph">
    <w:name w:val="List Paragraph"/>
    <w:aliases w:val="List Paragraph (numbered (a)),Bullet list,IFCL - List Paragraph,Table/Figure Heading,Lapis Bulleted List,Dot pt,F5 List Paragraph,No Spacing1,List Paragraph Char Char Char,Indicator Text,Numbered Para 1,Bullet 1,List Paragraph12,Bullet1"/>
    <w:basedOn w:val="Normal"/>
    <w:link w:val="ListParagraphChar"/>
    <w:uiPriority w:val="6"/>
    <w:qFormat/>
    <w:pPr>
      <w:ind w:left="720"/>
      <w:contextualSpacing/>
    </w:pPr>
  </w:style>
  <w:style w:type="character" w:customStyle="1" w:styleId="Heading2Char">
    <w:name w:val="Heading 2 Char"/>
    <w:aliases w:val="Heading2 Char,ESHeading 2 Char,BoxNumb Char,CaseStudy Char,Conclusion Char,Evidence Char,Recommendation Char,F4 Heading 2 - SubSection Char,(SubSection) Char,h2 Char,Para Nos Char,Para Char,Main Heading Char,Main Headi Char,Paragraph Char"/>
    <w:basedOn w:val="DefaultParagraphFont"/>
    <w:link w:val="Heading2"/>
    <w:uiPriority w:val="9"/>
    <w:semiHidden/>
    <w:rPr>
      <w:rFonts w:asciiTheme="majorHAnsi" w:eastAsiaTheme="majorEastAsia" w:hAnsiTheme="majorHAnsi" w:cstheme="majorBidi"/>
      <w:color w:val="2E74B5" w:themeColor="accent1" w:themeShade="BF"/>
      <w:sz w:val="26"/>
      <w:szCs w:val="26"/>
      <w:lang w:val="fr-B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BVIfnrCharCar1CarChar"/>
    <w:unhideWhenUsed/>
    <w:qFormat/>
    <w:rPr>
      <w:sz w:val="20"/>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pPr>
      <w:spacing w:before="30" w:after="160" w:line="240" w:lineRule="exact"/>
      <w:jc w:val="both"/>
    </w:pPr>
    <w:rPr>
      <w:sz w:val="20"/>
      <w:vertAlign w:val="superscript"/>
      <w:lang w:val="en-US"/>
    </w:rPr>
  </w:style>
  <w:style w:type="character" w:customStyle="1" w:styleId="ListParagraphChar">
    <w:name w:val="List Paragraph Char"/>
    <w:aliases w:val="List Paragraph (numbered (a)) Char,Bullet list Char,IFCL - List Paragraph Char,Table/Figure Heading Char,Lapis Bulleted List Char,Dot pt Char,F5 List Paragraph Char,No Spacing1 Char,List Paragraph Char Char Char Char,Bullet 1 Char"/>
    <w:link w:val="ListParagraph"/>
    <w:uiPriority w:val="6"/>
    <w:rPr>
      <w:lang w:val="fr-BE"/>
    </w:rPr>
  </w:style>
  <w:style w:type="paragraph" w:customStyle="1" w:styleId="list-bullet-color">
    <w:name w:val="list-bullet-color"/>
    <w:basedOn w:val="DefaultText"/>
    <w:link w:val="list-bullet-colorChar"/>
    <w:pPr>
      <w:numPr>
        <w:numId w:val="5"/>
      </w:numPr>
    </w:pPr>
  </w:style>
  <w:style w:type="character" w:customStyle="1" w:styleId="list-bullet-colorChar">
    <w:name w:val="list-bullet-color Char"/>
    <w:basedOn w:val="DefaultTextChar"/>
    <w:link w:val="list-bullet-color"/>
    <w:rPr>
      <w:rFonts w:ascii="Arial" w:eastAsia="Times New Roman" w:hAnsi="Arial" w:cs="Times New Roman"/>
      <w:sz w:val="18"/>
      <w:szCs w:val="24"/>
      <w:lang w:val="en-GB" w:eastAsia="nl-N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before="60" w:after="160" w:line="240" w:lineRule="exact"/>
    </w:pPr>
    <w:rPr>
      <w:vertAlign w:val="superscript"/>
      <w:lang w:val="en-GB"/>
    </w:rPr>
  </w:style>
  <w:style w:type="paragraph" w:customStyle="1" w:styleId="FigureLeft">
    <w:name w:val="FigureLeft"/>
    <w:basedOn w:val="Normal"/>
    <w:next w:val="Normal"/>
    <w:uiPriority w:val="6"/>
    <w:qFormat/>
    <w:pPr>
      <w:keepNext/>
      <w:keepLines/>
      <w:spacing w:before="120" w:after="120" w:line="260" w:lineRule="atLeast"/>
      <w:ind w:left="1191" w:hanging="1191"/>
    </w:pPr>
    <w:rPr>
      <w:rFonts w:ascii="Arial" w:hAnsi="Arial" w:cs="Times New Roman"/>
      <w:color w:val="5B9BD5" w:themeColor="accent1"/>
      <w:sz w:val="24"/>
      <w:szCs w:val="24"/>
      <w:lang w:val="en-GB"/>
    </w:rPr>
  </w:style>
  <w:style w:type="paragraph" w:customStyle="1" w:styleId="FigureTitle">
    <w:name w:val="Figure Title"/>
    <w:basedOn w:val="Normal"/>
    <w:uiPriority w:val="29"/>
    <w:qFormat/>
    <w:pPr>
      <w:keepNext/>
      <w:keepLines/>
      <w:numPr>
        <w:numId w:val="7"/>
      </w:numPr>
      <w:spacing w:before="120" w:after="120" w:line="240" w:lineRule="auto"/>
      <w:outlineLvl w:val="2"/>
    </w:pPr>
    <w:rPr>
      <w:rFonts w:ascii="Verdana" w:eastAsiaTheme="majorEastAsia" w:hAnsi="Verdana" w:cstheme="majorBidi"/>
      <w:bCs/>
      <w:i/>
      <w:sz w:val="20"/>
      <w:lang w:val="en-GB"/>
    </w:rPr>
  </w:style>
  <w:style w:type="numbering" w:customStyle="1" w:styleId="NumbListFigures">
    <w:name w:val="NumbList Figures"/>
    <w:uiPriority w:val="99"/>
    <w:pPr>
      <w:numPr>
        <w:numId w:val="11"/>
      </w:numPr>
    </w:pPr>
  </w:style>
  <w:style w:type="numbering" w:customStyle="1" w:styleId="NumblistTables">
    <w:name w:val="Numblist Tables"/>
    <w:uiPriority w:val="99"/>
    <w:pPr>
      <w:numPr>
        <w:numId w:val="8"/>
      </w:numPr>
    </w:pPr>
  </w:style>
  <w:style w:type="character" w:customStyle="1" w:styleId="TableChar">
    <w:name w:val="Table Char"/>
    <w:basedOn w:val="DefaultParagraphFont"/>
    <w:uiPriority w:val="6"/>
    <w:rPr>
      <w:rFonts w:ascii="Verdana" w:eastAsiaTheme="majorEastAsia" w:hAnsi="Verdana" w:cstheme="majorBidi"/>
      <w:bCs/>
      <w:i/>
      <w:sz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3Char">
    <w:name w:val="Heading 3 Char"/>
    <w:aliases w:val="Heading3 Char,ESHeading 3 Char,Box Char,Stage Char,F5 Heading 3 Char,h3 Char,Numbered - 3 Char,H3 Char,H31 Char,Headline 3 Char,h31 Char,h32 Char,Sub Paragraph Char,Voorwoord Char,ASAPHeading 3 Char,Level 1 - 1 Char,Heading 3 - old Char"/>
    <w:basedOn w:val="DefaultParagraphFont"/>
    <w:link w:val="Heading3"/>
    <w:uiPriority w:val="6"/>
    <w:rPr>
      <w:rFonts w:ascii="Verdana" w:eastAsiaTheme="majorEastAsia" w:hAnsi="Verdana" w:cstheme="majorBidi"/>
      <w:b/>
      <w:bCs/>
      <w:sz w:val="20"/>
      <w:lang w:val="en-GB"/>
    </w:rPr>
  </w:style>
  <w:style w:type="character" w:customStyle="1" w:styleId="Heading4Char">
    <w:name w:val="Heading 4 Char"/>
    <w:aliases w:val="Heading4 Char,ESHeading 4 Char,GHKContactsHeading Char,Task Char,level 3 subhead Char,PA Micro Section Char,(Alt+4) Char,H41 Char,(Alt+4)1 Char,H42 Char,(Alt+4)2 Char,H43 Char,(Alt+4)3 Char,H44 Char,(Alt+4)4 Char,H45 Char,(Alt+4)5 Char"/>
    <w:basedOn w:val="DefaultParagraphFont"/>
    <w:link w:val="Heading4"/>
    <w:uiPriority w:val="6"/>
    <w:rPr>
      <w:rFonts w:ascii="Verdana" w:eastAsiaTheme="majorEastAsia" w:hAnsi="Verdana" w:cstheme="majorBidi"/>
      <w:b/>
      <w:bCs/>
      <w:iCs/>
      <w:color w:val="000000" w:themeColor="text1"/>
      <w:sz w:val="20"/>
      <w:lang w:val="en-GB"/>
    </w:rPr>
  </w:style>
  <w:style w:type="paragraph" w:customStyle="1" w:styleId="TableSource">
    <w:name w:val="TableSource"/>
    <w:basedOn w:val="Normal"/>
    <w:next w:val="Normal"/>
    <w:uiPriority w:val="6"/>
    <w:qFormat/>
    <w:pPr>
      <w:spacing w:before="120" w:after="120" w:line="240" w:lineRule="auto"/>
    </w:pPr>
    <w:rPr>
      <w:rFonts w:ascii="Verdana" w:hAnsi="Verdana"/>
      <w:i/>
      <w:color w:val="000000" w:themeColor="text1"/>
      <w:sz w:val="20"/>
      <w:lang w:val="en-GB"/>
    </w:rPr>
  </w:style>
  <w:style w:type="numbering" w:customStyle="1" w:styleId="Bullets">
    <w:name w:val="Bullets"/>
    <w:aliases w:val="NumbLstBTBullet,NumbLstBullet"/>
    <w:uiPriority w:val="99"/>
    <w:pPr>
      <w:numPr>
        <w:numId w:val="30"/>
      </w:numPr>
    </w:pPr>
  </w:style>
  <w:style w:type="paragraph" w:customStyle="1" w:styleId="Bullet2">
    <w:name w:val="Bullet 2"/>
    <w:aliases w:val="Bullet2,BTBullet2"/>
    <w:basedOn w:val="Normal"/>
    <w:uiPriority w:val="6"/>
    <w:qFormat/>
    <w:pPr>
      <w:tabs>
        <w:tab w:val="num" w:pos="1021"/>
      </w:tabs>
      <w:spacing w:before="120" w:after="120" w:line="240" w:lineRule="auto"/>
      <w:ind w:left="1021" w:hanging="341"/>
      <w:contextualSpacing/>
    </w:pPr>
    <w:rPr>
      <w:rFonts w:ascii="Verdana" w:hAnsi="Verdana"/>
      <w:color w:val="000000" w:themeColor="text1"/>
      <w:sz w:val="20"/>
      <w:lang w:val="en-GB"/>
    </w:rPr>
  </w:style>
  <w:style w:type="paragraph" w:customStyle="1" w:styleId="Bullet1Space">
    <w:name w:val="Bullet 1 Space"/>
    <w:aliases w:val="Bullet1Last,BTBullet1Last"/>
    <w:basedOn w:val="Normal"/>
    <w:link w:val="BTBullet1LastChar"/>
    <w:uiPriority w:val="6"/>
    <w:qFormat/>
    <w:pPr>
      <w:tabs>
        <w:tab w:val="num" w:pos="851"/>
      </w:tabs>
      <w:spacing w:before="120" w:after="120" w:line="240" w:lineRule="auto"/>
      <w:ind w:left="851" w:hanging="851"/>
    </w:pPr>
    <w:rPr>
      <w:rFonts w:ascii="Verdana" w:hAnsi="Verdana"/>
      <w:color w:val="000000" w:themeColor="text1"/>
      <w:sz w:val="20"/>
      <w:lang w:val="en-GB"/>
    </w:rPr>
  </w:style>
  <w:style w:type="paragraph" w:customStyle="1" w:styleId="Bullet3">
    <w:name w:val="Bullet 3"/>
    <w:aliases w:val="Bullet3,BTBullet3"/>
    <w:basedOn w:val="Bullet2"/>
    <w:uiPriority w:val="6"/>
    <w:qFormat/>
    <w:pPr>
      <w:tabs>
        <w:tab w:val="clear" w:pos="1021"/>
        <w:tab w:val="num" w:pos="1361"/>
      </w:tabs>
      <w:ind w:left="1361" w:hanging="340"/>
    </w:pPr>
  </w:style>
  <w:style w:type="character" w:customStyle="1" w:styleId="BTBullet1LastChar">
    <w:name w:val="BTBullet1Last Char"/>
    <w:link w:val="Bullet1Space"/>
    <w:uiPriority w:val="6"/>
    <w:locked/>
    <w:rPr>
      <w:rFonts w:ascii="Verdana" w:hAnsi="Verdana"/>
      <w:color w:val="000000" w:themeColor="text1"/>
      <w:sz w:val="20"/>
      <w:lang w:val="en-GB"/>
    </w:rPr>
  </w:style>
  <w:style w:type="character" w:customStyle="1" w:styleId="BTBullet1Char">
    <w:name w:val="BTBullet1 Char"/>
    <w:uiPriority w:val="6"/>
    <w:locked/>
    <w:rPr>
      <w:rFonts w:ascii="Verdana" w:hAnsi="Verdana"/>
      <w:color w:val="000000" w:themeColor="text1"/>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reference0">
    <w:name w:val="footnotereference"/>
    <w:basedOn w:val="DefaultParagraphFont"/>
  </w:style>
  <w:style w:type="paragraph" w:customStyle="1" w:styleId="list-number-black-table">
    <w:name w:val="list-number-black-table"/>
    <w:basedOn w:val="Normal"/>
    <w:pPr>
      <w:numPr>
        <w:numId w:val="15"/>
      </w:numPr>
      <w:spacing w:after="0" w:line="280" w:lineRule="atLeast"/>
    </w:pPr>
    <w:rPr>
      <w:rFonts w:ascii="Arial" w:eastAsia="Times New Roman" w:hAnsi="Arial" w:cs="Times New Roman"/>
      <w:sz w:val="16"/>
      <w:szCs w:val="24"/>
      <w:lang w:val="en-GB" w:eastAsia="nl-NL"/>
    </w:rPr>
  </w:style>
  <w:style w:type="character" w:styleId="Strong">
    <w:name w:val="Strong"/>
    <w:basedOn w:val="DefaultParagraphFont"/>
    <w:uiPriority w:val="22"/>
    <w:qFormat/>
    <w:rPr>
      <w:b/>
      <w:bCs/>
    </w:rPr>
  </w:style>
  <w:style w:type="paragraph" w:customStyle="1" w:styleId="no-heading-blue-2">
    <w:name w:val="no-heading-blue-2"/>
    <w:basedOn w:val="DefaultText"/>
    <w:next w:val="DefaultText"/>
    <w:pPr>
      <w:keepNext/>
      <w:keepLines/>
      <w:spacing w:after="280"/>
      <w:outlineLvl w:val="1"/>
    </w:pPr>
    <w:rPr>
      <w:color w:val="006DB6"/>
      <w:sz w:val="22"/>
    </w:rPr>
  </w:style>
  <w:style w:type="paragraph" w:customStyle="1" w:styleId="list-bullet-color-table">
    <w:name w:val="list-bullet-color-table"/>
    <w:basedOn w:val="DefaultText"/>
    <w:pPr>
      <w:numPr>
        <w:numId w:val="17"/>
      </w:numPr>
    </w:pPr>
    <w:rPr>
      <w:sz w:val="16"/>
    </w:rPr>
  </w:style>
  <w:style w:type="table" w:customStyle="1" w:styleId="ListTable4-Accent11">
    <w:name w:val="List Table 4 - Accent 11"/>
    <w:basedOn w:val="TableNormal"/>
    <w:uiPriority w:val="49"/>
    <w:pPr>
      <w:spacing w:after="0" w:line="240" w:lineRule="auto"/>
    </w:pPr>
    <w:rPr>
      <w:lang w:val="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ableHeadingWhite">
    <w:name w:val="TableHeadingWhite"/>
    <w:aliases w:val="TableHeading"/>
    <w:basedOn w:val="Normal"/>
    <w:uiPriority w:val="16"/>
    <w:qFormat/>
    <w:pPr>
      <w:spacing w:before="120" w:after="0" w:line="220" w:lineRule="atLeast"/>
      <w:ind w:left="57" w:right="57"/>
    </w:pPr>
    <w:rPr>
      <w:rFonts w:ascii="Arial" w:hAnsi="Arial" w:cs="Times New Roman"/>
      <w:b/>
      <w:color w:val="FFFFFF"/>
      <w:sz w:val="20"/>
      <w:szCs w:val="24"/>
      <w:lang w:val="en-GB"/>
    </w:rPr>
  </w:style>
  <w:style w:type="paragraph" w:customStyle="1" w:styleId="Bullet2Space">
    <w:name w:val="Bullet 2 Space"/>
    <w:aliases w:val="Bullet2Last,BTBullet2Last"/>
    <w:basedOn w:val="Bullet2"/>
    <w:uiPriority w:val="6"/>
    <w:qFormat/>
    <w:pPr>
      <w:numPr>
        <w:numId w:val="16"/>
      </w:numPr>
      <w:contextualSpacing w:val="0"/>
    </w:pPr>
  </w:style>
  <w:style w:type="character" w:customStyle="1" w:styleId="None">
    <w:name w:val="None"/>
  </w:style>
  <w:style w:type="paragraph" w:customStyle="1" w:styleId="NormalNoSpace">
    <w:name w:val="NormalNoSpace"/>
    <w:aliases w:val="Body TextNoSpace"/>
    <w:basedOn w:val="Normal"/>
    <w:uiPriority w:val="1"/>
    <w:qFormat/>
    <w:pPr>
      <w:spacing w:after="0" w:line="240" w:lineRule="auto"/>
    </w:pPr>
    <w:rPr>
      <w:rFonts w:ascii="Verdana" w:hAnsi="Verdana"/>
      <w:color w:val="000000" w:themeColor="text1"/>
      <w:sz w:val="20"/>
      <w:lang w:val="en-GB"/>
    </w:rPr>
  </w:style>
  <w:style w:type="numbering" w:customStyle="1" w:styleId="NumbLstAnnex1">
    <w:name w:val="NumbLstAnnex1"/>
    <w:uiPriority w:val="99"/>
  </w:style>
  <w:style w:type="numbering" w:customStyle="1" w:styleId="NumbLstBullet1">
    <w:name w:val="NumbLstBullet1"/>
    <w:uiPriority w:val="99"/>
  </w:style>
  <w:style w:type="numbering" w:customStyle="1" w:styleId="NumbListNumb">
    <w:name w:val="NumbList Numb"/>
    <w:aliases w:val="NumbLstNumb,BTNumbLstNumb"/>
    <w:uiPriority w:val="99"/>
    <w:pPr>
      <w:numPr>
        <w:numId w:val="27"/>
      </w:numPr>
    </w:pPr>
  </w:style>
  <w:style w:type="paragraph" w:customStyle="1" w:styleId="NumbList1">
    <w:name w:val="NumbList 1"/>
    <w:aliases w:val="Numblist1,Numblist,BTNumbList"/>
    <w:basedOn w:val="Normal"/>
    <w:link w:val="BTNumbListChar"/>
    <w:uiPriority w:val="4"/>
    <w:qFormat/>
    <w:pPr>
      <w:numPr>
        <w:numId w:val="28"/>
      </w:numPr>
      <w:spacing w:before="120" w:after="120" w:line="240" w:lineRule="auto"/>
      <w:contextualSpacing/>
    </w:pPr>
    <w:rPr>
      <w:rFonts w:ascii="Verdana" w:hAnsi="Verdana"/>
      <w:color w:val="000000" w:themeColor="text1"/>
      <w:sz w:val="20"/>
      <w:lang w:val="en-GB"/>
    </w:rPr>
  </w:style>
  <w:style w:type="paragraph" w:customStyle="1" w:styleId="NumbList2">
    <w:name w:val="NumbList 2"/>
    <w:aliases w:val="NumbList2,BTNumbList2"/>
    <w:basedOn w:val="Normal"/>
    <w:uiPriority w:val="6"/>
    <w:qFormat/>
    <w:pPr>
      <w:numPr>
        <w:ilvl w:val="1"/>
        <w:numId w:val="28"/>
      </w:numPr>
      <w:spacing w:before="120" w:after="120" w:line="240" w:lineRule="auto"/>
      <w:contextualSpacing/>
    </w:pPr>
    <w:rPr>
      <w:rFonts w:ascii="Verdana" w:hAnsi="Verdana"/>
      <w:color w:val="000000" w:themeColor="text1"/>
      <w:sz w:val="20"/>
      <w:lang w:val="en-GB"/>
    </w:rPr>
  </w:style>
  <w:style w:type="paragraph" w:customStyle="1" w:styleId="NumbList3">
    <w:name w:val="NumbList 3"/>
    <w:aliases w:val="NumbList3,BTNumbList3"/>
    <w:basedOn w:val="Normal"/>
    <w:uiPriority w:val="6"/>
    <w:qFormat/>
    <w:pPr>
      <w:numPr>
        <w:ilvl w:val="2"/>
        <w:numId w:val="28"/>
      </w:numPr>
      <w:spacing w:before="120" w:after="120" w:line="240" w:lineRule="auto"/>
    </w:pPr>
    <w:rPr>
      <w:rFonts w:ascii="Verdana" w:hAnsi="Verdana"/>
      <w:color w:val="000000" w:themeColor="text1"/>
      <w:sz w:val="20"/>
      <w:lang w:val="en-GB"/>
    </w:rPr>
  </w:style>
  <w:style w:type="character" w:customStyle="1" w:styleId="BTNumbListChar">
    <w:name w:val="BTNumbList Char"/>
    <w:basedOn w:val="DefaultParagraphFont"/>
    <w:link w:val="NumbList1"/>
    <w:uiPriority w:val="4"/>
    <w:rPr>
      <w:rFonts w:ascii="Verdana" w:hAnsi="Verdana"/>
      <w:color w:val="000000" w:themeColor="text1"/>
      <w:sz w:val="20"/>
      <w:lang w:val="en-GB"/>
    </w:rPr>
  </w:style>
  <w:style w:type="paragraph" w:customStyle="1" w:styleId="Tabfoot">
    <w:name w:val="Tabfoot"/>
    <w:basedOn w:val="Normal"/>
    <w:qFormat/>
    <w:pPr>
      <w:spacing w:after="0" w:line="240" w:lineRule="auto"/>
      <w:ind w:left="720" w:hanging="720"/>
    </w:pPr>
    <w:rPr>
      <w:rFonts w:ascii="Arial" w:eastAsia="Times New Roman" w:hAnsi="Arial" w:cs="Times New Roman"/>
      <w:snapToGrid w:val="0"/>
      <w:color w:val="006398"/>
      <w:sz w:val="18"/>
      <w:szCs w:val="18"/>
      <w:lang w:val="en-US"/>
    </w:rPr>
  </w:style>
  <w:style w:type="paragraph" w:styleId="TOC3">
    <w:name w:val="toc 3"/>
    <w:basedOn w:val="Normal"/>
    <w:next w:val="Normal"/>
    <w:autoRedefine/>
    <w:uiPriority w:val="39"/>
    <w:unhideWhenUsed/>
    <w:pPr>
      <w:spacing w:after="100"/>
      <w:ind w:left="440"/>
    </w:pPr>
  </w:style>
  <w:style w:type="paragraph" w:customStyle="1" w:styleId="TableBullet1">
    <w:name w:val="Table Bullet 1"/>
    <w:aliases w:val="TableBullet,TableBulletLast"/>
    <w:basedOn w:val="TableText"/>
    <w:uiPriority w:val="6"/>
    <w:qFormat/>
    <w:pPr>
      <w:numPr>
        <w:ilvl w:val="1"/>
        <w:numId w:val="34"/>
      </w:numPr>
    </w:pPr>
  </w:style>
  <w:style w:type="numbering" w:customStyle="1" w:styleId="NumbLstTable">
    <w:name w:val="NumbLstTable"/>
    <w:aliases w:val="NumbLstTableBullet,NumbLstTableNumb"/>
    <w:uiPriority w:val="99"/>
    <w:pPr>
      <w:numPr>
        <w:numId w:val="33"/>
      </w:numPr>
    </w:pPr>
  </w:style>
  <w:style w:type="paragraph" w:customStyle="1" w:styleId="TableBullet2">
    <w:name w:val="Table Bullet 2"/>
    <w:basedOn w:val="TableText"/>
    <w:uiPriority w:val="33"/>
    <w:qFormat/>
    <w:pPr>
      <w:numPr>
        <w:ilvl w:val="3"/>
        <w:numId w:val="34"/>
      </w:numPr>
    </w:pPr>
  </w:style>
  <w:style w:type="paragraph" w:customStyle="1" w:styleId="TableBullet3">
    <w:name w:val="Table Bullet 3"/>
    <w:basedOn w:val="TableText"/>
    <w:uiPriority w:val="33"/>
    <w:qFormat/>
    <w:pPr>
      <w:numPr>
        <w:ilvl w:val="5"/>
        <w:numId w:val="34"/>
      </w:numPr>
    </w:pPr>
  </w:style>
  <w:style w:type="paragraph" w:customStyle="1" w:styleId="TableNumbList1">
    <w:name w:val="Table NumbList 1"/>
    <w:aliases w:val="TableNumbList,TableNumbListLast"/>
    <w:basedOn w:val="TableText"/>
    <w:uiPriority w:val="17"/>
    <w:qFormat/>
    <w:pPr>
      <w:numPr>
        <w:numId w:val="34"/>
      </w:numPr>
    </w:pPr>
  </w:style>
  <w:style w:type="paragraph" w:customStyle="1" w:styleId="TableNumbList2">
    <w:name w:val="Table NumbList 2"/>
    <w:basedOn w:val="TableText"/>
    <w:uiPriority w:val="33"/>
    <w:qFormat/>
    <w:pPr>
      <w:numPr>
        <w:ilvl w:val="2"/>
        <w:numId w:val="34"/>
      </w:numPr>
    </w:pPr>
  </w:style>
  <w:style w:type="paragraph" w:customStyle="1" w:styleId="TableNumbList3">
    <w:name w:val="Table NumbList 3"/>
    <w:basedOn w:val="TableText"/>
    <w:uiPriority w:val="33"/>
    <w:qFormat/>
    <w:pPr>
      <w:numPr>
        <w:ilvl w:val="4"/>
        <w:numId w:val="34"/>
      </w:numPr>
    </w:pPr>
  </w:style>
  <w:style w:type="paragraph" w:styleId="Revision">
    <w:name w:val="Revision"/>
    <w:hidden/>
    <w:uiPriority w:val="99"/>
    <w:semiHidden/>
    <w:pPr>
      <w:spacing w:after="0" w:line="240" w:lineRule="auto"/>
    </w:pPr>
    <w:rPr>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NoSpacingChar"/>
    <w:link w:val="FooterSensitivity"/>
    <w:rPr>
      <w:rFonts w:ascii="Times New Roman" w:eastAsiaTheme="minorEastAsia" w:hAnsi="Times New Roman" w:cs="Times New Roman"/>
      <w:b/>
      <w:sz w:val="32"/>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NoSpacingChar"/>
    <w:link w:val="HeaderCoverPage"/>
    <w:rPr>
      <w:rFonts w:ascii="Times New Roman" w:eastAsiaTheme="minorEastAsia" w:hAnsi="Times New Roman" w:cs="Times New Roman"/>
      <w:sz w:val="24"/>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NoSpacingChar"/>
    <w:link w:val="HeaderSensitivity"/>
    <w:rPr>
      <w:rFonts w:ascii="Times New Roman" w:eastAsiaTheme="minorEastAsia" w:hAnsi="Times New Roman" w:cs="Times New Roman"/>
      <w:b/>
      <w:sz w:val="32"/>
      <w:lang w:val="fr-B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NoSpacingChar"/>
    <w:link w:val="HeaderSensitivityRight"/>
    <w:rPr>
      <w:rFonts w:ascii="Times New Roman" w:eastAsiaTheme="minorEastAsia" w:hAnsi="Times New Roman" w:cs="Times New Roman"/>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2786">
      <w:bodyDiv w:val="1"/>
      <w:marLeft w:val="0"/>
      <w:marRight w:val="0"/>
      <w:marTop w:val="0"/>
      <w:marBottom w:val="0"/>
      <w:divBdr>
        <w:top w:val="none" w:sz="0" w:space="0" w:color="auto"/>
        <w:left w:val="none" w:sz="0" w:space="0" w:color="auto"/>
        <w:bottom w:val="none" w:sz="0" w:space="0" w:color="auto"/>
        <w:right w:val="none" w:sz="0" w:space="0" w:color="auto"/>
      </w:divBdr>
    </w:div>
    <w:div w:id="255480116">
      <w:bodyDiv w:val="1"/>
      <w:marLeft w:val="0"/>
      <w:marRight w:val="0"/>
      <w:marTop w:val="0"/>
      <w:marBottom w:val="0"/>
      <w:divBdr>
        <w:top w:val="none" w:sz="0" w:space="0" w:color="auto"/>
        <w:left w:val="none" w:sz="0" w:space="0" w:color="auto"/>
        <w:bottom w:val="none" w:sz="0" w:space="0" w:color="auto"/>
        <w:right w:val="none" w:sz="0" w:space="0" w:color="auto"/>
      </w:divBdr>
    </w:div>
    <w:div w:id="550699181">
      <w:bodyDiv w:val="1"/>
      <w:marLeft w:val="0"/>
      <w:marRight w:val="0"/>
      <w:marTop w:val="0"/>
      <w:marBottom w:val="0"/>
      <w:divBdr>
        <w:top w:val="none" w:sz="0" w:space="0" w:color="auto"/>
        <w:left w:val="none" w:sz="0" w:space="0" w:color="auto"/>
        <w:bottom w:val="none" w:sz="0" w:space="0" w:color="auto"/>
        <w:right w:val="none" w:sz="0" w:space="0" w:color="auto"/>
      </w:divBdr>
    </w:div>
    <w:div w:id="562910102">
      <w:bodyDiv w:val="1"/>
      <w:marLeft w:val="0"/>
      <w:marRight w:val="0"/>
      <w:marTop w:val="0"/>
      <w:marBottom w:val="0"/>
      <w:divBdr>
        <w:top w:val="none" w:sz="0" w:space="0" w:color="auto"/>
        <w:left w:val="none" w:sz="0" w:space="0" w:color="auto"/>
        <w:bottom w:val="none" w:sz="0" w:space="0" w:color="auto"/>
        <w:right w:val="none" w:sz="0" w:space="0" w:color="auto"/>
      </w:divBdr>
    </w:div>
    <w:div w:id="811406807">
      <w:bodyDiv w:val="1"/>
      <w:marLeft w:val="0"/>
      <w:marRight w:val="0"/>
      <w:marTop w:val="0"/>
      <w:marBottom w:val="0"/>
      <w:divBdr>
        <w:top w:val="none" w:sz="0" w:space="0" w:color="auto"/>
        <w:left w:val="none" w:sz="0" w:space="0" w:color="auto"/>
        <w:bottom w:val="none" w:sz="0" w:space="0" w:color="auto"/>
        <w:right w:val="none" w:sz="0" w:space="0" w:color="auto"/>
      </w:divBdr>
    </w:div>
    <w:div w:id="861869090">
      <w:bodyDiv w:val="1"/>
      <w:marLeft w:val="0"/>
      <w:marRight w:val="0"/>
      <w:marTop w:val="0"/>
      <w:marBottom w:val="0"/>
      <w:divBdr>
        <w:top w:val="none" w:sz="0" w:space="0" w:color="auto"/>
        <w:left w:val="none" w:sz="0" w:space="0" w:color="auto"/>
        <w:bottom w:val="none" w:sz="0" w:space="0" w:color="auto"/>
        <w:right w:val="none" w:sz="0" w:space="0" w:color="auto"/>
      </w:divBdr>
    </w:div>
    <w:div w:id="1042169281">
      <w:bodyDiv w:val="1"/>
      <w:marLeft w:val="0"/>
      <w:marRight w:val="0"/>
      <w:marTop w:val="0"/>
      <w:marBottom w:val="0"/>
      <w:divBdr>
        <w:top w:val="none" w:sz="0" w:space="0" w:color="auto"/>
        <w:left w:val="none" w:sz="0" w:space="0" w:color="auto"/>
        <w:bottom w:val="none" w:sz="0" w:space="0" w:color="auto"/>
        <w:right w:val="none" w:sz="0" w:space="0" w:color="auto"/>
      </w:divBdr>
    </w:div>
    <w:div w:id="1063530296">
      <w:bodyDiv w:val="1"/>
      <w:marLeft w:val="0"/>
      <w:marRight w:val="0"/>
      <w:marTop w:val="0"/>
      <w:marBottom w:val="0"/>
      <w:divBdr>
        <w:top w:val="none" w:sz="0" w:space="0" w:color="auto"/>
        <w:left w:val="none" w:sz="0" w:space="0" w:color="auto"/>
        <w:bottom w:val="none" w:sz="0" w:space="0" w:color="auto"/>
        <w:right w:val="none" w:sz="0" w:space="0" w:color="auto"/>
      </w:divBdr>
    </w:div>
    <w:div w:id="1084183509">
      <w:bodyDiv w:val="1"/>
      <w:marLeft w:val="0"/>
      <w:marRight w:val="0"/>
      <w:marTop w:val="0"/>
      <w:marBottom w:val="0"/>
      <w:divBdr>
        <w:top w:val="none" w:sz="0" w:space="0" w:color="auto"/>
        <w:left w:val="none" w:sz="0" w:space="0" w:color="auto"/>
        <w:bottom w:val="none" w:sz="0" w:space="0" w:color="auto"/>
        <w:right w:val="none" w:sz="0" w:space="0" w:color="auto"/>
      </w:divBdr>
    </w:div>
    <w:div w:id="1146045140">
      <w:bodyDiv w:val="1"/>
      <w:marLeft w:val="0"/>
      <w:marRight w:val="0"/>
      <w:marTop w:val="0"/>
      <w:marBottom w:val="0"/>
      <w:divBdr>
        <w:top w:val="none" w:sz="0" w:space="0" w:color="auto"/>
        <w:left w:val="none" w:sz="0" w:space="0" w:color="auto"/>
        <w:bottom w:val="none" w:sz="0" w:space="0" w:color="auto"/>
        <w:right w:val="none" w:sz="0" w:space="0" w:color="auto"/>
      </w:divBdr>
    </w:div>
    <w:div w:id="1349916073">
      <w:bodyDiv w:val="1"/>
      <w:marLeft w:val="0"/>
      <w:marRight w:val="0"/>
      <w:marTop w:val="0"/>
      <w:marBottom w:val="0"/>
      <w:divBdr>
        <w:top w:val="none" w:sz="0" w:space="0" w:color="auto"/>
        <w:left w:val="none" w:sz="0" w:space="0" w:color="auto"/>
        <w:bottom w:val="none" w:sz="0" w:space="0" w:color="auto"/>
        <w:right w:val="none" w:sz="0" w:space="0" w:color="auto"/>
      </w:divBdr>
    </w:div>
    <w:div w:id="1544712497">
      <w:bodyDiv w:val="1"/>
      <w:marLeft w:val="0"/>
      <w:marRight w:val="0"/>
      <w:marTop w:val="0"/>
      <w:marBottom w:val="0"/>
      <w:divBdr>
        <w:top w:val="none" w:sz="0" w:space="0" w:color="auto"/>
        <w:left w:val="none" w:sz="0" w:space="0" w:color="auto"/>
        <w:bottom w:val="none" w:sz="0" w:space="0" w:color="auto"/>
        <w:right w:val="none" w:sz="0" w:space="0" w:color="auto"/>
      </w:divBdr>
    </w:div>
    <w:div w:id="1693915361">
      <w:bodyDiv w:val="1"/>
      <w:marLeft w:val="0"/>
      <w:marRight w:val="0"/>
      <w:marTop w:val="0"/>
      <w:marBottom w:val="0"/>
      <w:divBdr>
        <w:top w:val="none" w:sz="0" w:space="0" w:color="auto"/>
        <w:left w:val="none" w:sz="0" w:space="0" w:color="auto"/>
        <w:bottom w:val="none" w:sz="0" w:space="0" w:color="auto"/>
        <w:right w:val="none" w:sz="0" w:space="0" w:color="auto"/>
      </w:divBdr>
    </w:div>
    <w:div w:id="1874071633">
      <w:bodyDiv w:val="1"/>
      <w:marLeft w:val="0"/>
      <w:marRight w:val="0"/>
      <w:marTop w:val="0"/>
      <w:marBottom w:val="0"/>
      <w:divBdr>
        <w:top w:val="none" w:sz="0" w:space="0" w:color="auto"/>
        <w:left w:val="none" w:sz="0" w:space="0" w:color="auto"/>
        <w:bottom w:val="none" w:sz="0" w:space="0" w:color="auto"/>
        <w:right w:val="none" w:sz="0" w:space="0" w:color="auto"/>
      </w:divBdr>
    </w:div>
    <w:div w:id="19285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qid=1476965442393&amp;uri=CELEX:52015PC0005" TargetMode="External"/><Relationship Id="rId13" Type="http://schemas.openxmlformats.org/officeDocument/2006/relationships/hyperlink" Target="https://ec.europa.eu/economy_finance/international/neighbourhood_policy/doc/mou_eu_ukraine_en.pdf" TargetMode="External"/><Relationship Id="rId18" Type="http://schemas.openxmlformats.org/officeDocument/2006/relationships/hyperlink" Target="https://naftogaz.com/www/3/nakweben.nsf/0/A09B58DD11619020C22584F1002A61B6?OpenDocument&amp;year=2020&amp;month=01&amp;nt=News&amp;" TargetMode="External"/><Relationship Id="rId26" Type="http://schemas.openxmlformats.org/officeDocument/2006/relationships/hyperlink" Target="https://ec.europa.eu/info/law/law-making-process/planning-and-proposing-law/better-regulation-why-and-how/better-regulation-guidelines-and-toolbox_en" TargetMode="External"/><Relationship Id="rId3" Type="http://schemas.openxmlformats.org/officeDocument/2006/relationships/hyperlink" Target="https://eur-lex.europa.eu/legal-content/EN/TXT/?qid=1476965532409&amp;uri=CELEX:32015D0601" TargetMode="External"/><Relationship Id="rId21" Type="http://schemas.openxmlformats.org/officeDocument/2006/relationships/hyperlink" Target="https://trade.ec.europa.eu/doclib/docs/2016/november/tradoc_155103.pdf" TargetMode="External"/><Relationship Id="rId7" Type="http://schemas.openxmlformats.org/officeDocument/2006/relationships/hyperlink" Target="https://eur-lex.europa.eu/legal-content/EN/TXT/?qid=1476965500936&amp;uri=CELEX:52015SC0001" TargetMode="External"/><Relationship Id="rId12" Type="http://schemas.openxmlformats.org/officeDocument/2006/relationships/hyperlink" Target="https://ec.europa.eu/info/business-economy-euro/economic-and-fiscal-policy-coordination/international-economic-relations/macro-financial-assistance-mfa-non-eu-partner-countries_en" TargetMode="External"/><Relationship Id="rId17" Type="http://schemas.openxmlformats.org/officeDocument/2006/relationships/hyperlink" Target="https://eur-lex.europa.eu/legal-content/EN/TXT/PDF/?uri=CELEX:52011SC0874&amp;from=EN" TargetMode="External"/><Relationship Id="rId25" Type="http://schemas.openxmlformats.org/officeDocument/2006/relationships/hyperlink" Target="https://ec.europa.eu/info/evaluation-reports-economic-and-financial-affairs-policies-and-spending-activities/ex-post-evaluation-mfa-operations-ukraine_en" TargetMode="External"/><Relationship Id="rId2" Type="http://schemas.openxmlformats.org/officeDocument/2006/relationships/hyperlink" Target="https://ec.europa.eu/info/evaluation-reports-economic-and-financial-affairs-policies-and-spending-activities/ex-post-evaluation-mfa-operations-ukraine_en" TargetMode="External"/><Relationship Id="rId16" Type="http://schemas.openxmlformats.org/officeDocument/2006/relationships/hyperlink" Target="http://ec.europa.eu/dgs/economy_finance/procurement_grants/calls_for_tender/2015/015d/annex4-methodological_orientations_en.pdf" TargetMode="External"/><Relationship Id="rId20" Type="http://schemas.openxmlformats.org/officeDocument/2006/relationships/hyperlink" Target="https://www.moodys.com/credit-ratings/Ukraine-Government-of-%20credit-rating-600037040?stop_mobi=yes" TargetMode="External"/><Relationship Id="rId29" Type="http://schemas.openxmlformats.org/officeDocument/2006/relationships/hyperlink" Target="https://ec.europa.eu/info/evaluation-reports-economic-and-financial-affairs-policies-and-spending-activities/ex-post-evaluation-mfa-operations-ukraine_en" TargetMode="External"/><Relationship Id="rId1" Type="http://schemas.openxmlformats.org/officeDocument/2006/relationships/hyperlink" Target="https://ec.europa.eu/info/evaluation-reports-economic-and-financial-affairs-policies-and-spending-activities/ex-post-evaluation-mfa-operations-ukraine_en" TargetMode="External"/><Relationship Id="rId6" Type="http://schemas.openxmlformats.org/officeDocument/2006/relationships/hyperlink" Target="https://ec.europa.eu/info/law/better-regulation/have-your-say/initiatives/12118-Ex-post-evaluation-of-macro-financial-assistance-to-Ukraine-" TargetMode="External"/><Relationship Id="rId11" Type="http://schemas.openxmlformats.org/officeDocument/2006/relationships/hyperlink" Target="https://ec.europa.eu/transparency/regdoc/rep/3/2018/EN/C-2018-405-F1-EN-MAIN-PART-1.PDF" TargetMode="External"/><Relationship Id="rId24" Type="http://schemas.openxmlformats.org/officeDocument/2006/relationships/hyperlink" Target="https://ec.europa.eu/info/law/better-regulation/have-your-say/initiatives/12118-Ex-post-evaluation-of-macro-%20financial-assistance-to-Ukraine-" TargetMode="External"/><Relationship Id="rId5" Type="http://schemas.openxmlformats.org/officeDocument/2006/relationships/hyperlink" Target="https://eur-lex.europa.eu/legal-content/EN/TXT/?uri=CELEX:32018R1046" TargetMode="External"/><Relationship Id="rId15" Type="http://schemas.openxmlformats.org/officeDocument/2006/relationships/hyperlink" Target="http://ec.europa.eu/smart-regulation/guidelines/toc_guide_en.htm" TargetMode="External"/><Relationship Id="rId23" Type="http://schemas.openxmlformats.org/officeDocument/2006/relationships/hyperlink" Target="https://eur-lex.europa.eu/legal-content/EN/TXT/?qid=1476965532409&amp;uri=CELEX:32015D0601" TargetMode="External"/><Relationship Id="rId28" Type="http://schemas.openxmlformats.org/officeDocument/2006/relationships/hyperlink" Target="https://ec.europa.eu/info/evaluation-reports-economic-and-financial-affairs-policies-and-spending-activities/ex-post-evaluation-mfa-operations-ukraine_en" TargetMode="External"/><Relationship Id="rId10" Type="http://schemas.openxmlformats.org/officeDocument/2006/relationships/hyperlink" Target="https://ec.europa.eu/economy_finance/international/neighbourhood_policy/doc/mou_eu_ukraine_en.pdf" TargetMode="External"/><Relationship Id="rId19" Type="http://schemas.openxmlformats.org/officeDocument/2006/relationships/hyperlink" Target="https://ec.europa.eu/neighbourhood-enlargement/neighbourhood/countries/ukraine_en" TargetMode="External"/><Relationship Id="rId4" Type="http://schemas.openxmlformats.org/officeDocument/2006/relationships/hyperlink" Target="https://ec.europa.eu/info/evaluation-reports-economic-and-financial-affairs-policies-and-spending-activities/ex-post-evaluation-mfa-operations-ukraine_en" TargetMode="External"/><Relationship Id="rId9" Type="http://schemas.openxmlformats.org/officeDocument/2006/relationships/hyperlink" Target="https://eur-lex.europa.eu/legal-content/EN/TXT/?qid=1476965532409&amp;uri=CELEX:32015D0601" TargetMode="External"/><Relationship Id="rId14" Type="http://schemas.openxmlformats.org/officeDocument/2006/relationships/hyperlink" Target="https://ec.europa.eu/info/business-economy-euro/economic-and-fiscal-policy-coordination/international-economic-relations/enlargement-and-neighbouring-countries/neighbouring-countries-eu/neighbourhood-countries/ukraine_en" TargetMode="External"/><Relationship Id="rId22" Type="http://schemas.openxmlformats.org/officeDocument/2006/relationships/hyperlink" Target="https://eur-lex.europa.eu/legal-content/EN/TXT/?uri=CELEX:32018R1046" TargetMode="External"/><Relationship Id="rId27" Type="http://schemas.openxmlformats.org/officeDocument/2006/relationships/hyperlink" Target="https://ec.europa.eu/info/evaluation-reports-economic-and-financial-affairs-policies-and-spending-activities/ex-post-evaluation-mfa-operations-ukrain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9C89-8962-4BF5-B4AD-0CC56BA3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13569</Words>
  <Characters>76258</Characters>
  <Application>Microsoft Office Word</Application>
  <DocSecurity>0</DocSecurity>
  <Lines>1622</Lines>
  <Paragraphs>774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2021-03-15T15:27:00Z</dcterms:created>
  <dcterms:modified xsi:type="dcterms:W3CDTF">2021-03-30T08:15:00Z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7.0.1, Build 20190916</vt:lpwstr>
  </property>
  <property fmtid="{D5CDD505-2E9C-101B-9397-08002B2CF9AE}" pid="8" name="Created using">
    <vt:lpwstr>LW 7.0, Build 20190717</vt:lpwstr>
  </property>
</Properties>
</file>