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035BC9E0-7EC1-4812-9B8E-0A55C8DF3194" style="width:451pt;height:361.6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lastRenderedPageBreak/>
        <w:t>През април 2015 г. Европейският парламент и Съветът приеха решение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за операция за МФП в размер на 1,8 милиарда евро за подкрепа на Украйна. Целта беше да се намери решение на кризата с платежния баланс на Украйна, предизвикана от икономическата и политическата нестабилност, последвала руското анексиране на Кримския полуостров през 2014 г., и последвалите конфликти в източната част на страната.</w:t>
      </w:r>
    </w:p>
    <w:p>
      <w:pPr>
        <w:pStyle w:val="Default"/>
        <w:jc w:val="both"/>
        <w:rPr>
          <w:noProof/>
          <w:color w:val="auto"/>
        </w:rPr>
      </w:pPr>
      <w:r>
        <w:rPr>
          <w:bCs/>
          <w:noProof/>
          <w:color w:val="auto"/>
        </w:rPr>
        <w:t>Целта на настоящата последваща оценка на третата операция за МФП (МФП III) за Украйна е да се оценят нейната целесъобразност, ефикасност, ефективност, съгласуваност и добавена стойност на ЕС.</w:t>
      </w:r>
      <w:r>
        <w:rPr>
          <w:noProof/>
          <w:color w:val="auto"/>
        </w:rPr>
        <w:t xml:space="preserve"> В нея се проучват също така социалното въздействие на програмата и нейният ефект върху устойчивостта на държавния дълг на Украйна. Настоящата оценка се основава на доказателства, събрани чрез различни количествени и качествени изследователски техники, включително консултации с основните заинтересовани страни. По отношение на методиката бяха установени редица ограничения, но те не оказват влияние върху общата надеждност на анализа в оценката. Установените рискове и ограничения бяха смекчени чрез използването на голямо разнообразие от източници, различни техники за оценка, алтернативни сценарии и няколко кръга на събиране на обратна връзка.</w:t>
      </w:r>
    </w:p>
    <w:p>
      <w:pPr>
        <w:pStyle w:val="Default"/>
        <w:jc w:val="both"/>
        <w:rPr>
          <w:noProof/>
          <w:color w:val="auto"/>
        </w:rPr>
      </w:pP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Целта на настоящата оценка е 1) да се предостави информация за целите на бъдещото използване на инструмента за МФП; и 2) да се гарантират прозрачност и отчетност в съответствие с Финансовия регламент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>
        <w:rPr>
          <w:rFonts w:ascii="Times New Roman" w:hAnsi="Times New Roman"/>
          <w:noProof/>
          <w:sz w:val="24"/>
          <w:szCs w:val="24"/>
        </w:rPr>
        <w:t xml:space="preserve"> и решението за МФП за Украйна.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При оценката беше установено, че МФП III е била </w:t>
      </w:r>
      <w:r>
        <w:rPr>
          <w:rFonts w:ascii="Times New Roman" w:hAnsi="Times New Roman"/>
          <w:b/>
          <w:noProof/>
          <w:sz w:val="24"/>
          <w:szCs w:val="24"/>
        </w:rPr>
        <w:t>много релевантна</w:t>
      </w:r>
      <w:r>
        <w:rPr>
          <w:rFonts w:ascii="Times New Roman" w:hAnsi="Times New Roman"/>
          <w:noProof/>
          <w:sz w:val="24"/>
          <w:szCs w:val="24"/>
        </w:rPr>
        <w:t xml:space="preserve"> от гледна точка на своите цели, финансов пакет</w:t>
      </w:r>
      <w:r>
        <w:rPr>
          <w:rStyle w:val="FootnoteReference"/>
          <w:rFonts w:ascii="Times New Roman" w:hAnsi="Times New Roman"/>
          <w:noProof/>
          <w:sz w:val="24"/>
          <w:szCs w:val="24"/>
          <w:lang w:val="en-GB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 xml:space="preserve"> и условия на политиката. Условията, с които беше обвързана МФП, са били насочени към основните предизвикателства за реформите в Украйна, а именно: управлението на публичните финанси; сектора на енергетиката; бизнес средата; управлението и прозрачността; мрежата за социална закрила; и финансовия сектор. Въпреки че страната изпълни успешно повечето от договорените условия за реформи, тя срещна трудности при изпълнението на реформите в областта на борбата с корупцията, търговията и реформите във финансовия сектор възникнали трудности, което доведе до неизплащане на третия транш от МФП.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>Като се има предвид голямата амбициозност на повечето от съответните условия, и с оглед на опита, може да се заключи, че броят на условията за реформи е трябвало да е по-малък</w:t>
      </w:r>
      <w:r>
        <w:rPr>
          <w:rStyle w:val="FootnoteReference"/>
          <w:rFonts w:ascii="Times New Roman" w:hAnsi="Times New Roman" w:cs="Times New Roman"/>
          <w:noProof/>
          <w:spacing w:val="-4"/>
          <w:sz w:val="24"/>
          <w:szCs w:val="24"/>
          <w:lang w:val="en"/>
        </w:rPr>
        <w:footnoteReference w:id="4"/>
      </w:r>
      <w:r>
        <w:rPr>
          <w:rFonts w:ascii="Times New Roman" w:hAnsi="Times New Roman"/>
          <w:noProof/>
          <w:spacing w:val="-4"/>
          <w:sz w:val="24"/>
          <w:szCs w:val="24"/>
        </w:rPr>
        <w:t>. Макар броят на условията, с които беше обвързана МФП III, да отразява изключително високия размер на помощта (повече средства за повече реформи), вероятно един по-малък брой условия е щял да помогне на органите да се съсредоточат върху ключови приоритети и да поддържат висока степен на ангажираност. Предвид това заключение в следващата операция за МФП — МФП IV — Комисията избра по-целенасочен подход към обвързаността с условия. Въпреки това като цяло неизплащането на третия транш от МФП III не може да се обясни главно с броя условия.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 да се постигнат по-</w:t>
      </w:r>
      <w:r>
        <w:rPr>
          <w:rFonts w:ascii="Times New Roman" w:hAnsi="Times New Roman"/>
          <w:b/>
          <w:noProof/>
          <w:sz w:val="24"/>
          <w:szCs w:val="24"/>
        </w:rPr>
        <w:t>ефективни</w:t>
      </w:r>
      <w:r>
        <w:rPr>
          <w:rFonts w:ascii="Times New Roman" w:hAnsi="Times New Roman"/>
          <w:noProof/>
          <w:sz w:val="24"/>
          <w:szCs w:val="24"/>
        </w:rPr>
        <w:t xml:space="preserve"> резултати — както подчерта и външният оценител — при разработването на пакета за реформи във връзка с МФП III са могли да се вземат по-добре предвид: i) ограниченият институционален капацитет; ii) как политическата и икономическата нестабилност може да забави изпълнението; и iii) наличието на интереси, които подкопаха ефективното изпълнение на договорените реформи от украинските органи. Условията за борба с корупцията в рамките на МФП III впоследствие бяха пренесени в МФП IV, като по този начин ЕС и украинското правителство подчертаха своето намерение да съсредоточат усилията си върху постигането на стабилен напредък в тази критична област на реформи.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МФП III е била </w:t>
      </w:r>
      <w:r>
        <w:rPr>
          <w:rFonts w:ascii="Times New Roman" w:hAnsi="Times New Roman"/>
          <w:b/>
          <w:noProof/>
          <w:sz w:val="24"/>
          <w:szCs w:val="24"/>
        </w:rPr>
        <w:t>ефективна</w:t>
      </w:r>
      <w:r>
        <w:rPr>
          <w:rFonts w:ascii="Times New Roman" w:hAnsi="Times New Roman"/>
          <w:noProof/>
          <w:sz w:val="24"/>
          <w:szCs w:val="24"/>
        </w:rPr>
        <w:t xml:space="preserve"> по отношение на подпомагането на фискалната консолидация и е помогнала на Украйна да подобри състоянието на платежния си баланс. Мащабът и благоприятните условия на намесата са позволили да бъдат постигнати фискални икономии, необходими за изпълнението на структурните реформи, и са повишили доверието в икономиката на Украйна.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МФП III е била </w:t>
      </w:r>
      <w:r>
        <w:rPr>
          <w:rFonts w:ascii="Times New Roman" w:hAnsi="Times New Roman"/>
          <w:b/>
          <w:noProof/>
          <w:sz w:val="24"/>
          <w:szCs w:val="24"/>
        </w:rPr>
        <w:t>съгласувана</w:t>
      </w:r>
      <w:r>
        <w:rPr>
          <w:rFonts w:ascii="Times New Roman" w:hAnsi="Times New Roman"/>
          <w:noProof/>
          <w:sz w:val="24"/>
          <w:szCs w:val="24"/>
        </w:rPr>
        <w:t xml:space="preserve"> с широката рамка на политиката на отношенията между ЕС и Украйна. Налице е била също така висока степен на външна съгласуваност с намесите от други международни донори. МФП не само е допринесла за „споделяне на тежестта“ с Международния валутен фонд (МВФ) и други донори във финансово отношение, но също така е укрепила реформите, насърчавани от МВФ и Световната банка, чрез използването на кръстосана условност и допълнителни условия.</w:t>
      </w:r>
    </w:p>
    <w:p>
      <w:pPr>
        <w:spacing w:before="24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Способността на ЕС сравнително бързо да мобилизира и координира значителни финансови ресурси е била основна причина за намесата, тъй като към въпросния момент нуждата от финансиране на Украйна все още беше изключително голяма. Обвързаността на МФП с условия е създала усилващ ефект в политическо отношение, който е допринесъл за мобилизирането на украинските органи около провеждането на ключови реформи. Програмата също така е </w:t>
      </w:r>
      <w:r>
        <w:rPr>
          <w:rFonts w:ascii="Times New Roman" w:hAnsi="Times New Roman"/>
          <w:b/>
          <w:noProof/>
          <w:sz w:val="24"/>
          <w:szCs w:val="24"/>
        </w:rPr>
        <w:t>добавила стойност</w:t>
      </w:r>
      <w:r>
        <w:rPr>
          <w:rFonts w:ascii="Times New Roman" w:hAnsi="Times New Roman"/>
          <w:noProof/>
          <w:sz w:val="24"/>
          <w:szCs w:val="24"/>
        </w:rPr>
        <w:t xml:space="preserve"> чрез своя стимулиращ доверието ефект върху частния сектор.</w:t>
      </w:r>
    </w:p>
    <w:p>
      <w:pPr>
        <w:pStyle w:val="Bullet1Space"/>
        <w:tabs>
          <w:tab w:val="left" w:pos="720"/>
        </w:tabs>
        <w:ind w:left="0" w:firstLine="0"/>
        <w:jc w:val="both"/>
        <w:rPr>
          <w:rFonts w:ascii="Times New Roman" w:hAnsi="Times New Roman" w:cs="Times New Roman"/>
          <w:noProof/>
          <w:color w:val="auto"/>
          <w:spacing w:val="-6"/>
          <w:sz w:val="24"/>
          <w:szCs w:val="24"/>
        </w:rPr>
      </w:pPr>
      <w:r>
        <w:rPr>
          <w:rFonts w:ascii="Times New Roman" w:hAnsi="Times New Roman"/>
          <w:noProof/>
          <w:color w:val="auto"/>
          <w:spacing w:val="-6"/>
          <w:sz w:val="24"/>
          <w:szCs w:val="24"/>
        </w:rPr>
        <w:t xml:space="preserve">Съпоставителен анализ на </w:t>
      </w:r>
      <w:r>
        <w:rPr>
          <w:rFonts w:ascii="Times New Roman" w:hAnsi="Times New Roman"/>
          <w:b/>
          <w:noProof/>
          <w:color w:val="auto"/>
          <w:spacing w:val="-6"/>
          <w:sz w:val="24"/>
          <w:szCs w:val="24"/>
        </w:rPr>
        <w:t>социалното въздействие</w:t>
      </w:r>
      <w:r>
        <w:rPr>
          <w:rFonts w:ascii="Times New Roman" w:hAnsi="Times New Roman"/>
          <w:noProof/>
          <w:color w:val="auto"/>
          <w:spacing w:val="-6"/>
          <w:sz w:val="24"/>
          <w:szCs w:val="24"/>
        </w:rPr>
        <w:t xml:space="preserve"> на МФП показа, че без предоставената МФП и подкрепа от МВФ последиците за социалната ситуация в Украйна са щели да бъдат тежки. Намесата чрез МФП е имала както пряко, така и непряко положително социално въздействие върху украинското население чрез укрепване на мрежата за социална закрила и защита на домакинствата с ниски доходи срещу по-високите цени вследствие на енергийните реформи чрез компенсационни схеми. Като цяло през разглеждания период по-голямата част от социалните показатели са се подобрили.</w:t>
      </w:r>
    </w:p>
    <w:p>
      <w:pPr>
        <w:spacing w:after="12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И накрая, МФП III е изиграла </w:t>
      </w:r>
      <w:r>
        <w:rPr>
          <w:rFonts w:ascii="Times New Roman" w:hAnsi="Times New Roman"/>
          <w:b/>
          <w:noProof/>
          <w:sz w:val="24"/>
          <w:szCs w:val="24"/>
        </w:rPr>
        <w:t>решаваща роля за устойчивостта на публичния дълг на Украйна</w:t>
      </w:r>
      <w:r>
        <w:rPr>
          <w:rFonts w:ascii="Times New Roman" w:hAnsi="Times New Roman"/>
          <w:noProof/>
          <w:sz w:val="24"/>
          <w:szCs w:val="24"/>
        </w:rPr>
        <w:t xml:space="preserve"> чрез различни канали, включително чрез сигнализиращ ефект, който е имал ролята на катализатор за допълнителна финансова подкрепа и доверие на инвеститорите. Програмата е позволила да бъдат реализирани фискални икономии, произтичащи от изключително благоприятните условия на заемите, което е помогнало на Украйна да направи своя план за корекции по-безболезнен и да създаде фискално пространство за реформи и устойчиви социални разходи.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pacing w:val="-6"/>
          <w:sz w:val="24"/>
          <w:szCs w:val="24"/>
        </w:rPr>
      </w:pPr>
      <w:r>
        <w:rPr>
          <w:rFonts w:ascii="Times New Roman" w:hAnsi="Times New Roman"/>
          <w:noProof/>
          <w:spacing w:val="-6"/>
          <w:sz w:val="24"/>
          <w:szCs w:val="24"/>
        </w:rPr>
        <w:t>В заключение, МФП III е подпомогнала значително Украйна при справянето с проблемите, свързани с платежния баланс, и при провеждането на ключови структурни реформи за стабилизиране на икономиката и повишаване на устойчивостта на външната ѝ позиция. Тя е дала възможност за фискални икономии и финансови ползи и е изиграла ролята на катализатор за допълнителна финансова подкрепа и доверие на инвеститорите. Условия, с които е била обвързана МФП, са били напълно съобразени със съответната програма на МВФ и са имали засилващ ефект в политическо отношение, който е допринесъл за мобилизирането на органите на Украйна около изпълнението на ключови реформи, особено в области, които не са обхванати от други международни донорски програми.</w:t>
      </w:r>
    </w:p>
    <w:p>
      <w:pPr>
        <w:spacing w:after="120" w:line="240" w:lineRule="auto"/>
        <w:jc w:val="both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В работния документ на службите на Комисията, на който се основава настоящият доклад, се съдържа подробна и изчерпателна оценка на намесата чрез МФП. </w:t>
      </w:r>
      <w:r>
        <w:rPr>
          <w:rFonts w:ascii="Times New Roman" w:hAnsi="Times New Roman"/>
          <w:noProof/>
          <w:sz w:val="24"/>
        </w:rPr>
        <w:t>Редица заключения, свързани с оценяването на критериите за оценка, трябва да бъдат разгледани допълнително и кръстосано сравнение с други приключили операции за МФП би могло да бъде полезно в това отношение. В края на 2021 г. е планирана метаоценка, в рамките на която тези въпроси ще бъдат проучени по-подробно. Метаоценката ще предостави обобщение на резултатите от проучванията за оценка на операциите за МФП, извършени през последните десет години, и ще разгледа надеждността и уместността на методиката, процеса, крайните продукти и резултатите от всички предприети операции за МФП. Освен това ще бъдат оценени графикът на операциите за МФП и потенциалните връзки с добавената стойност и оперативната видимост.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1817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1767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1</w:t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284" w:hanging="284"/>
        <w:rPr>
          <w:rFonts w:ascii="Times New Roman" w:hAnsi="Times New Roman" w:cs="Times New Roman"/>
          <w:szCs w:val="18"/>
          <w:shd w:val="clear" w:color="auto" w:fill="FFFFFF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18"/>
          <w:shd w:val="clear" w:color="auto" w:fill="FFFFFF"/>
        </w:rPr>
        <w:t>Решение (ЕС) 2015/601 на Европейския парламент и на Съвета от 15 април 2015 г. за предоставяне на макрофинансова помощ на Украйна,</w:t>
      </w:r>
    </w:p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hyperlink r:id="rId1" w:history="1">
        <w:r>
          <w:rPr>
            <w:rStyle w:val="Hyperlink"/>
            <w:rFonts w:ascii="Times New Roman" w:hAnsi="Times New Roman"/>
            <w:color w:val="auto"/>
            <w:szCs w:val="18"/>
            <w:shd w:val="clear" w:color="auto" w:fill="FFFFFF"/>
          </w:rPr>
          <w:t>https://eur-lex.europa.eu/legal-content/EN/TXT/?qid=1476965532409&amp;uri=CELEX:32015D0601</w:t>
        </w:r>
      </w:hyperlink>
      <w:r>
        <w:t>.</w:t>
      </w:r>
    </w:p>
  </w:footnote>
  <w:footnote w:id="2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hyperlink r:id="rId2" w:history="1">
        <w:r>
          <w:rPr>
            <w:rStyle w:val="Hyperlink"/>
            <w:rFonts w:ascii="Times New Roman" w:hAnsi="Times New Roman"/>
            <w:color w:val="auto"/>
          </w:rPr>
          <w:t>https://eur-lex.europa.eu/legal-content/EN/TXT/?uri=CELEX:32018R1046</w:t>
        </w:r>
      </w:hyperlink>
      <w:r>
        <w:rPr>
          <w:rStyle w:val="Hyperlink"/>
          <w:rFonts w:ascii="Times New Roman" w:hAnsi="Times New Roman"/>
          <w:color w:val="auto"/>
          <w:u w:val="none"/>
        </w:rPr>
        <w:t>.</w:t>
      </w:r>
    </w:p>
  </w:footnote>
  <w:footnote w:id="3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МФП III за Украйна беше най-голямата единична операция в историята на инструмента за МФП.</w:t>
      </w:r>
    </w:p>
  </w:footnote>
  <w:footnote w:id="4">
    <w:p>
      <w:pPr>
        <w:pStyle w:val="FootnoteText"/>
        <w:ind w:left="284" w:hanging="284"/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МФП III съдържаше 36 условия (46 с подусловията).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035BC9E0-7EC1-4812-9B8E-0A55C8DF3194"/>
    <w:docVar w:name="LW_COVERPAGE_TYPE" w:val="1"/>
    <w:docVar w:name="LW_CROSSREFERENCE" w:val="{SWD(2021) 73 final}"/>
    <w:docVar w:name="LW_DocType" w:val="NORMAL"/>
    <w:docVar w:name="LW_EMISSION" w:val="9.4.2021"/>
    <w:docVar w:name="LW_EMISSION_ISODATE" w:val="2021-04-09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1) 1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\u1054?\u1094?\u1077?\u1085?\u1082?\u1072? \u1085?\u1072? \u1056?\u1045?\u1064?\u1045?\u1053?\u1048?\u1045?&lt;/FMT&gt; (\u1045?\u1057?) 2015/601 &lt;FMT:Bold&gt;\u1085?\u1072? \u1045?\u1074?\u1088?\u1086?\u1087?\u1077?\u1081?\u1089?\u1082?\u1080?\u1103? \u1087?\u1072?\u1088?\u1083?\u1072?\u1084?\u1077?\u1085?\u1090? \u1080? \u1085?\u1072? \u1057?\u1098?\u1074?\u1077?\u1090?\u1072? &lt;/FMT&gt;_x000b_&lt;FMT:Bold&gt;\u1086?\u1090? 15 \u1072?\u1087?\u1088?\u1080?\u1083? 2015 \u1075?\u1086?\u1076?\u1080?\u1085?\u1072?&lt;/FMT&gt;_x000d__x000d__x000d__x000b__x000d__x000d__x000d__x000b_&lt;FMT:Bold&gt;\u1086?\u1090?\u1085?\u1086?\u1089?\u1085?\u1086? \u1087?\u1088?\u1077?\u1076?\u1086?\u1089?\u1090?\u1072?\u1074?\u1103?\u1085?\u1077?\u1090?\u1086? \u1085?\u1072? \u1076?\u1086?\u1087?\u1098?\u1083?\u1085?\u1080?\u1090?\u1077?\u1083?\u1085?\u1072? \u1084?\u1072?\u1082?\u1088?\u1086?\u1092?\u1080?\u1085?\u1072?\u1085?\u1089?\u1086?\u1074?\u1072? \u1087?\u1086?\u1084?\u1086?\u1097? \u1085?\u1072? \u1059?\u1082?\u1088?\u1072?\u1081?\u1085?\u1072? &lt;/FMT&gt;_x000d__x000d__x000d__x000d__x000d__x000d__x000d__x000d__x000d__x000d__x000d__x000d__x000b_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paragraph" w:styleId="FootnoteText">
    <w:name w:val="footnote text"/>
    <w:aliases w:val="Schriftart: 9 pt,Schriftart: 10 pt,Schriftart: 8 pt,WB-Fußnotentext,fn,Footnotes,Footnote ak,Footnote text,Footnote Text Char Char Char Char,Footnote Text Char Char,Footnote Text Char Char Char Char Char,Footnote Text Char Char Char,Char,o"/>
    <w:basedOn w:val="Normal"/>
    <w:link w:val="FootnoteTextChar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text Char,Footnote Text Char Char Char Char Char1,Footnote Text Char Char Char1,Char Char,o Char"/>
    <w:basedOn w:val="DefaultParagraphFont"/>
    <w:link w:val="FootnoteText"/>
    <w:rPr>
      <w:sz w:val="20"/>
      <w:szCs w:val="20"/>
      <w:lang w:val="bg-BG"/>
    </w:rPr>
  </w:style>
  <w:style w:type="character" w:styleId="FootnoteReference">
    <w:name w:val="footnote reference"/>
    <w:aliases w:val="Footnote symbol,Footnote reference number,note TESI,BVI fnr,Appel note de bas de p,Nota,SUPERS,Footnote number,Footnote Reference Superscript,EN Footnote Reference,-E Fußnotenzeichen,number Char Char,number,Ref,styl,styli,de nota al p"/>
    <w:link w:val="SUPERSCharCharCharCharCharCharCharChar"/>
    <w:unhideWhenUsed/>
    <w:qFormat/>
    <w:rPr>
      <w:sz w:val="20"/>
      <w:vertAlign w:val="superscript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ormal"/>
    <w:link w:val="FootnoteReference"/>
    <w:pPr>
      <w:spacing w:before="60" w:line="240" w:lineRule="exact"/>
    </w:pPr>
    <w:rPr>
      <w:sz w:val="20"/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Bullet1Space">
    <w:name w:val="Bullet 1 Space"/>
    <w:aliases w:val="Bullet1Last,BTBullet1Last"/>
    <w:basedOn w:val="Normal"/>
    <w:link w:val="BTBullet1LastChar"/>
    <w:uiPriority w:val="6"/>
    <w:qFormat/>
    <w:pPr>
      <w:tabs>
        <w:tab w:val="num" w:pos="283"/>
      </w:tabs>
      <w:spacing w:before="120" w:after="120" w:line="240" w:lineRule="auto"/>
      <w:ind w:left="283" w:hanging="283"/>
    </w:pPr>
    <w:rPr>
      <w:rFonts w:ascii="Verdana" w:hAnsi="Verdana"/>
      <w:color w:val="000000" w:themeColor="text1"/>
      <w:sz w:val="20"/>
    </w:rPr>
  </w:style>
  <w:style w:type="character" w:customStyle="1" w:styleId="BTBullet1LastChar">
    <w:name w:val="BTBullet1Last Char"/>
    <w:link w:val="Bullet1Space"/>
    <w:uiPriority w:val="6"/>
    <w:locked/>
    <w:rPr>
      <w:rFonts w:ascii="Verdana" w:hAnsi="Verdana"/>
      <w:color w:val="000000" w:themeColor="text1"/>
      <w:sz w:val="20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customStyle="1" w:styleId="BVIfnrCharCar1CarChar">
    <w:name w:val="BVI fnr Char Car1 Car Char"/>
    <w:aliases w:val="BVI fnr Char Car Car Char,ftref Char Car Car Char,BVI fnr Char Car Char Char Car Car Char,ftref Char Car Char Char Car Car Char,BVI fnr Char"/>
    <w:basedOn w:val="Normal"/>
    <w:next w:val="Normal"/>
    <w:pPr>
      <w:spacing w:before="30" w:line="240" w:lineRule="exact"/>
      <w:jc w:val="both"/>
    </w:pPr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paragraph" w:styleId="FootnoteText">
    <w:name w:val="footnote text"/>
    <w:aliases w:val="Schriftart: 9 pt,Schriftart: 10 pt,Schriftart: 8 pt,WB-Fußnotentext,fn,Footnotes,Footnote ak,Footnote text,Footnote Text Char Char Char Char,Footnote Text Char Char,Footnote Text Char Char Char Char Char,Footnote Text Char Char Char,Char,o"/>
    <w:basedOn w:val="Normal"/>
    <w:link w:val="FootnoteTextChar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text Char,Footnote Text Char Char Char Char Char1,Footnote Text Char Char Char1,Char Char,o Char"/>
    <w:basedOn w:val="DefaultParagraphFont"/>
    <w:link w:val="FootnoteText"/>
    <w:rPr>
      <w:sz w:val="20"/>
      <w:szCs w:val="20"/>
      <w:lang w:val="bg-BG"/>
    </w:rPr>
  </w:style>
  <w:style w:type="character" w:styleId="FootnoteReference">
    <w:name w:val="footnote reference"/>
    <w:aliases w:val="Footnote symbol,Footnote reference number,note TESI,BVI fnr,Appel note de bas de p,Nota,SUPERS,Footnote number,Footnote Reference Superscript,EN Footnote Reference,-E Fußnotenzeichen,number Char Char,number,Ref,styl,styli,de nota al p"/>
    <w:link w:val="SUPERSCharCharCharCharCharCharCharChar"/>
    <w:unhideWhenUsed/>
    <w:qFormat/>
    <w:rPr>
      <w:sz w:val="20"/>
      <w:vertAlign w:val="superscript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ormal"/>
    <w:link w:val="FootnoteReference"/>
    <w:pPr>
      <w:spacing w:before="60" w:line="240" w:lineRule="exact"/>
    </w:pPr>
    <w:rPr>
      <w:sz w:val="20"/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Bullet1Space">
    <w:name w:val="Bullet 1 Space"/>
    <w:aliases w:val="Bullet1Last,BTBullet1Last"/>
    <w:basedOn w:val="Normal"/>
    <w:link w:val="BTBullet1LastChar"/>
    <w:uiPriority w:val="6"/>
    <w:qFormat/>
    <w:pPr>
      <w:tabs>
        <w:tab w:val="num" w:pos="283"/>
      </w:tabs>
      <w:spacing w:before="120" w:after="120" w:line="240" w:lineRule="auto"/>
      <w:ind w:left="283" w:hanging="283"/>
    </w:pPr>
    <w:rPr>
      <w:rFonts w:ascii="Verdana" w:hAnsi="Verdana"/>
      <w:color w:val="000000" w:themeColor="text1"/>
      <w:sz w:val="20"/>
    </w:rPr>
  </w:style>
  <w:style w:type="character" w:customStyle="1" w:styleId="BTBullet1LastChar">
    <w:name w:val="BTBullet1Last Char"/>
    <w:link w:val="Bullet1Space"/>
    <w:uiPriority w:val="6"/>
    <w:locked/>
    <w:rPr>
      <w:rFonts w:ascii="Verdana" w:hAnsi="Verdana"/>
      <w:color w:val="000000" w:themeColor="text1"/>
      <w:sz w:val="20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customStyle="1" w:styleId="BVIfnrCharCar1CarChar">
    <w:name w:val="BVI fnr Char Car1 Car Char"/>
    <w:aliases w:val="BVI fnr Char Car Car Char,ftref Char Car Car Char,BVI fnr Char Car Char Char Car Car Char,ftref Char Car Char Char Car Car Char,BVI fnr Char"/>
    <w:basedOn w:val="Normal"/>
    <w:next w:val="Normal"/>
    <w:pPr>
      <w:spacing w:before="30" w:line="240" w:lineRule="exact"/>
      <w:jc w:val="both"/>
    </w:pPr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EN/TXT/?uri=CELEX:32018R1046" TargetMode="External"/><Relationship Id="rId1" Type="http://schemas.openxmlformats.org/officeDocument/2006/relationships/hyperlink" Target="https://eur-lex.europa.eu/legal-content/EN/TXT/?qid=1476965532409&amp;uri=CELEX:32015D0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7ED4-036B-4989-9BB8-1C168FC6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1119</Words>
  <Characters>6473</Characters>
  <Application>Microsoft Office Word</Application>
  <DocSecurity>0</DocSecurity>
  <Lines>104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dcterms:created xsi:type="dcterms:W3CDTF">2021-03-17T09:14:00Z</dcterms:created>
  <dcterms:modified xsi:type="dcterms:W3CDTF">2021-03-30T08:15:00Z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7.0.1, Build 20190916</vt:lpwstr>
  </property>
  <property fmtid="{D5CDD505-2E9C-101B-9397-08002B2CF9AE}" pid="8" name="Created using">
    <vt:lpwstr>LW 7.0, Build 20190717</vt:lpwstr>
  </property>
</Properties>
</file>