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A61" w:rsidRDefault="00E23CE1" w:rsidP="00E23CE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014CF8E-1274-4D81-8717-D47A9B2BC05F" style="width:450.55pt;height:389.25pt">
            <v:imagedata r:id="rId12" o:title=""/>
          </v:shape>
        </w:pict>
      </w:r>
    </w:p>
    <w:bookmarkEnd w:id="0"/>
    <w:p w:rsidR="00343A61" w:rsidRDefault="00343A61">
      <w:pPr>
        <w:rPr>
          <w:noProof/>
        </w:rPr>
        <w:sectPr w:rsidR="00343A61" w:rsidSect="00E23CE1">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rsidR="00343A61" w:rsidRDefault="00C85AE7">
      <w:pPr>
        <w:rPr>
          <w:rFonts w:ascii="Times New Roman" w:hAnsi="Times New Roman" w:cs="Times New Roman"/>
          <w:noProof/>
          <w:sz w:val="24"/>
          <w:szCs w:val="24"/>
        </w:rPr>
      </w:pPr>
      <w:r>
        <w:rPr>
          <w:rFonts w:ascii="Times New Roman" w:hAnsi="Times New Roman"/>
          <w:noProof/>
          <w:sz w:val="24"/>
          <w:szCs w:val="24"/>
        </w:rPr>
        <w:lastRenderedPageBreak/>
        <w:t>Като взе предвид:</w:t>
      </w:r>
    </w:p>
    <w:p w:rsidR="00343A61" w:rsidRDefault="00C85AE7">
      <w:pPr>
        <w:pStyle w:val="Tiret0"/>
        <w:rPr>
          <w:noProof/>
        </w:rPr>
      </w:pPr>
      <w:r>
        <w:rPr>
          <w:noProof/>
        </w:rPr>
        <w:t xml:space="preserve">Договора за функционирането на Европейския съюз, и по-специално член 314 от него, във връзка с Договора за създаване на </w:t>
      </w:r>
      <w:r>
        <w:rPr>
          <w:noProof/>
        </w:rPr>
        <w:t>Европейската общност за атомна енергия, и по-специално член 106а от него,</w:t>
      </w:r>
    </w:p>
    <w:p w:rsidR="00343A61" w:rsidRDefault="00C85AE7">
      <w:pPr>
        <w:pStyle w:val="Tiret0"/>
        <w:tabs>
          <w:tab w:val="clear" w:pos="850"/>
          <w:tab w:val="num" w:pos="927"/>
        </w:tabs>
        <w:rPr>
          <w:noProof/>
        </w:rPr>
      </w:pPr>
      <w:r>
        <w:rPr>
          <w:noProof/>
        </w:rPr>
        <w:t>Регламент (ЕС, Евратом) 2018/1046 на Европейския парламент и на Съвета от 18 юли 2018 г. за финансовите правила, приложими за общия бюджет на Съюза (...)</w:t>
      </w:r>
      <w:r>
        <w:rPr>
          <w:rStyle w:val="FootnoteReference"/>
          <w:noProof/>
        </w:rPr>
        <w:footnoteReference w:id="2"/>
      </w:r>
      <w:r>
        <w:rPr>
          <w:noProof/>
        </w:rPr>
        <w:t xml:space="preserve">, и по-специално член 44 от </w:t>
      </w:r>
      <w:r>
        <w:rPr>
          <w:noProof/>
        </w:rPr>
        <w:t>него,</w:t>
      </w:r>
    </w:p>
    <w:p w:rsidR="00343A61" w:rsidRDefault="00C85AE7">
      <w:pPr>
        <w:pStyle w:val="Tiret0"/>
        <w:tabs>
          <w:tab w:val="clear" w:pos="850"/>
          <w:tab w:val="num" w:pos="927"/>
        </w:tabs>
        <w:rPr>
          <w:noProof/>
        </w:rPr>
      </w:pPr>
      <w:r>
        <w:rPr>
          <w:noProof/>
        </w:rPr>
        <w:t>общия бюджет на Европейския съюз за финансовата 2021 година, приет на 18 декември 2020 г.</w:t>
      </w:r>
      <w:r>
        <w:rPr>
          <w:rStyle w:val="FootnoteReference"/>
          <w:noProof/>
        </w:rPr>
        <w:footnoteReference w:id="3"/>
      </w:r>
      <w:r>
        <w:rPr>
          <w:noProof/>
        </w:rPr>
        <w:t>,</w:t>
      </w:r>
    </w:p>
    <w:p w:rsidR="00343A61" w:rsidRDefault="00C85AE7">
      <w:pPr>
        <w:pStyle w:val="Tiret0"/>
        <w:rPr>
          <w:noProof/>
        </w:rPr>
      </w:pPr>
      <w:r>
        <w:rPr>
          <w:noProof/>
        </w:rPr>
        <w:t>проект на коригиращ бюджет № 1/2021</w:t>
      </w:r>
      <w:r>
        <w:rPr>
          <w:rStyle w:val="FootnoteReference"/>
          <w:noProof/>
        </w:rPr>
        <w:footnoteReference w:id="4"/>
      </w:r>
      <w:r>
        <w:rPr>
          <w:noProof/>
        </w:rPr>
        <w:t>, приет на 22 януари 2021 г.,</w:t>
      </w:r>
    </w:p>
    <w:p w:rsidR="00343A61" w:rsidRDefault="00C85A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 настоящото Европейската комисия представя на Европейския парламент и на Съвета проект на к</w:t>
      </w:r>
      <w:r>
        <w:rPr>
          <w:rFonts w:ascii="Times New Roman" w:hAnsi="Times New Roman"/>
          <w:noProof/>
          <w:sz w:val="24"/>
          <w:szCs w:val="24"/>
        </w:rPr>
        <w:t>оригиращ бюджет № 2 към бюджета за 2021 г.</w:t>
      </w:r>
    </w:p>
    <w:p w:rsidR="00343A61" w:rsidRDefault="00343A61">
      <w:pPr>
        <w:spacing w:after="0" w:line="240" w:lineRule="auto"/>
        <w:rPr>
          <w:rFonts w:ascii="Times New Roman" w:eastAsia="Times New Roman" w:hAnsi="Times New Roman" w:cs="Times New Roman"/>
          <w:b/>
          <w:noProof/>
          <w:sz w:val="24"/>
          <w:szCs w:val="24"/>
          <w:u w:val="single"/>
          <w:lang w:eastAsia="en-GB"/>
        </w:rPr>
      </w:pPr>
    </w:p>
    <w:p w:rsidR="00343A61" w:rsidRDefault="00C85AE7">
      <w:pPr>
        <w:spacing w:after="0" w:line="240" w:lineRule="auto"/>
        <w:jc w:val="both"/>
        <w:rPr>
          <w:rFonts w:ascii="Times New Roman" w:eastAsia="Times New Roman" w:hAnsi="Times New Roman" w:cs="Times New Roman"/>
          <w:b/>
          <w:noProof/>
          <w:sz w:val="24"/>
          <w:szCs w:val="24"/>
          <w:u w:val="single"/>
        </w:rPr>
      </w:pPr>
      <w:r>
        <w:rPr>
          <w:rFonts w:ascii="Times New Roman" w:hAnsi="Times New Roman"/>
          <w:b/>
          <w:noProof/>
          <w:sz w:val="24"/>
          <w:szCs w:val="24"/>
          <w:u w:val="single"/>
        </w:rPr>
        <w:t>ПРОМЕНИ В ПРИХОДНАТА И РАЗХОДНАТА ЧАСТ НА БЮДЖЕТА ПО РАЗДЕЛИ</w:t>
      </w:r>
    </w:p>
    <w:p w:rsidR="00343A61" w:rsidRDefault="00343A61">
      <w:pPr>
        <w:spacing w:after="0" w:line="240" w:lineRule="auto"/>
        <w:rPr>
          <w:rFonts w:ascii="Times New Roman" w:eastAsia="Times New Roman" w:hAnsi="Times New Roman" w:cs="Times New Roman"/>
          <w:b/>
          <w:noProof/>
          <w:sz w:val="24"/>
          <w:szCs w:val="24"/>
          <w:u w:val="single"/>
          <w:lang w:eastAsia="ko-KR"/>
        </w:rPr>
      </w:pPr>
    </w:p>
    <w:p w:rsidR="00343A61" w:rsidRDefault="00C85A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Промените в общата приходна част и в отделния раздел III са достъпни в EUR-Lex</w:t>
      </w:r>
      <w:r>
        <w:rPr>
          <w:noProof/>
        </w:rPr>
        <w:t xml:space="preserve"> </w:t>
      </w:r>
      <w:r>
        <w:rPr>
          <w:rFonts w:ascii="Times New Roman" w:hAnsi="Times New Roman"/>
          <w:noProof/>
          <w:sz w:val="24"/>
          <w:szCs w:val="24"/>
        </w:rPr>
        <w:t>(</w:t>
      </w:r>
      <w:hyperlink r:id="rId19" w:history="1">
        <w:r>
          <w:rPr>
            <w:rFonts w:ascii="Times New Roman" w:hAnsi="Times New Roman"/>
            <w:noProof/>
            <w:color w:val="0000FF"/>
            <w:sz w:val="24"/>
            <w:szCs w:val="24"/>
            <w:u w:val="single"/>
          </w:rPr>
          <w:t>https://eur-lex.europa.eu/budget/www/index-bg.htm</w:t>
        </w:r>
      </w:hyperlink>
      <w:r>
        <w:rPr>
          <w:rFonts w:ascii="Times New Roman" w:hAnsi="Times New Roman"/>
          <w:noProof/>
          <w:sz w:val="24"/>
          <w:szCs w:val="24"/>
        </w:rPr>
        <w:t>).</w:t>
      </w:r>
    </w:p>
    <w:p w:rsidR="00343A61" w:rsidRDefault="00343A61">
      <w:pPr>
        <w:spacing w:after="0" w:line="240" w:lineRule="auto"/>
        <w:rPr>
          <w:rFonts w:ascii="Times New Roman" w:eastAsia="Times New Roman" w:hAnsi="Times New Roman" w:cs="Times New Roman"/>
          <w:noProof/>
          <w:sz w:val="24"/>
          <w:szCs w:val="24"/>
          <w:lang w:eastAsia="en-GB"/>
        </w:rPr>
        <w:sectPr w:rsidR="00343A61">
          <w:headerReference w:type="even" r:id="rId20"/>
          <w:headerReference w:type="default" r:id="rId21"/>
          <w:footerReference w:type="even" r:id="rId22"/>
          <w:footerReference w:type="default" r:id="rId23"/>
          <w:headerReference w:type="first" r:id="rId24"/>
          <w:footerReference w:type="first" r:id="rId25"/>
          <w:pgSz w:w="11907" w:h="16839"/>
          <w:pgMar w:top="1134" w:right="1417" w:bottom="1134" w:left="1417" w:header="709" w:footer="709" w:gutter="0"/>
          <w:cols w:space="708"/>
          <w:docGrid w:linePitch="360"/>
        </w:sectPr>
      </w:pPr>
    </w:p>
    <w:bookmarkStart w:id="1" w:name="_Toc194220890" w:displacedByCustomXml="next"/>
    <w:bookmarkStart w:id="2" w:name="_Toc294675429" w:displacedByCustomXml="next"/>
    <w:bookmarkStart w:id="3" w:name="_Toc378575883" w:displacedByCustomXml="next"/>
    <w:sdt>
      <w:sdtPr>
        <w:rPr>
          <w:rFonts w:ascii="Times New Roman" w:eastAsia="Times New Roman" w:hAnsi="Times New Roman" w:cs="Times New Roman"/>
          <w:noProof/>
          <w:sz w:val="24"/>
          <w:szCs w:val="24"/>
        </w:rPr>
        <w:id w:val="-1342782297"/>
        <w:docPartObj>
          <w:docPartGallery w:val="Table of Contents"/>
          <w:docPartUnique/>
        </w:docPartObj>
      </w:sdtPr>
      <w:sdtEndPr>
        <w:rPr>
          <w:bCs/>
        </w:rPr>
      </w:sdtEndPr>
      <w:sdtContent>
        <w:p w:rsidR="00343A61" w:rsidRDefault="00C85AE7">
          <w:pPr>
            <w:spacing w:before="120" w:after="240" w:line="240" w:lineRule="auto"/>
            <w:jc w:val="center"/>
            <w:rPr>
              <w:rFonts w:ascii="Times New Roman" w:eastAsia="Times New Roman" w:hAnsi="Times New Roman" w:cs="Times New Roman"/>
              <w:b/>
              <w:noProof/>
              <w:sz w:val="24"/>
              <w:szCs w:val="24"/>
            </w:rPr>
          </w:pPr>
          <w:r>
            <w:rPr>
              <w:rFonts w:ascii="Times New Roman" w:hAnsi="Times New Roman"/>
              <w:b/>
              <w:noProof/>
              <w:sz w:val="24"/>
              <w:szCs w:val="24"/>
            </w:rPr>
            <w:t>Съдържание</w:t>
          </w:r>
        </w:p>
        <w:p w:rsidR="00343A61" w:rsidRDefault="00C85AE7">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r>
            <w:rPr>
              <w:b w:val="0"/>
              <w:bCs w:val="0"/>
              <w:noProof/>
              <w:sz w:val="24"/>
              <w:szCs w:val="24"/>
            </w:rPr>
            <w:fldChar w:fldCharType="begin"/>
          </w:r>
          <w:r>
            <w:rPr>
              <w:noProof/>
              <w:sz w:val="24"/>
              <w:szCs w:val="24"/>
            </w:rPr>
            <w:instrText xml:space="preserve"> TOC \o "1-3" \h \z \u </w:instrText>
          </w:r>
          <w:r>
            <w:rPr>
              <w:b w:val="0"/>
              <w:bCs w:val="0"/>
              <w:noProof/>
              <w:sz w:val="24"/>
              <w:szCs w:val="24"/>
            </w:rPr>
            <w:fldChar w:fldCharType="separate"/>
          </w:r>
          <w:hyperlink w:anchor="_Toc68801877" w:history="1">
            <w:r>
              <w:rPr>
                <w:rStyle w:val="Hyperlink"/>
                <w:smallCaps/>
                <w:noProof/>
              </w:rPr>
              <w:t>1.</w:t>
            </w:r>
            <w:r>
              <w:rPr>
                <w:rFonts w:asciiTheme="minorHAnsi" w:eastAsiaTheme="minorEastAsia" w:hAnsiTheme="minorHAnsi" w:cstheme="minorBidi"/>
                <w:b w:val="0"/>
                <w:bCs w:val="0"/>
                <w:caps w:val="0"/>
                <w:noProof/>
                <w:sz w:val="22"/>
                <w:szCs w:val="22"/>
                <w:lang w:val="en-US" w:eastAsia="en-US"/>
              </w:rPr>
              <w:tab/>
            </w:r>
            <w:r>
              <w:rPr>
                <w:rStyle w:val="Hyperlink"/>
                <w:smallCaps/>
                <w:noProof/>
              </w:rPr>
              <w:t>Въведение</w:t>
            </w:r>
            <w:r>
              <w:rPr>
                <w:noProof/>
                <w:webHidden/>
              </w:rPr>
              <w:tab/>
            </w:r>
            <w:r>
              <w:rPr>
                <w:noProof/>
                <w:webHidden/>
              </w:rPr>
              <w:fldChar w:fldCharType="begin"/>
            </w:r>
            <w:r>
              <w:rPr>
                <w:noProof/>
                <w:webHidden/>
              </w:rPr>
              <w:instrText xml:space="preserve"> PAGEREF _Toc68801877 \h </w:instrText>
            </w:r>
            <w:r>
              <w:rPr>
                <w:noProof/>
                <w:webHidden/>
              </w:rPr>
            </w:r>
            <w:r>
              <w:rPr>
                <w:noProof/>
                <w:webHidden/>
              </w:rPr>
              <w:fldChar w:fldCharType="separate"/>
            </w:r>
            <w:r>
              <w:rPr>
                <w:noProof/>
                <w:webHidden/>
              </w:rPr>
              <w:t>3</w:t>
            </w:r>
            <w:r>
              <w:rPr>
                <w:noProof/>
                <w:webHidden/>
              </w:rPr>
              <w:fldChar w:fldCharType="end"/>
            </w:r>
          </w:hyperlink>
        </w:p>
        <w:p w:rsidR="00343A61" w:rsidRDefault="00C85AE7">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68801878" w:history="1">
            <w:r>
              <w:rPr>
                <w:rStyle w:val="Hyperlink"/>
                <w:smallCaps/>
                <w:noProof/>
              </w:rPr>
              <w:t>2.</w:t>
            </w:r>
            <w:r>
              <w:rPr>
                <w:rFonts w:asciiTheme="minorHAnsi" w:eastAsiaTheme="minorEastAsia" w:hAnsiTheme="minorHAnsi" w:cstheme="minorBidi"/>
                <w:b w:val="0"/>
                <w:bCs w:val="0"/>
                <w:caps w:val="0"/>
                <w:noProof/>
                <w:sz w:val="22"/>
                <w:szCs w:val="22"/>
                <w:lang w:val="en-US" w:eastAsia="en-US"/>
              </w:rPr>
              <w:tab/>
            </w:r>
            <w:r>
              <w:rPr>
                <w:rStyle w:val="Hyperlink"/>
                <w:smallCaps/>
                <w:noProof/>
              </w:rPr>
              <w:t>Финансиране на мерките за борба с COVID-19</w:t>
            </w:r>
            <w:r>
              <w:rPr>
                <w:noProof/>
                <w:webHidden/>
              </w:rPr>
              <w:tab/>
            </w:r>
            <w:r>
              <w:rPr>
                <w:noProof/>
                <w:webHidden/>
              </w:rPr>
              <w:fldChar w:fldCharType="begin"/>
            </w:r>
            <w:r>
              <w:rPr>
                <w:noProof/>
                <w:webHidden/>
              </w:rPr>
              <w:instrText xml:space="preserve"> PAGEREF _Toc68801878 \h </w:instrText>
            </w:r>
            <w:r>
              <w:rPr>
                <w:noProof/>
                <w:webHidden/>
              </w:rPr>
            </w:r>
            <w:r>
              <w:rPr>
                <w:noProof/>
                <w:webHidden/>
              </w:rPr>
              <w:fldChar w:fldCharType="separate"/>
            </w:r>
            <w:r>
              <w:rPr>
                <w:noProof/>
                <w:webHidden/>
              </w:rPr>
              <w:t>4</w:t>
            </w:r>
            <w:r>
              <w:rPr>
                <w:noProof/>
                <w:webHidden/>
              </w:rPr>
              <w:fldChar w:fldCharType="end"/>
            </w:r>
          </w:hyperlink>
        </w:p>
        <w:p w:rsidR="00343A61" w:rsidRDefault="00C85AE7">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68801879" w:history="1">
            <w:r>
              <w:rPr>
                <w:rStyle w:val="Hyperlink"/>
                <w:smallCaps/>
                <w:noProof/>
              </w:rPr>
              <w:t>3.</w:t>
            </w:r>
            <w:r>
              <w:rPr>
                <w:rFonts w:asciiTheme="minorHAnsi" w:eastAsiaTheme="minorEastAsia" w:hAnsiTheme="minorHAnsi" w:cstheme="minorBidi"/>
                <w:b w:val="0"/>
                <w:bCs w:val="0"/>
                <w:caps w:val="0"/>
                <w:noProof/>
                <w:sz w:val="22"/>
                <w:szCs w:val="22"/>
                <w:lang w:val="en-US" w:eastAsia="en-US"/>
              </w:rPr>
              <w:tab/>
            </w:r>
            <w:r>
              <w:rPr>
                <w:rStyle w:val="Hyperlink"/>
                <w:smallCaps/>
                <w:noProof/>
              </w:rPr>
              <w:t>Децентрализирани агенции и EPPO</w:t>
            </w:r>
            <w:r>
              <w:rPr>
                <w:noProof/>
                <w:webHidden/>
              </w:rPr>
              <w:tab/>
            </w:r>
            <w:r>
              <w:rPr>
                <w:noProof/>
                <w:webHidden/>
              </w:rPr>
              <w:fldChar w:fldCharType="begin"/>
            </w:r>
            <w:r>
              <w:rPr>
                <w:noProof/>
                <w:webHidden/>
              </w:rPr>
              <w:instrText xml:space="preserve"> PAGEREF _Toc68801879 \h </w:instrText>
            </w:r>
            <w:r>
              <w:rPr>
                <w:noProof/>
                <w:webHidden/>
              </w:rPr>
            </w:r>
            <w:r>
              <w:rPr>
                <w:noProof/>
                <w:webHidden/>
              </w:rPr>
              <w:fldChar w:fldCharType="separate"/>
            </w:r>
            <w:r>
              <w:rPr>
                <w:noProof/>
                <w:webHidden/>
              </w:rPr>
              <w:t>8</w:t>
            </w:r>
            <w:r>
              <w:rPr>
                <w:noProof/>
                <w:webHidden/>
              </w:rPr>
              <w:fldChar w:fldCharType="end"/>
            </w:r>
          </w:hyperlink>
        </w:p>
        <w:p w:rsidR="00343A61" w:rsidRDefault="00C85AE7">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68801880" w:history="1">
            <w:r>
              <w:rPr>
                <w:rStyle w:val="Hyperlink"/>
                <w:smallCaps/>
                <w:noProof/>
              </w:rPr>
              <w:t>3.1.</w:t>
            </w:r>
            <w:r>
              <w:rPr>
                <w:rFonts w:asciiTheme="minorHAnsi" w:eastAsiaTheme="minorEastAsia" w:hAnsiTheme="minorHAnsi" w:cstheme="minorBidi"/>
                <w:b w:val="0"/>
                <w:bCs w:val="0"/>
                <w:caps w:val="0"/>
                <w:noProof/>
                <w:sz w:val="22"/>
                <w:szCs w:val="22"/>
                <w:lang w:val="en-US" w:eastAsia="en-US"/>
              </w:rPr>
              <w:tab/>
            </w:r>
            <w:r>
              <w:rPr>
                <w:rStyle w:val="Hyperlink"/>
                <w:noProof/>
              </w:rPr>
              <w:t>Агенция на Европейския съюз за космическата програма</w:t>
            </w:r>
            <w:r>
              <w:rPr>
                <w:noProof/>
                <w:webHidden/>
              </w:rPr>
              <w:tab/>
            </w:r>
            <w:r>
              <w:rPr>
                <w:noProof/>
                <w:webHidden/>
              </w:rPr>
              <w:fldChar w:fldCharType="begin"/>
            </w:r>
            <w:r>
              <w:rPr>
                <w:noProof/>
                <w:webHidden/>
              </w:rPr>
              <w:instrText xml:space="preserve"> PAGEREF _Toc68801880 \h </w:instrText>
            </w:r>
            <w:r>
              <w:rPr>
                <w:noProof/>
                <w:webHidden/>
              </w:rPr>
            </w:r>
            <w:r>
              <w:rPr>
                <w:noProof/>
                <w:webHidden/>
              </w:rPr>
              <w:fldChar w:fldCharType="separate"/>
            </w:r>
            <w:r>
              <w:rPr>
                <w:noProof/>
                <w:webHidden/>
              </w:rPr>
              <w:t>8</w:t>
            </w:r>
            <w:r>
              <w:rPr>
                <w:noProof/>
                <w:webHidden/>
              </w:rPr>
              <w:fldChar w:fldCharType="end"/>
            </w:r>
          </w:hyperlink>
        </w:p>
        <w:p w:rsidR="00343A61" w:rsidRDefault="00C85AE7">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68801881" w:history="1">
            <w:r>
              <w:rPr>
                <w:rStyle w:val="Hyperlink"/>
                <w:smallCaps/>
                <w:noProof/>
              </w:rPr>
              <w:t>3.2.</w:t>
            </w:r>
            <w:r>
              <w:rPr>
                <w:rFonts w:asciiTheme="minorHAnsi" w:eastAsiaTheme="minorEastAsia" w:hAnsiTheme="minorHAnsi" w:cstheme="minorBidi"/>
                <w:b w:val="0"/>
                <w:bCs w:val="0"/>
                <w:caps w:val="0"/>
                <w:noProof/>
                <w:sz w:val="22"/>
                <w:szCs w:val="22"/>
                <w:lang w:val="en-US" w:eastAsia="en-US"/>
              </w:rPr>
              <w:tab/>
            </w:r>
            <w:r>
              <w:rPr>
                <w:rStyle w:val="Hyperlink"/>
                <w:noProof/>
              </w:rPr>
              <w:t>Европейска агенция за контрол на рибарството</w:t>
            </w:r>
            <w:r>
              <w:rPr>
                <w:noProof/>
                <w:webHidden/>
              </w:rPr>
              <w:tab/>
            </w:r>
            <w:r>
              <w:rPr>
                <w:noProof/>
                <w:webHidden/>
              </w:rPr>
              <w:fldChar w:fldCharType="begin"/>
            </w:r>
            <w:r>
              <w:rPr>
                <w:noProof/>
                <w:webHidden/>
              </w:rPr>
              <w:instrText xml:space="preserve"> PAGEREF _Toc68801881 \h </w:instrText>
            </w:r>
            <w:r>
              <w:rPr>
                <w:noProof/>
                <w:webHidden/>
              </w:rPr>
            </w:r>
            <w:r>
              <w:rPr>
                <w:noProof/>
                <w:webHidden/>
              </w:rPr>
              <w:fldChar w:fldCharType="separate"/>
            </w:r>
            <w:r>
              <w:rPr>
                <w:noProof/>
                <w:webHidden/>
              </w:rPr>
              <w:t>8</w:t>
            </w:r>
            <w:r>
              <w:rPr>
                <w:noProof/>
                <w:webHidden/>
              </w:rPr>
              <w:fldChar w:fldCharType="end"/>
            </w:r>
          </w:hyperlink>
        </w:p>
        <w:p w:rsidR="00343A61" w:rsidRDefault="00C85AE7">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68801882" w:history="1">
            <w:r>
              <w:rPr>
                <w:rStyle w:val="Hyperlink"/>
                <w:smallCaps/>
                <w:noProof/>
              </w:rPr>
              <w:t>3.3.</w:t>
            </w:r>
            <w:r>
              <w:rPr>
                <w:rFonts w:asciiTheme="minorHAnsi" w:eastAsiaTheme="minorEastAsia" w:hAnsiTheme="minorHAnsi" w:cstheme="minorBidi"/>
                <w:b w:val="0"/>
                <w:bCs w:val="0"/>
                <w:caps w:val="0"/>
                <w:noProof/>
                <w:sz w:val="22"/>
                <w:szCs w:val="22"/>
                <w:lang w:val="en-US" w:eastAsia="en-US"/>
              </w:rPr>
              <w:tab/>
            </w:r>
            <w:r>
              <w:rPr>
                <w:rStyle w:val="Hyperlink"/>
                <w:noProof/>
              </w:rPr>
              <w:t>Европейска прокуратура</w:t>
            </w:r>
            <w:r>
              <w:rPr>
                <w:noProof/>
                <w:webHidden/>
              </w:rPr>
              <w:tab/>
            </w:r>
            <w:r>
              <w:rPr>
                <w:noProof/>
                <w:webHidden/>
              </w:rPr>
              <w:fldChar w:fldCharType="begin"/>
            </w:r>
            <w:r>
              <w:rPr>
                <w:noProof/>
                <w:webHidden/>
              </w:rPr>
              <w:instrText xml:space="preserve"> PAGEREF _Toc68801882 \h </w:instrText>
            </w:r>
            <w:r>
              <w:rPr>
                <w:noProof/>
                <w:webHidden/>
              </w:rPr>
            </w:r>
            <w:r>
              <w:rPr>
                <w:noProof/>
                <w:webHidden/>
              </w:rPr>
              <w:fldChar w:fldCharType="separate"/>
            </w:r>
            <w:r>
              <w:rPr>
                <w:noProof/>
                <w:webHidden/>
              </w:rPr>
              <w:t>8</w:t>
            </w:r>
            <w:r>
              <w:rPr>
                <w:noProof/>
                <w:webHidden/>
              </w:rPr>
              <w:fldChar w:fldCharType="end"/>
            </w:r>
          </w:hyperlink>
        </w:p>
        <w:p w:rsidR="00343A61" w:rsidRDefault="00C85AE7">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68801883" w:history="1">
            <w:r>
              <w:rPr>
                <w:rStyle w:val="Hyperlink"/>
                <w:smallCaps/>
                <w:noProof/>
              </w:rPr>
              <w:t>4.</w:t>
            </w:r>
            <w:r>
              <w:rPr>
                <w:rFonts w:asciiTheme="minorHAnsi" w:eastAsiaTheme="minorEastAsia" w:hAnsiTheme="minorHAnsi" w:cstheme="minorBidi"/>
                <w:b w:val="0"/>
                <w:bCs w:val="0"/>
                <w:caps w:val="0"/>
                <w:noProof/>
                <w:sz w:val="22"/>
                <w:szCs w:val="22"/>
                <w:lang w:val="en-US" w:eastAsia="en-US"/>
              </w:rPr>
              <w:tab/>
            </w:r>
            <w:r>
              <w:rPr>
                <w:rStyle w:val="Hyperlink"/>
                <w:smallCaps/>
                <w:noProof/>
              </w:rPr>
              <w:t>Изп</w:t>
            </w:r>
            <w:r>
              <w:rPr>
                <w:rStyle w:val="Hyperlink"/>
                <w:smallCaps/>
                <w:noProof/>
              </w:rPr>
              <w:t>ълнителни агенции</w:t>
            </w:r>
            <w:r>
              <w:rPr>
                <w:noProof/>
                <w:webHidden/>
              </w:rPr>
              <w:tab/>
            </w:r>
            <w:r>
              <w:rPr>
                <w:noProof/>
                <w:webHidden/>
              </w:rPr>
              <w:fldChar w:fldCharType="begin"/>
            </w:r>
            <w:r>
              <w:rPr>
                <w:noProof/>
                <w:webHidden/>
              </w:rPr>
              <w:instrText xml:space="preserve"> PAGEREF _Toc68801883 \h </w:instrText>
            </w:r>
            <w:r>
              <w:rPr>
                <w:noProof/>
                <w:webHidden/>
              </w:rPr>
            </w:r>
            <w:r>
              <w:rPr>
                <w:noProof/>
                <w:webHidden/>
              </w:rPr>
              <w:fldChar w:fldCharType="separate"/>
            </w:r>
            <w:r>
              <w:rPr>
                <w:noProof/>
                <w:webHidden/>
              </w:rPr>
              <w:t>9</w:t>
            </w:r>
            <w:r>
              <w:rPr>
                <w:noProof/>
                <w:webHidden/>
              </w:rPr>
              <w:fldChar w:fldCharType="end"/>
            </w:r>
          </w:hyperlink>
        </w:p>
        <w:p w:rsidR="00343A61" w:rsidRDefault="00C85AE7">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68801884" w:history="1">
            <w:r>
              <w:rPr>
                <w:rStyle w:val="Hyperlink"/>
                <w:smallCaps/>
                <w:noProof/>
              </w:rPr>
              <w:t>4.1.</w:t>
            </w:r>
            <w:r>
              <w:rPr>
                <w:rFonts w:asciiTheme="minorHAnsi" w:eastAsiaTheme="minorEastAsia" w:hAnsiTheme="minorHAnsi" w:cstheme="minorBidi"/>
                <w:b w:val="0"/>
                <w:bCs w:val="0"/>
                <w:caps w:val="0"/>
                <w:noProof/>
                <w:sz w:val="22"/>
                <w:szCs w:val="22"/>
                <w:lang w:val="en-US" w:eastAsia="en-US"/>
              </w:rPr>
              <w:tab/>
            </w:r>
            <w:r>
              <w:rPr>
                <w:rStyle w:val="Hyperlink"/>
                <w:noProof/>
              </w:rPr>
              <w:t>Създаване на изпълнителни агенции за периода 2021—2027 г.</w:t>
            </w:r>
            <w:r>
              <w:rPr>
                <w:noProof/>
                <w:webHidden/>
              </w:rPr>
              <w:tab/>
            </w:r>
            <w:r>
              <w:rPr>
                <w:noProof/>
                <w:webHidden/>
              </w:rPr>
              <w:fldChar w:fldCharType="begin"/>
            </w:r>
            <w:r>
              <w:rPr>
                <w:noProof/>
                <w:webHidden/>
              </w:rPr>
              <w:instrText xml:space="preserve"> PAGEREF _Toc68801884 \h </w:instrText>
            </w:r>
            <w:r>
              <w:rPr>
                <w:noProof/>
                <w:webHidden/>
              </w:rPr>
            </w:r>
            <w:r>
              <w:rPr>
                <w:noProof/>
                <w:webHidden/>
              </w:rPr>
              <w:fldChar w:fldCharType="separate"/>
            </w:r>
            <w:r>
              <w:rPr>
                <w:noProof/>
                <w:webHidden/>
              </w:rPr>
              <w:t>9</w:t>
            </w:r>
            <w:r>
              <w:rPr>
                <w:noProof/>
                <w:webHidden/>
              </w:rPr>
              <w:fldChar w:fldCharType="end"/>
            </w:r>
          </w:hyperlink>
        </w:p>
        <w:p w:rsidR="00343A61" w:rsidRDefault="00C85AE7">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68801885" w:history="1">
            <w:r>
              <w:rPr>
                <w:rStyle w:val="Hyperlink"/>
                <w:smallCaps/>
                <w:noProof/>
              </w:rPr>
              <w:t>4.2.</w:t>
            </w:r>
            <w:r>
              <w:rPr>
                <w:rFonts w:asciiTheme="minorHAnsi" w:eastAsiaTheme="minorEastAsia" w:hAnsiTheme="minorHAnsi" w:cstheme="minorBidi"/>
                <w:b w:val="0"/>
                <w:bCs w:val="0"/>
                <w:caps w:val="0"/>
                <w:noProof/>
                <w:sz w:val="22"/>
                <w:szCs w:val="22"/>
                <w:lang w:val="en-US" w:eastAsia="en-US"/>
              </w:rPr>
              <w:tab/>
            </w:r>
            <w:r>
              <w:rPr>
                <w:rStyle w:val="Hyperlink"/>
                <w:noProof/>
              </w:rPr>
              <w:t>Отражение върху бюджетните кредити</w:t>
            </w:r>
            <w:r>
              <w:rPr>
                <w:noProof/>
                <w:webHidden/>
              </w:rPr>
              <w:tab/>
            </w:r>
            <w:r>
              <w:rPr>
                <w:noProof/>
                <w:webHidden/>
              </w:rPr>
              <w:fldChar w:fldCharType="begin"/>
            </w:r>
            <w:r>
              <w:rPr>
                <w:noProof/>
                <w:webHidden/>
              </w:rPr>
              <w:instrText xml:space="preserve"> PAGEREF _Toc68801885 \h </w:instrText>
            </w:r>
            <w:r>
              <w:rPr>
                <w:noProof/>
                <w:webHidden/>
              </w:rPr>
            </w:r>
            <w:r>
              <w:rPr>
                <w:noProof/>
                <w:webHidden/>
              </w:rPr>
              <w:fldChar w:fldCharType="separate"/>
            </w:r>
            <w:r>
              <w:rPr>
                <w:noProof/>
                <w:webHidden/>
              </w:rPr>
              <w:t>10</w:t>
            </w:r>
            <w:r>
              <w:rPr>
                <w:noProof/>
                <w:webHidden/>
              </w:rPr>
              <w:fldChar w:fldCharType="end"/>
            </w:r>
          </w:hyperlink>
        </w:p>
        <w:p w:rsidR="00343A61" w:rsidRDefault="00C85AE7">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68801886" w:history="1">
            <w:r>
              <w:rPr>
                <w:rStyle w:val="Hyperlink"/>
                <w:smallCaps/>
                <w:noProof/>
              </w:rPr>
              <w:t>4.3.</w:t>
            </w:r>
            <w:r>
              <w:rPr>
                <w:rFonts w:asciiTheme="minorHAnsi" w:eastAsiaTheme="minorEastAsia" w:hAnsiTheme="minorHAnsi" w:cstheme="minorBidi"/>
                <w:b w:val="0"/>
                <w:bCs w:val="0"/>
                <w:caps w:val="0"/>
                <w:noProof/>
                <w:sz w:val="22"/>
                <w:szCs w:val="22"/>
                <w:lang w:val="en-US" w:eastAsia="en-US"/>
              </w:rPr>
              <w:tab/>
            </w:r>
            <w:r>
              <w:rPr>
                <w:rStyle w:val="Hyperlink"/>
                <w:noProof/>
              </w:rPr>
              <w:t>Въздействие върху човешките ресурси</w:t>
            </w:r>
            <w:r>
              <w:rPr>
                <w:noProof/>
                <w:webHidden/>
              </w:rPr>
              <w:tab/>
            </w:r>
            <w:r>
              <w:rPr>
                <w:noProof/>
                <w:webHidden/>
              </w:rPr>
              <w:fldChar w:fldCharType="begin"/>
            </w:r>
            <w:r>
              <w:rPr>
                <w:noProof/>
                <w:webHidden/>
              </w:rPr>
              <w:instrText xml:space="preserve"> PAGEREF _Toc68801886 \h </w:instrText>
            </w:r>
            <w:r>
              <w:rPr>
                <w:noProof/>
                <w:webHidden/>
              </w:rPr>
            </w:r>
            <w:r>
              <w:rPr>
                <w:noProof/>
                <w:webHidden/>
              </w:rPr>
              <w:fldChar w:fldCharType="separate"/>
            </w:r>
            <w:r>
              <w:rPr>
                <w:noProof/>
                <w:webHidden/>
              </w:rPr>
              <w:t>13</w:t>
            </w:r>
            <w:r>
              <w:rPr>
                <w:noProof/>
                <w:webHidden/>
              </w:rPr>
              <w:fldChar w:fldCharType="end"/>
            </w:r>
          </w:hyperlink>
        </w:p>
        <w:p w:rsidR="00343A61" w:rsidRDefault="00C85AE7">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68801887" w:history="1">
            <w:r>
              <w:rPr>
                <w:rStyle w:val="Hyperlink"/>
                <w:smallCaps/>
                <w:noProof/>
              </w:rPr>
              <w:t>5.</w:t>
            </w:r>
            <w:r>
              <w:rPr>
                <w:rFonts w:asciiTheme="minorHAnsi" w:eastAsiaTheme="minorEastAsia" w:hAnsiTheme="minorHAnsi" w:cstheme="minorBidi"/>
                <w:b w:val="0"/>
                <w:bCs w:val="0"/>
                <w:caps w:val="0"/>
                <w:noProof/>
                <w:sz w:val="22"/>
                <w:szCs w:val="22"/>
                <w:lang w:val="en-US" w:eastAsia="en-US"/>
              </w:rPr>
              <w:tab/>
            </w:r>
            <w:r>
              <w:rPr>
                <w:rStyle w:val="Hyperlink"/>
                <w:smallCaps/>
                <w:noProof/>
              </w:rPr>
              <w:t>Съвместни предприятия</w:t>
            </w:r>
            <w:r>
              <w:rPr>
                <w:noProof/>
                <w:webHidden/>
              </w:rPr>
              <w:tab/>
            </w:r>
            <w:r>
              <w:rPr>
                <w:noProof/>
                <w:webHidden/>
              </w:rPr>
              <w:fldChar w:fldCharType="begin"/>
            </w:r>
            <w:r>
              <w:rPr>
                <w:noProof/>
                <w:webHidden/>
              </w:rPr>
              <w:instrText xml:space="preserve"> PAGEREF _Toc68801887 \h </w:instrText>
            </w:r>
            <w:r>
              <w:rPr>
                <w:noProof/>
                <w:webHidden/>
              </w:rPr>
            </w:r>
            <w:r>
              <w:rPr>
                <w:noProof/>
                <w:webHidden/>
              </w:rPr>
              <w:fldChar w:fldCharType="separate"/>
            </w:r>
            <w:r>
              <w:rPr>
                <w:noProof/>
                <w:webHidden/>
              </w:rPr>
              <w:t>15</w:t>
            </w:r>
            <w:r>
              <w:rPr>
                <w:noProof/>
                <w:webHidden/>
              </w:rPr>
              <w:fldChar w:fldCharType="end"/>
            </w:r>
          </w:hyperlink>
        </w:p>
        <w:p w:rsidR="00343A61" w:rsidRDefault="00C85AE7">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68801888" w:history="1">
            <w:r>
              <w:rPr>
                <w:rStyle w:val="Hyperlink"/>
                <w:smallCaps/>
                <w:noProof/>
              </w:rPr>
              <w:t>6.</w:t>
            </w:r>
            <w:r>
              <w:rPr>
                <w:rFonts w:asciiTheme="minorHAnsi" w:eastAsiaTheme="minorEastAsia" w:hAnsiTheme="minorHAnsi" w:cstheme="minorBidi"/>
                <w:b w:val="0"/>
                <w:bCs w:val="0"/>
                <w:caps w:val="0"/>
                <w:noProof/>
                <w:sz w:val="22"/>
                <w:szCs w:val="22"/>
                <w:lang w:val="en-US" w:eastAsia="en-US"/>
              </w:rPr>
              <w:tab/>
            </w:r>
            <w:r>
              <w:rPr>
                <w:rStyle w:val="Hyperlink"/>
                <w:smallCaps/>
                <w:noProof/>
              </w:rPr>
              <w:t>REACT-EU</w:t>
            </w:r>
            <w:r>
              <w:rPr>
                <w:noProof/>
                <w:webHidden/>
              </w:rPr>
              <w:tab/>
            </w:r>
            <w:r>
              <w:rPr>
                <w:noProof/>
                <w:webHidden/>
              </w:rPr>
              <w:fldChar w:fldCharType="begin"/>
            </w:r>
            <w:r>
              <w:rPr>
                <w:noProof/>
                <w:webHidden/>
              </w:rPr>
              <w:instrText xml:space="preserve"> PAGEREF _Toc68801888 \h </w:instrText>
            </w:r>
            <w:r>
              <w:rPr>
                <w:noProof/>
                <w:webHidden/>
              </w:rPr>
            </w:r>
            <w:r>
              <w:rPr>
                <w:noProof/>
                <w:webHidden/>
              </w:rPr>
              <w:fldChar w:fldCharType="separate"/>
            </w:r>
            <w:r>
              <w:rPr>
                <w:noProof/>
                <w:webHidden/>
              </w:rPr>
              <w:t>15</w:t>
            </w:r>
            <w:r>
              <w:rPr>
                <w:noProof/>
                <w:webHidden/>
              </w:rPr>
              <w:fldChar w:fldCharType="end"/>
            </w:r>
          </w:hyperlink>
        </w:p>
        <w:p w:rsidR="00343A61" w:rsidRDefault="00C85AE7">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68801889" w:history="1">
            <w:r>
              <w:rPr>
                <w:rStyle w:val="Hyperlink"/>
                <w:smallCaps/>
                <w:noProof/>
              </w:rPr>
              <w:t>7.</w:t>
            </w:r>
            <w:r>
              <w:rPr>
                <w:rFonts w:asciiTheme="minorHAnsi" w:eastAsiaTheme="minorEastAsia" w:hAnsiTheme="minorHAnsi" w:cstheme="minorBidi"/>
                <w:b w:val="0"/>
                <w:bCs w:val="0"/>
                <w:caps w:val="0"/>
                <w:noProof/>
                <w:sz w:val="22"/>
                <w:szCs w:val="22"/>
                <w:lang w:val="en-US" w:eastAsia="en-US"/>
              </w:rPr>
              <w:tab/>
            </w:r>
            <w:r>
              <w:rPr>
                <w:rStyle w:val="Hyperlink"/>
                <w:smallCaps/>
                <w:noProof/>
              </w:rPr>
              <w:t>Изтегляне напред във времето на провизирането на ЕФУР+</w:t>
            </w:r>
            <w:r>
              <w:rPr>
                <w:noProof/>
                <w:webHidden/>
              </w:rPr>
              <w:tab/>
            </w:r>
            <w:r>
              <w:rPr>
                <w:noProof/>
                <w:webHidden/>
              </w:rPr>
              <w:fldChar w:fldCharType="begin"/>
            </w:r>
            <w:r>
              <w:rPr>
                <w:noProof/>
                <w:webHidden/>
              </w:rPr>
              <w:instrText xml:space="preserve"> PAGEREF _Toc68801889 \h </w:instrText>
            </w:r>
            <w:r>
              <w:rPr>
                <w:noProof/>
                <w:webHidden/>
              </w:rPr>
            </w:r>
            <w:r>
              <w:rPr>
                <w:noProof/>
                <w:webHidden/>
              </w:rPr>
              <w:fldChar w:fldCharType="separate"/>
            </w:r>
            <w:r>
              <w:rPr>
                <w:noProof/>
                <w:webHidden/>
              </w:rPr>
              <w:t>16</w:t>
            </w:r>
            <w:r>
              <w:rPr>
                <w:noProof/>
                <w:webHidden/>
              </w:rPr>
              <w:fldChar w:fldCharType="end"/>
            </w:r>
          </w:hyperlink>
        </w:p>
        <w:p w:rsidR="00343A61" w:rsidRDefault="00C85AE7">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68801890" w:history="1">
            <w:r>
              <w:rPr>
                <w:rStyle w:val="Hyperlink"/>
                <w:smallCaps/>
                <w:noProof/>
              </w:rPr>
              <w:t>8.</w:t>
            </w:r>
            <w:r>
              <w:rPr>
                <w:rFonts w:asciiTheme="minorHAnsi" w:eastAsiaTheme="minorEastAsia" w:hAnsiTheme="minorHAnsi" w:cstheme="minorBidi"/>
                <w:b w:val="0"/>
                <w:bCs w:val="0"/>
                <w:caps w:val="0"/>
                <w:noProof/>
                <w:sz w:val="22"/>
                <w:szCs w:val="22"/>
                <w:lang w:val="en-US" w:eastAsia="en-US"/>
              </w:rPr>
              <w:tab/>
            </w:r>
            <w:r>
              <w:rPr>
                <w:rStyle w:val="Hyperlink"/>
                <w:smallCaps/>
                <w:noProof/>
              </w:rPr>
              <w:t>Други корекции и технически</w:t>
            </w:r>
            <w:r>
              <w:rPr>
                <w:rStyle w:val="Hyperlink"/>
                <w:smallCaps/>
                <w:noProof/>
              </w:rPr>
              <w:t xml:space="preserve"> актуализации</w:t>
            </w:r>
            <w:r>
              <w:rPr>
                <w:noProof/>
                <w:webHidden/>
              </w:rPr>
              <w:tab/>
            </w:r>
            <w:r>
              <w:rPr>
                <w:noProof/>
                <w:webHidden/>
              </w:rPr>
              <w:fldChar w:fldCharType="begin"/>
            </w:r>
            <w:r>
              <w:rPr>
                <w:noProof/>
                <w:webHidden/>
              </w:rPr>
              <w:instrText xml:space="preserve"> PAGEREF _Toc68801890 \h </w:instrText>
            </w:r>
            <w:r>
              <w:rPr>
                <w:noProof/>
                <w:webHidden/>
              </w:rPr>
            </w:r>
            <w:r>
              <w:rPr>
                <w:noProof/>
                <w:webHidden/>
              </w:rPr>
              <w:fldChar w:fldCharType="separate"/>
            </w:r>
            <w:r>
              <w:rPr>
                <w:noProof/>
                <w:webHidden/>
              </w:rPr>
              <w:t>16</w:t>
            </w:r>
            <w:r>
              <w:rPr>
                <w:noProof/>
                <w:webHidden/>
              </w:rPr>
              <w:fldChar w:fldCharType="end"/>
            </w:r>
          </w:hyperlink>
        </w:p>
        <w:p w:rsidR="00343A61" w:rsidRDefault="00C85AE7">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68801891" w:history="1">
            <w:r>
              <w:rPr>
                <w:rStyle w:val="Hyperlink"/>
                <w:smallCaps/>
                <w:noProof/>
              </w:rPr>
              <w:t>9.</w:t>
            </w:r>
            <w:r>
              <w:rPr>
                <w:rFonts w:asciiTheme="minorHAnsi" w:eastAsiaTheme="minorEastAsia" w:hAnsiTheme="minorHAnsi" w:cstheme="minorBidi"/>
                <w:b w:val="0"/>
                <w:bCs w:val="0"/>
                <w:caps w:val="0"/>
                <w:noProof/>
                <w:sz w:val="22"/>
                <w:szCs w:val="22"/>
                <w:lang w:val="en-US" w:eastAsia="en-US"/>
              </w:rPr>
              <w:tab/>
            </w:r>
            <w:r>
              <w:rPr>
                <w:rStyle w:val="Hyperlink"/>
                <w:smallCaps/>
                <w:noProof/>
              </w:rPr>
              <w:t>Фонд „Солидарност“ на ЕС</w:t>
            </w:r>
            <w:r>
              <w:rPr>
                <w:noProof/>
                <w:webHidden/>
              </w:rPr>
              <w:tab/>
            </w:r>
            <w:r>
              <w:rPr>
                <w:noProof/>
                <w:webHidden/>
              </w:rPr>
              <w:fldChar w:fldCharType="begin"/>
            </w:r>
            <w:r>
              <w:rPr>
                <w:noProof/>
                <w:webHidden/>
              </w:rPr>
              <w:instrText xml:space="preserve"> PAGEREF _Toc68801891 \h </w:instrText>
            </w:r>
            <w:r>
              <w:rPr>
                <w:noProof/>
                <w:webHidden/>
              </w:rPr>
            </w:r>
            <w:r>
              <w:rPr>
                <w:noProof/>
                <w:webHidden/>
              </w:rPr>
              <w:fldChar w:fldCharType="separate"/>
            </w:r>
            <w:r>
              <w:rPr>
                <w:noProof/>
                <w:webHidden/>
              </w:rPr>
              <w:t>18</w:t>
            </w:r>
            <w:r>
              <w:rPr>
                <w:noProof/>
                <w:webHidden/>
              </w:rPr>
              <w:fldChar w:fldCharType="end"/>
            </w:r>
          </w:hyperlink>
        </w:p>
        <w:p w:rsidR="00343A61" w:rsidRDefault="00C85AE7">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68801892" w:history="1">
            <w:r>
              <w:rPr>
                <w:rStyle w:val="Hyperlink"/>
                <w:smallCaps/>
                <w:noProof/>
              </w:rPr>
              <w:t>10.</w:t>
            </w:r>
            <w:r>
              <w:rPr>
                <w:rFonts w:asciiTheme="minorHAnsi" w:eastAsiaTheme="minorEastAsia" w:hAnsiTheme="minorHAnsi" w:cstheme="minorBidi"/>
                <w:b w:val="0"/>
                <w:bCs w:val="0"/>
                <w:caps w:val="0"/>
                <w:noProof/>
                <w:sz w:val="22"/>
                <w:szCs w:val="22"/>
                <w:lang w:val="en-US" w:eastAsia="en-US"/>
              </w:rPr>
              <w:tab/>
            </w:r>
            <w:r>
              <w:rPr>
                <w:rStyle w:val="Hyperlink"/>
                <w:smallCaps/>
                <w:noProof/>
              </w:rPr>
              <w:t>Финансиране</w:t>
            </w:r>
            <w:r>
              <w:rPr>
                <w:noProof/>
                <w:webHidden/>
              </w:rPr>
              <w:tab/>
            </w:r>
            <w:r>
              <w:rPr>
                <w:noProof/>
                <w:webHidden/>
              </w:rPr>
              <w:fldChar w:fldCharType="begin"/>
            </w:r>
            <w:r>
              <w:rPr>
                <w:noProof/>
                <w:webHidden/>
              </w:rPr>
              <w:instrText xml:space="preserve"> PAGEREF _Toc68801892 \h </w:instrText>
            </w:r>
            <w:r>
              <w:rPr>
                <w:noProof/>
                <w:webHidden/>
              </w:rPr>
            </w:r>
            <w:r>
              <w:rPr>
                <w:noProof/>
                <w:webHidden/>
              </w:rPr>
              <w:fldChar w:fldCharType="separate"/>
            </w:r>
            <w:r>
              <w:rPr>
                <w:noProof/>
                <w:webHidden/>
              </w:rPr>
              <w:t>18</w:t>
            </w:r>
            <w:r>
              <w:rPr>
                <w:noProof/>
                <w:webHidden/>
              </w:rPr>
              <w:fldChar w:fldCharType="end"/>
            </w:r>
          </w:hyperlink>
        </w:p>
        <w:p w:rsidR="00343A61" w:rsidRDefault="00C85AE7">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68801893" w:history="1">
            <w:r>
              <w:rPr>
                <w:rStyle w:val="Hyperlink"/>
                <w:smallCaps/>
                <w:noProof/>
              </w:rPr>
              <w:t>11.</w:t>
            </w:r>
            <w:r>
              <w:rPr>
                <w:rFonts w:asciiTheme="minorHAnsi" w:eastAsiaTheme="minorEastAsia" w:hAnsiTheme="minorHAnsi" w:cstheme="minorBidi"/>
                <w:b w:val="0"/>
                <w:bCs w:val="0"/>
                <w:caps w:val="0"/>
                <w:noProof/>
                <w:sz w:val="22"/>
                <w:szCs w:val="22"/>
                <w:lang w:val="en-US" w:eastAsia="en-US"/>
              </w:rPr>
              <w:tab/>
            </w:r>
            <w:r>
              <w:rPr>
                <w:rStyle w:val="Hyperlink"/>
                <w:smallCaps/>
                <w:noProof/>
              </w:rPr>
              <w:t>Обобщаваща таб</w:t>
            </w:r>
            <w:r>
              <w:rPr>
                <w:rStyle w:val="Hyperlink"/>
                <w:smallCaps/>
                <w:noProof/>
              </w:rPr>
              <w:t>лица по функции от МФР</w:t>
            </w:r>
            <w:r>
              <w:rPr>
                <w:noProof/>
                <w:webHidden/>
              </w:rPr>
              <w:tab/>
            </w:r>
            <w:r>
              <w:rPr>
                <w:noProof/>
                <w:webHidden/>
              </w:rPr>
              <w:fldChar w:fldCharType="begin"/>
            </w:r>
            <w:r>
              <w:rPr>
                <w:noProof/>
                <w:webHidden/>
              </w:rPr>
              <w:instrText xml:space="preserve"> PAGEREF _Toc68801893 \h </w:instrText>
            </w:r>
            <w:r>
              <w:rPr>
                <w:noProof/>
                <w:webHidden/>
              </w:rPr>
            </w:r>
            <w:r>
              <w:rPr>
                <w:noProof/>
                <w:webHidden/>
              </w:rPr>
              <w:fldChar w:fldCharType="separate"/>
            </w:r>
            <w:r>
              <w:rPr>
                <w:noProof/>
                <w:webHidden/>
              </w:rPr>
              <w:t>20</w:t>
            </w:r>
            <w:r>
              <w:rPr>
                <w:noProof/>
                <w:webHidden/>
              </w:rPr>
              <w:fldChar w:fldCharType="end"/>
            </w:r>
          </w:hyperlink>
        </w:p>
        <w:p w:rsidR="00343A61" w:rsidRDefault="00C85AE7">
          <w:pPr>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fldChar w:fldCharType="end"/>
          </w:r>
        </w:p>
      </w:sdtContent>
    </w:sdt>
    <w:p w:rsidR="00343A61" w:rsidRDefault="00343A61">
      <w:pPr>
        <w:spacing w:after="0" w:line="240" w:lineRule="auto"/>
        <w:rPr>
          <w:rFonts w:ascii="Times New Roman" w:eastAsia="Times New Roman" w:hAnsi="Times New Roman" w:cs="Times New Roman"/>
          <w:b/>
          <w:noProof/>
          <w:sz w:val="24"/>
          <w:szCs w:val="24"/>
          <w:u w:val="single"/>
          <w:lang w:eastAsia="de-DE"/>
        </w:rPr>
        <w:sectPr w:rsidR="00343A61">
          <w:headerReference w:type="even" r:id="rId26"/>
          <w:headerReference w:type="default" r:id="rId27"/>
          <w:footerReference w:type="even" r:id="rId28"/>
          <w:footerReference w:type="default" r:id="rId29"/>
          <w:headerReference w:type="first" r:id="rId30"/>
          <w:footerReference w:type="first" r:id="rId31"/>
          <w:pgSz w:w="11907" w:h="16839"/>
          <w:pgMar w:top="1021" w:right="1021" w:bottom="1021" w:left="1021" w:header="709" w:footer="709" w:gutter="0"/>
          <w:cols w:space="708"/>
          <w:docGrid w:linePitch="360"/>
        </w:sectPr>
      </w:pPr>
    </w:p>
    <w:p w:rsidR="00343A61" w:rsidRDefault="00C85AE7">
      <w:pPr>
        <w:spacing w:before="120" w:after="120" w:line="240" w:lineRule="auto"/>
        <w:jc w:val="both"/>
        <w:rPr>
          <w:rFonts w:ascii="Times New Roman" w:eastAsia="Times New Roman" w:hAnsi="Times New Roman" w:cs="Times New Roman"/>
          <w:b/>
          <w:noProof/>
          <w:sz w:val="24"/>
          <w:szCs w:val="24"/>
          <w:u w:val="single"/>
        </w:rPr>
      </w:pPr>
      <w:bookmarkStart w:id="4" w:name="_Toc351469332"/>
      <w:bookmarkStart w:id="5" w:name="_Toc361649879"/>
      <w:bookmarkEnd w:id="1"/>
      <w:r>
        <w:rPr>
          <w:rFonts w:ascii="Times New Roman" w:hAnsi="Times New Roman"/>
          <w:b/>
          <w:noProof/>
          <w:sz w:val="24"/>
          <w:szCs w:val="24"/>
          <w:u w:val="single"/>
        </w:rPr>
        <w:t>ОБЯСНИТЕЛЕН МЕМОРАНДУМ</w:t>
      </w:r>
    </w:p>
    <w:p w:rsidR="00343A61" w:rsidRDefault="00C85AE7">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rPr>
      </w:pPr>
      <w:bookmarkStart w:id="6" w:name="_Toc525202225"/>
      <w:bookmarkStart w:id="7" w:name="_Toc7167667"/>
      <w:bookmarkStart w:id="8" w:name="_Toc35506098"/>
      <w:bookmarkStart w:id="9" w:name="_Toc68801877"/>
      <w:r>
        <w:rPr>
          <w:rFonts w:ascii="Times New Roman" w:hAnsi="Times New Roman"/>
          <w:b/>
          <w:smallCaps/>
          <w:noProof/>
          <w:sz w:val="24"/>
          <w:szCs w:val="24"/>
        </w:rPr>
        <w:t>Въведение</w:t>
      </w:r>
      <w:bookmarkEnd w:id="6"/>
      <w:bookmarkEnd w:id="7"/>
      <w:bookmarkEnd w:id="8"/>
      <w:bookmarkEnd w:id="9"/>
    </w:p>
    <w:p w:rsidR="00343A61" w:rsidRDefault="00C85AE7">
      <w:pPr>
        <w:pStyle w:val="Text1"/>
        <w:ind w:left="0"/>
        <w:rPr>
          <w:noProof/>
        </w:rPr>
      </w:pPr>
      <w:bookmarkStart w:id="10" w:name="_Toc35506099"/>
      <w:bookmarkStart w:id="11" w:name="_Toc7167668"/>
      <w:r>
        <w:rPr>
          <w:noProof/>
        </w:rPr>
        <w:t xml:space="preserve">Целта на проекта на коригиращ бюджет (ПКБ) </w:t>
      </w:r>
      <w:r>
        <w:rPr>
          <w:noProof/>
        </w:rPr>
        <w:t>№ 2 за 2021 г. е да се предостави допълнително финансиране за превенция, готовност и реакция във връзка с пандемията от COVID-19, както е предложено в съобщенията на Комисията относно Инкубатора HERA (Орган за готовност и реакция при извънредни здравни сит</w:t>
      </w:r>
      <w:r>
        <w:rPr>
          <w:noProof/>
        </w:rPr>
        <w:t>уации)</w:t>
      </w:r>
      <w:r>
        <w:rPr>
          <w:rStyle w:val="FootnoteReference"/>
          <w:noProof/>
        </w:rPr>
        <w:footnoteReference w:id="5"/>
      </w:r>
      <w:r>
        <w:rPr>
          <w:noProof/>
        </w:rPr>
        <w:t>, относно COVID-19: общ път към безопасно и трайно отваряне</w:t>
      </w:r>
      <w:r>
        <w:rPr>
          <w:noProof/>
          <w:vertAlign w:val="superscript"/>
        </w:rPr>
        <w:footnoteReference w:id="6"/>
      </w:r>
      <w:r>
        <w:rPr>
          <w:noProof/>
        </w:rPr>
        <w:t xml:space="preserve"> и относно цифровите зелени удостоверения</w:t>
      </w:r>
      <w:r>
        <w:rPr>
          <w:rStyle w:val="FootnoteReference"/>
          <w:noProof/>
        </w:rPr>
        <w:footnoteReference w:id="7"/>
      </w:r>
      <w:r>
        <w:rPr>
          <w:noProof/>
        </w:rPr>
        <w:t>, и да се предвидят средства по Инструмента за спешна подкрепа с оглед на потенциалното бюджетно отражение на по-нататъшните европейски инициативи,</w:t>
      </w:r>
      <w:r>
        <w:rPr>
          <w:noProof/>
        </w:rPr>
        <w:t xml:space="preserve"> свързани с мерките за борба с COVID-19. Освен това с ПКБ се въвеждат необходимите технически промени в бюджета за 2021 г., които произтичат от постигнатите политически споразумения относно секторните правни основания след приемането през декември 2020 г. </w:t>
      </w:r>
      <w:r>
        <w:rPr>
          <w:noProof/>
        </w:rPr>
        <w:t>на многогодишната финансова рамка (МФР)</w:t>
      </w:r>
      <w:r>
        <w:rPr>
          <w:rStyle w:val="FootnoteReference"/>
          <w:noProof/>
        </w:rPr>
        <w:footnoteReference w:id="8"/>
      </w:r>
      <w:r>
        <w:rPr>
          <w:noProof/>
        </w:rPr>
        <w:t>, както и някои корекции във връзка с провизирането на гаранцията за външна дейност.</w:t>
      </w:r>
    </w:p>
    <w:p w:rsidR="00343A61" w:rsidRDefault="00C85AE7">
      <w:pPr>
        <w:pStyle w:val="Text1"/>
        <w:ind w:left="0"/>
        <w:rPr>
          <w:noProof/>
        </w:rPr>
      </w:pPr>
      <w:r>
        <w:rPr>
          <w:noProof/>
        </w:rPr>
        <w:t>По-специално той обхваща следните елементи:</w:t>
      </w:r>
    </w:p>
    <w:p w:rsidR="00343A61" w:rsidRDefault="00C85AE7">
      <w:pPr>
        <w:numPr>
          <w:ilvl w:val="0"/>
          <w:numId w:val="2"/>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Увеличаване на средствата за Инструмента за спешна подкрепа и за Европейския център за </w:t>
      </w:r>
      <w:r>
        <w:rPr>
          <w:rFonts w:ascii="Times New Roman" w:hAnsi="Times New Roman"/>
          <w:noProof/>
          <w:sz w:val="24"/>
          <w:szCs w:val="24"/>
        </w:rPr>
        <w:t xml:space="preserve">профилактика и контрол върху заболяванията (ECDC) в контекста на мерките за борба с COVID-19 с общо 216,2 млн. евро бюджетни кредити за поети задължения и 208,1 млн. евро бюджетни кредити за плащания; </w:t>
      </w:r>
    </w:p>
    <w:p w:rsidR="00343A61" w:rsidRDefault="00C85AE7">
      <w:pPr>
        <w:numPr>
          <w:ilvl w:val="0"/>
          <w:numId w:val="2"/>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Неутрални по отношение на бюджета корекции:</w:t>
      </w:r>
    </w:p>
    <w:p w:rsidR="00343A61" w:rsidRDefault="00C85AE7">
      <w:pPr>
        <w:numPr>
          <w:ilvl w:val="1"/>
          <w:numId w:val="21"/>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произтичащи от приемането на Решението за изпълнение на Комисията от 12 февруари 2021 г. за създаване на новото поколение изпълнителни агенции</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и на съответните решения за делегиране на Комисията, с които се определят основните компоненти на поверения им м</w:t>
      </w:r>
      <w:r>
        <w:rPr>
          <w:rFonts w:ascii="Times New Roman" w:hAnsi="Times New Roman"/>
          <w:noProof/>
          <w:sz w:val="24"/>
          <w:szCs w:val="24"/>
        </w:rPr>
        <w:t>андат и задачи</w:t>
      </w:r>
      <w:r>
        <w:rPr>
          <w:rStyle w:val="FootnoteReference"/>
          <w:rFonts w:ascii="Times New Roman" w:hAnsi="Times New Roman" w:cs="Times New Roman"/>
          <w:noProof/>
          <w:sz w:val="24"/>
          <w:szCs w:val="24"/>
        </w:rPr>
        <w:footnoteReference w:id="10"/>
      </w:r>
      <w:r>
        <w:rPr>
          <w:rFonts w:ascii="Times New Roman" w:hAnsi="Times New Roman"/>
          <w:noProof/>
          <w:color w:val="003F59"/>
          <w:sz w:val="24"/>
          <w:szCs w:val="24"/>
        </w:rPr>
        <w:t>;</w:t>
      </w:r>
    </w:p>
    <w:p w:rsidR="00343A61" w:rsidRDefault="00C85AE7">
      <w:pPr>
        <w:numPr>
          <w:ilvl w:val="1"/>
          <w:numId w:val="21"/>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произтичащи от приемането на предложението на Комисията от 23 февруари 2021 г. за Регламент на Съвета за създаване на съвместните предприятия в рамките на „Хоризонт Европа“</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с което се определят основните компоненти на мандата и приноса н</w:t>
      </w:r>
      <w:r>
        <w:rPr>
          <w:rFonts w:ascii="Times New Roman" w:hAnsi="Times New Roman"/>
          <w:noProof/>
          <w:sz w:val="24"/>
          <w:szCs w:val="24"/>
        </w:rPr>
        <w:t>а новите европейски партньорства към приоритетите на ЕС, считано от 2021 г.;</w:t>
      </w:r>
    </w:p>
    <w:p w:rsidR="00343A61" w:rsidRDefault="00C85AE7">
      <w:pPr>
        <w:numPr>
          <w:ilvl w:val="1"/>
          <w:numId w:val="21"/>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на планираните суми от NextGenerationEU (NGEU) за 2021 г. по програми и бюджетни редове с цел да се отрази въздействието на окончателното определяне на правните основания на прогр</w:t>
      </w:r>
      <w:r>
        <w:rPr>
          <w:rFonts w:ascii="Times New Roman" w:hAnsi="Times New Roman"/>
          <w:noProof/>
          <w:sz w:val="24"/>
          <w:szCs w:val="24"/>
        </w:rPr>
        <w:t>амите, които ще се възползват от допълнителните средства по NGEU, включително REACT-EU;</w:t>
      </w:r>
    </w:p>
    <w:p w:rsidR="00343A61" w:rsidRDefault="00C85AE7">
      <w:pPr>
        <w:numPr>
          <w:ilvl w:val="1"/>
          <w:numId w:val="21"/>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за увеличаване на провизирането на Европейския фонд за устойчиво развитие (ЕФУР+) през 2021 г. със 700 млн. евро бюджетни кредити за поети задължения, което да бъде ком</w:t>
      </w:r>
      <w:r>
        <w:rPr>
          <w:rFonts w:ascii="Times New Roman" w:hAnsi="Times New Roman"/>
          <w:noProof/>
          <w:sz w:val="24"/>
          <w:szCs w:val="24"/>
        </w:rPr>
        <w:t>пенсирано със съответно намаляване през по-късните години от периода 2021—2027 г.;</w:t>
      </w:r>
    </w:p>
    <w:p w:rsidR="00343A61" w:rsidRDefault="00C85AE7">
      <w:pPr>
        <w:pStyle w:val="ListParagraph"/>
        <w:numPr>
          <w:ilvl w:val="0"/>
          <w:numId w:val="2"/>
        </w:numPr>
        <w:spacing w:before="120" w:after="120"/>
        <w:jc w:val="both"/>
        <w:rPr>
          <w:rFonts w:ascii="Times New Roman" w:hAnsi="Times New Roman" w:cs="Times New Roman"/>
          <w:noProof/>
          <w:sz w:val="24"/>
          <w:szCs w:val="24"/>
        </w:rPr>
      </w:pPr>
      <w:r>
        <w:rPr>
          <w:rFonts w:ascii="Times New Roman" w:hAnsi="Times New Roman"/>
          <w:noProof/>
          <w:sz w:val="24"/>
          <w:szCs w:val="24"/>
        </w:rPr>
        <w:t>Други корекции и технически актуализации:</w:t>
      </w:r>
    </w:p>
    <w:p w:rsidR="00343A61" w:rsidRDefault="00C85AE7">
      <w:pPr>
        <w:numPr>
          <w:ilvl w:val="1"/>
          <w:numId w:val="2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корекция на щатните разписания на Агенцията на Европейския съюз за космическата програма (EUSPA) и Европейската прокуратура (EPPO),</w:t>
      </w:r>
      <w:r>
        <w:rPr>
          <w:rFonts w:ascii="Times New Roman" w:hAnsi="Times New Roman"/>
          <w:noProof/>
          <w:sz w:val="24"/>
          <w:szCs w:val="24"/>
        </w:rPr>
        <w:t xml:space="preserve"> както и укрепване на Европейската агенция за контрол на рибарството (EFCA) с 2 млн. евро и съответна корекция на щатното ѝ разписание, като се отчита въздействието на последните законодателни или политически развития върху техните операции за 2021 г.; </w:t>
      </w:r>
    </w:p>
    <w:p w:rsidR="00343A61" w:rsidRDefault="00C85AE7">
      <w:pPr>
        <w:numPr>
          <w:ilvl w:val="1"/>
          <w:numId w:val="2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корекция на нивото на бюджетните кредити за 2021 г. за Европейския икономически и социален комитет вследствие на приемането през 2020 г. на трансфер на бюджетния орган в рамките на бюджета на Комитета DEC 1/2020, с който се извърши предварително финансиран</w:t>
      </w:r>
      <w:r>
        <w:rPr>
          <w:rFonts w:ascii="Times New Roman" w:hAnsi="Times New Roman"/>
          <w:noProof/>
          <w:sz w:val="24"/>
          <w:szCs w:val="24"/>
        </w:rPr>
        <w:t>е на първоначално предвидените за 2021 г. разходи за сгради в размер на 5,5 млн. евро бюджетни кредити за поети задължение и за плащания.</w:t>
      </w:r>
    </w:p>
    <w:p w:rsidR="00343A61" w:rsidRDefault="00C85AE7">
      <w:pPr>
        <w:pStyle w:val="Text1"/>
        <w:ind w:left="0"/>
        <w:rPr>
          <w:noProof/>
        </w:rPr>
      </w:pPr>
      <w:r>
        <w:rPr>
          <w:noProof/>
        </w:rPr>
        <w:t>Освен това, като се вземат предвид разпоредбите на член 10, параграф 1 от Регламента за МФР за периода 2014—2020 г.</w:t>
      </w:r>
      <w:r>
        <w:rPr>
          <w:rStyle w:val="FootnoteReference"/>
          <w:noProof/>
        </w:rPr>
        <w:footnoteReference w:id="12"/>
      </w:r>
      <w:r>
        <w:rPr>
          <w:noProof/>
        </w:rPr>
        <w:t xml:space="preserve">, </w:t>
      </w:r>
      <w:r>
        <w:rPr>
          <w:noProof/>
        </w:rPr>
        <w:t>се предлага през 2021 г. към бюджетния ред за фонд „Солидарност“ на Европейския съюз да се пренесе сума в размер на 47 981 598 EUR бюджетни кредити за поети задължения и за плащания, съответстваща на неизползваната част от бюджетните кредити за 2020 г.</w:t>
      </w:r>
    </w:p>
    <w:p w:rsidR="00343A61" w:rsidRDefault="00C85AE7">
      <w:pPr>
        <w:pStyle w:val="Text1"/>
        <w:ind w:left="0"/>
        <w:rPr>
          <w:noProof/>
        </w:rPr>
      </w:pPr>
      <w:r>
        <w:rPr>
          <w:noProof/>
        </w:rPr>
        <w:t>Кат</w:t>
      </w:r>
      <w:r>
        <w:rPr>
          <w:noProof/>
        </w:rPr>
        <w:t>о цяло нетното въздействие на този ПКБ върху разходите в бюджета за 2021 г. е в размер на 260 681 598 EUR бюджетни кредити за поети задължения и 252 581 598 EUR бюджетни кредити за плащания.</w:t>
      </w:r>
      <w:bookmarkEnd w:id="10"/>
    </w:p>
    <w:p w:rsidR="00343A61" w:rsidRDefault="00C85AE7">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rPr>
      </w:pPr>
      <w:bookmarkStart w:id="12" w:name="_Toc68801878"/>
      <w:r>
        <w:rPr>
          <w:rFonts w:ascii="Times New Roman" w:hAnsi="Times New Roman"/>
          <w:b/>
          <w:smallCaps/>
          <w:noProof/>
          <w:sz w:val="24"/>
          <w:szCs w:val="24"/>
        </w:rPr>
        <w:t>Финансиране на мерките за борба с COVID-19</w:t>
      </w:r>
      <w:bookmarkEnd w:id="12"/>
    </w:p>
    <w:p w:rsidR="00343A61" w:rsidRDefault="00C85AE7">
      <w:pPr>
        <w:pStyle w:val="Text1"/>
        <w:numPr>
          <w:ilvl w:val="1"/>
          <w:numId w:val="5"/>
        </w:numPr>
        <w:rPr>
          <w:b/>
          <w:noProof/>
        </w:rPr>
      </w:pPr>
      <w:r>
        <w:rPr>
          <w:noProof/>
        </w:rPr>
        <w:t>Преглед на допълнителн</w:t>
      </w:r>
      <w:r>
        <w:rPr>
          <w:noProof/>
        </w:rPr>
        <w:t xml:space="preserve">ите нужди от финансиране </w:t>
      </w:r>
    </w:p>
    <w:p w:rsidR="00343A61" w:rsidRDefault="00C85AE7">
      <w:pPr>
        <w:pStyle w:val="Text1"/>
        <w:ind w:left="0"/>
        <w:rPr>
          <w:noProof/>
        </w:rPr>
      </w:pPr>
      <w:r>
        <w:rPr>
          <w:noProof/>
        </w:rPr>
        <w:t>Изправена пред спешни нужди, свързани с мерките за борба с COVID-19 през 2021 г., и по-специално да се финансират подготвителната работа във връзка с цифровите зелени удостоверения, увеличаването на секвенирането чрез Инкубатора H</w:t>
      </w:r>
      <w:r>
        <w:rPr>
          <w:noProof/>
        </w:rPr>
        <w:t>ERA, мониторингът на отпадъчните води и специализираните RT-PCR тестове, Комисията предлага този ПКБ № 2 да се използва за укрепване през 2021 г. на Инструмента за спешна подкрепа и на финансовия принос на ЕС за Европейския център за профилактика и контрол</w:t>
      </w:r>
      <w:r>
        <w:rPr>
          <w:noProof/>
        </w:rPr>
        <w:t xml:space="preserve"> върху заболяванията (ECDC) с общо 216,2 млн. евро бюджетни кредити за поети задължения и 208,1 млн. евро бюджетни кредити за плащания. Успоредно с това Комисията предложи трансфер на бюджетния орган от Резерва за солидарност и спешна помощ (SEAR) с цел да</w:t>
      </w:r>
      <w:r>
        <w:rPr>
          <w:noProof/>
        </w:rPr>
        <w:t xml:space="preserve"> бъдат посрещнати непосредствените нужди за ESI и ECDC в размер на 121,5 млн. евро. Разпределението на сумите между двата бюджетни инструмента зависи от неотложността на получаването на допълнително финансиране. В този контекст Комисията установи и някои и</w:t>
      </w:r>
      <w:r>
        <w:rPr>
          <w:noProof/>
        </w:rPr>
        <w:t xml:space="preserve">зточници на преразпределение в текущия бюджет за сума от около 7,5 млн. евро. Като цяло, както е посочено в таблицата по-долу, това води до обща допълнителна сума за свързано с COVID-19 финансиране през 2021 г. в размер на 345,2 млн. евро.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701"/>
        <w:gridCol w:w="1701"/>
        <w:gridCol w:w="1701"/>
        <w:gridCol w:w="1701"/>
      </w:tblGrid>
      <w:tr w:rsidR="00343A61">
        <w:tc>
          <w:tcPr>
            <w:tcW w:w="10065" w:type="dxa"/>
            <w:gridSpan w:val="5"/>
            <w:tcBorders>
              <w:top w:val="nil"/>
              <w:left w:val="nil"/>
              <w:bottom w:val="single" w:sz="4" w:space="0" w:color="auto"/>
              <w:right w:val="nil"/>
            </w:tcBorders>
            <w:shd w:val="clear" w:color="auto" w:fill="FFFFFF"/>
            <w:vAlign w:val="center"/>
          </w:tcPr>
          <w:p w:rsidR="00343A61" w:rsidRDefault="00C85AE7">
            <w:pPr>
              <w:widowControl w:val="0"/>
              <w:spacing w:before="15" w:after="15"/>
              <w:jc w:val="right"/>
              <w:rPr>
                <w:rFonts w:ascii="Times New Roman" w:eastAsia="Calibri" w:hAnsi="Times New Roman" w:cs="Times New Roman"/>
                <w:b/>
                <w:noProof/>
              </w:rPr>
            </w:pPr>
            <w:r>
              <w:rPr>
                <w:rFonts w:ascii="Times New Roman" w:hAnsi="Times New Roman"/>
                <w:i/>
                <w:noProof/>
                <w:shd w:val="clear" w:color="auto" w:fill="FFFFFF"/>
              </w:rPr>
              <w:t>Суми в млн.</w:t>
            </w:r>
            <w:r>
              <w:rPr>
                <w:rFonts w:ascii="Times New Roman" w:hAnsi="Times New Roman"/>
                <w:i/>
                <w:noProof/>
              </w:rPr>
              <w:t xml:space="preserve"> евр</w:t>
            </w:r>
            <w:r>
              <w:rPr>
                <w:rFonts w:ascii="Times New Roman" w:hAnsi="Times New Roman"/>
                <w:i/>
                <w:noProof/>
              </w:rPr>
              <w:t>о</w:t>
            </w:r>
          </w:p>
        </w:tc>
      </w:tr>
      <w:tr w:rsidR="00343A61">
        <w:tc>
          <w:tcPr>
            <w:tcW w:w="3261" w:type="dxa"/>
            <w:tcBorders>
              <w:top w:val="single" w:sz="4" w:space="0" w:color="auto"/>
            </w:tcBorders>
            <w:shd w:val="clear" w:color="auto" w:fill="D9D9D9"/>
            <w:vAlign w:val="center"/>
          </w:tcPr>
          <w:p w:rsidR="00343A61" w:rsidRDefault="00C85AE7">
            <w:pPr>
              <w:widowControl w:val="0"/>
              <w:spacing w:before="15" w:after="15"/>
              <w:jc w:val="center"/>
              <w:rPr>
                <w:rFonts w:ascii="Times New Roman" w:eastAsia="Calibri" w:hAnsi="Times New Roman" w:cs="Times New Roman"/>
                <w:b/>
                <w:noProof/>
              </w:rPr>
            </w:pPr>
            <w:r>
              <w:rPr>
                <w:rFonts w:ascii="Times New Roman" w:hAnsi="Times New Roman"/>
                <w:b/>
                <w:noProof/>
              </w:rPr>
              <w:t>Действие</w:t>
            </w:r>
          </w:p>
        </w:tc>
        <w:tc>
          <w:tcPr>
            <w:tcW w:w="1701" w:type="dxa"/>
            <w:tcBorders>
              <w:top w:val="single" w:sz="4" w:space="0" w:color="auto"/>
            </w:tcBorders>
            <w:shd w:val="clear" w:color="auto" w:fill="D9D9D9"/>
            <w:vAlign w:val="center"/>
          </w:tcPr>
          <w:p w:rsidR="00343A61" w:rsidRDefault="00C85AE7">
            <w:pPr>
              <w:widowControl w:val="0"/>
              <w:spacing w:before="15" w:after="15"/>
              <w:jc w:val="center"/>
              <w:rPr>
                <w:rFonts w:ascii="Times New Roman" w:eastAsia="Calibri" w:hAnsi="Times New Roman" w:cs="Times New Roman"/>
                <w:b/>
                <w:noProof/>
              </w:rPr>
            </w:pPr>
            <w:r>
              <w:rPr>
                <w:rFonts w:ascii="Times New Roman" w:hAnsi="Times New Roman"/>
                <w:b/>
                <w:noProof/>
              </w:rPr>
              <w:t>Трансфер DEC 5/2021 от SEAR</w:t>
            </w:r>
          </w:p>
        </w:tc>
        <w:tc>
          <w:tcPr>
            <w:tcW w:w="1701" w:type="dxa"/>
            <w:tcBorders>
              <w:top w:val="single" w:sz="4" w:space="0" w:color="auto"/>
            </w:tcBorders>
            <w:shd w:val="clear" w:color="auto" w:fill="D9D9D9"/>
            <w:vAlign w:val="center"/>
          </w:tcPr>
          <w:p w:rsidR="00343A61" w:rsidRDefault="00C85AE7">
            <w:pPr>
              <w:widowControl w:val="0"/>
              <w:spacing w:before="15" w:after="15"/>
              <w:jc w:val="center"/>
              <w:rPr>
                <w:rFonts w:ascii="Times New Roman" w:eastAsia="Calibri" w:hAnsi="Times New Roman" w:cs="Times New Roman"/>
                <w:b/>
                <w:noProof/>
              </w:rPr>
            </w:pPr>
            <w:r>
              <w:rPr>
                <w:rFonts w:ascii="Times New Roman" w:hAnsi="Times New Roman"/>
                <w:b/>
                <w:noProof/>
              </w:rPr>
              <w:t xml:space="preserve">ПКБ 2/2021 </w:t>
            </w:r>
          </w:p>
        </w:tc>
        <w:tc>
          <w:tcPr>
            <w:tcW w:w="1701" w:type="dxa"/>
            <w:tcBorders>
              <w:top w:val="single" w:sz="4" w:space="0" w:color="auto"/>
            </w:tcBorders>
            <w:shd w:val="clear" w:color="auto" w:fill="D9D9D9"/>
          </w:tcPr>
          <w:p w:rsidR="00343A61" w:rsidRDefault="00C85AE7">
            <w:pPr>
              <w:widowControl w:val="0"/>
              <w:spacing w:before="15" w:after="15"/>
              <w:jc w:val="center"/>
              <w:rPr>
                <w:rFonts w:ascii="Times New Roman" w:eastAsia="Calibri" w:hAnsi="Times New Roman" w:cs="Times New Roman"/>
                <w:b/>
                <w:noProof/>
              </w:rPr>
            </w:pPr>
            <w:r>
              <w:rPr>
                <w:rFonts w:ascii="Times New Roman" w:hAnsi="Times New Roman"/>
                <w:b/>
                <w:noProof/>
              </w:rPr>
              <w:t>Финансиране от съществуващите пакети през 2021 г.</w:t>
            </w:r>
          </w:p>
        </w:tc>
        <w:tc>
          <w:tcPr>
            <w:tcW w:w="1701" w:type="dxa"/>
            <w:tcBorders>
              <w:top w:val="single" w:sz="4" w:space="0" w:color="auto"/>
            </w:tcBorders>
            <w:shd w:val="clear" w:color="auto" w:fill="D9D9D9"/>
            <w:vAlign w:val="center"/>
          </w:tcPr>
          <w:p w:rsidR="00343A61" w:rsidRDefault="00C85AE7">
            <w:pPr>
              <w:widowControl w:val="0"/>
              <w:spacing w:before="15" w:after="15"/>
              <w:jc w:val="center"/>
              <w:rPr>
                <w:rFonts w:ascii="Times New Roman" w:eastAsia="Calibri" w:hAnsi="Times New Roman" w:cs="Times New Roman"/>
                <w:b/>
                <w:noProof/>
              </w:rPr>
            </w:pPr>
            <w:r>
              <w:rPr>
                <w:rFonts w:ascii="Times New Roman" w:hAnsi="Times New Roman"/>
                <w:b/>
                <w:noProof/>
              </w:rPr>
              <w:t>Общо финансиране през 2021 г.</w:t>
            </w:r>
          </w:p>
        </w:tc>
      </w:tr>
      <w:tr w:rsidR="00343A61">
        <w:tc>
          <w:tcPr>
            <w:tcW w:w="3261" w:type="dxa"/>
          </w:tcPr>
          <w:p w:rsidR="00343A61" w:rsidRDefault="00C85AE7">
            <w:pPr>
              <w:widowControl w:val="0"/>
              <w:spacing w:before="15" w:after="15"/>
              <w:ind w:right="-113"/>
              <w:rPr>
                <w:rFonts w:ascii="Times New Roman" w:eastAsia="Calibri" w:hAnsi="Times New Roman" w:cs="Times New Roman"/>
                <w:noProof/>
              </w:rPr>
            </w:pPr>
            <w:r>
              <w:rPr>
                <w:rFonts w:ascii="Times New Roman" w:hAnsi="Times New Roman"/>
                <w:noProof/>
              </w:rPr>
              <w:t>Цифрови зелени удостоверения</w:t>
            </w:r>
          </w:p>
        </w:tc>
        <w:tc>
          <w:tcPr>
            <w:tcW w:w="1701" w:type="dxa"/>
          </w:tcPr>
          <w:p w:rsidR="00343A61" w:rsidRDefault="00C85AE7">
            <w:pPr>
              <w:widowControl w:val="0"/>
              <w:spacing w:before="15" w:after="15"/>
              <w:ind w:right="-113"/>
              <w:jc w:val="right"/>
              <w:rPr>
                <w:rFonts w:ascii="Times New Roman" w:eastAsia="Calibri" w:hAnsi="Times New Roman" w:cs="Times New Roman"/>
                <w:noProof/>
              </w:rPr>
            </w:pPr>
            <w:r>
              <w:rPr>
                <w:rFonts w:ascii="Times New Roman" w:hAnsi="Times New Roman"/>
                <w:noProof/>
              </w:rPr>
              <w:t>31,0</w:t>
            </w:r>
          </w:p>
        </w:tc>
        <w:tc>
          <w:tcPr>
            <w:tcW w:w="1701" w:type="dxa"/>
          </w:tcPr>
          <w:p w:rsidR="00343A61" w:rsidRDefault="00C85AE7">
            <w:pPr>
              <w:widowControl w:val="0"/>
              <w:spacing w:before="15" w:after="15"/>
              <w:ind w:right="-113"/>
              <w:jc w:val="right"/>
              <w:rPr>
                <w:rFonts w:ascii="Times New Roman" w:eastAsia="Calibri" w:hAnsi="Times New Roman" w:cs="Times New Roman"/>
                <w:noProof/>
              </w:rPr>
            </w:pPr>
            <w:r>
              <w:rPr>
                <w:rFonts w:ascii="Times New Roman" w:hAnsi="Times New Roman"/>
                <w:noProof/>
              </w:rPr>
              <w:t>12,0</w:t>
            </w:r>
          </w:p>
        </w:tc>
        <w:tc>
          <w:tcPr>
            <w:tcW w:w="1701" w:type="dxa"/>
          </w:tcPr>
          <w:p w:rsidR="00343A61" w:rsidRDefault="00C85AE7">
            <w:pPr>
              <w:jc w:val="right"/>
              <w:rPr>
                <w:rFonts w:ascii="Times New Roman" w:eastAsia="Calibri" w:hAnsi="Times New Roman" w:cs="Times New Roman"/>
                <w:noProof/>
              </w:rPr>
            </w:pPr>
            <w:r>
              <w:rPr>
                <w:rFonts w:ascii="Times New Roman" w:hAnsi="Times New Roman"/>
                <w:noProof/>
              </w:rPr>
              <w:t>3,0</w:t>
            </w:r>
          </w:p>
        </w:tc>
        <w:tc>
          <w:tcPr>
            <w:tcW w:w="1701" w:type="dxa"/>
          </w:tcPr>
          <w:p w:rsidR="00343A61" w:rsidRDefault="00C85AE7">
            <w:pPr>
              <w:widowControl w:val="0"/>
              <w:spacing w:before="15" w:after="15"/>
              <w:jc w:val="right"/>
              <w:rPr>
                <w:rFonts w:ascii="Times New Roman" w:eastAsia="Calibri" w:hAnsi="Times New Roman" w:cs="Times New Roman"/>
                <w:b/>
                <w:noProof/>
              </w:rPr>
            </w:pPr>
            <w:r>
              <w:rPr>
                <w:rFonts w:ascii="Times New Roman" w:hAnsi="Times New Roman"/>
                <w:b/>
                <w:noProof/>
              </w:rPr>
              <w:t>46,0</w:t>
            </w:r>
          </w:p>
        </w:tc>
      </w:tr>
      <w:tr w:rsidR="00343A61">
        <w:tc>
          <w:tcPr>
            <w:tcW w:w="3261" w:type="dxa"/>
          </w:tcPr>
          <w:p w:rsidR="00343A61" w:rsidRDefault="00C85AE7">
            <w:pPr>
              <w:widowControl w:val="0"/>
              <w:spacing w:before="15" w:after="15"/>
              <w:ind w:right="-113"/>
              <w:rPr>
                <w:rFonts w:ascii="Times New Roman" w:eastAsia="Calibri" w:hAnsi="Times New Roman" w:cs="Times New Roman"/>
                <w:noProof/>
              </w:rPr>
            </w:pPr>
            <w:r>
              <w:rPr>
                <w:rFonts w:ascii="Times New Roman" w:hAnsi="Times New Roman"/>
                <w:noProof/>
              </w:rPr>
              <w:t>Специализирани RT-PCR тестове</w:t>
            </w:r>
          </w:p>
        </w:tc>
        <w:tc>
          <w:tcPr>
            <w:tcW w:w="1701" w:type="dxa"/>
          </w:tcPr>
          <w:p w:rsidR="00343A61" w:rsidRDefault="00C85AE7">
            <w:pPr>
              <w:widowControl w:val="0"/>
              <w:spacing w:before="15" w:after="15"/>
              <w:ind w:right="-113"/>
              <w:jc w:val="right"/>
              <w:rPr>
                <w:rFonts w:ascii="Times New Roman" w:eastAsia="Calibri" w:hAnsi="Times New Roman" w:cs="Times New Roman"/>
                <w:noProof/>
              </w:rPr>
            </w:pPr>
            <w:r>
              <w:rPr>
                <w:rFonts w:ascii="Times New Roman" w:hAnsi="Times New Roman"/>
                <w:noProof/>
              </w:rPr>
              <w:t>31,0</w:t>
            </w:r>
          </w:p>
        </w:tc>
        <w:tc>
          <w:tcPr>
            <w:tcW w:w="1701" w:type="dxa"/>
          </w:tcPr>
          <w:p w:rsidR="00343A61" w:rsidRDefault="00C85AE7">
            <w:pPr>
              <w:widowControl w:val="0"/>
              <w:spacing w:before="15" w:after="15"/>
              <w:ind w:right="-113"/>
              <w:jc w:val="right"/>
              <w:rPr>
                <w:rFonts w:ascii="Times New Roman" w:eastAsia="Calibri" w:hAnsi="Times New Roman" w:cs="Times New Roman"/>
                <w:noProof/>
              </w:rPr>
            </w:pPr>
            <w:r>
              <w:rPr>
                <w:rFonts w:ascii="Times New Roman" w:hAnsi="Times New Roman"/>
                <w:noProof/>
              </w:rPr>
              <w:t>34,0</w:t>
            </w:r>
          </w:p>
        </w:tc>
        <w:tc>
          <w:tcPr>
            <w:tcW w:w="1701" w:type="dxa"/>
          </w:tcPr>
          <w:p w:rsidR="00343A61" w:rsidRDefault="00C85AE7">
            <w:pPr>
              <w:jc w:val="right"/>
              <w:rPr>
                <w:rFonts w:ascii="Times New Roman" w:eastAsia="Calibri" w:hAnsi="Times New Roman" w:cs="Times New Roman"/>
                <w:noProof/>
              </w:rPr>
            </w:pPr>
            <w:r>
              <w:rPr>
                <w:rFonts w:ascii="Times New Roman" w:hAnsi="Times New Roman"/>
                <w:noProof/>
              </w:rPr>
              <w:t>-</w:t>
            </w:r>
          </w:p>
        </w:tc>
        <w:tc>
          <w:tcPr>
            <w:tcW w:w="1701" w:type="dxa"/>
          </w:tcPr>
          <w:p w:rsidR="00343A61" w:rsidRDefault="00C85AE7">
            <w:pPr>
              <w:widowControl w:val="0"/>
              <w:spacing w:before="15" w:after="15"/>
              <w:jc w:val="right"/>
              <w:rPr>
                <w:rFonts w:ascii="Times New Roman" w:eastAsia="Calibri" w:hAnsi="Times New Roman" w:cs="Times New Roman"/>
                <w:b/>
                <w:noProof/>
              </w:rPr>
            </w:pPr>
            <w:r>
              <w:rPr>
                <w:rFonts w:ascii="Times New Roman" w:hAnsi="Times New Roman"/>
                <w:b/>
                <w:noProof/>
              </w:rPr>
              <w:t>65,0</w:t>
            </w:r>
          </w:p>
        </w:tc>
      </w:tr>
      <w:tr w:rsidR="00343A61">
        <w:tc>
          <w:tcPr>
            <w:tcW w:w="3261" w:type="dxa"/>
          </w:tcPr>
          <w:p w:rsidR="00343A61" w:rsidRDefault="00C85AE7">
            <w:pPr>
              <w:widowControl w:val="0"/>
              <w:spacing w:before="15" w:after="15"/>
              <w:ind w:right="-113"/>
              <w:rPr>
                <w:rFonts w:ascii="Times New Roman" w:eastAsia="Calibri" w:hAnsi="Times New Roman" w:cs="Times New Roman"/>
                <w:noProof/>
              </w:rPr>
            </w:pPr>
            <w:r>
              <w:rPr>
                <w:rFonts w:ascii="Times New Roman" w:hAnsi="Times New Roman"/>
                <w:noProof/>
              </w:rPr>
              <w:t xml:space="preserve">Секвениране чрез </w:t>
            </w:r>
            <w:r>
              <w:rPr>
                <w:rFonts w:ascii="Times New Roman" w:hAnsi="Times New Roman"/>
                <w:noProof/>
              </w:rPr>
              <w:t>Инкубатора HERA</w:t>
            </w:r>
          </w:p>
        </w:tc>
        <w:tc>
          <w:tcPr>
            <w:tcW w:w="1701" w:type="dxa"/>
          </w:tcPr>
          <w:p w:rsidR="00343A61" w:rsidRDefault="00C85AE7">
            <w:pPr>
              <w:widowControl w:val="0"/>
              <w:spacing w:before="15" w:after="15"/>
              <w:ind w:right="-113"/>
              <w:jc w:val="right"/>
              <w:rPr>
                <w:rFonts w:ascii="Times New Roman" w:eastAsia="Calibri" w:hAnsi="Times New Roman" w:cs="Times New Roman"/>
                <w:noProof/>
              </w:rPr>
            </w:pPr>
            <w:r>
              <w:rPr>
                <w:rFonts w:ascii="Times New Roman" w:hAnsi="Times New Roman"/>
                <w:noProof/>
              </w:rPr>
              <w:t>46,0</w:t>
            </w:r>
          </w:p>
        </w:tc>
        <w:tc>
          <w:tcPr>
            <w:tcW w:w="1701" w:type="dxa"/>
          </w:tcPr>
          <w:p w:rsidR="00343A61" w:rsidRDefault="00C85AE7">
            <w:pPr>
              <w:widowControl w:val="0"/>
              <w:spacing w:before="15" w:after="15"/>
              <w:ind w:right="-113"/>
              <w:jc w:val="right"/>
              <w:rPr>
                <w:rFonts w:ascii="Times New Roman" w:eastAsia="Calibri" w:hAnsi="Times New Roman" w:cs="Times New Roman"/>
                <w:noProof/>
              </w:rPr>
            </w:pPr>
            <w:r>
              <w:rPr>
                <w:rFonts w:ascii="Times New Roman" w:hAnsi="Times New Roman"/>
                <w:noProof/>
              </w:rPr>
              <w:t>60,0</w:t>
            </w:r>
          </w:p>
        </w:tc>
        <w:tc>
          <w:tcPr>
            <w:tcW w:w="1701" w:type="dxa"/>
          </w:tcPr>
          <w:p w:rsidR="00343A61" w:rsidRDefault="00C85AE7">
            <w:pPr>
              <w:jc w:val="right"/>
              <w:rPr>
                <w:rFonts w:ascii="Times New Roman" w:eastAsia="Calibri" w:hAnsi="Times New Roman" w:cs="Times New Roman"/>
                <w:noProof/>
              </w:rPr>
            </w:pPr>
            <w:r>
              <w:rPr>
                <w:rFonts w:ascii="Times New Roman" w:hAnsi="Times New Roman"/>
                <w:noProof/>
              </w:rPr>
              <w:t>4,0</w:t>
            </w:r>
          </w:p>
        </w:tc>
        <w:tc>
          <w:tcPr>
            <w:tcW w:w="1701" w:type="dxa"/>
          </w:tcPr>
          <w:p w:rsidR="00343A61" w:rsidRDefault="00C85AE7">
            <w:pPr>
              <w:widowControl w:val="0"/>
              <w:spacing w:before="15" w:after="15"/>
              <w:jc w:val="right"/>
              <w:rPr>
                <w:rFonts w:ascii="Times New Roman" w:eastAsia="Calibri" w:hAnsi="Times New Roman" w:cs="Times New Roman"/>
                <w:b/>
                <w:noProof/>
              </w:rPr>
            </w:pPr>
            <w:r>
              <w:rPr>
                <w:rFonts w:ascii="Times New Roman" w:hAnsi="Times New Roman"/>
                <w:b/>
                <w:noProof/>
              </w:rPr>
              <w:t>110,0</w:t>
            </w:r>
          </w:p>
        </w:tc>
      </w:tr>
      <w:tr w:rsidR="00343A61">
        <w:tc>
          <w:tcPr>
            <w:tcW w:w="3261" w:type="dxa"/>
          </w:tcPr>
          <w:p w:rsidR="00343A61" w:rsidRDefault="00C85AE7">
            <w:pPr>
              <w:widowControl w:val="0"/>
              <w:spacing w:before="15" w:after="15"/>
              <w:ind w:right="-113"/>
              <w:rPr>
                <w:rFonts w:ascii="Times New Roman" w:eastAsia="Calibri" w:hAnsi="Times New Roman" w:cs="Times New Roman"/>
                <w:noProof/>
              </w:rPr>
            </w:pPr>
            <w:r>
              <w:rPr>
                <w:rFonts w:ascii="Times New Roman" w:hAnsi="Times New Roman"/>
                <w:noProof/>
              </w:rPr>
              <w:t>Платформа за обмен на формуляри за локализиране на пътници</w:t>
            </w:r>
          </w:p>
        </w:tc>
        <w:tc>
          <w:tcPr>
            <w:tcW w:w="1701" w:type="dxa"/>
          </w:tcPr>
          <w:p w:rsidR="00343A61" w:rsidRDefault="00C85AE7">
            <w:pPr>
              <w:widowControl w:val="0"/>
              <w:spacing w:before="15" w:after="15"/>
              <w:ind w:right="-113"/>
              <w:jc w:val="right"/>
              <w:rPr>
                <w:rFonts w:ascii="Times New Roman" w:eastAsia="Calibri" w:hAnsi="Times New Roman" w:cs="Times New Roman"/>
                <w:noProof/>
              </w:rPr>
            </w:pPr>
            <w:r>
              <w:rPr>
                <w:rFonts w:ascii="Times New Roman" w:hAnsi="Times New Roman"/>
                <w:noProof/>
              </w:rPr>
              <w:t>2,5</w:t>
            </w:r>
          </w:p>
        </w:tc>
        <w:tc>
          <w:tcPr>
            <w:tcW w:w="1701" w:type="dxa"/>
          </w:tcPr>
          <w:p w:rsidR="00343A61" w:rsidRDefault="00C85AE7">
            <w:pPr>
              <w:widowControl w:val="0"/>
              <w:spacing w:before="15" w:after="15"/>
              <w:ind w:right="-113"/>
              <w:jc w:val="right"/>
              <w:rPr>
                <w:rFonts w:ascii="Times New Roman" w:eastAsia="Calibri" w:hAnsi="Times New Roman" w:cs="Times New Roman"/>
                <w:noProof/>
              </w:rPr>
            </w:pPr>
            <w:r>
              <w:rPr>
                <w:rFonts w:ascii="Times New Roman" w:hAnsi="Times New Roman"/>
                <w:noProof/>
              </w:rPr>
              <w:t>-</w:t>
            </w:r>
          </w:p>
        </w:tc>
        <w:tc>
          <w:tcPr>
            <w:tcW w:w="1701" w:type="dxa"/>
          </w:tcPr>
          <w:p w:rsidR="00343A61" w:rsidRDefault="00C85AE7">
            <w:pPr>
              <w:jc w:val="right"/>
              <w:rPr>
                <w:rFonts w:ascii="Times New Roman" w:eastAsia="Calibri" w:hAnsi="Times New Roman" w:cs="Times New Roman"/>
                <w:noProof/>
              </w:rPr>
            </w:pPr>
            <w:r>
              <w:rPr>
                <w:rFonts w:ascii="Times New Roman" w:hAnsi="Times New Roman"/>
                <w:noProof/>
              </w:rPr>
              <w:t>0,5</w:t>
            </w:r>
          </w:p>
        </w:tc>
        <w:tc>
          <w:tcPr>
            <w:tcW w:w="1701" w:type="dxa"/>
          </w:tcPr>
          <w:p w:rsidR="00343A61" w:rsidRDefault="00C85AE7">
            <w:pPr>
              <w:widowControl w:val="0"/>
              <w:spacing w:before="15" w:after="15"/>
              <w:jc w:val="right"/>
              <w:rPr>
                <w:rFonts w:ascii="Times New Roman" w:eastAsia="Calibri" w:hAnsi="Times New Roman" w:cs="Times New Roman"/>
                <w:b/>
                <w:noProof/>
              </w:rPr>
            </w:pPr>
            <w:r>
              <w:rPr>
                <w:rFonts w:ascii="Times New Roman" w:hAnsi="Times New Roman"/>
                <w:b/>
                <w:noProof/>
              </w:rPr>
              <w:t>3,0</w:t>
            </w:r>
          </w:p>
        </w:tc>
      </w:tr>
      <w:tr w:rsidR="00343A61">
        <w:tc>
          <w:tcPr>
            <w:tcW w:w="3261" w:type="dxa"/>
          </w:tcPr>
          <w:p w:rsidR="00343A61" w:rsidRDefault="00C85AE7">
            <w:pPr>
              <w:widowControl w:val="0"/>
              <w:spacing w:before="15" w:after="15"/>
              <w:ind w:right="-113"/>
              <w:rPr>
                <w:rFonts w:ascii="Times New Roman" w:eastAsia="Calibri" w:hAnsi="Times New Roman" w:cs="Times New Roman"/>
                <w:noProof/>
              </w:rPr>
            </w:pPr>
            <w:r>
              <w:rPr>
                <w:rFonts w:ascii="Times New Roman" w:hAnsi="Times New Roman"/>
                <w:noProof/>
              </w:rPr>
              <w:t>Мониторинг на отпадъчните води</w:t>
            </w:r>
          </w:p>
        </w:tc>
        <w:tc>
          <w:tcPr>
            <w:tcW w:w="1701" w:type="dxa"/>
          </w:tcPr>
          <w:p w:rsidR="00343A61" w:rsidRDefault="00C85AE7">
            <w:pPr>
              <w:widowControl w:val="0"/>
              <w:spacing w:before="15" w:after="15"/>
              <w:ind w:right="-113"/>
              <w:jc w:val="right"/>
              <w:rPr>
                <w:rFonts w:ascii="Times New Roman" w:eastAsia="Calibri" w:hAnsi="Times New Roman" w:cs="Times New Roman"/>
                <w:noProof/>
              </w:rPr>
            </w:pPr>
            <w:r>
              <w:rPr>
                <w:rFonts w:ascii="Times New Roman" w:hAnsi="Times New Roman"/>
                <w:noProof/>
              </w:rPr>
              <w:t>11,0</w:t>
            </w:r>
          </w:p>
        </w:tc>
        <w:tc>
          <w:tcPr>
            <w:tcW w:w="1701" w:type="dxa"/>
          </w:tcPr>
          <w:p w:rsidR="00343A61" w:rsidRDefault="00C85AE7">
            <w:pPr>
              <w:widowControl w:val="0"/>
              <w:spacing w:before="15" w:after="15"/>
              <w:ind w:right="-113"/>
              <w:jc w:val="right"/>
              <w:rPr>
                <w:rFonts w:ascii="Times New Roman" w:eastAsia="Calibri" w:hAnsi="Times New Roman" w:cs="Times New Roman"/>
                <w:noProof/>
              </w:rPr>
            </w:pPr>
            <w:r>
              <w:rPr>
                <w:rFonts w:ascii="Times New Roman" w:hAnsi="Times New Roman"/>
                <w:noProof/>
              </w:rPr>
              <w:t>10,2</w:t>
            </w:r>
          </w:p>
        </w:tc>
        <w:tc>
          <w:tcPr>
            <w:tcW w:w="1701" w:type="dxa"/>
          </w:tcPr>
          <w:p w:rsidR="00343A61" w:rsidRDefault="00C85AE7">
            <w:pPr>
              <w:jc w:val="right"/>
              <w:rPr>
                <w:rFonts w:ascii="Times New Roman" w:eastAsia="Calibri" w:hAnsi="Times New Roman" w:cs="Times New Roman"/>
                <w:noProof/>
              </w:rPr>
            </w:pPr>
            <w:r>
              <w:rPr>
                <w:rFonts w:ascii="Times New Roman" w:hAnsi="Times New Roman"/>
                <w:noProof/>
              </w:rPr>
              <w:t>-</w:t>
            </w:r>
          </w:p>
        </w:tc>
        <w:tc>
          <w:tcPr>
            <w:tcW w:w="1701" w:type="dxa"/>
          </w:tcPr>
          <w:p w:rsidR="00343A61" w:rsidRDefault="00C85AE7">
            <w:pPr>
              <w:widowControl w:val="0"/>
              <w:spacing w:before="15" w:after="15"/>
              <w:jc w:val="right"/>
              <w:rPr>
                <w:rFonts w:ascii="Times New Roman" w:eastAsia="Calibri" w:hAnsi="Times New Roman" w:cs="Times New Roman"/>
                <w:b/>
                <w:noProof/>
              </w:rPr>
            </w:pPr>
            <w:r>
              <w:rPr>
                <w:rFonts w:ascii="Times New Roman" w:hAnsi="Times New Roman"/>
                <w:b/>
                <w:noProof/>
              </w:rPr>
              <w:t>21,2</w:t>
            </w:r>
          </w:p>
        </w:tc>
      </w:tr>
      <w:tr w:rsidR="00343A61">
        <w:tc>
          <w:tcPr>
            <w:tcW w:w="3261" w:type="dxa"/>
          </w:tcPr>
          <w:p w:rsidR="00343A61" w:rsidRDefault="00C85AE7">
            <w:pPr>
              <w:widowControl w:val="0"/>
              <w:spacing w:before="15" w:after="15"/>
              <w:ind w:right="-113"/>
              <w:rPr>
                <w:rFonts w:ascii="Times New Roman" w:eastAsia="Calibri" w:hAnsi="Times New Roman" w:cs="Times New Roman"/>
                <w:noProof/>
              </w:rPr>
            </w:pPr>
            <w:r>
              <w:rPr>
                <w:rFonts w:ascii="Times New Roman" w:hAnsi="Times New Roman"/>
                <w:noProof/>
              </w:rPr>
              <w:t>Бъдещи спешни нужди</w:t>
            </w:r>
          </w:p>
        </w:tc>
        <w:tc>
          <w:tcPr>
            <w:tcW w:w="1701" w:type="dxa"/>
          </w:tcPr>
          <w:p w:rsidR="00343A61" w:rsidRDefault="00343A61">
            <w:pPr>
              <w:widowControl w:val="0"/>
              <w:spacing w:before="15" w:after="15"/>
              <w:ind w:right="-113"/>
              <w:jc w:val="right"/>
              <w:rPr>
                <w:rFonts w:ascii="Times New Roman" w:eastAsia="Calibri" w:hAnsi="Times New Roman" w:cs="Times New Roman"/>
                <w:noProof/>
              </w:rPr>
            </w:pPr>
          </w:p>
        </w:tc>
        <w:tc>
          <w:tcPr>
            <w:tcW w:w="1701" w:type="dxa"/>
          </w:tcPr>
          <w:p w:rsidR="00343A61" w:rsidRDefault="00C85AE7">
            <w:pPr>
              <w:widowControl w:val="0"/>
              <w:spacing w:before="15" w:after="15"/>
              <w:ind w:right="-113"/>
              <w:jc w:val="right"/>
              <w:rPr>
                <w:rFonts w:ascii="Times New Roman" w:eastAsia="Calibri" w:hAnsi="Times New Roman" w:cs="Times New Roman"/>
                <w:noProof/>
              </w:rPr>
            </w:pPr>
            <w:r>
              <w:rPr>
                <w:rFonts w:ascii="Times New Roman" w:hAnsi="Times New Roman"/>
                <w:noProof/>
              </w:rPr>
              <w:t>100,0</w:t>
            </w:r>
          </w:p>
        </w:tc>
        <w:tc>
          <w:tcPr>
            <w:tcW w:w="1701" w:type="dxa"/>
          </w:tcPr>
          <w:p w:rsidR="00343A61" w:rsidRDefault="00343A61">
            <w:pPr>
              <w:jc w:val="right"/>
              <w:rPr>
                <w:rFonts w:ascii="Times New Roman" w:eastAsia="Calibri" w:hAnsi="Times New Roman" w:cs="Times New Roman"/>
                <w:noProof/>
              </w:rPr>
            </w:pPr>
          </w:p>
        </w:tc>
        <w:tc>
          <w:tcPr>
            <w:tcW w:w="1701" w:type="dxa"/>
          </w:tcPr>
          <w:p w:rsidR="00343A61" w:rsidRDefault="00C85AE7">
            <w:pPr>
              <w:widowControl w:val="0"/>
              <w:spacing w:before="15" w:after="15"/>
              <w:jc w:val="right"/>
              <w:rPr>
                <w:rFonts w:ascii="Times New Roman" w:eastAsia="Calibri" w:hAnsi="Times New Roman" w:cs="Times New Roman"/>
                <w:b/>
                <w:noProof/>
              </w:rPr>
            </w:pPr>
            <w:r>
              <w:rPr>
                <w:rFonts w:ascii="Times New Roman" w:hAnsi="Times New Roman"/>
                <w:b/>
                <w:noProof/>
              </w:rPr>
              <w:t>100,0</w:t>
            </w:r>
          </w:p>
        </w:tc>
      </w:tr>
      <w:tr w:rsidR="00343A61">
        <w:tc>
          <w:tcPr>
            <w:tcW w:w="3261" w:type="dxa"/>
            <w:shd w:val="clear" w:color="auto" w:fill="D9D9D9"/>
          </w:tcPr>
          <w:p w:rsidR="00343A61" w:rsidRDefault="00C85AE7">
            <w:pPr>
              <w:widowControl w:val="0"/>
              <w:tabs>
                <w:tab w:val="left" w:pos="975"/>
              </w:tabs>
              <w:spacing w:before="15" w:after="15"/>
              <w:jc w:val="right"/>
              <w:rPr>
                <w:rFonts w:ascii="Times New Roman" w:eastAsia="Calibri" w:hAnsi="Times New Roman" w:cs="Times New Roman"/>
                <w:b/>
                <w:noProof/>
              </w:rPr>
            </w:pPr>
            <w:r>
              <w:rPr>
                <w:rFonts w:ascii="Times New Roman" w:hAnsi="Times New Roman"/>
                <w:b/>
                <w:noProof/>
              </w:rPr>
              <w:t>Общо</w:t>
            </w:r>
            <w:r>
              <w:rPr>
                <w:rFonts w:ascii="Times New Roman" w:hAnsi="Times New Roman"/>
                <w:b/>
                <w:noProof/>
              </w:rPr>
              <w:tab/>
            </w:r>
          </w:p>
        </w:tc>
        <w:tc>
          <w:tcPr>
            <w:tcW w:w="1701" w:type="dxa"/>
            <w:shd w:val="clear" w:color="auto" w:fill="D9D9D9"/>
          </w:tcPr>
          <w:p w:rsidR="00343A61" w:rsidRDefault="00C85AE7">
            <w:pPr>
              <w:widowControl w:val="0"/>
              <w:tabs>
                <w:tab w:val="left" w:pos="975"/>
              </w:tabs>
              <w:spacing w:before="15" w:after="15"/>
              <w:jc w:val="right"/>
              <w:rPr>
                <w:rFonts w:ascii="Times New Roman" w:eastAsia="Calibri" w:hAnsi="Times New Roman" w:cs="Times New Roman"/>
                <w:b/>
                <w:noProof/>
              </w:rPr>
            </w:pPr>
            <w:r>
              <w:rPr>
                <w:rFonts w:ascii="Times New Roman" w:hAnsi="Times New Roman"/>
                <w:b/>
                <w:noProof/>
              </w:rPr>
              <w:t>121,5</w:t>
            </w:r>
          </w:p>
        </w:tc>
        <w:tc>
          <w:tcPr>
            <w:tcW w:w="1701" w:type="dxa"/>
            <w:shd w:val="clear" w:color="auto" w:fill="D9D9D9"/>
          </w:tcPr>
          <w:p w:rsidR="00343A61" w:rsidRDefault="00C85AE7">
            <w:pPr>
              <w:widowControl w:val="0"/>
              <w:tabs>
                <w:tab w:val="left" w:pos="975"/>
              </w:tabs>
              <w:spacing w:before="15" w:after="15"/>
              <w:jc w:val="right"/>
              <w:rPr>
                <w:rFonts w:ascii="Times New Roman" w:eastAsia="Calibri" w:hAnsi="Times New Roman" w:cs="Times New Roman"/>
                <w:b/>
                <w:noProof/>
              </w:rPr>
            </w:pPr>
            <w:r>
              <w:rPr>
                <w:rFonts w:ascii="Times New Roman" w:hAnsi="Times New Roman"/>
                <w:b/>
                <w:noProof/>
              </w:rPr>
              <w:t>216,2</w:t>
            </w:r>
          </w:p>
        </w:tc>
        <w:tc>
          <w:tcPr>
            <w:tcW w:w="1701" w:type="dxa"/>
            <w:shd w:val="clear" w:color="auto" w:fill="D9D9D9"/>
          </w:tcPr>
          <w:p w:rsidR="00343A61" w:rsidRDefault="00C85AE7">
            <w:pPr>
              <w:jc w:val="right"/>
              <w:rPr>
                <w:rFonts w:ascii="Times New Roman" w:eastAsia="Calibri" w:hAnsi="Times New Roman" w:cs="Times New Roman"/>
                <w:b/>
                <w:noProof/>
              </w:rPr>
            </w:pPr>
            <w:r>
              <w:rPr>
                <w:rFonts w:ascii="Times New Roman" w:hAnsi="Times New Roman"/>
                <w:b/>
                <w:noProof/>
              </w:rPr>
              <w:t>7,5</w:t>
            </w:r>
          </w:p>
        </w:tc>
        <w:tc>
          <w:tcPr>
            <w:tcW w:w="1701" w:type="dxa"/>
            <w:shd w:val="clear" w:color="auto" w:fill="D9D9D9"/>
          </w:tcPr>
          <w:p w:rsidR="00343A61" w:rsidRDefault="00C85AE7">
            <w:pPr>
              <w:jc w:val="right"/>
              <w:rPr>
                <w:rFonts w:ascii="Times New Roman" w:eastAsia="Calibri" w:hAnsi="Times New Roman" w:cs="Times New Roman"/>
                <w:b/>
                <w:noProof/>
              </w:rPr>
            </w:pPr>
            <w:r>
              <w:rPr>
                <w:rFonts w:ascii="Times New Roman" w:hAnsi="Times New Roman"/>
                <w:b/>
                <w:noProof/>
              </w:rPr>
              <w:t>345,2</w:t>
            </w:r>
          </w:p>
        </w:tc>
      </w:tr>
    </w:tbl>
    <w:p w:rsidR="00343A61" w:rsidRDefault="00343A61">
      <w:pPr>
        <w:pStyle w:val="Text1"/>
        <w:ind w:left="0"/>
        <w:rPr>
          <w:noProof/>
        </w:rPr>
      </w:pPr>
    </w:p>
    <w:p w:rsidR="00343A61" w:rsidRDefault="00C85AE7">
      <w:pPr>
        <w:pStyle w:val="Text1"/>
        <w:ind w:left="0"/>
        <w:rPr>
          <w:noProof/>
        </w:rPr>
      </w:pPr>
      <w:r>
        <w:rPr>
          <w:noProof/>
        </w:rPr>
        <w:t xml:space="preserve">В таблицата по-долу са посочени допълнителните нужди от финансиране през 2021 г. за Инструмента за спешна подкрепа и Европейския център за профилактика и контрол върху заболяванията (ECDC) за частта, която ще бъде финансирана чрез този проект на коригиращ </w:t>
      </w:r>
      <w:r>
        <w:rPr>
          <w:noProof/>
        </w:rPr>
        <w:t xml:space="preserve">бюджет.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343A61">
        <w:trPr>
          <w:jc w:val="center"/>
        </w:trPr>
        <w:tc>
          <w:tcPr>
            <w:tcW w:w="9810" w:type="dxa"/>
            <w:gridSpan w:val="4"/>
            <w:tcBorders>
              <w:top w:val="nil"/>
              <w:left w:val="nil"/>
              <w:bottom w:val="single" w:sz="4" w:space="0" w:color="auto"/>
              <w:right w:val="nil"/>
            </w:tcBorders>
            <w:shd w:val="clear" w:color="auto" w:fill="auto"/>
            <w:vAlign w:val="center"/>
          </w:tcPr>
          <w:p w:rsidR="00343A61" w:rsidRDefault="00C85AE7">
            <w:pPr>
              <w:widowControl w:val="0"/>
              <w:spacing w:before="15" w:after="15" w:line="240" w:lineRule="auto"/>
              <w:jc w:val="right"/>
              <w:rPr>
                <w:rFonts w:ascii="Times New Roman" w:eastAsia="Times New Roman" w:hAnsi="Times New Roman" w:cs="Times New Roman"/>
                <w:i/>
                <w:noProof/>
                <w:sz w:val="20"/>
                <w:szCs w:val="20"/>
              </w:rPr>
            </w:pPr>
            <w:r>
              <w:rPr>
                <w:rFonts w:ascii="Times New Roman" w:hAnsi="Times New Roman"/>
                <w:i/>
                <w:noProof/>
                <w:sz w:val="20"/>
                <w:szCs w:val="20"/>
              </w:rPr>
              <w:t>EUR</w:t>
            </w:r>
          </w:p>
        </w:tc>
      </w:tr>
      <w:tr w:rsidR="00343A61">
        <w:trPr>
          <w:jc w:val="center"/>
        </w:trPr>
        <w:tc>
          <w:tcPr>
            <w:tcW w:w="1276" w:type="dxa"/>
            <w:tcBorders>
              <w:top w:val="single" w:sz="4" w:space="0" w:color="auto"/>
            </w:tcBorders>
            <w:shd w:val="clear" w:color="auto" w:fill="D9D9D9"/>
            <w:vAlign w:val="center"/>
          </w:tcPr>
          <w:p w:rsidR="00343A61" w:rsidRDefault="00C85AE7">
            <w:pPr>
              <w:keepNext/>
              <w:spacing w:before="15" w:after="15" w:line="240" w:lineRule="auto"/>
              <w:jc w:val="center"/>
              <w:rPr>
                <w:rFonts w:ascii="Times New Roman" w:eastAsia="Times New Roman" w:hAnsi="Times New Roman" w:cs="Times New Roman"/>
                <w:b/>
                <w:noProof/>
              </w:rPr>
            </w:pPr>
            <w:r>
              <w:rPr>
                <w:rFonts w:ascii="Times New Roman" w:hAnsi="Times New Roman"/>
                <w:b/>
                <w:noProof/>
              </w:rPr>
              <w:t>Бюджетен ред</w:t>
            </w:r>
          </w:p>
        </w:tc>
        <w:tc>
          <w:tcPr>
            <w:tcW w:w="5132" w:type="dxa"/>
            <w:tcBorders>
              <w:top w:val="single" w:sz="4" w:space="0" w:color="auto"/>
            </w:tcBorders>
            <w:shd w:val="clear" w:color="auto" w:fill="D9D9D9"/>
            <w:vAlign w:val="center"/>
          </w:tcPr>
          <w:p w:rsidR="00343A61" w:rsidRDefault="00C85AE7">
            <w:pPr>
              <w:widowControl w:val="0"/>
              <w:spacing w:before="15" w:after="15" w:line="240" w:lineRule="auto"/>
              <w:jc w:val="center"/>
              <w:rPr>
                <w:rFonts w:ascii="Times New Roman" w:eastAsia="Times New Roman" w:hAnsi="Times New Roman" w:cs="Times New Roman"/>
                <w:b/>
                <w:noProof/>
              </w:rPr>
            </w:pPr>
            <w:r>
              <w:rPr>
                <w:rFonts w:ascii="Times New Roman" w:hAnsi="Times New Roman"/>
                <w:b/>
                <w:noProof/>
              </w:rPr>
              <w:t>Наименование</w:t>
            </w:r>
          </w:p>
        </w:tc>
        <w:tc>
          <w:tcPr>
            <w:tcW w:w="1701" w:type="dxa"/>
            <w:tcBorders>
              <w:top w:val="single" w:sz="4" w:space="0" w:color="auto"/>
            </w:tcBorders>
            <w:shd w:val="clear" w:color="auto" w:fill="D9D9D9"/>
            <w:vAlign w:val="center"/>
          </w:tcPr>
          <w:p w:rsidR="00343A61" w:rsidRDefault="00C85AE7">
            <w:pPr>
              <w:widowControl w:val="0"/>
              <w:spacing w:before="15" w:after="15" w:line="240" w:lineRule="auto"/>
              <w:jc w:val="center"/>
              <w:rPr>
                <w:rFonts w:ascii="Times New Roman" w:eastAsia="Times New Roman" w:hAnsi="Times New Roman" w:cs="Times New Roman"/>
                <w:b/>
                <w:noProof/>
              </w:rPr>
            </w:pPr>
            <w:r>
              <w:rPr>
                <w:rFonts w:ascii="Times New Roman" w:hAnsi="Times New Roman"/>
                <w:b/>
                <w:noProof/>
              </w:rPr>
              <w:t>Бюджетни кредити за поети задължения</w:t>
            </w:r>
          </w:p>
        </w:tc>
        <w:tc>
          <w:tcPr>
            <w:tcW w:w="1701" w:type="dxa"/>
            <w:tcBorders>
              <w:top w:val="single" w:sz="4" w:space="0" w:color="auto"/>
            </w:tcBorders>
            <w:shd w:val="clear" w:color="auto" w:fill="D9D9D9"/>
            <w:vAlign w:val="center"/>
          </w:tcPr>
          <w:p w:rsidR="00343A61" w:rsidRDefault="00C85AE7">
            <w:pPr>
              <w:widowControl w:val="0"/>
              <w:spacing w:before="15" w:after="15" w:line="240" w:lineRule="auto"/>
              <w:jc w:val="center"/>
              <w:rPr>
                <w:rFonts w:ascii="Times New Roman" w:eastAsia="Times New Roman" w:hAnsi="Times New Roman" w:cs="Times New Roman"/>
                <w:b/>
                <w:noProof/>
              </w:rPr>
            </w:pPr>
            <w:r>
              <w:rPr>
                <w:rFonts w:ascii="Times New Roman" w:hAnsi="Times New Roman"/>
                <w:b/>
                <w:noProof/>
              </w:rPr>
              <w:t>Бюджетни кредити за плащания</w:t>
            </w:r>
          </w:p>
        </w:tc>
      </w:tr>
      <w:tr w:rsidR="00343A61">
        <w:trPr>
          <w:jc w:val="center"/>
        </w:trPr>
        <w:tc>
          <w:tcPr>
            <w:tcW w:w="1276" w:type="dxa"/>
          </w:tcPr>
          <w:p w:rsidR="00343A61" w:rsidRDefault="00C85AE7">
            <w:pPr>
              <w:widowControl w:val="0"/>
              <w:spacing w:before="15" w:after="15" w:line="240" w:lineRule="auto"/>
              <w:ind w:right="-113"/>
              <w:jc w:val="both"/>
              <w:rPr>
                <w:rFonts w:ascii="Times New Roman" w:eastAsia="Times New Roman" w:hAnsi="Times New Roman" w:cs="Times New Roman"/>
                <w:noProof/>
              </w:rPr>
            </w:pPr>
            <w:r>
              <w:rPr>
                <w:rFonts w:ascii="Times New Roman" w:hAnsi="Times New Roman"/>
                <w:noProof/>
              </w:rPr>
              <w:t>06 07 01</w:t>
            </w:r>
          </w:p>
        </w:tc>
        <w:tc>
          <w:tcPr>
            <w:tcW w:w="5132" w:type="dxa"/>
          </w:tcPr>
          <w:p w:rsidR="00343A61" w:rsidRDefault="00C85AE7">
            <w:pPr>
              <w:widowControl w:val="0"/>
              <w:tabs>
                <w:tab w:val="left" w:pos="1350"/>
              </w:tabs>
              <w:spacing w:before="15" w:after="15" w:line="240" w:lineRule="auto"/>
              <w:jc w:val="both"/>
              <w:rPr>
                <w:rFonts w:ascii="Times New Roman" w:eastAsia="Times New Roman" w:hAnsi="Times New Roman" w:cs="Times New Roman"/>
                <w:noProof/>
              </w:rPr>
            </w:pPr>
            <w:r>
              <w:rPr>
                <w:rFonts w:ascii="Times New Roman" w:hAnsi="Times New Roman"/>
                <w:noProof/>
              </w:rPr>
              <w:t>Спешна подкрепа в рамките на Съюза</w:t>
            </w:r>
          </w:p>
        </w:tc>
        <w:tc>
          <w:tcPr>
            <w:tcW w:w="1701" w:type="dxa"/>
          </w:tcPr>
          <w:p w:rsidR="00343A61" w:rsidRDefault="00C85AE7">
            <w:pPr>
              <w:widowControl w:val="0"/>
              <w:spacing w:before="15" w:after="15" w:line="240" w:lineRule="auto"/>
              <w:jc w:val="right"/>
              <w:rPr>
                <w:rFonts w:ascii="Times New Roman" w:eastAsia="Times New Roman" w:hAnsi="Times New Roman" w:cs="Times New Roman"/>
                <w:noProof/>
              </w:rPr>
            </w:pPr>
            <w:r>
              <w:rPr>
                <w:rFonts w:ascii="Times New Roman" w:hAnsi="Times New Roman"/>
                <w:noProof/>
              </w:rPr>
              <w:t>156 200 000</w:t>
            </w:r>
          </w:p>
        </w:tc>
        <w:tc>
          <w:tcPr>
            <w:tcW w:w="1701" w:type="dxa"/>
          </w:tcPr>
          <w:p w:rsidR="00343A61" w:rsidRDefault="00C85AE7">
            <w:pPr>
              <w:widowControl w:val="0"/>
              <w:spacing w:before="15" w:after="15" w:line="240" w:lineRule="auto"/>
              <w:jc w:val="right"/>
              <w:rPr>
                <w:rFonts w:ascii="Times New Roman" w:eastAsia="Times New Roman" w:hAnsi="Times New Roman" w:cs="Times New Roman"/>
                <w:noProof/>
              </w:rPr>
            </w:pPr>
            <w:r>
              <w:rPr>
                <w:rFonts w:ascii="Times New Roman" w:hAnsi="Times New Roman"/>
                <w:noProof/>
              </w:rPr>
              <w:t>148 100 000</w:t>
            </w:r>
          </w:p>
        </w:tc>
      </w:tr>
      <w:tr w:rsidR="00343A61">
        <w:trPr>
          <w:jc w:val="center"/>
        </w:trPr>
        <w:tc>
          <w:tcPr>
            <w:tcW w:w="1276" w:type="dxa"/>
          </w:tcPr>
          <w:p w:rsidR="00343A61" w:rsidRDefault="00C85AE7">
            <w:pPr>
              <w:widowControl w:val="0"/>
              <w:spacing w:before="15" w:after="15" w:line="240" w:lineRule="auto"/>
              <w:ind w:right="-113"/>
              <w:jc w:val="both"/>
              <w:rPr>
                <w:rFonts w:ascii="Times New Roman" w:eastAsia="Times New Roman" w:hAnsi="Times New Roman" w:cs="Times New Roman"/>
                <w:noProof/>
              </w:rPr>
            </w:pPr>
            <w:r>
              <w:rPr>
                <w:rFonts w:ascii="Times New Roman" w:hAnsi="Times New Roman"/>
                <w:noProof/>
              </w:rPr>
              <w:t>06 10 01</w:t>
            </w:r>
          </w:p>
        </w:tc>
        <w:tc>
          <w:tcPr>
            <w:tcW w:w="5132" w:type="dxa"/>
          </w:tcPr>
          <w:p w:rsidR="00343A61" w:rsidRDefault="00C85AE7">
            <w:pPr>
              <w:widowControl w:val="0"/>
              <w:tabs>
                <w:tab w:val="left" w:pos="1350"/>
              </w:tabs>
              <w:spacing w:before="15" w:after="15" w:line="240" w:lineRule="auto"/>
              <w:jc w:val="both"/>
              <w:rPr>
                <w:rFonts w:ascii="Times New Roman" w:eastAsia="Times New Roman" w:hAnsi="Times New Roman" w:cs="Times New Roman"/>
                <w:noProof/>
              </w:rPr>
            </w:pPr>
            <w:r>
              <w:rPr>
                <w:rFonts w:ascii="Times New Roman" w:hAnsi="Times New Roman"/>
                <w:noProof/>
              </w:rPr>
              <w:t>Европейски център за профилактика и контрол върху заболяванията (ECDC)</w:t>
            </w:r>
          </w:p>
        </w:tc>
        <w:tc>
          <w:tcPr>
            <w:tcW w:w="1701" w:type="dxa"/>
          </w:tcPr>
          <w:p w:rsidR="00343A61" w:rsidRDefault="00C85AE7">
            <w:pPr>
              <w:widowControl w:val="0"/>
              <w:spacing w:before="15" w:after="15" w:line="240" w:lineRule="auto"/>
              <w:jc w:val="right"/>
              <w:rPr>
                <w:rFonts w:ascii="Times New Roman" w:eastAsia="Times New Roman" w:hAnsi="Times New Roman" w:cs="Times New Roman"/>
                <w:noProof/>
              </w:rPr>
            </w:pPr>
            <w:r>
              <w:rPr>
                <w:rFonts w:ascii="Times New Roman" w:hAnsi="Times New Roman"/>
                <w:noProof/>
              </w:rPr>
              <w:t>60 000 000</w:t>
            </w:r>
          </w:p>
        </w:tc>
        <w:tc>
          <w:tcPr>
            <w:tcW w:w="1701" w:type="dxa"/>
          </w:tcPr>
          <w:p w:rsidR="00343A61" w:rsidRDefault="00C85AE7">
            <w:pPr>
              <w:widowControl w:val="0"/>
              <w:spacing w:before="15" w:after="15" w:line="240" w:lineRule="auto"/>
              <w:jc w:val="right"/>
              <w:rPr>
                <w:rFonts w:ascii="Times New Roman" w:eastAsia="Times New Roman" w:hAnsi="Times New Roman" w:cs="Times New Roman"/>
                <w:noProof/>
              </w:rPr>
            </w:pPr>
            <w:r>
              <w:rPr>
                <w:rFonts w:ascii="Times New Roman" w:hAnsi="Times New Roman"/>
                <w:noProof/>
              </w:rPr>
              <w:t>60 000 000</w:t>
            </w:r>
          </w:p>
        </w:tc>
      </w:tr>
      <w:tr w:rsidR="00343A61">
        <w:trPr>
          <w:jc w:val="center"/>
        </w:trPr>
        <w:tc>
          <w:tcPr>
            <w:tcW w:w="6408" w:type="dxa"/>
            <w:gridSpan w:val="2"/>
            <w:shd w:val="clear" w:color="auto" w:fill="D9D9D9"/>
          </w:tcPr>
          <w:p w:rsidR="00343A61" w:rsidRDefault="00C85AE7">
            <w:pPr>
              <w:widowControl w:val="0"/>
              <w:spacing w:before="15" w:after="15" w:line="240" w:lineRule="auto"/>
              <w:ind w:right="-113"/>
              <w:jc w:val="both"/>
              <w:rPr>
                <w:rFonts w:ascii="Times New Roman" w:eastAsia="Times New Roman" w:hAnsi="Times New Roman" w:cs="Times New Roman"/>
                <w:noProof/>
              </w:rPr>
            </w:pPr>
            <w:r>
              <w:rPr>
                <w:rFonts w:ascii="Times New Roman" w:hAnsi="Times New Roman"/>
                <w:b/>
                <w:noProof/>
              </w:rPr>
              <w:t>Общо</w:t>
            </w:r>
            <w:r>
              <w:rPr>
                <w:rFonts w:ascii="Times New Roman" w:hAnsi="Times New Roman"/>
                <w:b/>
                <w:noProof/>
              </w:rPr>
              <w:tab/>
            </w:r>
          </w:p>
        </w:tc>
        <w:tc>
          <w:tcPr>
            <w:tcW w:w="1701" w:type="dxa"/>
            <w:shd w:val="clear" w:color="auto" w:fill="D9D9D9"/>
          </w:tcPr>
          <w:p w:rsidR="00343A61" w:rsidRDefault="00C85AE7">
            <w:pPr>
              <w:widowControl w:val="0"/>
              <w:spacing w:before="15" w:after="15" w:line="240" w:lineRule="auto"/>
              <w:jc w:val="right"/>
              <w:rPr>
                <w:rFonts w:ascii="Times New Roman" w:eastAsia="Times New Roman" w:hAnsi="Times New Roman" w:cs="Times New Roman"/>
                <w:b/>
                <w:noProof/>
              </w:rPr>
            </w:pPr>
            <w:r>
              <w:rPr>
                <w:rFonts w:ascii="Times New Roman" w:hAnsi="Times New Roman"/>
                <w:b/>
                <w:noProof/>
              </w:rPr>
              <w:t>216 200 000</w:t>
            </w:r>
          </w:p>
        </w:tc>
        <w:tc>
          <w:tcPr>
            <w:tcW w:w="1701" w:type="dxa"/>
            <w:shd w:val="clear" w:color="auto" w:fill="D9D9D9"/>
          </w:tcPr>
          <w:p w:rsidR="00343A61" w:rsidRDefault="00C85AE7">
            <w:pPr>
              <w:widowControl w:val="0"/>
              <w:spacing w:before="15" w:after="15" w:line="240" w:lineRule="auto"/>
              <w:jc w:val="right"/>
              <w:rPr>
                <w:rFonts w:ascii="Times New Roman" w:eastAsia="Times New Roman" w:hAnsi="Times New Roman" w:cs="Times New Roman"/>
                <w:b/>
                <w:noProof/>
              </w:rPr>
            </w:pPr>
            <w:r>
              <w:rPr>
                <w:rFonts w:ascii="Times New Roman" w:hAnsi="Times New Roman"/>
                <w:b/>
                <w:noProof/>
              </w:rPr>
              <w:t>208 100 000</w:t>
            </w:r>
          </w:p>
        </w:tc>
      </w:tr>
    </w:tbl>
    <w:p w:rsidR="00343A61" w:rsidRDefault="00C85AE7">
      <w:pPr>
        <w:pStyle w:val="Text1"/>
        <w:numPr>
          <w:ilvl w:val="1"/>
          <w:numId w:val="5"/>
        </w:numPr>
        <w:rPr>
          <w:b/>
          <w:noProof/>
        </w:rPr>
      </w:pPr>
      <w:r>
        <w:rPr>
          <w:noProof/>
        </w:rPr>
        <w:t>Инструмент за спешна подкрепа</w:t>
      </w:r>
    </w:p>
    <w:p w:rsidR="00343A61" w:rsidRDefault="00C85AE7">
      <w:pPr>
        <w:pStyle w:val="Text1"/>
        <w:ind w:left="0"/>
        <w:rPr>
          <w:noProof/>
        </w:rPr>
      </w:pPr>
      <w:r>
        <w:rPr>
          <w:noProof/>
        </w:rPr>
        <w:t>Инструментът за спешна подкрепа (ESI) се прилага за широк кръг от допустими действия. Той беше активиран през 2020 г.</w:t>
      </w:r>
      <w:r>
        <w:rPr>
          <w:rStyle w:val="FootnoteReference"/>
          <w:noProof/>
        </w:rPr>
        <w:footnoteReference w:id="13"/>
      </w:r>
      <w:r>
        <w:rPr>
          <w:noProof/>
        </w:rPr>
        <w:t xml:space="preserve"> с цел да се предприемат незабавни мерки в отговор на избухването на COVID-19, главно за да се окаже подкрепа на секторите на здравеопазването в държавите членки и да се финансира сключването на споразумения за предварително закупуване (СПЗ) от името на вс</w:t>
      </w:r>
      <w:r>
        <w:rPr>
          <w:noProof/>
        </w:rPr>
        <w:t>ички държави членки с производителите на ваксини.</w:t>
      </w:r>
    </w:p>
    <w:p w:rsidR="00343A61" w:rsidRDefault="00C85AE7">
      <w:pPr>
        <w:pStyle w:val="Text1"/>
        <w:ind w:left="0"/>
        <w:rPr>
          <w:noProof/>
        </w:rPr>
      </w:pPr>
      <w:r>
        <w:rPr>
          <w:noProof/>
        </w:rPr>
        <w:t>Комисията предлага укрепване на Инструмента за спешна подкрепа през 2021 г. с общо 231,7 млн. евро бюджетни кредити за поети задължения, от които 156,2 млн. евро в настоящия проект на коригиращ бюджет. Мерк</w:t>
      </w:r>
      <w:r>
        <w:rPr>
          <w:noProof/>
        </w:rPr>
        <w:t xml:space="preserve">ите, които трябва да се насочват чрез Инструмента за спешна подкрепа, ще включват по-специално: </w:t>
      </w:r>
    </w:p>
    <w:p w:rsidR="00343A61" w:rsidRDefault="00C85AE7">
      <w:pPr>
        <w:pStyle w:val="Text1"/>
        <w:numPr>
          <w:ilvl w:val="0"/>
          <w:numId w:val="19"/>
        </w:numPr>
        <w:rPr>
          <w:noProof/>
        </w:rPr>
      </w:pPr>
      <w:r>
        <w:rPr>
          <w:noProof/>
        </w:rPr>
        <w:t>подготвителна работа за създаването на обща рамка за цифрово зелено удостоверение</w:t>
      </w:r>
      <w:r>
        <w:rPr>
          <w:rStyle w:val="FootnoteReference"/>
          <w:noProof/>
        </w:rPr>
        <w:footnoteReference w:id="14"/>
      </w:r>
      <w:r>
        <w:rPr>
          <w:noProof/>
        </w:rPr>
        <w:t xml:space="preserve"> за ваксинация, направен тест и статус на преболедуване на физическите лица с</w:t>
      </w:r>
      <w:r>
        <w:rPr>
          <w:noProof/>
        </w:rPr>
        <w:t xml:space="preserve"> цел въвеждане на подход на равнището на ЕС за издаване, проверка и приемане на оперативно съвместими удостоверения за улесняване на свободното движение по време на пандемията от COVID-19;</w:t>
      </w:r>
    </w:p>
    <w:p w:rsidR="00343A61" w:rsidRDefault="00C85AE7">
      <w:pPr>
        <w:pStyle w:val="Text1"/>
        <w:numPr>
          <w:ilvl w:val="0"/>
          <w:numId w:val="19"/>
        </w:numPr>
        <w:rPr>
          <w:noProof/>
        </w:rPr>
      </w:pPr>
      <w:r>
        <w:rPr>
          <w:noProof/>
        </w:rPr>
        <w:t>разработване, оценка и коригиране на нови RT-PCR тестове за всеки н</w:t>
      </w:r>
      <w:r>
        <w:rPr>
          <w:noProof/>
        </w:rPr>
        <w:t>овопоявяващ се вариант преди неговото разпространение, като същевременно се осигурява достатъчен капацитет за секвениране в държавите членки, както е определено в Съобщението на Комисията относно Инкубатора HERA</w:t>
      </w:r>
      <w:r>
        <w:rPr>
          <w:rStyle w:val="FootnoteReference"/>
          <w:noProof/>
        </w:rPr>
        <w:footnoteReference w:id="15"/>
      </w:r>
      <w:r>
        <w:rPr>
          <w:noProof/>
        </w:rPr>
        <w:t>;</w:t>
      </w:r>
    </w:p>
    <w:p w:rsidR="00343A61" w:rsidRDefault="00C85AE7">
      <w:pPr>
        <w:pStyle w:val="Text1"/>
        <w:numPr>
          <w:ilvl w:val="0"/>
          <w:numId w:val="19"/>
        </w:numPr>
        <w:rPr>
          <w:noProof/>
        </w:rPr>
      </w:pPr>
      <w:r>
        <w:rPr>
          <w:noProof/>
        </w:rPr>
        <w:t>мониторинг на отпадъчните води, който се д</w:t>
      </w:r>
      <w:r>
        <w:rPr>
          <w:noProof/>
        </w:rPr>
        <w:t>оказа като ефективен, надежден и икономичен инструмент за установяване на наличието на вирус. Както се посочва в Съобщението на Комисията относно COVID-19: общ път към безопасно и трайно отваряне</w:t>
      </w:r>
      <w:r>
        <w:rPr>
          <w:noProof/>
          <w:vertAlign w:val="superscript"/>
        </w:rPr>
        <w:footnoteReference w:id="16"/>
      </w:r>
      <w:r>
        <w:rPr>
          <w:noProof/>
        </w:rPr>
        <w:t xml:space="preserve">, общият подход за установяване на систематично наблюдение </w:t>
      </w:r>
      <w:r>
        <w:rPr>
          <w:noProof/>
        </w:rPr>
        <w:t>по отношение на SARS-CoV-2 и неговите варианти в отпадъчните води в ЕС позволява много ранно откриване, което дава възможност за скрининг сред големи групи от населението с цел установяване къде е необходим по-подробен анализ;</w:t>
      </w:r>
    </w:p>
    <w:p w:rsidR="00343A61" w:rsidRDefault="00C85AE7">
      <w:pPr>
        <w:pStyle w:val="Text1"/>
        <w:numPr>
          <w:ilvl w:val="0"/>
          <w:numId w:val="19"/>
        </w:numPr>
        <w:rPr>
          <w:noProof/>
        </w:rPr>
      </w:pPr>
      <w:r>
        <w:rPr>
          <w:noProof/>
        </w:rPr>
        <w:t>по-нататъшна работа по разраб</w:t>
      </w:r>
      <w:r>
        <w:rPr>
          <w:noProof/>
        </w:rPr>
        <w:t xml:space="preserve">отването на платформата за обмен на формуляра за локализиране на пътници с цел увеличаване на броя на участващите държави членки, успоредно с установяването в правото на ЕС на правно основание за трансграничния обмен на лични данни чрез акт за изпълнение. </w:t>
      </w:r>
      <w:r>
        <w:rPr>
          <w:noProof/>
        </w:rPr>
        <w:t xml:space="preserve">В настоящата пилотна фаза на проекта платформата за обмен е технически готова да се свърже с цифровите хранилища на три държави членки, които вече участват; </w:t>
      </w:r>
    </w:p>
    <w:p w:rsidR="00343A61" w:rsidRDefault="00C85AE7">
      <w:pPr>
        <w:pStyle w:val="Text1"/>
        <w:numPr>
          <w:ilvl w:val="0"/>
          <w:numId w:val="19"/>
        </w:numPr>
        <w:rPr>
          <w:noProof/>
        </w:rPr>
      </w:pPr>
      <w:r>
        <w:rPr>
          <w:noProof/>
        </w:rPr>
        <w:t>освен установените на този етап нужди от финансиране се предлага да се предвидят средства по Инстр</w:t>
      </w:r>
      <w:r>
        <w:rPr>
          <w:noProof/>
        </w:rPr>
        <w:t>умента за спешна подкрепа — в размер на 100 млн. евро — с оглед на потенциалното отражение върху бюджета на възникващите нужди с развитието на пандемията. Във връзка с това е важно да се подчертае, че динамично променящият се характер на пандемията изисква</w:t>
      </w:r>
      <w:r>
        <w:rPr>
          <w:noProof/>
        </w:rPr>
        <w:t xml:space="preserve"> бързи ответни действия на политиката, които невинаги могат да бъдат предвидени и които също така ще трябва да бъдат финансирани в кратък срок.</w:t>
      </w:r>
    </w:p>
    <w:p w:rsidR="00343A61" w:rsidRDefault="00C85AE7">
      <w:pPr>
        <w:pStyle w:val="Text1"/>
        <w:ind w:left="0"/>
        <w:rPr>
          <w:noProof/>
          <w:u w:val="single"/>
        </w:rPr>
      </w:pPr>
      <w:r>
        <w:rPr>
          <w:noProof/>
        </w:rPr>
        <w:t xml:space="preserve">В контекста на законодателното предложение за цифровите зелени удостоверения Комисията установи възможността за </w:t>
      </w:r>
      <w:r>
        <w:rPr>
          <w:noProof/>
        </w:rPr>
        <w:t>финансиране на годишна сума от 3 млн. евро, свързана с управлението и поддържането на системата от програмата „Цифрова Европа“, веднага след като правното основание за нея влезе в сила. През 2021 г. в рамките на прерогативния бюджетен ред на Комисията в об</w:t>
      </w:r>
      <w:r>
        <w:rPr>
          <w:noProof/>
        </w:rPr>
        <w:t>ластта на транспорта (бюджетна позиция 02 20 04 01) бе предоставена допълнителна сума от 0,5 млн. евро за поддръжка на платформата за обмен на формуляра за локализиране на пътници.</w:t>
      </w:r>
      <w:r>
        <w:rPr>
          <w:noProof/>
          <w:u w:val="single"/>
        </w:rPr>
        <w:t xml:space="preserve"> </w:t>
      </w:r>
    </w:p>
    <w:p w:rsidR="00343A61" w:rsidRDefault="00C85AE7">
      <w:pPr>
        <w:pStyle w:val="Text1"/>
        <w:ind w:left="0"/>
        <w:rPr>
          <w:noProof/>
        </w:rPr>
      </w:pPr>
      <w:r>
        <w:rPr>
          <w:noProof/>
        </w:rPr>
        <w:t>При определяне на размера на поисканите във връзка с Инструмента за спешна</w:t>
      </w:r>
      <w:r>
        <w:rPr>
          <w:noProof/>
        </w:rPr>
        <w:t xml:space="preserve"> подкрепа бюджетни кредити за плащания през 2021 г. (148,1 млн. евро) се вземат предвид специфичните нужди от плащания, установени в законодателната финансова обосновка за предложението на Комисията относно цифровите зелени удостоверения, от които 8,1 млн.</w:t>
      </w:r>
      <w:r>
        <w:rPr>
          <w:noProof/>
        </w:rPr>
        <w:t xml:space="preserve"> евро ще бъдат отпуснати през 2022 г. </w:t>
      </w:r>
    </w:p>
    <w:p w:rsidR="00343A61" w:rsidRDefault="00C85AE7">
      <w:pPr>
        <w:pStyle w:val="Text1"/>
        <w:numPr>
          <w:ilvl w:val="1"/>
          <w:numId w:val="5"/>
        </w:numPr>
        <w:rPr>
          <w:b/>
          <w:noProof/>
        </w:rPr>
      </w:pPr>
      <w:r>
        <w:rPr>
          <w:noProof/>
        </w:rPr>
        <w:t>Европейски център за профилактика и контрол върху заболяванията</w:t>
      </w:r>
    </w:p>
    <w:p w:rsidR="00343A61" w:rsidRDefault="00C85AE7">
      <w:pPr>
        <w:pStyle w:val="Text1"/>
        <w:ind w:left="0"/>
        <w:rPr>
          <w:noProof/>
        </w:rPr>
      </w:pPr>
      <w:r>
        <w:rPr>
          <w:noProof/>
        </w:rPr>
        <w:t xml:space="preserve">Комисията предлага на Европейския център за профилактика и контрол върху заболяванията (ECDC) да бъде отредена водеща роля при укрепването на капацитета </w:t>
      </w:r>
      <w:r>
        <w:rPr>
          <w:noProof/>
        </w:rPr>
        <w:t>на държавите членки за откриване и наблюдение на новите варианти на вирусите SARS-CoV-2 („секвениране“). Постигането на целта от 5 % геномно секвениране на положителните тестове в държавите членки ще помогне да се идентифицират вариантите, да се следи тяхн</w:t>
      </w:r>
      <w:r>
        <w:rPr>
          <w:noProof/>
        </w:rPr>
        <w:t xml:space="preserve">ото разпространение в популациите и да се изследва въздействието им върху заразността. Освен това е важно да се увеличат научните изследвания и обменът на данни относно вариантите. </w:t>
      </w:r>
    </w:p>
    <w:p w:rsidR="00343A61" w:rsidRDefault="00C85AE7">
      <w:pPr>
        <w:pStyle w:val="Text1"/>
        <w:ind w:left="0"/>
        <w:rPr>
          <w:noProof/>
        </w:rPr>
      </w:pPr>
      <w:r>
        <w:rPr>
          <w:noProof/>
        </w:rPr>
        <w:t>ECDC вече е сключил рамков договор за извънредни ситуации, даващ по-специа</w:t>
      </w:r>
      <w:r>
        <w:rPr>
          <w:noProof/>
        </w:rPr>
        <w:t>лно възможност на държавите членки с ограничен или непълен капацитет за секвениране на целия геном да изпращат проби до една или повече търговски лаборатории, с които ECDC е сключил договор за извършване на секвенирането, във връзка с което ECDC е успял да</w:t>
      </w:r>
      <w:r>
        <w:rPr>
          <w:noProof/>
        </w:rPr>
        <w:t xml:space="preserve"> преразпредели сума от 4 млн. евро в рамките на текущия си бюджет. За да стане този капацитет по-широко достъпен за всички държави членки, се предлага разширяване на рамковия договор на ECDC, като финансовият принос на ЕС за ECDC през 2021 г. бъде увеличен</w:t>
      </w:r>
      <w:r>
        <w:rPr>
          <w:noProof/>
        </w:rPr>
        <w:t xml:space="preserve"> с общо 106 млн. евро бюджетни кредити за поети задължения и за плащания, от които 60 млн. евро в настоящия проект на коригиращ бюджет. Увеличеният финансов принос на ЕС за EDC ще се използва и за покриване на разходите, свързани с транспортирането на виру</w:t>
      </w:r>
      <w:r>
        <w:rPr>
          <w:noProof/>
        </w:rPr>
        <w:t>сни проби за секвениране, както и за подкрепа за изграждането на капацитет в държавите членки преди създаването на Органа за готовност и реакция при извънредни здравни ситуации (HERA).</w:t>
      </w:r>
    </w:p>
    <w:p w:rsidR="00343A61" w:rsidRDefault="00C85AE7">
      <w:pPr>
        <w:pStyle w:val="Text1"/>
        <w:ind w:left="0"/>
        <w:rPr>
          <w:noProof/>
        </w:rPr>
      </w:pPr>
      <w:r>
        <w:rPr>
          <w:noProof/>
        </w:rPr>
        <w:t>За да се даде възможност на ECDC да разпредели това значително по разме</w:t>
      </w:r>
      <w:r>
        <w:rPr>
          <w:noProof/>
        </w:rPr>
        <w:t>р финансиране към държавите членки при пълно спазване на финансовите правила, се предлага подсилване на персонала на ECDC през 2021 г. с 10 длъжности в щатното разписание и пет договорно наети лица, което представлява изтегляне напред във времето на предви</w:t>
      </w:r>
      <w:r>
        <w:rPr>
          <w:noProof/>
        </w:rPr>
        <w:t>деното в здравния пакет от 11 ноември 2020 г. увеличение на персонала на ECDC през 2022 г.</w:t>
      </w:r>
      <w:r>
        <w:rPr>
          <w:rStyle w:val="FootnoteReference"/>
          <w:noProof/>
        </w:rPr>
        <w:footnoteReference w:id="17"/>
      </w:r>
      <w:r>
        <w:rPr>
          <w:noProof/>
        </w:rPr>
        <w:t xml:space="preserve"> Приблизителните разходи за възнаграждения от около 1 млн. евро са включени в поисканата в проекта на коригиращ бюджет сума за ECDC в размер на 60 млн. евро. </w:t>
      </w:r>
    </w:p>
    <w:p w:rsidR="00343A61" w:rsidRDefault="00C85AE7">
      <w:pPr>
        <w:pStyle w:val="Text1"/>
        <w:ind w:left="0"/>
        <w:rPr>
          <w:noProof/>
        </w:rPr>
      </w:pPr>
      <w:r>
        <w:rPr>
          <w:noProof/>
        </w:rPr>
        <w:t>Актуал</w:t>
      </w:r>
      <w:r>
        <w:rPr>
          <w:noProof/>
        </w:rPr>
        <w:t>изираното щатно разписание на ECDC е посочено в бюджетното приложение.</w:t>
      </w:r>
    </w:p>
    <w:p w:rsidR="00343A61" w:rsidRDefault="00C85AE7">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rPr>
      </w:pPr>
      <w:bookmarkStart w:id="13" w:name="_Toc68801879"/>
      <w:r>
        <w:rPr>
          <w:rFonts w:ascii="Times New Roman" w:hAnsi="Times New Roman"/>
          <w:b/>
          <w:smallCaps/>
          <w:noProof/>
          <w:sz w:val="24"/>
          <w:szCs w:val="24"/>
        </w:rPr>
        <w:t>Децентрализирани агенции и EPPO</w:t>
      </w:r>
      <w:bookmarkEnd w:id="13"/>
    </w:p>
    <w:p w:rsidR="00343A61" w:rsidRDefault="00C85AE7">
      <w:pPr>
        <w:pStyle w:val="ListParagraph"/>
        <w:keepNext/>
        <w:numPr>
          <w:ilvl w:val="1"/>
          <w:numId w:val="5"/>
        </w:numPr>
        <w:tabs>
          <w:tab w:val="left" w:pos="850"/>
        </w:tabs>
        <w:spacing w:before="360" w:after="120"/>
        <w:jc w:val="both"/>
        <w:outlineLvl w:val="0"/>
        <w:rPr>
          <w:rFonts w:ascii="Times New Roman" w:eastAsia="Times New Roman" w:hAnsi="Times New Roman" w:cs="Times New Roman"/>
          <w:b/>
          <w:smallCaps/>
          <w:noProof/>
          <w:sz w:val="24"/>
          <w:szCs w:val="24"/>
        </w:rPr>
      </w:pPr>
      <w:bookmarkStart w:id="14" w:name="_Toc68801880"/>
      <w:r>
        <w:rPr>
          <w:rFonts w:ascii="Times New Roman" w:hAnsi="Times New Roman"/>
          <w:noProof/>
          <w:sz w:val="24"/>
          <w:szCs w:val="24"/>
        </w:rPr>
        <w:t>Агенция на Европейския съюз за космическата програма</w:t>
      </w:r>
      <w:bookmarkEnd w:id="14"/>
    </w:p>
    <w:p w:rsidR="00343A61" w:rsidRDefault="00C85AE7">
      <w:pPr>
        <w:pStyle w:val="Text1"/>
        <w:ind w:left="0"/>
        <w:rPr>
          <w:noProof/>
        </w:rPr>
      </w:pPr>
      <w:r>
        <w:rPr>
          <w:noProof/>
        </w:rPr>
        <w:t>След постигнатото споразумение през декември 2020 г. между Парламента и Съвета относно Регламента за космическата програма се предлага увеличение на персонала за Агенцията на Европейския съюз за космическата програма (EUSPA), състоящо се от 41 допълнителни</w:t>
      </w:r>
      <w:r>
        <w:rPr>
          <w:noProof/>
        </w:rPr>
        <w:t xml:space="preserve"> длъжности в щатното разписание и 11 командировани национални експерти през 2021 г., с цел да се улесни прилагането на космическата програма на ЕС. С одобрения от Парламента и Съвета регламент на EUSPA се възлагат значителни допълнителни задачи, включителн</w:t>
      </w:r>
      <w:r>
        <w:rPr>
          <w:noProof/>
        </w:rPr>
        <w:t>о по отношение на гарантиране на непрекъснатостта на услугата и гарантиране на сигурността на инфраструктурата и системите, като например „Коперник“, „Галилео“/Европейска геостационарна служба за навигационно покритие (EGNOS) и сателитните комуникации. Свъ</w:t>
      </w:r>
      <w:r>
        <w:rPr>
          <w:noProof/>
        </w:rPr>
        <w:t xml:space="preserve">рзаните допълнителни бюджетни средства ще бъдат прехвърлени на EUSPA от бюджетните редове за космическата програма чрез автономен трансфер от Комисията при приемане на Регламента за космическата програма. </w:t>
      </w:r>
    </w:p>
    <w:p w:rsidR="00343A61" w:rsidRDefault="00C85AE7">
      <w:pPr>
        <w:pStyle w:val="Text1"/>
        <w:ind w:left="0"/>
        <w:rPr>
          <w:noProof/>
        </w:rPr>
      </w:pPr>
      <w:r>
        <w:rPr>
          <w:noProof/>
        </w:rPr>
        <w:t>Актуализираното щатно разписание на EUSPA е посоче</w:t>
      </w:r>
      <w:r>
        <w:rPr>
          <w:noProof/>
        </w:rPr>
        <w:t>но в бюджетното приложение.</w:t>
      </w:r>
    </w:p>
    <w:p w:rsidR="00343A61" w:rsidRDefault="00C85AE7">
      <w:pPr>
        <w:pStyle w:val="ListParagraph"/>
        <w:keepNext/>
        <w:numPr>
          <w:ilvl w:val="1"/>
          <w:numId w:val="5"/>
        </w:numPr>
        <w:tabs>
          <w:tab w:val="left" w:pos="850"/>
        </w:tabs>
        <w:spacing w:before="360" w:after="120"/>
        <w:jc w:val="both"/>
        <w:outlineLvl w:val="0"/>
        <w:rPr>
          <w:rFonts w:ascii="Times New Roman" w:eastAsia="Times New Roman" w:hAnsi="Times New Roman" w:cs="Times New Roman"/>
          <w:b/>
          <w:smallCaps/>
          <w:noProof/>
          <w:sz w:val="24"/>
          <w:szCs w:val="24"/>
        </w:rPr>
      </w:pPr>
      <w:bookmarkStart w:id="15" w:name="_Toc68801881"/>
      <w:r>
        <w:rPr>
          <w:rFonts w:ascii="Times New Roman" w:hAnsi="Times New Roman"/>
          <w:noProof/>
          <w:sz w:val="24"/>
          <w:szCs w:val="24"/>
        </w:rPr>
        <w:t>Европейска агенция за контрол на рибарството</w:t>
      </w:r>
      <w:bookmarkEnd w:id="15"/>
    </w:p>
    <w:p w:rsidR="00343A61" w:rsidRDefault="00C85AE7">
      <w:pPr>
        <w:pStyle w:val="Text1"/>
        <w:ind w:left="0"/>
        <w:rPr>
          <w:noProof/>
        </w:rPr>
      </w:pPr>
      <w:r>
        <w:rPr>
          <w:noProof/>
        </w:rPr>
        <w:t xml:space="preserve">В резултат на оттеглянето на Обединеното кралство EFCA трябва да извършва засилени дейности по контрол, както е описано по-подробно в преработената законодателна финансова обосновка. </w:t>
      </w:r>
      <w:r>
        <w:rPr>
          <w:noProof/>
        </w:rPr>
        <w:t>Това увеличаване на обема на работа изисква четири допълнителни длъжности в щатното разписание и две договорно наети лица, както и увеличаване на финансовия принос на ЕС за Агенцията в размер на 2 млн. евро. Комисията възнамерява да преразпредели допълните</w:t>
      </w:r>
      <w:r>
        <w:rPr>
          <w:noProof/>
        </w:rPr>
        <w:t>лни 2 млн. евро от Европейския фонд за морско дело, рибарство и аквакултури (EMFAF) посредством автономен трансфер на Комисията. Допълнителният персонал и средства ще позволят на EFCA да наеме и да разположи до два допълнителни патрулни кораба в открито мо</w:t>
      </w:r>
      <w:r>
        <w:rPr>
          <w:noProof/>
        </w:rPr>
        <w:t>ре и мисии на въздухоплавателни съдове във води, съседни на Обединеното кралство. Агенцията ще създаде също така единна информационна система и координационно звено за подкрепа на прилагането на Споразумението за търговия и сътрудничество между ЕС и Обедин</w:t>
      </w:r>
      <w:r>
        <w:rPr>
          <w:noProof/>
        </w:rPr>
        <w:t>еното кралство.</w:t>
      </w:r>
    </w:p>
    <w:p w:rsidR="00343A61" w:rsidRDefault="00C85AE7">
      <w:pPr>
        <w:pStyle w:val="Text1"/>
        <w:ind w:left="0"/>
        <w:rPr>
          <w:noProof/>
        </w:rPr>
      </w:pPr>
      <w:r>
        <w:rPr>
          <w:noProof/>
        </w:rPr>
        <w:t>Актуализираното щатно разписание на EFCA е посочено в бюджетното приложение.</w:t>
      </w:r>
    </w:p>
    <w:p w:rsidR="00343A61" w:rsidRDefault="00C85AE7">
      <w:pPr>
        <w:pStyle w:val="ListParagraph"/>
        <w:keepNext/>
        <w:numPr>
          <w:ilvl w:val="1"/>
          <w:numId w:val="5"/>
        </w:numPr>
        <w:tabs>
          <w:tab w:val="left" w:pos="850"/>
        </w:tabs>
        <w:spacing w:before="360" w:after="120"/>
        <w:jc w:val="both"/>
        <w:outlineLvl w:val="0"/>
        <w:rPr>
          <w:rFonts w:ascii="Times New Roman" w:eastAsia="Times New Roman" w:hAnsi="Times New Roman" w:cs="Times New Roman"/>
          <w:b/>
          <w:smallCaps/>
          <w:noProof/>
          <w:sz w:val="24"/>
          <w:szCs w:val="24"/>
        </w:rPr>
      </w:pPr>
      <w:bookmarkStart w:id="16" w:name="_Toc68801882"/>
      <w:r>
        <w:rPr>
          <w:rFonts w:ascii="Times New Roman" w:hAnsi="Times New Roman"/>
          <w:noProof/>
          <w:sz w:val="24"/>
          <w:szCs w:val="24"/>
        </w:rPr>
        <w:t>Европейска прокуратура</w:t>
      </w:r>
      <w:bookmarkEnd w:id="16"/>
    </w:p>
    <w:p w:rsidR="00343A61" w:rsidRDefault="00C85AE7">
      <w:pPr>
        <w:pStyle w:val="Text1"/>
        <w:ind w:left="0"/>
        <w:rPr>
          <w:noProof/>
        </w:rPr>
      </w:pPr>
      <w:r>
        <w:rPr>
          <w:noProof/>
        </w:rPr>
        <w:t>Постигнатото споразумение относно одобрения бюджет за 2021 г. включва осем допълнителни длъжности в щатното разписание за Европейската проку</w:t>
      </w:r>
      <w:r>
        <w:rPr>
          <w:noProof/>
        </w:rPr>
        <w:t>ратура (EPPO). След преразглеждане на нуждите се предлага актуализиране на разбивката по функционални групи и степени на тези осем длъжности в щатното разписание.</w:t>
      </w:r>
    </w:p>
    <w:p w:rsidR="00343A61" w:rsidRDefault="00C85AE7">
      <w:pPr>
        <w:pStyle w:val="Text1"/>
        <w:ind w:left="0"/>
        <w:rPr>
          <w:noProof/>
        </w:rPr>
      </w:pPr>
      <w:r>
        <w:rPr>
          <w:noProof/>
        </w:rPr>
        <w:t>Актуализираното щатно разписание на EPPO е посочено в бюджетното приложение.</w:t>
      </w:r>
    </w:p>
    <w:p w:rsidR="00343A61" w:rsidRDefault="00C85AE7">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rPr>
      </w:pPr>
      <w:bookmarkStart w:id="17" w:name="_Toc68801883"/>
      <w:r>
        <w:rPr>
          <w:rFonts w:ascii="Times New Roman" w:hAnsi="Times New Roman"/>
          <w:b/>
          <w:smallCaps/>
          <w:noProof/>
          <w:sz w:val="24"/>
          <w:szCs w:val="24"/>
        </w:rPr>
        <w:t>Изпълнителни аге</w:t>
      </w:r>
      <w:r>
        <w:rPr>
          <w:rFonts w:ascii="Times New Roman" w:hAnsi="Times New Roman"/>
          <w:b/>
          <w:smallCaps/>
          <w:noProof/>
          <w:sz w:val="24"/>
          <w:szCs w:val="24"/>
        </w:rPr>
        <w:t>нции</w:t>
      </w:r>
      <w:bookmarkEnd w:id="17"/>
      <w:r>
        <w:rPr>
          <w:rFonts w:ascii="Times New Roman" w:hAnsi="Times New Roman"/>
          <w:b/>
          <w:smallCaps/>
          <w:noProof/>
          <w:sz w:val="24"/>
          <w:szCs w:val="24"/>
        </w:rPr>
        <w:t xml:space="preserve"> </w:t>
      </w:r>
    </w:p>
    <w:p w:rsidR="00343A61" w:rsidRDefault="00C85AE7">
      <w:pPr>
        <w:pStyle w:val="ListParagraph"/>
        <w:keepNext/>
        <w:numPr>
          <w:ilvl w:val="1"/>
          <w:numId w:val="5"/>
        </w:numPr>
        <w:tabs>
          <w:tab w:val="left" w:pos="850"/>
        </w:tabs>
        <w:spacing w:before="360" w:after="120"/>
        <w:jc w:val="both"/>
        <w:outlineLvl w:val="0"/>
        <w:rPr>
          <w:rFonts w:ascii="Times New Roman" w:eastAsia="Times New Roman" w:hAnsi="Times New Roman" w:cs="Times New Roman"/>
          <w:b/>
          <w:smallCaps/>
          <w:noProof/>
          <w:sz w:val="24"/>
          <w:szCs w:val="24"/>
        </w:rPr>
      </w:pPr>
      <w:bookmarkStart w:id="18" w:name="_Toc68801884"/>
      <w:bookmarkStart w:id="19" w:name="_Toc35506109"/>
      <w:bookmarkStart w:id="20" w:name="_Toc514181802"/>
      <w:bookmarkStart w:id="21" w:name="_Toc12621018"/>
      <w:bookmarkEnd w:id="4"/>
      <w:bookmarkEnd w:id="5"/>
      <w:bookmarkEnd w:id="11"/>
      <w:bookmarkEnd w:id="3"/>
      <w:bookmarkEnd w:id="2"/>
      <w:r>
        <w:rPr>
          <w:rFonts w:ascii="Times New Roman" w:hAnsi="Times New Roman"/>
          <w:noProof/>
          <w:sz w:val="24"/>
          <w:szCs w:val="24"/>
        </w:rPr>
        <w:t>Създаване на изпълнителни агенции за периода 2021—2027 г.</w:t>
      </w:r>
      <w:bookmarkEnd w:id="18"/>
    </w:p>
    <w:p w:rsidR="00343A61" w:rsidRDefault="00C85AE7">
      <w:pPr>
        <w:pStyle w:val="Text1"/>
        <w:ind w:left="0"/>
        <w:rPr>
          <w:noProof/>
        </w:rPr>
      </w:pPr>
      <w:r>
        <w:rPr>
          <w:noProof/>
        </w:rPr>
        <w:t>На 12 февруари 2021 г. Комисията прие решението</w:t>
      </w:r>
      <w:r>
        <w:rPr>
          <w:rStyle w:val="FootnoteReference"/>
          <w:noProof/>
        </w:rPr>
        <w:footnoteReference w:id="18"/>
      </w:r>
      <w:r>
        <w:rPr>
          <w:noProof/>
        </w:rPr>
        <w:t xml:space="preserve"> за създаване на ново поколение изпълнителни агенции и съответните решения за делегиране на Комисията, с които се определят основните компоненти</w:t>
      </w:r>
      <w:r>
        <w:rPr>
          <w:noProof/>
        </w:rPr>
        <w:t xml:space="preserve"> на поверените им мандат и задачи. Датата на влизане в сила на делегирането на задачите на новото поколение изпълнителни агенции ще бъде 1 април 2021 г.</w:t>
      </w:r>
    </w:p>
    <w:p w:rsidR="00343A61" w:rsidRDefault="00C85AE7">
      <w:pPr>
        <w:pStyle w:val="Text1"/>
        <w:ind w:left="0"/>
        <w:rPr>
          <w:noProof/>
        </w:rPr>
      </w:pPr>
      <w:r>
        <w:rPr>
          <w:noProof/>
        </w:rPr>
        <w:t>В писмото за внасяне на корекции № 1 към проекта на коригиращ бюджет за 2021 г.</w:t>
      </w:r>
      <w:r>
        <w:rPr>
          <w:rStyle w:val="FootnoteReference"/>
          <w:noProof/>
        </w:rPr>
        <w:footnoteReference w:id="19"/>
      </w:r>
      <w:r>
        <w:rPr>
          <w:noProof/>
        </w:rPr>
        <w:t xml:space="preserve"> Комисията обясни защо </w:t>
      </w:r>
      <w:r>
        <w:rPr>
          <w:noProof/>
        </w:rPr>
        <w:t>към онзи момент трябваше да основе предвижданията, свързани със сумите, които трябва да бъдат делегирани на изпълнителните агенции, на пакетите за разходните програми, определени в споразумението в рамките на Европейския съвет от юли 2020 г. Предвид несигу</w:t>
      </w:r>
      <w:r>
        <w:rPr>
          <w:noProof/>
        </w:rPr>
        <w:t xml:space="preserve">рността, свързана с разпределението на тези кредити, бюджетните забележки по редовете за подкрепа на изпълнителните агенции в писмото за внасяне на корекции все още не включваха никакви оценки на разходите. </w:t>
      </w:r>
    </w:p>
    <w:p w:rsidR="00343A61" w:rsidRDefault="00C85AE7">
      <w:pPr>
        <w:pStyle w:val="Text1"/>
        <w:ind w:left="0"/>
        <w:rPr>
          <w:noProof/>
        </w:rPr>
      </w:pPr>
      <w:r>
        <w:rPr>
          <w:noProof/>
        </w:rPr>
        <w:t>В одобрения бюджет за 2021 г. се потвърждават пр</w:t>
      </w:r>
      <w:r>
        <w:rPr>
          <w:noProof/>
        </w:rPr>
        <w:t>едвижданията за изпълнителните агенции, както е посочено в писмото за внасяне на корекции. В политическото споразумение от 10 ноември 2020 г. относно МФР за периода 2021—2027 г. е включено обаче значително увеличение на бюджета за редица програми, които ча</w:t>
      </w:r>
      <w:r>
        <w:rPr>
          <w:noProof/>
        </w:rPr>
        <w:t>стично или напълно са делегирани на изпълнителните агенции. Това засяга по-специално „Еразъм+“, „Хоризонт Европа“, EU4Health, „Творческа Европа“, както и програмата „Граждани, равенство, права и ценности“. Съответното въздействие на увеличените бюджети, ко</w:t>
      </w:r>
      <w:r>
        <w:rPr>
          <w:noProof/>
        </w:rPr>
        <w:t>ито трябва да бъдат делегирани на изпълнителните агенции, беше отразено в документите, които Комисията представи през декември 2020 г. на Комитета за изпълнителните агенции („пакета за КИА“).</w:t>
      </w:r>
    </w:p>
    <w:p w:rsidR="00343A61" w:rsidRDefault="00C85AE7">
      <w:pPr>
        <w:pStyle w:val="Text1"/>
        <w:ind w:left="0"/>
        <w:rPr>
          <w:noProof/>
        </w:rPr>
      </w:pPr>
      <w:r>
        <w:rPr>
          <w:noProof/>
        </w:rPr>
        <w:t>Оттогава насам две допълнителни промени оказаха относително незн</w:t>
      </w:r>
      <w:r>
        <w:rPr>
          <w:noProof/>
        </w:rPr>
        <w:t>ачително въздействие върху делегирането на задачи на изпълнителните агенции. Първо, с постигнатото на 11 декември 2020 г. политическо споразумение относно вътрешното разпределение на бюджета на „Хоризонт Европа“ се промени разпределението на бюджетните кре</w:t>
      </w:r>
      <w:r>
        <w:rPr>
          <w:noProof/>
        </w:rPr>
        <w:t>дити и персонала за агенциите, изпълняващи програмата, така че да отразява свързания с това обем на работата, без общото нетно въздействие. Второ, в решенията на Комисията от 12 февруари 2021 г. се посочва, че делегирането на задачи ще се извърши ефективно</w:t>
      </w:r>
      <w:r>
        <w:rPr>
          <w:noProof/>
        </w:rPr>
        <w:t xml:space="preserve"> на 1 април 2021 г., а не на предварително определената дата — 1 януари 2021 г. Забавеното набиране на допълнителен персонал през 2021 г. създава икономия за изпълнителните агенции от около 8,3 млн. евро, което съответно намалява необходимостта от увеличав</w:t>
      </w:r>
      <w:r>
        <w:rPr>
          <w:noProof/>
        </w:rPr>
        <w:t>ане на средствата за текущи разходи на изпълнителните агенции чрез настоящия проект на коригиращ бюджет.</w:t>
      </w:r>
    </w:p>
    <w:p w:rsidR="00343A61" w:rsidRDefault="00C85AE7">
      <w:pPr>
        <w:pStyle w:val="ListParagraph"/>
        <w:keepNext/>
        <w:numPr>
          <w:ilvl w:val="1"/>
          <w:numId w:val="5"/>
        </w:numPr>
        <w:tabs>
          <w:tab w:val="left" w:pos="850"/>
        </w:tabs>
        <w:spacing w:before="360" w:after="120"/>
        <w:jc w:val="both"/>
        <w:outlineLvl w:val="0"/>
        <w:rPr>
          <w:rFonts w:ascii="Times New Roman" w:eastAsia="Times New Roman" w:hAnsi="Times New Roman" w:cs="Times New Roman"/>
          <w:b/>
          <w:smallCaps/>
          <w:noProof/>
          <w:sz w:val="24"/>
          <w:szCs w:val="24"/>
        </w:rPr>
      </w:pPr>
      <w:bookmarkStart w:id="22" w:name="_Toc68801885"/>
      <w:r>
        <w:rPr>
          <w:rFonts w:ascii="Times New Roman" w:hAnsi="Times New Roman"/>
          <w:noProof/>
          <w:sz w:val="24"/>
          <w:szCs w:val="24"/>
        </w:rPr>
        <w:t>Отражение върху бюджетните кредити</w:t>
      </w:r>
      <w:bookmarkEnd w:id="22"/>
    </w:p>
    <w:p w:rsidR="00343A61" w:rsidRDefault="00C85AE7">
      <w:pPr>
        <w:pStyle w:val="Text1"/>
        <w:ind w:left="0"/>
        <w:rPr>
          <w:noProof/>
        </w:rPr>
      </w:pPr>
      <w:r>
        <w:rPr>
          <w:noProof/>
        </w:rPr>
        <w:t>Както е посочено по-горе, пакетите с бюджетни кредити, които трябва да бъдат делегирани на изпълнителните агенции пр</w:t>
      </w:r>
      <w:r>
        <w:rPr>
          <w:noProof/>
        </w:rPr>
        <w:t>ез периода 2021—2027 г., като цяло са се увеличили в сравнение с предвижданията, използвани в писмото за внасяне на корекции, като се отчита и забавянето на началото на съответните операции, както и съответното въздействие върху обема на работата и нуждите</w:t>
      </w:r>
      <w:r>
        <w:rPr>
          <w:noProof/>
        </w:rPr>
        <w:t xml:space="preserve"> от ресурси в изпълнителните агенции през 2021 г. В таблицата по-долу е посочено необходимото увеличение на разходите за подкрепа за програмите за периода 2021—2027 г. по изпълнителна агенция. Общата сума от 3 538 850 EUR е представена с по-подробна разбив</w:t>
      </w:r>
      <w:r>
        <w:rPr>
          <w:noProof/>
        </w:rPr>
        <w:t>ка в бюджетното приложение. Заедно със сумите по редовете за административна подкрепа, свързани с текущото „наследство“ за изпълнение на програмите за периода 2014—2020 г., делегирани на изпълнителните агенции, това представлява общо 1 % увеличение на теку</w:t>
      </w:r>
      <w:r>
        <w:rPr>
          <w:noProof/>
        </w:rPr>
        <w:t xml:space="preserve">щите разходи на изпълнителните агенции. </w:t>
      </w:r>
    </w:p>
    <w:p w:rsidR="00343A61" w:rsidRDefault="00C85AE7">
      <w:pPr>
        <w:pStyle w:val="Text1"/>
        <w:ind w:left="0"/>
        <w:rPr>
          <w:noProof/>
        </w:rPr>
      </w:pPr>
      <w:r>
        <w:rPr>
          <w:noProof/>
        </w:rPr>
        <w:t>Отражението върху бюджетните кредити за поети задължения и бюджетните кредити за плащания е следното:</w:t>
      </w:r>
    </w:p>
    <w:p w:rsidR="00343A61" w:rsidRDefault="00C85AE7">
      <w:pPr>
        <w:pStyle w:val="Text1"/>
        <w:numPr>
          <w:ilvl w:val="0"/>
          <w:numId w:val="17"/>
        </w:numPr>
        <w:rPr>
          <w:noProof/>
        </w:rPr>
      </w:pPr>
      <w:r>
        <w:rPr>
          <w:noProof/>
        </w:rPr>
        <w:t>Европейска изпълнителна агенция за климата, инфраструктурата и околната среда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343A61">
        <w:tc>
          <w:tcPr>
            <w:tcW w:w="9781" w:type="dxa"/>
            <w:gridSpan w:val="4"/>
            <w:tcBorders>
              <w:top w:val="nil"/>
              <w:left w:val="nil"/>
              <w:bottom w:val="single" w:sz="4" w:space="0" w:color="auto"/>
              <w:right w:val="nil"/>
            </w:tcBorders>
            <w:shd w:val="clear" w:color="auto" w:fill="FFFFFF" w:themeFill="background1"/>
            <w:vAlign w:val="center"/>
          </w:tcPr>
          <w:p w:rsidR="00343A61" w:rsidRDefault="00C85AE7">
            <w:pPr>
              <w:widowControl w:val="0"/>
              <w:spacing w:before="15" w:after="15"/>
              <w:jc w:val="right"/>
              <w:rPr>
                <w:rFonts w:ascii="Times New Roman" w:hAnsi="Times New Roman" w:cs="Times New Roman"/>
                <w:b/>
                <w:noProof/>
              </w:rPr>
            </w:pPr>
            <w:r>
              <w:rPr>
                <w:rFonts w:ascii="Times New Roman" w:hAnsi="Times New Roman"/>
                <w:i/>
                <w:noProof/>
                <w:shd w:val="clear" w:color="auto" w:fill="FFFFFF" w:themeFill="background1"/>
              </w:rPr>
              <w:t>Суми в</w:t>
            </w:r>
            <w:r>
              <w:rPr>
                <w:rFonts w:ascii="Times New Roman" w:hAnsi="Times New Roman"/>
                <w:i/>
                <w:noProof/>
              </w:rPr>
              <w:t xml:space="preserve"> EUR</w:t>
            </w:r>
          </w:p>
        </w:tc>
      </w:tr>
      <w:tr w:rsidR="00343A61">
        <w:tc>
          <w:tcPr>
            <w:tcW w:w="1276" w:type="dxa"/>
            <w:tcBorders>
              <w:top w:val="single" w:sz="4" w:space="0" w:color="auto"/>
            </w:tcBorders>
            <w:shd w:val="clear" w:color="auto" w:fill="D9D9D9"/>
            <w:vAlign w:val="center"/>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Бюджетен ред</w:t>
            </w:r>
          </w:p>
        </w:tc>
        <w:tc>
          <w:tcPr>
            <w:tcW w:w="5103" w:type="dxa"/>
            <w:tcBorders>
              <w:top w:val="single" w:sz="4" w:space="0" w:color="auto"/>
            </w:tcBorders>
            <w:shd w:val="clear" w:color="auto" w:fill="D9D9D9"/>
            <w:vAlign w:val="center"/>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Наименование</w:t>
            </w:r>
          </w:p>
        </w:tc>
        <w:tc>
          <w:tcPr>
            <w:tcW w:w="1701" w:type="dxa"/>
            <w:tcBorders>
              <w:top w:val="single" w:sz="4" w:space="0" w:color="auto"/>
            </w:tcBorders>
            <w:shd w:val="clear" w:color="auto" w:fill="D9D9D9"/>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Бюджетни кредити за поети задължения</w:t>
            </w:r>
          </w:p>
        </w:tc>
        <w:tc>
          <w:tcPr>
            <w:tcW w:w="1701" w:type="dxa"/>
            <w:tcBorders>
              <w:top w:val="single" w:sz="4" w:space="0" w:color="auto"/>
            </w:tcBorders>
            <w:shd w:val="clear" w:color="auto" w:fill="D9D9D9"/>
            <w:vAlign w:val="center"/>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Бюджетни кредити за плащания</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01 01 01 74</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Европейска изпълнителна агенция за климата, инфраструктурата и околната среда — финансов принос от „Хоризонт Европа“</w:t>
            </w:r>
          </w:p>
        </w:tc>
        <w:tc>
          <w:tcPr>
            <w:tcW w:w="1701" w:type="dxa"/>
          </w:tcPr>
          <w:p w:rsidR="00343A61" w:rsidRDefault="00C85AE7">
            <w:pPr>
              <w:jc w:val="right"/>
              <w:rPr>
                <w:rFonts w:ascii="Times New Roman" w:hAnsi="Times New Roman" w:cs="Times New Roman"/>
                <w:noProof/>
              </w:rPr>
            </w:pPr>
            <w:r>
              <w:rPr>
                <w:rFonts w:ascii="Times New Roman" w:hAnsi="Times New Roman"/>
                <w:noProof/>
                <w:color w:val="000000"/>
              </w:rPr>
              <w:t>9 967</w:t>
            </w:r>
          </w:p>
        </w:tc>
        <w:tc>
          <w:tcPr>
            <w:tcW w:w="1701" w:type="dxa"/>
          </w:tcPr>
          <w:p w:rsidR="00343A61" w:rsidRDefault="00C85AE7">
            <w:pPr>
              <w:widowControl w:val="0"/>
              <w:spacing w:before="15" w:after="15"/>
              <w:jc w:val="right"/>
              <w:rPr>
                <w:rFonts w:ascii="Times New Roman" w:hAnsi="Times New Roman" w:cs="Times New Roman"/>
                <w:noProof/>
              </w:rPr>
            </w:pPr>
            <w:r>
              <w:rPr>
                <w:rFonts w:ascii="Times New Roman" w:hAnsi="Times New Roman"/>
                <w:noProof/>
                <w:color w:val="000000"/>
              </w:rPr>
              <w:t>9 967</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02 01 40 74</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 xml:space="preserve">Европейска </w:t>
            </w:r>
            <w:r>
              <w:rPr>
                <w:rFonts w:ascii="Times New Roman" w:hAnsi="Times New Roman"/>
                <w:noProof/>
              </w:rPr>
              <w:t>изпълнителна агенция за климата, инфраструктурата и околната среда — финансов принос от „Механизъм за финансиране на енергията от възобновяеми източници“</w:t>
            </w:r>
          </w:p>
        </w:tc>
        <w:tc>
          <w:tcPr>
            <w:tcW w:w="1701" w:type="dxa"/>
          </w:tcPr>
          <w:p w:rsidR="00343A61" w:rsidRDefault="00C85AE7">
            <w:pPr>
              <w:jc w:val="right"/>
              <w:rPr>
                <w:rFonts w:ascii="Times New Roman" w:hAnsi="Times New Roman" w:cs="Times New Roman"/>
                <w:noProof/>
              </w:rPr>
            </w:pPr>
            <w:r>
              <w:rPr>
                <w:rFonts w:ascii="Times New Roman" w:hAnsi="Times New Roman"/>
                <w:noProof/>
                <w:color w:val="000000"/>
              </w:rPr>
              <w:t>-91 425</w:t>
            </w:r>
          </w:p>
        </w:tc>
        <w:tc>
          <w:tcPr>
            <w:tcW w:w="1701" w:type="dxa"/>
          </w:tcPr>
          <w:p w:rsidR="00343A61" w:rsidRDefault="00C85AE7">
            <w:pPr>
              <w:jc w:val="right"/>
              <w:rPr>
                <w:rFonts w:ascii="Times New Roman" w:hAnsi="Times New Roman" w:cs="Times New Roman"/>
                <w:noProof/>
              </w:rPr>
            </w:pPr>
            <w:r>
              <w:rPr>
                <w:rFonts w:ascii="Times New Roman" w:hAnsi="Times New Roman"/>
                <w:noProof/>
                <w:color w:val="000000"/>
              </w:rPr>
              <w:t>-91 425</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08 01 03 74</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Европейска изпълнителна агенция за климата, инфраструктурата и околната с</w:t>
            </w:r>
            <w:r>
              <w:rPr>
                <w:rFonts w:ascii="Times New Roman" w:hAnsi="Times New Roman"/>
                <w:noProof/>
              </w:rPr>
              <w:t>реда — финансов принос от Европейския фонд за морско дело и рибарство</w:t>
            </w:r>
          </w:p>
        </w:tc>
        <w:tc>
          <w:tcPr>
            <w:tcW w:w="1701" w:type="dxa"/>
          </w:tcPr>
          <w:p w:rsidR="00343A61" w:rsidRDefault="00C85AE7">
            <w:pPr>
              <w:jc w:val="right"/>
              <w:rPr>
                <w:rFonts w:ascii="Times New Roman" w:hAnsi="Times New Roman" w:cs="Times New Roman"/>
                <w:noProof/>
              </w:rPr>
            </w:pPr>
            <w:r>
              <w:rPr>
                <w:rFonts w:ascii="Times New Roman" w:hAnsi="Times New Roman"/>
                <w:noProof/>
                <w:color w:val="000000"/>
              </w:rPr>
              <w:t>-7 038</w:t>
            </w:r>
          </w:p>
        </w:tc>
        <w:tc>
          <w:tcPr>
            <w:tcW w:w="1701" w:type="dxa"/>
          </w:tcPr>
          <w:p w:rsidR="00343A61" w:rsidRDefault="00C85AE7">
            <w:pPr>
              <w:jc w:val="right"/>
              <w:rPr>
                <w:rFonts w:ascii="Times New Roman" w:hAnsi="Times New Roman" w:cs="Times New Roman"/>
                <w:noProof/>
              </w:rPr>
            </w:pPr>
            <w:r>
              <w:rPr>
                <w:rFonts w:ascii="Times New Roman" w:hAnsi="Times New Roman"/>
                <w:noProof/>
                <w:color w:val="000000"/>
              </w:rPr>
              <w:t>-7 038</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09 01 01 74</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Европейската изпълнителна агенция за климата, инфраструктурата и околната среда — финансов принос от Програмата за околната среда и действията по климата (LIFE</w:t>
            </w:r>
            <w:r>
              <w:rPr>
                <w:rFonts w:ascii="Times New Roman" w:hAnsi="Times New Roman"/>
                <w:noProof/>
              </w:rPr>
              <w:t>)</w:t>
            </w:r>
          </w:p>
        </w:tc>
        <w:tc>
          <w:tcPr>
            <w:tcW w:w="1701" w:type="dxa"/>
          </w:tcPr>
          <w:p w:rsidR="00343A61" w:rsidRDefault="00C85AE7">
            <w:pPr>
              <w:jc w:val="right"/>
              <w:rPr>
                <w:rFonts w:ascii="Times New Roman" w:hAnsi="Times New Roman" w:cs="Times New Roman"/>
                <w:noProof/>
              </w:rPr>
            </w:pPr>
            <w:r>
              <w:rPr>
                <w:rFonts w:ascii="Times New Roman" w:hAnsi="Times New Roman"/>
                <w:noProof/>
                <w:color w:val="000000"/>
              </w:rPr>
              <w:t>-183 656</w:t>
            </w:r>
          </w:p>
        </w:tc>
        <w:tc>
          <w:tcPr>
            <w:tcW w:w="1701" w:type="dxa"/>
          </w:tcPr>
          <w:p w:rsidR="00343A61" w:rsidRDefault="00C85AE7">
            <w:pPr>
              <w:jc w:val="right"/>
              <w:rPr>
                <w:rFonts w:ascii="Times New Roman" w:hAnsi="Times New Roman" w:cs="Times New Roman"/>
                <w:noProof/>
              </w:rPr>
            </w:pPr>
            <w:r>
              <w:rPr>
                <w:rFonts w:ascii="Times New Roman" w:hAnsi="Times New Roman"/>
                <w:noProof/>
                <w:color w:val="000000"/>
              </w:rPr>
              <w:t>-183 656</w:t>
            </w:r>
          </w:p>
        </w:tc>
      </w:tr>
      <w:tr w:rsidR="00343A61">
        <w:tc>
          <w:tcPr>
            <w:tcW w:w="6379" w:type="dxa"/>
            <w:gridSpan w:val="2"/>
            <w:shd w:val="clear" w:color="auto" w:fill="D9D9D9"/>
          </w:tcPr>
          <w:p w:rsidR="00343A61" w:rsidRDefault="00C85AE7">
            <w:pPr>
              <w:widowControl w:val="0"/>
              <w:tabs>
                <w:tab w:val="left" w:pos="975"/>
              </w:tabs>
              <w:spacing w:before="15" w:after="15"/>
              <w:jc w:val="both"/>
              <w:rPr>
                <w:rFonts w:ascii="Times New Roman" w:hAnsi="Times New Roman" w:cs="Times New Roman"/>
                <w:b/>
                <w:noProof/>
              </w:rPr>
            </w:pPr>
            <w:r>
              <w:rPr>
                <w:rFonts w:ascii="Times New Roman" w:hAnsi="Times New Roman"/>
                <w:b/>
                <w:noProof/>
              </w:rPr>
              <w:t>Общо</w:t>
            </w:r>
            <w:r>
              <w:rPr>
                <w:rFonts w:ascii="Times New Roman" w:hAnsi="Times New Roman"/>
                <w:b/>
                <w:noProof/>
              </w:rPr>
              <w:tab/>
            </w:r>
          </w:p>
        </w:tc>
        <w:tc>
          <w:tcPr>
            <w:tcW w:w="1701" w:type="dxa"/>
            <w:shd w:val="clear" w:color="auto" w:fill="D9D9D9"/>
          </w:tcPr>
          <w:p w:rsidR="00343A61" w:rsidRDefault="00C85AE7">
            <w:pPr>
              <w:jc w:val="right"/>
              <w:rPr>
                <w:rFonts w:ascii="Times New Roman" w:hAnsi="Times New Roman" w:cs="Times New Roman"/>
                <w:b/>
                <w:noProof/>
              </w:rPr>
            </w:pPr>
            <w:r>
              <w:rPr>
                <w:rFonts w:ascii="Times New Roman" w:hAnsi="Times New Roman"/>
                <w:b/>
                <w:noProof/>
                <w:color w:val="000000"/>
              </w:rPr>
              <w:t>-272 152</w:t>
            </w:r>
          </w:p>
        </w:tc>
        <w:tc>
          <w:tcPr>
            <w:tcW w:w="1701" w:type="dxa"/>
            <w:shd w:val="clear" w:color="auto" w:fill="D9D9D9"/>
          </w:tcPr>
          <w:p w:rsidR="00343A61" w:rsidRDefault="00C85AE7">
            <w:pPr>
              <w:jc w:val="right"/>
              <w:rPr>
                <w:rFonts w:ascii="Times New Roman" w:hAnsi="Times New Roman" w:cs="Times New Roman"/>
                <w:b/>
                <w:noProof/>
              </w:rPr>
            </w:pPr>
            <w:r>
              <w:rPr>
                <w:rFonts w:ascii="Times New Roman" w:hAnsi="Times New Roman"/>
                <w:b/>
                <w:noProof/>
                <w:color w:val="000000"/>
              </w:rPr>
              <w:t>-272 152</w:t>
            </w:r>
          </w:p>
        </w:tc>
      </w:tr>
    </w:tbl>
    <w:p w:rsidR="00343A61" w:rsidRDefault="00C85AE7">
      <w:pPr>
        <w:pStyle w:val="Text1"/>
        <w:numPr>
          <w:ilvl w:val="0"/>
          <w:numId w:val="17"/>
        </w:numPr>
        <w:rPr>
          <w:noProof/>
        </w:rPr>
      </w:pPr>
      <w:r>
        <w:rPr>
          <w:noProof/>
        </w:rPr>
        <w:t>Европейска изпълнителна агенция за образование и култура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343A61">
        <w:tc>
          <w:tcPr>
            <w:tcW w:w="9781" w:type="dxa"/>
            <w:gridSpan w:val="4"/>
            <w:tcBorders>
              <w:top w:val="nil"/>
              <w:left w:val="nil"/>
              <w:bottom w:val="single" w:sz="4" w:space="0" w:color="auto"/>
              <w:right w:val="nil"/>
            </w:tcBorders>
            <w:shd w:val="clear" w:color="auto" w:fill="FFFFFF" w:themeFill="background1"/>
            <w:vAlign w:val="center"/>
          </w:tcPr>
          <w:p w:rsidR="00343A61" w:rsidRDefault="00C85AE7">
            <w:pPr>
              <w:widowControl w:val="0"/>
              <w:spacing w:before="15" w:after="15"/>
              <w:jc w:val="right"/>
              <w:rPr>
                <w:rFonts w:ascii="Times New Roman" w:hAnsi="Times New Roman" w:cs="Times New Roman"/>
                <w:b/>
                <w:noProof/>
              </w:rPr>
            </w:pPr>
            <w:r>
              <w:rPr>
                <w:rFonts w:ascii="Times New Roman" w:hAnsi="Times New Roman"/>
                <w:i/>
                <w:noProof/>
                <w:shd w:val="clear" w:color="auto" w:fill="FFFFFF" w:themeFill="background1"/>
              </w:rPr>
              <w:t>Суми в</w:t>
            </w:r>
            <w:r>
              <w:rPr>
                <w:rFonts w:ascii="Times New Roman" w:hAnsi="Times New Roman"/>
                <w:i/>
                <w:noProof/>
              </w:rPr>
              <w:t xml:space="preserve"> EUR</w:t>
            </w:r>
          </w:p>
        </w:tc>
      </w:tr>
      <w:tr w:rsidR="00343A61">
        <w:tc>
          <w:tcPr>
            <w:tcW w:w="1276" w:type="dxa"/>
            <w:tcBorders>
              <w:top w:val="single" w:sz="4" w:space="0" w:color="auto"/>
            </w:tcBorders>
            <w:shd w:val="clear" w:color="auto" w:fill="D9D9D9"/>
            <w:vAlign w:val="center"/>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Бюджетен ред</w:t>
            </w:r>
          </w:p>
        </w:tc>
        <w:tc>
          <w:tcPr>
            <w:tcW w:w="5103" w:type="dxa"/>
            <w:tcBorders>
              <w:top w:val="single" w:sz="4" w:space="0" w:color="auto"/>
            </w:tcBorders>
            <w:shd w:val="clear" w:color="auto" w:fill="D9D9D9"/>
            <w:vAlign w:val="center"/>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Наименование</w:t>
            </w:r>
          </w:p>
        </w:tc>
        <w:tc>
          <w:tcPr>
            <w:tcW w:w="1701" w:type="dxa"/>
            <w:tcBorders>
              <w:top w:val="single" w:sz="4" w:space="0" w:color="auto"/>
            </w:tcBorders>
            <w:shd w:val="clear" w:color="auto" w:fill="D9D9D9"/>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Бюджетни кредити за поети задължения</w:t>
            </w:r>
          </w:p>
        </w:tc>
        <w:tc>
          <w:tcPr>
            <w:tcW w:w="1701" w:type="dxa"/>
            <w:tcBorders>
              <w:top w:val="single" w:sz="4" w:space="0" w:color="auto"/>
            </w:tcBorders>
            <w:shd w:val="clear" w:color="auto" w:fill="D9D9D9"/>
            <w:vAlign w:val="center"/>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Бюджетни кредити за плащания</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07 01 02 75</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 xml:space="preserve">Европейска изпълнителна агенция за </w:t>
            </w:r>
            <w:r>
              <w:rPr>
                <w:rFonts w:ascii="Times New Roman" w:hAnsi="Times New Roman"/>
                <w:noProof/>
              </w:rPr>
              <w:t>образование и култура — финансов принос от „Еразъм“</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color w:val="000000"/>
              </w:rPr>
              <w:t>-889 025</w:t>
            </w:r>
          </w:p>
        </w:tc>
        <w:tc>
          <w:tcPr>
            <w:tcW w:w="1701" w:type="dxa"/>
          </w:tcPr>
          <w:p w:rsidR="00343A61" w:rsidRDefault="00C85AE7">
            <w:pPr>
              <w:widowControl w:val="0"/>
              <w:spacing w:before="15" w:after="15"/>
              <w:jc w:val="right"/>
              <w:rPr>
                <w:rFonts w:ascii="Times New Roman" w:hAnsi="Times New Roman" w:cs="Times New Roman"/>
                <w:noProof/>
              </w:rPr>
            </w:pPr>
            <w:r>
              <w:rPr>
                <w:rFonts w:ascii="Times New Roman" w:hAnsi="Times New Roman"/>
                <w:noProof/>
                <w:color w:val="000000"/>
              </w:rPr>
              <w:t>-889 025</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07 01 04 75</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Европейска изпълнителна агенция за образование и култура — финансов принос от „Творческа Европа“</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color w:val="000000"/>
              </w:rPr>
              <w:t>881 865</w:t>
            </w:r>
          </w:p>
        </w:tc>
        <w:tc>
          <w:tcPr>
            <w:tcW w:w="1701" w:type="dxa"/>
          </w:tcPr>
          <w:p w:rsidR="00343A61" w:rsidRDefault="00C85AE7">
            <w:pPr>
              <w:jc w:val="right"/>
              <w:rPr>
                <w:rFonts w:ascii="Times New Roman" w:hAnsi="Times New Roman" w:cs="Times New Roman"/>
                <w:noProof/>
              </w:rPr>
            </w:pPr>
            <w:r>
              <w:rPr>
                <w:rFonts w:ascii="Times New Roman" w:hAnsi="Times New Roman"/>
                <w:noProof/>
                <w:color w:val="000000"/>
              </w:rPr>
              <w:t>881 865</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07 01 05 75</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 xml:space="preserve">Европейска изпълнителна агенция за образование </w:t>
            </w:r>
            <w:r>
              <w:rPr>
                <w:rFonts w:ascii="Times New Roman" w:hAnsi="Times New Roman"/>
                <w:noProof/>
              </w:rPr>
              <w:t>и култура — финансов принос от „Права и ценности“</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color w:val="000000"/>
              </w:rPr>
              <w:t>2 582 865</w:t>
            </w:r>
          </w:p>
        </w:tc>
        <w:tc>
          <w:tcPr>
            <w:tcW w:w="1701" w:type="dxa"/>
          </w:tcPr>
          <w:p w:rsidR="00343A61" w:rsidRDefault="00C85AE7">
            <w:pPr>
              <w:jc w:val="right"/>
              <w:rPr>
                <w:rFonts w:ascii="Times New Roman" w:hAnsi="Times New Roman" w:cs="Times New Roman"/>
                <w:noProof/>
              </w:rPr>
            </w:pPr>
            <w:r>
              <w:rPr>
                <w:rFonts w:ascii="Times New Roman" w:hAnsi="Times New Roman"/>
                <w:noProof/>
                <w:color w:val="000000"/>
              </w:rPr>
              <w:t>2 582 865</w:t>
            </w:r>
          </w:p>
        </w:tc>
      </w:tr>
      <w:tr w:rsidR="00343A61">
        <w:tc>
          <w:tcPr>
            <w:tcW w:w="6379" w:type="dxa"/>
            <w:gridSpan w:val="2"/>
            <w:shd w:val="clear" w:color="auto" w:fill="D9D9D9"/>
          </w:tcPr>
          <w:p w:rsidR="00343A61" w:rsidRDefault="00C85AE7">
            <w:pPr>
              <w:widowControl w:val="0"/>
              <w:tabs>
                <w:tab w:val="left" w:pos="975"/>
              </w:tabs>
              <w:spacing w:before="15" w:after="15"/>
              <w:jc w:val="both"/>
              <w:rPr>
                <w:rFonts w:ascii="Times New Roman" w:hAnsi="Times New Roman" w:cs="Times New Roman"/>
                <w:b/>
                <w:noProof/>
              </w:rPr>
            </w:pPr>
            <w:r>
              <w:rPr>
                <w:rFonts w:ascii="Times New Roman" w:hAnsi="Times New Roman"/>
                <w:b/>
                <w:noProof/>
              </w:rPr>
              <w:t>Общо</w:t>
            </w:r>
            <w:r>
              <w:rPr>
                <w:rFonts w:ascii="Times New Roman" w:hAnsi="Times New Roman"/>
                <w:b/>
                <w:noProof/>
              </w:rPr>
              <w:tab/>
            </w:r>
          </w:p>
        </w:tc>
        <w:tc>
          <w:tcPr>
            <w:tcW w:w="1701" w:type="dxa"/>
            <w:shd w:val="clear" w:color="auto" w:fill="D9D9D9"/>
          </w:tcPr>
          <w:p w:rsidR="00343A61" w:rsidRDefault="00C85AE7">
            <w:pPr>
              <w:jc w:val="right"/>
              <w:rPr>
                <w:rFonts w:ascii="Times New Roman" w:hAnsi="Times New Roman" w:cs="Times New Roman"/>
                <w:b/>
                <w:noProof/>
                <w:color w:val="000000"/>
              </w:rPr>
            </w:pPr>
            <w:r>
              <w:rPr>
                <w:rFonts w:ascii="Times New Roman" w:hAnsi="Times New Roman"/>
                <w:b/>
                <w:noProof/>
                <w:color w:val="000000"/>
              </w:rPr>
              <w:t>2 575 705</w:t>
            </w:r>
          </w:p>
        </w:tc>
        <w:tc>
          <w:tcPr>
            <w:tcW w:w="1701" w:type="dxa"/>
            <w:shd w:val="clear" w:color="auto" w:fill="D9D9D9"/>
          </w:tcPr>
          <w:p w:rsidR="00343A61" w:rsidRDefault="00C85AE7">
            <w:pPr>
              <w:jc w:val="right"/>
              <w:rPr>
                <w:rFonts w:ascii="Times New Roman" w:hAnsi="Times New Roman" w:cs="Times New Roman"/>
                <w:b/>
                <w:noProof/>
              </w:rPr>
            </w:pPr>
            <w:r>
              <w:rPr>
                <w:rFonts w:ascii="Times New Roman" w:hAnsi="Times New Roman"/>
                <w:b/>
                <w:noProof/>
                <w:color w:val="000000"/>
              </w:rPr>
              <w:t>2 575 705</w:t>
            </w:r>
          </w:p>
        </w:tc>
      </w:tr>
    </w:tbl>
    <w:p w:rsidR="00343A61" w:rsidRDefault="00C85AE7">
      <w:pPr>
        <w:pStyle w:val="Text1"/>
        <w:numPr>
          <w:ilvl w:val="0"/>
          <w:numId w:val="17"/>
        </w:numPr>
        <w:rPr>
          <w:noProof/>
        </w:rPr>
      </w:pPr>
      <w:r>
        <w:rPr>
          <w:noProof/>
        </w:rPr>
        <w:t>Европейска изпълнителна агенция за здравеопазването и цифровизацията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343A61">
        <w:tc>
          <w:tcPr>
            <w:tcW w:w="9781" w:type="dxa"/>
            <w:gridSpan w:val="4"/>
            <w:tcBorders>
              <w:top w:val="nil"/>
              <w:left w:val="nil"/>
              <w:bottom w:val="single" w:sz="4" w:space="0" w:color="auto"/>
              <w:right w:val="nil"/>
            </w:tcBorders>
            <w:shd w:val="clear" w:color="auto" w:fill="FFFFFF" w:themeFill="background1"/>
            <w:vAlign w:val="center"/>
          </w:tcPr>
          <w:p w:rsidR="00343A61" w:rsidRDefault="00C85AE7">
            <w:pPr>
              <w:widowControl w:val="0"/>
              <w:spacing w:before="15" w:after="15"/>
              <w:jc w:val="right"/>
              <w:rPr>
                <w:rFonts w:ascii="Times New Roman" w:hAnsi="Times New Roman" w:cs="Times New Roman"/>
                <w:b/>
                <w:noProof/>
              </w:rPr>
            </w:pPr>
            <w:r>
              <w:rPr>
                <w:rFonts w:ascii="Times New Roman" w:hAnsi="Times New Roman"/>
                <w:i/>
                <w:noProof/>
                <w:shd w:val="clear" w:color="auto" w:fill="FFFFFF" w:themeFill="background1"/>
              </w:rPr>
              <w:t>Суми в</w:t>
            </w:r>
            <w:r>
              <w:rPr>
                <w:rFonts w:ascii="Times New Roman" w:hAnsi="Times New Roman"/>
                <w:i/>
                <w:noProof/>
              </w:rPr>
              <w:t xml:space="preserve"> EUR</w:t>
            </w:r>
          </w:p>
        </w:tc>
      </w:tr>
      <w:tr w:rsidR="00343A61">
        <w:tc>
          <w:tcPr>
            <w:tcW w:w="1276" w:type="dxa"/>
            <w:tcBorders>
              <w:top w:val="single" w:sz="4" w:space="0" w:color="auto"/>
            </w:tcBorders>
            <w:shd w:val="clear" w:color="auto" w:fill="D9D9D9"/>
            <w:vAlign w:val="center"/>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Бюджетен ред</w:t>
            </w:r>
          </w:p>
        </w:tc>
        <w:tc>
          <w:tcPr>
            <w:tcW w:w="5103" w:type="dxa"/>
            <w:tcBorders>
              <w:top w:val="single" w:sz="4" w:space="0" w:color="auto"/>
            </w:tcBorders>
            <w:shd w:val="clear" w:color="auto" w:fill="D9D9D9"/>
            <w:vAlign w:val="center"/>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Наименование</w:t>
            </w:r>
          </w:p>
        </w:tc>
        <w:tc>
          <w:tcPr>
            <w:tcW w:w="1701" w:type="dxa"/>
            <w:tcBorders>
              <w:top w:val="single" w:sz="4" w:space="0" w:color="auto"/>
            </w:tcBorders>
            <w:shd w:val="clear" w:color="auto" w:fill="D9D9D9"/>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Бюджетни кредити за поети задължения</w:t>
            </w:r>
          </w:p>
        </w:tc>
        <w:tc>
          <w:tcPr>
            <w:tcW w:w="1701" w:type="dxa"/>
            <w:tcBorders>
              <w:top w:val="single" w:sz="4" w:space="0" w:color="auto"/>
            </w:tcBorders>
            <w:shd w:val="clear" w:color="auto" w:fill="D9D9D9"/>
            <w:vAlign w:val="center"/>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 xml:space="preserve">Бюджетни </w:t>
            </w:r>
            <w:r>
              <w:rPr>
                <w:rFonts w:ascii="Times New Roman" w:hAnsi="Times New Roman"/>
                <w:b/>
                <w:noProof/>
              </w:rPr>
              <w:t>кредити за плащания</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01 01 01 73</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Европейска изпълнителна агенция за здравеопазването и цифровизацията — финансов принос от „Хоризонт Европа“</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color w:val="000000"/>
              </w:rPr>
              <w:t>-1 801 754</w:t>
            </w:r>
          </w:p>
        </w:tc>
        <w:tc>
          <w:tcPr>
            <w:tcW w:w="1701" w:type="dxa"/>
          </w:tcPr>
          <w:p w:rsidR="00343A61" w:rsidRDefault="00C85AE7">
            <w:pPr>
              <w:widowControl w:val="0"/>
              <w:spacing w:before="15" w:after="15"/>
              <w:jc w:val="right"/>
              <w:rPr>
                <w:rFonts w:ascii="Times New Roman" w:hAnsi="Times New Roman" w:cs="Times New Roman"/>
                <w:noProof/>
              </w:rPr>
            </w:pPr>
            <w:r>
              <w:rPr>
                <w:rFonts w:ascii="Times New Roman" w:hAnsi="Times New Roman"/>
                <w:noProof/>
                <w:color w:val="000000"/>
              </w:rPr>
              <w:t>-1 801 754</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02 01 23 73</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 xml:space="preserve">Европейска изпълнителна агенция за здравеопазването и цифровизацията — финансов </w:t>
            </w:r>
            <w:r>
              <w:rPr>
                <w:rFonts w:ascii="Times New Roman" w:hAnsi="Times New Roman"/>
                <w:noProof/>
              </w:rPr>
              <w:t>принос от „Механизъм за свързване на Европа — Цифрови технологии“</w:t>
            </w:r>
          </w:p>
        </w:tc>
        <w:tc>
          <w:tcPr>
            <w:tcW w:w="1701" w:type="dxa"/>
          </w:tcPr>
          <w:p w:rsidR="00343A61" w:rsidRDefault="00C85AE7">
            <w:pPr>
              <w:jc w:val="right"/>
              <w:rPr>
                <w:rFonts w:ascii="Times New Roman" w:hAnsi="Times New Roman" w:cs="Times New Roman"/>
                <w:noProof/>
              </w:rPr>
            </w:pPr>
            <w:r>
              <w:rPr>
                <w:rFonts w:ascii="Times New Roman" w:hAnsi="Times New Roman"/>
                <w:noProof/>
                <w:color w:val="000000"/>
              </w:rPr>
              <w:t>-318 317</w:t>
            </w:r>
          </w:p>
        </w:tc>
        <w:tc>
          <w:tcPr>
            <w:tcW w:w="1701" w:type="dxa"/>
          </w:tcPr>
          <w:p w:rsidR="00343A61" w:rsidRDefault="00C85AE7">
            <w:pPr>
              <w:jc w:val="right"/>
              <w:rPr>
                <w:rFonts w:ascii="Times New Roman" w:hAnsi="Times New Roman" w:cs="Times New Roman"/>
                <w:noProof/>
              </w:rPr>
            </w:pPr>
            <w:r>
              <w:rPr>
                <w:rFonts w:ascii="Times New Roman" w:hAnsi="Times New Roman"/>
                <w:noProof/>
                <w:color w:val="000000"/>
              </w:rPr>
              <w:t>-318 317</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02 01 30 73</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Европейска изпълнителна агенция за здравеопазването и цифровизацията — финансов принос от програмата „Цифрова Европа“</w:t>
            </w:r>
          </w:p>
        </w:tc>
        <w:tc>
          <w:tcPr>
            <w:tcW w:w="1701" w:type="dxa"/>
          </w:tcPr>
          <w:p w:rsidR="00343A61" w:rsidRDefault="00C85AE7">
            <w:pPr>
              <w:jc w:val="right"/>
              <w:rPr>
                <w:rFonts w:ascii="Times New Roman" w:hAnsi="Times New Roman" w:cs="Times New Roman"/>
                <w:noProof/>
              </w:rPr>
            </w:pPr>
            <w:r>
              <w:rPr>
                <w:rFonts w:ascii="Times New Roman" w:hAnsi="Times New Roman"/>
                <w:noProof/>
                <w:color w:val="000000"/>
              </w:rPr>
              <w:t>-63 623</w:t>
            </w:r>
          </w:p>
        </w:tc>
        <w:tc>
          <w:tcPr>
            <w:tcW w:w="1701" w:type="dxa"/>
          </w:tcPr>
          <w:p w:rsidR="00343A61" w:rsidRDefault="00C85AE7">
            <w:pPr>
              <w:jc w:val="right"/>
              <w:rPr>
                <w:rFonts w:ascii="Times New Roman" w:hAnsi="Times New Roman" w:cs="Times New Roman"/>
                <w:noProof/>
              </w:rPr>
            </w:pPr>
            <w:r>
              <w:rPr>
                <w:rFonts w:ascii="Times New Roman" w:hAnsi="Times New Roman"/>
                <w:noProof/>
                <w:color w:val="000000"/>
              </w:rPr>
              <w:t>-63 623</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03 01 01 73</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 xml:space="preserve">Европейска </w:t>
            </w:r>
            <w:r>
              <w:rPr>
                <w:rFonts w:ascii="Times New Roman" w:hAnsi="Times New Roman"/>
                <w:noProof/>
              </w:rPr>
              <w:t>изпълнителна агенция за здравеопазването и цифровизацията — финансов принос от Програмата за единния пазар (вкл. МСП)</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color w:val="000000"/>
              </w:rPr>
              <w:t>-219 379</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color w:val="000000"/>
              </w:rPr>
              <w:t>-219 379</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06 01 05 73</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 xml:space="preserve">Европейска изпълнителна агенция за здравеопазването и цифровизацията — финансов принос от програмата </w:t>
            </w:r>
            <w:r>
              <w:rPr>
                <w:rFonts w:ascii="Times New Roman" w:hAnsi="Times New Roman"/>
                <w:noProof/>
              </w:rPr>
              <w:t>EU4Health</w:t>
            </w:r>
          </w:p>
        </w:tc>
        <w:tc>
          <w:tcPr>
            <w:tcW w:w="1701" w:type="dxa"/>
          </w:tcPr>
          <w:p w:rsidR="00343A61" w:rsidRDefault="00C85AE7">
            <w:pPr>
              <w:jc w:val="right"/>
              <w:rPr>
                <w:rFonts w:ascii="Times New Roman" w:hAnsi="Times New Roman" w:cs="Times New Roman"/>
                <w:noProof/>
              </w:rPr>
            </w:pPr>
            <w:r>
              <w:rPr>
                <w:rFonts w:ascii="Times New Roman" w:hAnsi="Times New Roman"/>
                <w:noProof/>
                <w:color w:val="000000"/>
              </w:rPr>
              <w:t>4 508 102</w:t>
            </w:r>
          </w:p>
        </w:tc>
        <w:tc>
          <w:tcPr>
            <w:tcW w:w="1701" w:type="dxa"/>
          </w:tcPr>
          <w:p w:rsidR="00343A61" w:rsidRDefault="00C85AE7">
            <w:pPr>
              <w:jc w:val="right"/>
              <w:rPr>
                <w:rFonts w:ascii="Times New Roman" w:hAnsi="Times New Roman" w:cs="Times New Roman"/>
                <w:noProof/>
              </w:rPr>
            </w:pPr>
            <w:r>
              <w:rPr>
                <w:rFonts w:ascii="Times New Roman" w:hAnsi="Times New Roman"/>
                <w:noProof/>
                <w:color w:val="000000"/>
              </w:rPr>
              <w:t>4 508 102</w:t>
            </w:r>
          </w:p>
        </w:tc>
      </w:tr>
      <w:tr w:rsidR="00343A61">
        <w:tc>
          <w:tcPr>
            <w:tcW w:w="6379" w:type="dxa"/>
            <w:gridSpan w:val="2"/>
            <w:shd w:val="clear" w:color="auto" w:fill="D9D9D9"/>
          </w:tcPr>
          <w:p w:rsidR="00343A61" w:rsidRDefault="00C85AE7">
            <w:pPr>
              <w:widowControl w:val="0"/>
              <w:tabs>
                <w:tab w:val="left" w:pos="975"/>
              </w:tabs>
              <w:spacing w:before="15" w:after="15"/>
              <w:jc w:val="both"/>
              <w:rPr>
                <w:rFonts w:ascii="Times New Roman" w:hAnsi="Times New Roman" w:cs="Times New Roman"/>
                <w:b/>
                <w:noProof/>
              </w:rPr>
            </w:pPr>
            <w:r>
              <w:rPr>
                <w:rFonts w:ascii="Times New Roman" w:hAnsi="Times New Roman"/>
                <w:b/>
                <w:noProof/>
              </w:rPr>
              <w:t>Общо</w:t>
            </w:r>
            <w:r>
              <w:rPr>
                <w:rFonts w:ascii="Times New Roman" w:hAnsi="Times New Roman"/>
                <w:b/>
                <w:noProof/>
              </w:rPr>
              <w:tab/>
            </w:r>
          </w:p>
        </w:tc>
        <w:tc>
          <w:tcPr>
            <w:tcW w:w="1701" w:type="dxa"/>
            <w:shd w:val="clear" w:color="auto" w:fill="D9D9D9"/>
          </w:tcPr>
          <w:p w:rsidR="00343A61" w:rsidRDefault="00C85AE7">
            <w:pPr>
              <w:jc w:val="right"/>
              <w:rPr>
                <w:rFonts w:ascii="Times New Roman" w:hAnsi="Times New Roman" w:cs="Times New Roman"/>
                <w:b/>
                <w:noProof/>
                <w:color w:val="000000"/>
              </w:rPr>
            </w:pPr>
            <w:r>
              <w:rPr>
                <w:rFonts w:ascii="Times New Roman" w:hAnsi="Times New Roman"/>
                <w:b/>
                <w:noProof/>
                <w:color w:val="000000"/>
              </w:rPr>
              <w:t>2 105 209</w:t>
            </w:r>
          </w:p>
        </w:tc>
        <w:tc>
          <w:tcPr>
            <w:tcW w:w="1701" w:type="dxa"/>
            <w:shd w:val="clear" w:color="auto" w:fill="D9D9D9"/>
          </w:tcPr>
          <w:p w:rsidR="00343A61" w:rsidRDefault="00C85AE7">
            <w:pPr>
              <w:jc w:val="right"/>
              <w:rPr>
                <w:rFonts w:ascii="Times New Roman" w:hAnsi="Times New Roman" w:cs="Times New Roman"/>
                <w:b/>
                <w:noProof/>
              </w:rPr>
            </w:pPr>
            <w:r>
              <w:rPr>
                <w:rFonts w:ascii="Times New Roman" w:hAnsi="Times New Roman"/>
                <w:b/>
                <w:noProof/>
                <w:color w:val="000000"/>
              </w:rPr>
              <w:t>2 105 209</w:t>
            </w:r>
          </w:p>
        </w:tc>
      </w:tr>
    </w:tbl>
    <w:p w:rsidR="00343A61" w:rsidRDefault="00C85AE7">
      <w:pPr>
        <w:pStyle w:val="Text1"/>
        <w:numPr>
          <w:ilvl w:val="0"/>
          <w:numId w:val="17"/>
        </w:numPr>
        <w:rPr>
          <w:noProof/>
        </w:rPr>
      </w:pPr>
      <w:r>
        <w:rPr>
          <w:noProof/>
        </w:rPr>
        <w:t>Изпълнителна агенция за Европейския съвет по иновациите и за МСП</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343A61">
        <w:tc>
          <w:tcPr>
            <w:tcW w:w="9781" w:type="dxa"/>
            <w:gridSpan w:val="4"/>
            <w:tcBorders>
              <w:top w:val="nil"/>
              <w:left w:val="nil"/>
              <w:bottom w:val="single" w:sz="4" w:space="0" w:color="auto"/>
              <w:right w:val="nil"/>
            </w:tcBorders>
            <w:shd w:val="clear" w:color="auto" w:fill="FFFFFF" w:themeFill="background1"/>
            <w:vAlign w:val="center"/>
          </w:tcPr>
          <w:p w:rsidR="00343A61" w:rsidRDefault="00C85AE7">
            <w:pPr>
              <w:widowControl w:val="0"/>
              <w:spacing w:before="15" w:after="15"/>
              <w:jc w:val="right"/>
              <w:rPr>
                <w:rFonts w:ascii="Times New Roman" w:hAnsi="Times New Roman" w:cs="Times New Roman"/>
                <w:b/>
                <w:noProof/>
              </w:rPr>
            </w:pPr>
            <w:r>
              <w:rPr>
                <w:rFonts w:ascii="Times New Roman" w:hAnsi="Times New Roman"/>
                <w:i/>
                <w:noProof/>
                <w:shd w:val="clear" w:color="auto" w:fill="FFFFFF" w:themeFill="background1"/>
              </w:rPr>
              <w:t>Суми в</w:t>
            </w:r>
            <w:r>
              <w:rPr>
                <w:rFonts w:ascii="Times New Roman" w:hAnsi="Times New Roman"/>
                <w:i/>
                <w:noProof/>
              </w:rPr>
              <w:t xml:space="preserve"> EUR</w:t>
            </w:r>
          </w:p>
        </w:tc>
      </w:tr>
      <w:tr w:rsidR="00343A61">
        <w:tc>
          <w:tcPr>
            <w:tcW w:w="1276" w:type="dxa"/>
            <w:tcBorders>
              <w:top w:val="single" w:sz="4" w:space="0" w:color="auto"/>
            </w:tcBorders>
            <w:shd w:val="clear" w:color="auto" w:fill="D9D9D9"/>
            <w:vAlign w:val="center"/>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Бюджетен ред</w:t>
            </w:r>
          </w:p>
        </w:tc>
        <w:tc>
          <w:tcPr>
            <w:tcW w:w="5103" w:type="dxa"/>
            <w:tcBorders>
              <w:top w:val="single" w:sz="4" w:space="0" w:color="auto"/>
            </w:tcBorders>
            <w:shd w:val="clear" w:color="auto" w:fill="D9D9D9"/>
            <w:vAlign w:val="center"/>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Наименование</w:t>
            </w:r>
          </w:p>
        </w:tc>
        <w:tc>
          <w:tcPr>
            <w:tcW w:w="1701" w:type="dxa"/>
            <w:tcBorders>
              <w:top w:val="single" w:sz="4" w:space="0" w:color="auto"/>
            </w:tcBorders>
            <w:shd w:val="clear" w:color="auto" w:fill="D9D9D9"/>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Бюджетни кредити за поети задължения</w:t>
            </w:r>
          </w:p>
        </w:tc>
        <w:tc>
          <w:tcPr>
            <w:tcW w:w="1701" w:type="dxa"/>
            <w:tcBorders>
              <w:top w:val="single" w:sz="4" w:space="0" w:color="auto"/>
            </w:tcBorders>
            <w:shd w:val="clear" w:color="auto" w:fill="D9D9D9"/>
            <w:vAlign w:val="center"/>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Бюджетни кредити за плащания</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01 01 01 76</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 xml:space="preserve">Изпълнителна </w:t>
            </w:r>
            <w:r>
              <w:rPr>
                <w:rFonts w:ascii="Times New Roman" w:hAnsi="Times New Roman"/>
                <w:noProof/>
              </w:rPr>
              <w:t>агенция за Европейския съвет по иновациите и за МСП — финансов принос от „Хоризонт Европа“</w:t>
            </w:r>
          </w:p>
        </w:tc>
        <w:tc>
          <w:tcPr>
            <w:tcW w:w="1701" w:type="dxa"/>
          </w:tcPr>
          <w:p w:rsidR="00343A61" w:rsidRDefault="00C85AE7">
            <w:pPr>
              <w:jc w:val="right"/>
              <w:rPr>
                <w:rFonts w:ascii="Times New Roman" w:hAnsi="Times New Roman" w:cs="Times New Roman"/>
                <w:noProof/>
              </w:rPr>
            </w:pPr>
            <w:r>
              <w:rPr>
                <w:rFonts w:ascii="Times New Roman" w:hAnsi="Times New Roman"/>
                <w:noProof/>
              </w:rPr>
              <w:t>-1 151 442</w:t>
            </w:r>
          </w:p>
        </w:tc>
        <w:tc>
          <w:tcPr>
            <w:tcW w:w="1701" w:type="dxa"/>
          </w:tcPr>
          <w:p w:rsidR="00343A61" w:rsidRDefault="00C85AE7">
            <w:pPr>
              <w:widowControl w:val="0"/>
              <w:spacing w:before="15" w:after="15"/>
              <w:jc w:val="right"/>
              <w:rPr>
                <w:rFonts w:ascii="Times New Roman" w:hAnsi="Times New Roman" w:cs="Times New Roman"/>
                <w:noProof/>
              </w:rPr>
            </w:pPr>
            <w:r>
              <w:rPr>
                <w:rFonts w:ascii="Times New Roman" w:hAnsi="Times New Roman"/>
                <w:noProof/>
              </w:rPr>
              <w:t>-1 151 442</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03 01 01 76</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Изпълнителна агенция за Европейския съвет по иновациите и за МСП — финансов принос от Програма за единния пазар (вкл. МСП)</w:t>
            </w:r>
          </w:p>
        </w:tc>
        <w:tc>
          <w:tcPr>
            <w:tcW w:w="1701" w:type="dxa"/>
          </w:tcPr>
          <w:p w:rsidR="00343A61" w:rsidRDefault="00C85AE7">
            <w:pPr>
              <w:jc w:val="right"/>
              <w:rPr>
                <w:rFonts w:ascii="Times New Roman" w:hAnsi="Times New Roman" w:cs="Times New Roman"/>
                <w:noProof/>
              </w:rPr>
            </w:pPr>
            <w:r>
              <w:rPr>
                <w:rFonts w:ascii="Times New Roman" w:hAnsi="Times New Roman"/>
                <w:noProof/>
              </w:rPr>
              <w:t>-107 515</w:t>
            </w:r>
          </w:p>
        </w:tc>
        <w:tc>
          <w:tcPr>
            <w:tcW w:w="1701" w:type="dxa"/>
          </w:tcPr>
          <w:p w:rsidR="00343A61" w:rsidRDefault="00C85AE7">
            <w:pPr>
              <w:jc w:val="right"/>
              <w:rPr>
                <w:rFonts w:ascii="Times New Roman" w:hAnsi="Times New Roman" w:cs="Times New Roman"/>
                <w:noProof/>
              </w:rPr>
            </w:pPr>
            <w:r>
              <w:rPr>
                <w:rFonts w:ascii="Times New Roman" w:hAnsi="Times New Roman"/>
                <w:noProof/>
              </w:rPr>
              <w:t>-107 515</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05 01 01 76</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Изпълнителна агенция за Европейския съвет по иновациите и за МСП — финансов принос от програмата „Междурегионални иновационни инвестиции“</w:t>
            </w:r>
          </w:p>
        </w:tc>
        <w:tc>
          <w:tcPr>
            <w:tcW w:w="1701" w:type="dxa"/>
          </w:tcPr>
          <w:p w:rsidR="00343A61" w:rsidRDefault="00C85AE7">
            <w:pPr>
              <w:jc w:val="right"/>
              <w:rPr>
                <w:rFonts w:ascii="Times New Roman" w:hAnsi="Times New Roman" w:cs="Times New Roman"/>
                <w:noProof/>
              </w:rPr>
            </w:pPr>
            <w:r>
              <w:rPr>
                <w:rFonts w:ascii="Times New Roman" w:hAnsi="Times New Roman"/>
                <w:noProof/>
              </w:rPr>
              <w:t>-138 303</w:t>
            </w:r>
          </w:p>
        </w:tc>
        <w:tc>
          <w:tcPr>
            <w:tcW w:w="1701" w:type="dxa"/>
          </w:tcPr>
          <w:p w:rsidR="00343A61" w:rsidRDefault="00C85AE7">
            <w:pPr>
              <w:jc w:val="right"/>
              <w:rPr>
                <w:rFonts w:ascii="Times New Roman" w:hAnsi="Times New Roman" w:cs="Times New Roman"/>
                <w:noProof/>
              </w:rPr>
            </w:pPr>
            <w:r>
              <w:rPr>
                <w:rFonts w:ascii="Times New Roman" w:hAnsi="Times New Roman"/>
                <w:noProof/>
              </w:rPr>
              <w:t>-138 303</w:t>
            </w:r>
          </w:p>
        </w:tc>
      </w:tr>
      <w:tr w:rsidR="00343A61">
        <w:tc>
          <w:tcPr>
            <w:tcW w:w="6379" w:type="dxa"/>
            <w:gridSpan w:val="2"/>
            <w:shd w:val="clear" w:color="auto" w:fill="D9D9D9"/>
          </w:tcPr>
          <w:p w:rsidR="00343A61" w:rsidRDefault="00C85AE7">
            <w:pPr>
              <w:widowControl w:val="0"/>
              <w:tabs>
                <w:tab w:val="left" w:pos="975"/>
              </w:tabs>
              <w:spacing w:before="15" w:after="15"/>
              <w:jc w:val="both"/>
              <w:rPr>
                <w:rFonts w:ascii="Times New Roman" w:hAnsi="Times New Roman" w:cs="Times New Roman"/>
                <w:b/>
                <w:noProof/>
              </w:rPr>
            </w:pPr>
            <w:r>
              <w:rPr>
                <w:rFonts w:ascii="Times New Roman" w:hAnsi="Times New Roman"/>
                <w:b/>
                <w:noProof/>
              </w:rPr>
              <w:t>Общо</w:t>
            </w:r>
            <w:r>
              <w:rPr>
                <w:rFonts w:ascii="Times New Roman" w:hAnsi="Times New Roman"/>
                <w:b/>
                <w:noProof/>
              </w:rPr>
              <w:tab/>
            </w:r>
          </w:p>
        </w:tc>
        <w:tc>
          <w:tcPr>
            <w:tcW w:w="1701" w:type="dxa"/>
            <w:shd w:val="clear" w:color="auto" w:fill="D9D9D9"/>
          </w:tcPr>
          <w:p w:rsidR="00343A61" w:rsidRDefault="00C85AE7">
            <w:pPr>
              <w:jc w:val="right"/>
              <w:rPr>
                <w:rFonts w:ascii="Times New Roman" w:hAnsi="Times New Roman" w:cs="Times New Roman"/>
                <w:b/>
                <w:noProof/>
              </w:rPr>
            </w:pPr>
            <w:r>
              <w:rPr>
                <w:rFonts w:ascii="Times New Roman" w:hAnsi="Times New Roman"/>
                <w:b/>
                <w:noProof/>
              </w:rPr>
              <w:t>-1 397 260</w:t>
            </w:r>
          </w:p>
        </w:tc>
        <w:tc>
          <w:tcPr>
            <w:tcW w:w="1701" w:type="dxa"/>
            <w:shd w:val="clear" w:color="auto" w:fill="D9D9D9"/>
          </w:tcPr>
          <w:p w:rsidR="00343A61" w:rsidRDefault="00C85AE7">
            <w:pPr>
              <w:jc w:val="right"/>
              <w:rPr>
                <w:rFonts w:ascii="Times New Roman" w:hAnsi="Times New Roman" w:cs="Times New Roman"/>
                <w:b/>
                <w:noProof/>
              </w:rPr>
            </w:pPr>
            <w:r>
              <w:rPr>
                <w:rFonts w:ascii="Times New Roman" w:hAnsi="Times New Roman"/>
                <w:b/>
                <w:noProof/>
              </w:rPr>
              <w:t>-1 397 260</w:t>
            </w:r>
          </w:p>
        </w:tc>
      </w:tr>
    </w:tbl>
    <w:p w:rsidR="00343A61" w:rsidRDefault="00C85AE7">
      <w:pPr>
        <w:pStyle w:val="Text1"/>
        <w:numPr>
          <w:ilvl w:val="0"/>
          <w:numId w:val="17"/>
        </w:numPr>
        <w:rPr>
          <w:noProof/>
        </w:rPr>
      </w:pPr>
      <w:r>
        <w:rPr>
          <w:noProof/>
        </w:rPr>
        <w:t xml:space="preserve">Изпълнителна агенция на Европейския </w:t>
      </w:r>
      <w:r>
        <w:rPr>
          <w:noProof/>
        </w:rPr>
        <w:t>научноизследователски съвет</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343A61">
        <w:tc>
          <w:tcPr>
            <w:tcW w:w="9781" w:type="dxa"/>
            <w:gridSpan w:val="4"/>
            <w:tcBorders>
              <w:top w:val="nil"/>
              <w:left w:val="nil"/>
              <w:bottom w:val="single" w:sz="4" w:space="0" w:color="auto"/>
              <w:right w:val="nil"/>
            </w:tcBorders>
            <w:shd w:val="clear" w:color="auto" w:fill="FFFFFF" w:themeFill="background1"/>
            <w:vAlign w:val="center"/>
          </w:tcPr>
          <w:p w:rsidR="00343A61" w:rsidRDefault="00C85AE7">
            <w:pPr>
              <w:widowControl w:val="0"/>
              <w:spacing w:before="15" w:after="15"/>
              <w:jc w:val="right"/>
              <w:rPr>
                <w:rFonts w:ascii="Times New Roman" w:hAnsi="Times New Roman" w:cs="Times New Roman"/>
                <w:b/>
                <w:noProof/>
              </w:rPr>
            </w:pPr>
            <w:r>
              <w:rPr>
                <w:rFonts w:ascii="Times New Roman" w:hAnsi="Times New Roman"/>
                <w:i/>
                <w:noProof/>
                <w:shd w:val="clear" w:color="auto" w:fill="FFFFFF" w:themeFill="background1"/>
              </w:rPr>
              <w:t>Суми в</w:t>
            </w:r>
            <w:r>
              <w:rPr>
                <w:rFonts w:ascii="Times New Roman" w:hAnsi="Times New Roman"/>
                <w:i/>
                <w:noProof/>
              </w:rPr>
              <w:t xml:space="preserve"> EUR</w:t>
            </w:r>
          </w:p>
        </w:tc>
      </w:tr>
      <w:tr w:rsidR="00343A61">
        <w:tc>
          <w:tcPr>
            <w:tcW w:w="1276" w:type="dxa"/>
            <w:tcBorders>
              <w:top w:val="single" w:sz="4" w:space="0" w:color="auto"/>
            </w:tcBorders>
            <w:shd w:val="clear" w:color="auto" w:fill="D9D9D9"/>
            <w:vAlign w:val="center"/>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Бюджетен ред</w:t>
            </w:r>
          </w:p>
        </w:tc>
        <w:tc>
          <w:tcPr>
            <w:tcW w:w="5103" w:type="dxa"/>
            <w:tcBorders>
              <w:top w:val="single" w:sz="4" w:space="0" w:color="auto"/>
            </w:tcBorders>
            <w:shd w:val="clear" w:color="auto" w:fill="D9D9D9"/>
            <w:vAlign w:val="center"/>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Наименование</w:t>
            </w:r>
          </w:p>
        </w:tc>
        <w:tc>
          <w:tcPr>
            <w:tcW w:w="1701" w:type="dxa"/>
            <w:tcBorders>
              <w:top w:val="single" w:sz="4" w:space="0" w:color="auto"/>
            </w:tcBorders>
            <w:shd w:val="clear" w:color="auto" w:fill="D9D9D9"/>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Бюджетни кредити за поети задължения</w:t>
            </w:r>
          </w:p>
        </w:tc>
        <w:tc>
          <w:tcPr>
            <w:tcW w:w="1701" w:type="dxa"/>
            <w:tcBorders>
              <w:top w:val="single" w:sz="4" w:space="0" w:color="auto"/>
            </w:tcBorders>
            <w:shd w:val="clear" w:color="auto" w:fill="D9D9D9"/>
            <w:vAlign w:val="center"/>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Бюджетни кредити за плащания</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01 01 01 71</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Изпълнителна агенция на Европейския научноизследователски съвет — принос от „Хоризонт Европа“</w:t>
            </w:r>
          </w:p>
        </w:tc>
        <w:tc>
          <w:tcPr>
            <w:tcW w:w="1701" w:type="dxa"/>
          </w:tcPr>
          <w:p w:rsidR="00343A61" w:rsidRDefault="00C85AE7">
            <w:pPr>
              <w:jc w:val="right"/>
              <w:rPr>
                <w:rFonts w:ascii="Times New Roman" w:hAnsi="Times New Roman" w:cs="Times New Roman"/>
                <w:noProof/>
              </w:rPr>
            </w:pPr>
            <w:r>
              <w:rPr>
                <w:rFonts w:ascii="Times New Roman" w:hAnsi="Times New Roman"/>
                <w:noProof/>
                <w:color w:val="000000"/>
              </w:rPr>
              <w:t>302 000</w:t>
            </w:r>
          </w:p>
        </w:tc>
        <w:tc>
          <w:tcPr>
            <w:tcW w:w="1701" w:type="dxa"/>
          </w:tcPr>
          <w:p w:rsidR="00343A61" w:rsidRDefault="00C85AE7">
            <w:pPr>
              <w:widowControl w:val="0"/>
              <w:spacing w:before="15" w:after="15"/>
              <w:jc w:val="right"/>
              <w:rPr>
                <w:rFonts w:ascii="Times New Roman" w:hAnsi="Times New Roman" w:cs="Times New Roman"/>
                <w:noProof/>
              </w:rPr>
            </w:pPr>
            <w:r>
              <w:rPr>
                <w:rFonts w:ascii="Times New Roman" w:hAnsi="Times New Roman"/>
                <w:noProof/>
                <w:color w:val="000000"/>
              </w:rPr>
              <w:t>302 000</w:t>
            </w:r>
          </w:p>
        </w:tc>
      </w:tr>
      <w:tr w:rsidR="00343A61">
        <w:tc>
          <w:tcPr>
            <w:tcW w:w="6379" w:type="dxa"/>
            <w:gridSpan w:val="2"/>
            <w:shd w:val="clear" w:color="auto" w:fill="D9D9D9"/>
          </w:tcPr>
          <w:p w:rsidR="00343A61" w:rsidRDefault="00C85AE7">
            <w:pPr>
              <w:widowControl w:val="0"/>
              <w:tabs>
                <w:tab w:val="left" w:pos="975"/>
              </w:tabs>
              <w:spacing w:before="15" w:after="15"/>
              <w:jc w:val="both"/>
              <w:rPr>
                <w:rFonts w:ascii="Times New Roman" w:hAnsi="Times New Roman" w:cs="Times New Roman"/>
                <w:b/>
                <w:noProof/>
              </w:rPr>
            </w:pPr>
            <w:r>
              <w:rPr>
                <w:rFonts w:ascii="Times New Roman" w:hAnsi="Times New Roman"/>
                <w:b/>
                <w:noProof/>
              </w:rPr>
              <w:t>Общо</w:t>
            </w:r>
            <w:r>
              <w:rPr>
                <w:rFonts w:ascii="Times New Roman" w:hAnsi="Times New Roman"/>
                <w:b/>
                <w:noProof/>
              </w:rPr>
              <w:tab/>
            </w:r>
          </w:p>
        </w:tc>
        <w:tc>
          <w:tcPr>
            <w:tcW w:w="1701" w:type="dxa"/>
            <w:shd w:val="clear" w:color="auto" w:fill="D9D9D9"/>
          </w:tcPr>
          <w:p w:rsidR="00343A61" w:rsidRDefault="00C85AE7">
            <w:pPr>
              <w:jc w:val="right"/>
              <w:rPr>
                <w:rFonts w:ascii="Times New Roman" w:hAnsi="Times New Roman" w:cs="Times New Roman"/>
                <w:b/>
                <w:noProof/>
              </w:rPr>
            </w:pPr>
            <w:r>
              <w:rPr>
                <w:rFonts w:ascii="Times New Roman" w:hAnsi="Times New Roman"/>
                <w:b/>
                <w:noProof/>
                <w:color w:val="000000"/>
              </w:rPr>
              <w:t>302 000</w:t>
            </w:r>
          </w:p>
        </w:tc>
        <w:tc>
          <w:tcPr>
            <w:tcW w:w="1701" w:type="dxa"/>
            <w:shd w:val="clear" w:color="auto" w:fill="D9D9D9"/>
          </w:tcPr>
          <w:p w:rsidR="00343A61" w:rsidRDefault="00C85AE7">
            <w:pPr>
              <w:jc w:val="right"/>
              <w:rPr>
                <w:rFonts w:ascii="Times New Roman" w:hAnsi="Times New Roman" w:cs="Times New Roman"/>
                <w:b/>
                <w:noProof/>
              </w:rPr>
            </w:pPr>
            <w:r>
              <w:rPr>
                <w:rFonts w:ascii="Times New Roman" w:hAnsi="Times New Roman"/>
                <w:b/>
                <w:noProof/>
                <w:color w:val="000000"/>
              </w:rPr>
              <w:t>302 000</w:t>
            </w:r>
          </w:p>
        </w:tc>
      </w:tr>
    </w:tbl>
    <w:p w:rsidR="00343A61" w:rsidRDefault="00C85AE7">
      <w:pPr>
        <w:pStyle w:val="Text1"/>
        <w:numPr>
          <w:ilvl w:val="0"/>
          <w:numId w:val="17"/>
        </w:numPr>
        <w:rPr>
          <w:noProof/>
        </w:rPr>
      </w:pPr>
      <w:r>
        <w:rPr>
          <w:noProof/>
        </w:rPr>
        <w:t>Европейска изпълнителна агенция за научни изследвания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343A61">
        <w:tc>
          <w:tcPr>
            <w:tcW w:w="9781" w:type="dxa"/>
            <w:gridSpan w:val="4"/>
            <w:tcBorders>
              <w:top w:val="nil"/>
              <w:left w:val="nil"/>
              <w:bottom w:val="single" w:sz="4" w:space="0" w:color="auto"/>
              <w:right w:val="nil"/>
            </w:tcBorders>
            <w:shd w:val="clear" w:color="auto" w:fill="FFFFFF" w:themeFill="background1"/>
            <w:vAlign w:val="center"/>
          </w:tcPr>
          <w:p w:rsidR="00343A61" w:rsidRDefault="00C85AE7">
            <w:pPr>
              <w:widowControl w:val="0"/>
              <w:spacing w:before="15" w:after="15"/>
              <w:jc w:val="right"/>
              <w:rPr>
                <w:rFonts w:ascii="Times New Roman" w:hAnsi="Times New Roman" w:cs="Times New Roman"/>
                <w:b/>
                <w:noProof/>
              </w:rPr>
            </w:pPr>
            <w:r>
              <w:rPr>
                <w:rFonts w:ascii="Times New Roman" w:hAnsi="Times New Roman"/>
                <w:i/>
                <w:noProof/>
                <w:shd w:val="clear" w:color="auto" w:fill="FFFFFF" w:themeFill="background1"/>
              </w:rPr>
              <w:t>Суми в</w:t>
            </w:r>
            <w:r>
              <w:rPr>
                <w:rFonts w:ascii="Times New Roman" w:hAnsi="Times New Roman"/>
                <w:i/>
                <w:noProof/>
              </w:rPr>
              <w:t xml:space="preserve"> EUR</w:t>
            </w:r>
          </w:p>
        </w:tc>
      </w:tr>
      <w:tr w:rsidR="00343A61">
        <w:tc>
          <w:tcPr>
            <w:tcW w:w="1276" w:type="dxa"/>
            <w:tcBorders>
              <w:top w:val="single" w:sz="4" w:space="0" w:color="auto"/>
            </w:tcBorders>
            <w:shd w:val="clear" w:color="auto" w:fill="D9D9D9"/>
            <w:vAlign w:val="center"/>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Бюджетен ред</w:t>
            </w:r>
          </w:p>
        </w:tc>
        <w:tc>
          <w:tcPr>
            <w:tcW w:w="5103" w:type="dxa"/>
            <w:tcBorders>
              <w:top w:val="single" w:sz="4" w:space="0" w:color="auto"/>
            </w:tcBorders>
            <w:shd w:val="clear" w:color="auto" w:fill="D9D9D9"/>
            <w:vAlign w:val="center"/>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Наименование</w:t>
            </w:r>
          </w:p>
        </w:tc>
        <w:tc>
          <w:tcPr>
            <w:tcW w:w="1701" w:type="dxa"/>
            <w:tcBorders>
              <w:top w:val="single" w:sz="4" w:space="0" w:color="auto"/>
            </w:tcBorders>
            <w:shd w:val="clear" w:color="auto" w:fill="D9D9D9"/>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Бюджетни кредити за поети задължения</w:t>
            </w:r>
          </w:p>
        </w:tc>
        <w:tc>
          <w:tcPr>
            <w:tcW w:w="1701" w:type="dxa"/>
            <w:tcBorders>
              <w:top w:val="single" w:sz="4" w:space="0" w:color="auto"/>
            </w:tcBorders>
            <w:shd w:val="clear" w:color="auto" w:fill="D9D9D9"/>
            <w:vAlign w:val="center"/>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Бюджетни кредити за плащания</w:t>
            </w:r>
          </w:p>
        </w:tc>
      </w:tr>
      <w:tr w:rsidR="00343A61">
        <w:tc>
          <w:tcPr>
            <w:tcW w:w="1276" w:type="dxa"/>
          </w:tcPr>
          <w:p w:rsidR="00343A61" w:rsidRDefault="00C85AE7">
            <w:pPr>
              <w:widowControl w:val="0"/>
              <w:spacing w:before="15" w:after="15"/>
              <w:ind w:right="-113"/>
              <w:jc w:val="both"/>
              <w:rPr>
                <w:noProof/>
                <w:color w:val="000000"/>
                <w:sz w:val="20"/>
                <w:szCs w:val="20"/>
              </w:rPr>
            </w:pPr>
            <w:r>
              <w:rPr>
                <w:rFonts w:ascii="Times New Roman" w:hAnsi="Times New Roman"/>
                <w:noProof/>
              </w:rPr>
              <w:t>01 01 01 72</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 xml:space="preserve">Европейска изпълнителна агенция за научни изследвания — </w:t>
            </w:r>
            <w:r>
              <w:rPr>
                <w:rFonts w:ascii="Times New Roman" w:hAnsi="Times New Roman"/>
                <w:noProof/>
              </w:rPr>
              <w:t>финансов принос от „Хоризонт Европа“</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color w:val="000000"/>
              </w:rPr>
              <w:t>631 865</w:t>
            </w:r>
          </w:p>
        </w:tc>
        <w:tc>
          <w:tcPr>
            <w:tcW w:w="1701" w:type="dxa"/>
          </w:tcPr>
          <w:p w:rsidR="00343A61" w:rsidRDefault="00C85AE7">
            <w:pPr>
              <w:jc w:val="right"/>
              <w:rPr>
                <w:rFonts w:ascii="Times New Roman" w:hAnsi="Times New Roman" w:cs="Times New Roman"/>
                <w:noProof/>
              </w:rPr>
            </w:pPr>
            <w:r>
              <w:rPr>
                <w:rFonts w:ascii="Times New Roman" w:hAnsi="Times New Roman"/>
                <w:noProof/>
                <w:color w:val="000000"/>
              </w:rPr>
              <w:t>631 865</w:t>
            </w:r>
          </w:p>
        </w:tc>
      </w:tr>
      <w:tr w:rsidR="00343A61">
        <w:tc>
          <w:tcPr>
            <w:tcW w:w="1276" w:type="dxa"/>
          </w:tcPr>
          <w:p w:rsidR="00343A61" w:rsidRDefault="00C85AE7">
            <w:pPr>
              <w:widowControl w:val="0"/>
              <w:spacing w:before="15" w:after="15"/>
              <w:ind w:right="-113"/>
              <w:jc w:val="both"/>
              <w:rPr>
                <w:noProof/>
                <w:color w:val="000000"/>
                <w:sz w:val="20"/>
                <w:szCs w:val="20"/>
              </w:rPr>
            </w:pPr>
            <w:r>
              <w:rPr>
                <w:rFonts w:ascii="Times New Roman" w:hAnsi="Times New Roman"/>
                <w:noProof/>
              </w:rPr>
              <w:t>20 03 14 72</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Европейска изпълнителна агенция за научни изследвания — финансов принос за изпълнението на научноизследователската програма за въглища и стомана и програми без връзка с научните изследвания</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color w:val="000000"/>
              </w:rPr>
              <w:t>-406 337</w:t>
            </w:r>
          </w:p>
        </w:tc>
        <w:tc>
          <w:tcPr>
            <w:tcW w:w="1701" w:type="dxa"/>
          </w:tcPr>
          <w:p w:rsidR="00343A61" w:rsidRDefault="00C85AE7">
            <w:pPr>
              <w:jc w:val="right"/>
              <w:rPr>
                <w:rFonts w:ascii="Times New Roman" w:hAnsi="Times New Roman" w:cs="Times New Roman"/>
                <w:noProof/>
              </w:rPr>
            </w:pPr>
            <w:r>
              <w:rPr>
                <w:rFonts w:ascii="Times New Roman" w:hAnsi="Times New Roman"/>
                <w:noProof/>
                <w:color w:val="000000"/>
              </w:rPr>
              <w:t>-406 337</w:t>
            </w:r>
          </w:p>
        </w:tc>
      </w:tr>
      <w:tr w:rsidR="00343A61">
        <w:tc>
          <w:tcPr>
            <w:tcW w:w="6379" w:type="dxa"/>
            <w:gridSpan w:val="2"/>
            <w:shd w:val="clear" w:color="auto" w:fill="D9D9D9"/>
          </w:tcPr>
          <w:p w:rsidR="00343A61" w:rsidRDefault="00C85AE7">
            <w:pPr>
              <w:widowControl w:val="0"/>
              <w:tabs>
                <w:tab w:val="left" w:pos="975"/>
              </w:tabs>
              <w:spacing w:before="15" w:after="15"/>
              <w:jc w:val="both"/>
              <w:rPr>
                <w:rFonts w:ascii="Times New Roman" w:hAnsi="Times New Roman" w:cs="Times New Roman"/>
                <w:b/>
                <w:noProof/>
              </w:rPr>
            </w:pPr>
            <w:r>
              <w:rPr>
                <w:rFonts w:ascii="Times New Roman" w:hAnsi="Times New Roman"/>
                <w:b/>
                <w:noProof/>
              </w:rPr>
              <w:t>Общо</w:t>
            </w:r>
            <w:r>
              <w:rPr>
                <w:rFonts w:ascii="Times New Roman" w:hAnsi="Times New Roman"/>
                <w:b/>
                <w:noProof/>
              </w:rPr>
              <w:tab/>
            </w:r>
          </w:p>
        </w:tc>
        <w:tc>
          <w:tcPr>
            <w:tcW w:w="1701" w:type="dxa"/>
            <w:shd w:val="clear" w:color="auto" w:fill="D9D9D9"/>
          </w:tcPr>
          <w:p w:rsidR="00343A61" w:rsidRDefault="00C85AE7">
            <w:pPr>
              <w:jc w:val="right"/>
              <w:rPr>
                <w:rFonts w:ascii="Times New Roman" w:hAnsi="Times New Roman" w:cs="Times New Roman"/>
                <w:b/>
                <w:noProof/>
                <w:color w:val="000000"/>
              </w:rPr>
            </w:pPr>
            <w:r>
              <w:rPr>
                <w:rFonts w:ascii="Times New Roman" w:hAnsi="Times New Roman"/>
                <w:b/>
                <w:noProof/>
                <w:color w:val="000000"/>
              </w:rPr>
              <w:t>225 528</w:t>
            </w:r>
          </w:p>
        </w:tc>
        <w:tc>
          <w:tcPr>
            <w:tcW w:w="1701" w:type="dxa"/>
            <w:shd w:val="clear" w:color="auto" w:fill="D9D9D9"/>
          </w:tcPr>
          <w:p w:rsidR="00343A61" w:rsidRDefault="00C85AE7">
            <w:pPr>
              <w:jc w:val="right"/>
              <w:rPr>
                <w:rFonts w:ascii="Times New Roman" w:hAnsi="Times New Roman" w:cs="Times New Roman"/>
                <w:b/>
                <w:noProof/>
              </w:rPr>
            </w:pPr>
            <w:r>
              <w:rPr>
                <w:rFonts w:ascii="Times New Roman" w:hAnsi="Times New Roman"/>
                <w:b/>
                <w:noProof/>
                <w:color w:val="000000"/>
              </w:rPr>
              <w:t>225 528</w:t>
            </w:r>
          </w:p>
        </w:tc>
      </w:tr>
    </w:tbl>
    <w:p w:rsidR="00343A61" w:rsidRDefault="00343A61">
      <w:pPr>
        <w:pStyle w:val="Text1"/>
        <w:ind w:left="0"/>
        <w:rPr>
          <w:noProof/>
        </w:rPr>
      </w:pPr>
    </w:p>
    <w:p w:rsidR="00343A61" w:rsidRDefault="00C85AE7">
      <w:pPr>
        <w:pStyle w:val="Text1"/>
        <w:ind w:left="0"/>
        <w:rPr>
          <w:noProof/>
        </w:rPr>
      </w:pPr>
      <w:r>
        <w:rPr>
          <w:noProof/>
        </w:rPr>
        <w:t xml:space="preserve">Нетното увеличение на текущите разходи на изпълнителните агенции в размер на 3 538 850 EUR е пълно прихващане от съответстващото нетно намаление на административните и/или оперативните бюджетни кредити за </w:t>
      </w:r>
      <w:r>
        <w:rPr>
          <w:noProof/>
        </w:rPr>
        <w:t>програмите, които те ще изпълняват. Отражението върху бюджетните кредити за поети задължения и бюджетните кредити за плащания е следното:</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343A61">
        <w:tc>
          <w:tcPr>
            <w:tcW w:w="9781" w:type="dxa"/>
            <w:gridSpan w:val="4"/>
            <w:tcBorders>
              <w:top w:val="nil"/>
              <w:left w:val="nil"/>
              <w:bottom w:val="single" w:sz="4" w:space="0" w:color="auto"/>
              <w:right w:val="nil"/>
            </w:tcBorders>
            <w:shd w:val="clear" w:color="auto" w:fill="FFFFFF" w:themeFill="background1"/>
            <w:vAlign w:val="center"/>
          </w:tcPr>
          <w:p w:rsidR="00343A61" w:rsidRDefault="00C85AE7">
            <w:pPr>
              <w:widowControl w:val="0"/>
              <w:spacing w:before="15" w:after="15"/>
              <w:jc w:val="right"/>
              <w:rPr>
                <w:rFonts w:ascii="Times New Roman" w:hAnsi="Times New Roman" w:cs="Times New Roman"/>
                <w:b/>
                <w:noProof/>
              </w:rPr>
            </w:pPr>
            <w:r>
              <w:rPr>
                <w:rFonts w:ascii="Times New Roman" w:hAnsi="Times New Roman"/>
                <w:i/>
                <w:noProof/>
                <w:shd w:val="clear" w:color="auto" w:fill="FFFFFF" w:themeFill="background1"/>
              </w:rPr>
              <w:t>Суми в</w:t>
            </w:r>
            <w:r>
              <w:rPr>
                <w:rFonts w:ascii="Times New Roman" w:hAnsi="Times New Roman"/>
                <w:i/>
                <w:noProof/>
              </w:rPr>
              <w:t xml:space="preserve"> EUR</w:t>
            </w:r>
          </w:p>
        </w:tc>
      </w:tr>
      <w:tr w:rsidR="00343A61">
        <w:tc>
          <w:tcPr>
            <w:tcW w:w="1276" w:type="dxa"/>
            <w:tcBorders>
              <w:top w:val="single" w:sz="4" w:space="0" w:color="auto"/>
            </w:tcBorders>
            <w:shd w:val="clear" w:color="auto" w:fill="D9D9D9"/>
            <w:vAlign w:val="center"/>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Бюджетен ред</w:t>
            </w:r>
          </w:p>
        </w:tc>
        <w:tc>
          <w:tcPr>
            <w:tcW w:w="5103" w:type="dxa"/>
            <w:tcBorders>
              <w:top w:val="single" w:sz="4" w:space="0" w:color="auto"/>
            </w:tcBorders>
            <w:shd w:val="clear" w:color="auto" w:fill="D9D9D9"/>
            <w:vAlign w:val="center"/>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Наименование</w:t>
            </w:r>
          </w:p>
        </w:tc>
        <w:tc>
          <w:tcPr>
            <w:tcW w:w="1701" w:type="dxa"/>
            <w:tcBorders>
              <w:top w:val="single" w:sz="4" w:space="0" w:color="auto"/>
            </w:tcBorders>
            <w:shd w:val="clear" w:color="auto" w:fill="D9D9D9"/>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Бюджетни кредити за поети задължения</w:t>
            </w:r>
          </w:p>
        </w:tc>
        <w:tc>
          <w:tcPr>
            <w:tcW w:w="1701" w:type="dxa"/>
            <w:tcBorders>
              <w:top w:val="single" w:sz="4" w:space="0" w:color="auto"/>
            </w:tcBorders>
            <w:shd w:val="clear" w:color="auto" w:fill="D9D9D9"/>
            <w:vAlign w:val="center"/>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Бюджетни кредити за плащания</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01 01 01 03</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Други разходи за управление за „Хоризонт Европа“ — непреки научни изследвания</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rPr>
              <w:t>2 009 364</w:t>
            </w:r>
          </w:p>
        </w:tc>
        <w:tc>
          <w:tcPr>
            <w:tcW w:w="1701" w:type="dxa"/>
          </w:tcPr>
          <w:p w:rsidR="00343A61" w:rsidRDefault="00C85AE7">
            <w:pPr>
              <w:jc w:val="right"/>
              <w:rPr>
                <w:rFonts w:ascii="Times New Roman" w:hAnsi="Times New Roman" w:cs="Times New Roman"/>
                <w:noProof/>
              </w:rPr>
            </w:pPr>
            <w:r>
              <w:rPr>
                <w:rFonts w:ascii="Times New Roman" w:hAnsi="Times New Roman"/>
                <w:noProof/>
              </w:rPr>
              <w:t>2 009 364</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02 01 30 01</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Разходи за подкрепа на програмата „Цифрова Европа“</w:t>
            </w:r>
          </w:p>
        </w:tc>
        <w:tc>
          <w:tcPr>
            <w:tcW w:w="1701" w:type="dxa"/>
          </w:tcPr>
          <w:p w:rsidR="00343A61" w:rsidRDefault="00C85AE7">
            <w:pPr>
              <w:jc w:val="right"/>
              <w:rPr>
                <w:rFonts w:ascii="Times New Roman" w:hAnsi="Times New Roman" w:cs="Times New Roman"/>
                <w:noProof/>
              </w:rPr>
            </w:pPr>
            <w:r>
              <w:rPr>
                <w:rFonts w:ascii="Times New Roman" w:hAnsi="Times New Roman"/>
                <w:noProof/>
              </w:rPr>
              <w:t>63 623</w:t>
            </w:r>
          </w:p>
        </w:tc>
        <w:tc>
          <w:tcPr>
            <w:tcW w:w="1701" w:type="dxa"/>
          </w:tcPr>
          <w:p w:rsidR="00343A61" w:rsidRDefault="00C85AE7">
            <w:pPr>
              <w:jc w:val="right"/>
              <w:rPr>
                <w:rFonts w:ascii="Times New Roman" w:hAnsi="Times New Roman" w:cs="Times New Roman"/>
                <w:noProof/>
              </w:rPr>
            </w:pPr>
            <w:r>
              <w:rPr>
                <w:rFonts w:ascii="Times New Roman" w:hAnsi="Times New Roman"/>
                <w:noProof/>
              </w:rPr>
              <w:t>63 623</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02 03 03 01</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Механизъм за свързване на Европа (МСЕ) — цифрови технологии</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rPr>
              <w:t>318 317</w:t>
            </w:r>
          </w:p>
        </w:tc>
        <w:tc>
          <w:tcPr>
            <w:tcW w:w="1701" w:type="dxa"/>
          </w:tcPr>
          <w:p w:rsidR="00343A61" w:rsidRDefault="00C85AE7">
            <w:pPr>
              <w:jc w:val="right"/>
              <w:rPr>
                <w:rFonts w:ascii="Times New Roman" w:hAnsi="Times New Roman" w:cs="Times New Roman"/>
                <w:noProof/>
              </w:rPr>
            </w:pPr>
            <w:r>
              <w:rPr>
                <w:rFonts w:ascii="Times New Roman" w:hAnsi="Times New Roman"/>
                <w:noProof/>
              </w:rPr>
              <w:t>318 317</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02 20 04 02</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Дейности за подкрепа на европейската енергийна политика и вътрешния енергиен пазар</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rPr>
              <w:t>91 425</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rPr>
              <w:t>91 425</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03 01 01 01</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Разходи за подкрепа за Програмата за единния пазар (вкл. МСП)</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rPr>
              <w:t>-102 485</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rPr>
              <w:t>-102 485</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03 02 04 01</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 xml:space="preserve">Осигуряване на високо равнище </w:t>
            </w:r>
            <w:r>
              <w:rPr>
                <w:rFonts w:ascii="Times New Roman" w:hAnsi="Times New Roman"/>
                <w:noProof/>
              </w:rPr>
              <w:t>на защита на потребителите и безопасност на продуктите</w:t>
            </w:r>
          </w:p>
        </w:tc>
        <w:tc>
          <w:tcPr>
            <w:tcW w:w="1701" w:type="dxa"/>
          </w:tcPr>
          <w:p w:rsidR="00343A61" w:rsidRDefault="00C85AE7">
            <w:pPr>
              <w:jc w:val="right"/>
              <w:rPr>
                <w:rFonts w:ascii="Times New Roman" w:hAnsi="Times New Roman" w:cs="Times New Roman"/>
                <w:noProof/>
              </w:rPr>
            </w:pPr>
            <w:r>
              <w:rPr>
                <w:rFonts w:ascii="Times New Roman" w:hAnsi="Times New Roman"/>
                <w:noProof/>
              </w:rPr>
              <w:t>210 000</w:t>
            </w:r>
          </w:p>
        </w:tc>
        <w:tc>
          <w:tcPr>
            <w:tcW w:w="1701" w:type="dxa"/>
          </w:tcPr>
          <w:p w:rsidR="00343A61" w:rsidRDefault="00C85AE7">
            <w:pPr>
              <w:jc w:val="right"/>
              <w:rPr>
                <w:rFonts w:ascii="Times New Roman" w:hAnsi="Times New Roman" w:cs="Times New Roman"/>
                <w:noProof/>
              </w:rPr>
            </w:pPr>
            <w:r>
              <w:rPr>
                <w:rFonts w:ascii="Times New Roman" w:hAnsi="Times New Roman"/>
                <w:noProof/>
              </w:rPr>
              <w:t>210 000</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03 02 06</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Допринасяне за високо ниво на защита на здравето и благосъстоянието на хората, животните и растенията</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rPr>
              <w:t>219 379</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rPr>
              <w:t>219 379</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05 02 01</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ЕФРР — Оперативни разходи</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rPr>
              <w:t>138 303</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rPr>
              <w:t>138 303</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06 06 01</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Програма EU4Health</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rPr>
              <w:t>-4 508 102</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rPr>
              <w:t>-4 508 102</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07 01 02 01</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Разходи за подкрепа за „Еразъм+“</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rPr>
              <w:t>889 025</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rPr>
              <w:t>889 025</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07 05 01</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„Култура“</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rPr>
              <w:t>-308 653</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rPr>
              <w:t>-308 653</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07 05 02</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„МЕДИА“</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rPr>
              <w:t>-573 212</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rPr>
              <w:t>-573 212</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07 06 02</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 xml:space="preserve">Насърчаване на ангажираността и участието на гражданите в </w:t>
            </w:r>
            <w:r>
              <w:rPr>
                <w:rFonts w:ascii="Times New Roman" w:hAnsi="Times New Roman"/>
                <w:noProof/>
              </w:rPr>
              <w:t>демократичния живот на Съюза</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rPr>
              <w:t>-2 582 865</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rPr>
              <w:t>-2 582 865</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08 01 03 01</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Разходи за подкрепа за Европейския фонд за морско дело и рибарство</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rPr>
              <w:t>7 038</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rPr>
              <w:t>7 038</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09 01 01 01</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Разходи за подкрепа за Програмата за околната среда и действията по климата (LIFE)</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rPr>
              <w:t>183 656</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rPr>
              <w:t>183 656</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20 01 02 01</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Възнаграждения и надбавки — централа и представителства</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rPr>
              <w:t>406 337</w:t>
            </w:r>
          </w:p>
        </w:tc>
        <w:tc>
          <w:tcPr>
            <w:tcW w:w="1701" w:type="dxa"/>
          </w:tcPr>
          <w:p w:rsidR="00343A61" w:rsidRDefault="00C85AE7">
            <w:pPr>
              <w:jc w:val="right"/>
              <w:rPr>
                <w:rFonts w:ascii="Times New Roman" w:hAnsi="Times New Roman" w:cs="Times New Roman"/>
                <w:noProof/>
                <w:color w:val="000000"/>
              </w:rPr>
            </w:pPr>
            <w:r>
              <w:rPr>
                <w:rFonts w:ascii="Times New Roman" w:hAnsi="Times New Roman"/>
                <w:noProof/>
              </w:rPr>
              <w:t>406 337</w:t>
            </w:r>
          </w:p>
        </w:tc>
      </w:tr>
      <w:tr w:rsidR="00343A61">
        <w:tc>
          <w:tcPr>
            <w:tcW w:w="6379" w:type="dxa"/>
            <w:gridSpan w:val="2"/>
            <w:shd w:val="clear" w:color="auto" w:fill="D9D9D9"/>
          </w:tcPr>
          <w:p w:rsidR="00343A61" w:rsidRDefault="00C85AE7">
            <w:pPr>
              <w:widowControl w:val="0"/>
              <w:tabs>
                <w:tab w:val="left" w:pos="975"/>
              </w:tabs>
              <w:spacing w:before="15" w:after="15"/>
              <w:jc w:val="both"/>
              <w:rPr>
                <w:rFonts w:ascii="Times New Roman" w:hAnsi="Times New Roman" w:cs="Times New Roman"/>
                <w:b/>
                <w:noProof/>
              </w:rPr>
            </w:pPr>
            <w:r>
              <w:rPr>
                <w:rFonts w:ascii="Times New Roman" w:hAnsi="Times New Roman"/>
                <w:b/>
                <w:noProof/>
              </w:rPr>
              <w:t>Общо</w:t>
            </w:r>
            <w:r>
              <w:rPr>
                <w:rFonts w:ascii="Times New Roman" w:hAnsi="Times New Roman"/>
                <w:b/>
                <w:noProof/>
              </w:rPr>
              <w:tab/>
            </w:r>
          </w:p>
        </w:tc>
        <w:tc>
          <w:tcPr>
            <w:tcW w:w="1701" w:type="dxa"/>
            <w:shd w:val="clear" w:color="auto" w:fill="D9D9D9"/>
          </w:tcPr>
          <w:p w:rsidR="00343A61" w:rsidRDefault="00C85AE7">
            <w:pPr>
              <w:jc w:val="right"/>
              <w:rPr>
                <w:rFonts w:ascii="Times New Roman" w:hAnsi="Times New Roman" w:cs="Times New Roman"/>
                <w:b/>
                <w:noProof/>
                <w:color w:val="000000"/>
              </w:rPr>
            </w:pPr>
            <w:r>
              <w:rPr>
                <w:rFonts w:ascii="Times New Roman" w:hAnsi="Times New Roman"/>
                <w:b/>
                <w:noProof/>
                <w:color w:val="000000"/>
              </w:rPr>
              <w:t>-3 538 850</w:t>
            </w:r>
          </w:p>
        </w:tc>
        <w:tc>
          <w:tcPr>
            <w:tcW w:w="1701" w:type="dxa"/>
            <w:shd w:val="clear" w:color="auto" w:fill="D9D9D9"/>
          </w:tcPr>
          <w:p w:rsidR="00343A61" w:rsidRDefault="00C85AE7">
            <w:pPr>
              <w:jc w:val="right"/>
              <w:rPr>
                <w:rFonts w:ascii="Times New Roman" w:hAnsi="Times New Roman" w:cs="Times New Roman"/>
                <w:b/>
                <w:noProof/>
              </w:rPr>
            </w:pPr>
            <w:r>
              <w:rPr>
                <w:rFonts w:ascii="Times New Roman" w:hAnsi="Times New Roman"/>
                <w:b/>
                <w:noProof/>
              </w:rPr>
              <w:t>-3 538 850</w:t>
            </w:r>
          </w:p>
        </w:tc>
      </w:tr>
    </w:tbl>
    <w:p w:rsidR="00343A61" w:rsidRDefault="00343A61">
      <w:pPr>
        <w:pStyle w:val="Text1"/>
        <w:ind w:left="0"/>
        <w:rPr>
          <w:noProof/>
        </w:rPr>
      </w:pPr>
    </w:p>
    <w:p w:rsidR="00343A61" w:rsidRDefault="00C85AE7">
      <w:pPr>
        <w:pStyle w:val="Text1"/>
        <w:ind w:left="0"/>
        <w:rPr>
          <w:noProof/>
        </w:rPr>
      </w:pPr>
      <w:r>
        <w:rPr>
          <w:noProof/>
        </w:rPr>
        <w:t xml:space="preserve">Освен това постъпленията от NGEU в размер на 6 901 457 EUR са разпределени по бюджетните редове за подкрепа на трите изпълнителни агенции </w:t>
      </w:r>
      <w:r>
        <w:rPr>
          <w:noProof/>
        </w:rPr>
        <w:t>(Изпълнителната агенция за Европейския съвет по иновациите и за МСП, Европейската изпълнителна агенция за климата, инфраструктурата и околната среда и Европейската изпълнителна агенция за здравеопазването и цифровизацията) с цел да се покрият административ</w:t>
      </w:r>
      <w:r>
        <w:rPr>
          <w:noProof/>
        </w:rPr>
        <w:t>ните разходи за осъществяването на финансовия принос от NGEU по „Хоризонт Европа“ през 2021 г.</w:t>
      </w:r>
    </w:p>
    <w:p w:rsidR="00343A61" w:rsidRDefault="00C85AE7">
      <w:pPr>
        <w:pStyle w:val="Text1"/>
        <w:ind w:left="0"/>
        <w:rPr>
          <w:noProof/>
        </w:rPr>
      </w:pPr>
      <w:r>
        <w:rPr>
          <w:noProof/>
        </w:rPr>
        <w:t>В бюджетното приложение са посочени също актуализираните бюджетни забележки по бюджетните редове за административна подкрепа на съответните изпълнителни агенции,</w:t>
      </w:r>
      <w:r>
        <w:rPr>
          <w:noProof/>
        </w:rPr>
        <w:t xml:space="preserve"> за да се отразят допълнителните бюджетни кредити по NextGenerationEU (NGEU) за „Хоризонт Европа“, както е определено в документите, представени през декември 2020 г. на Комитета за изпълнителните агенции.</w:t>
      </w:r>
    </w:p>
    <w:p w:rsidR="00343A61" w:rsidRDefault="00C85AE7">
      <w:pPr>
        <w:pStyle w:val="ListParagraph"/>
        <w:keepNext/>
        <w:numPr>
          <w:ilvl w:val="1"/>
          <w:numId w:val="5"/>
        </w:numPr>
        <w:tabs>
          <w:tab w:val="left" w:pos="850"/>
        </w:tabs>
        <w:spacing w:before="360" w:after="120"/>
        <w:jc w:val="both"/>
        <w:outlineLvl w:val="0"/>
        <w:rPr>
          <w:rFonts w:ascii="Times New Roman" w:eastAsia="Times New Roman" w:hAnsi="Times New Roman" w:cs="Times New Roman"/>
          <w:b/>
          <w:smallCaps/>
          <w:noProof/>
          <w:sz w:val="24"/>
          <w:szCs w:val="24"/>
        </w:rPr>
      </w:pPr>
      <w:bookmarkStart w:id="23" w:name="_Toc68801886"/>
      <w:r>
        <w:rPr>
          <w:rFonts w:ascii="Times New Roman" w:hAnsi="Times New Roman"/>
          <w:noProof/>
          <w:sz w:val="24"/>
          <w:szCs w:val="24"/>
        </w:rPr>
        <w:t>Въздействие върху човешките ресурси</w:t>
      </w:r>
      <w:bookmarkEnd w:id="23"/>
    </w:p>
    <w:p w:rsidR="00343A61" w:rsidRDefault="00C85AE7">
      <w:pPr>
        <w:pStyle w:val="Text1"/>
        <w:ind w:left="0"/>
        <w:rPr>
          <w:noProof/>
        </w:rPr>
      </w:pPr>
      <w:r>
        <w:rPr>
          <w:noProof/>
        </w:rPr>
        <w:t xml:space="preserve">Съгласно </w:t>
      </w:r>
      <w:r>
        <w:rPr>
          <w:noProof/>
        </w:rPr>
        <w:t>Регламент № 58/2003 всяко делегиране на задачи на изпълнителна агенция трябва да бъде икономически изгодно и в съответствие с принципа на добро финансово управление. Както е посочено по-горе, в сравнение с използваните в одобрения бюджет за 2021 г. предвиж</w:t>
      </w:r>
      <w:r>
        <w:rPr>
          <w:noProof/>
        </w:rPr>
        <w:t>дания изпълнителните агенции ще трябва да управляват ефективно по-големи пакети от оперативни бюджетни кредити. Заедно с персонала за изпълнение на задачите, свързани с бюджетните кредити по NGEU, това предполага допълнителни 26 временни длъжности за служи</w:t>
      </w:r>
      <w:r>
        <w:rPr>
          <w:noProof/>
        </w:rPr>
        <w:t>тели и 79 длъжности за договорно наети лица, т.е. 105 еквиваленти на пълно работно време (ЕПРВ) в изпълнителните агенции през 2021 г.</w:t>
      </w:r>
    </w:p>
    <w:p w:rsidR="00343A61" w:rsidRDefault="00C85AE7">
      <w:pPr>
        <w:spacing w:before="120" w:after="120" w:line="240" w:lineRule="auto"/>
        <w:jc w:val="both"/>
        <w:rPr>
          <w:rFonts w:ascii="Times New Roman" w:eastAsia="Times New Roman" w:hAnsi="Times New Roman" w:cs="Times New Roman"/>
          <w:noProof/>
          <w:sz w:val="24"/>
          <w:szCs w:val="24"/>
        </w:rPr>
      </w:pPr>
      <w:bookmarkStart w:id="24" w:name="_Toc369629645"/>
      <w:r>
        <w:rPr>
          <w:rFonts w:ascii="Times New Roman" w:hAnsi="Times New Roman"/>
          <w:noProof/>
          <w:sz w:val="24"/>
          <w:szCs w:val="24"/>
        </w:rPr>
        <w:t>За да се гарантира бюджетна неутралност по отношение на административните разходи през периода 2021—2027 г. като цяло, в р</w:t>
      </w:r>
      <w:r>
        <w:rPr>
          <w:rFonts w:ascii="Times New Roman" w:hAnsi="Times New Roman"/>
          <w:noProof/>
          <w:sz w:val="24"/>
          <w:szCs w:val="24"/>
        </w:rPr>
        <w:t>езултат на делегирането на допълнителни задачи за управление на програмите, свързани с МФР за периода 2021—2027 г., Комисията ще намали човешките си ресурси, за да компенсира допълнителния персонал в изпълнителните агенции. По същия начин съответно ще бъда</w:t>
      </w:r>
      <w:r>
        <w:rPr>
          <w:rFonts w:ascii="Times New Roman" w:hAnsi="Times New Roman"/>
          <w:noProof/>
          <w:sz w:val="24"/>
          <w:szCs w:val="24"/>
        </w:rPr>
        <w:t>т намалени и разходите, свързани със „замразени“ длъжности в щатните разписания на Комисията, за да се вземат предвид командировките в изпълнителните агенции.</w:t>
      </w:r>
    </w:p>
    <w:p w:rsidR="00343A61" w:rsidRDefault="00C85AE7">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 таблицата по-долу е посочен начинът, по който Комисията предлага да се компенсират допълнителни</w:t>
      </w:r>
      <w:r>
        <w:rPr>
          <w:rFonts w:ascii="Times New Roman" w:hAnsi="Times New Roman"/>
          <w:noProof/>
          <w:sz w:val="24"/>
          <w:szCs w:val="24"/>
        </w:rPr>
        <w:t>те човешки ресурси в изпълнителните агенции за периода 2021—2027 г. като цяло и по-конкретно за 2021 г.:</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3"/>
        <w:gridCol w:w="1339"/>
        <w:gridCol w:w="1339"/>
      </w:tblGrid>
      <w:tr w:rsidR="00343A61">
        <w:trPr>
          <w:trHeight w:val="763"/>
          <w:jc w:val="center"/>
        </w:trPr>
        <w:tc>
          <w:tcPr>
            <w:tcW w:w="7093" w:type="dxa"/>
            <w:shd w:val="clear" w:color="auto" w:fill="D9D9D9"/>
            <w:vAlign w:val="center"/>
          </w:tcPr>
          <w:p w:rsidR="00343A61" w:rsidRDefault="00C85AE7">
            <w:pPr>
              <w:spacing w:before="30" w:after="30"/>
              <w:jc w:val="center"/>
              <w:rPr>
                <w:rFonts w:ascii="Times New Roman" w:eastAsia="Times New Roman" w:hAnsi="Times New Roman" w:cs="Times New Roman"/>
                <w:b/>
                <w:noProof/>
              </w:rPr>
            </w:pPr>
            <w:r>
              <w:rPr>
                <w:rFonts w:ascii="Times New Roman" w:hAnsi="Times New Roman"/>
                <w:b/>
                <w:noProof/>
              </w:rPr>
              <w:t>Компенсиране на увеличените човешки ресурси в изпълнителните агенции</w:t>
            </w:r>
          </w:p>
        </w:tc>
        <w:tc>
          <w:tcPr>
            <w:tcW w:w="1339" w:type="dxa"/>
            <w:shd w:val="clear" w:color="auto" w:fill="D9D9D9"/>
          </w:tcPr>
          <w:p w:rsidR="00343A61" w:rsidRDefault="00C85AE7">
            <w:pPr>
              <w:spacing w:before="30" w:after="30"/>
              <w:jc w:val="center"/>
              <w:rPr>
                <w:rFonts w:ascii="Times New Roman" w:eastAsia="Times New Roman" w:hAnsi="Times New Roman" w:cs="Times New Roman"/>
                <w:b/>
                <w:noProof/>
              </w:rPr>
            </w:pPr>
            <w:r>
              <w:rPr>
                <w:rFonts w:ascii="Times New Roman" w:hAnsi="Times New Roman"/>
                <w:b/>
                <w:noProof/>
              </w:rPr>
              <w:t xml:space="preserve">Човешки ресурси (ЕПРВ) </w:t>
            </w:r>
          </w:p>
          <w:p w:rsidR="00343A61" w:rsidRDefault="00C85AE7">
            <w:pPr>
              <w:spacing w:before="30" w:after="30"/>
              <w:jc w:val="center"/>
              <w:rPr>
                <w:rFonts w:ascii="Times New Roman" w:eastAsia="Times New Roman" w:hAnsi="Times New Roman" w:cs="Times New Roman"/>
                <w:b/>
                <w:noProof/>
              </w:rPr>
            </w:pPr>
            <w:r>
              <w:rPr>
                <w:rFonts w:ascii="Times New Roman" w:hAnsi="Times New Roman"/>
                <w:b/>
                <w:noProof/>
              </w:rPr>
              <w:t>2021 г.</w:t>
            </w:r>
          </w:p>
        </w:tc>
        <w:tc>
          <w:tcPr>
            <w:tcW w:w="1339" w:type="dxa"/>
            <w:shd w:val="clear" w:color="auto" w:fill="D9D9D9"/>
            <w:vAlign w:val="center"/>
          </w:tcPr>
          <w:p w:rsidR="00343A61" w:rsidRDefault="00C85AE7">
            <w:pPr>
              <w:spacing w:before="30" w:after="30"/>
              <w:jc w:val="center"/>
              <w:rPr>
                <w:rFonts w:ascii="Times New Roman" w:eastAsia="Times New Roman" w:hAnsi="Times New Roman" w:cs="Times New Roman"/>
                <w:b/>
                <w:noProof/>
              </w:rPr>
            </w:pPr>
            <w:r>
              <w:rPr>
                <w:rFonts w:ascii="Times New Roman" w:hAnsi="Times New Roman"/>
                <w:b/>
                <w:noProof/>
              </w:rPr>
              <w:t xml:space="preserve">Човешки ресурси (ЕПРВ) </w:t>
            </w:r>
          </w:p>
          <w:p w:rsidR="00343A61" w:rsidRDefault="00C85AE7">
            <w:pPr>
              <w:spacing w:before="30" w:after="30"/>
              <w:jc w:val="center"/>
              <w:rPr>
                <w:rFonts w:ascii="Times New Roman" w:eastAsia="Times New Roman" w:hAnsi="Times New Roman" w:cs="Times New Roman"/>
                <w:b/>
                <w:noProof/>
              </w:rPr>
            </w:pPr>
            <w:r>
              <w:rPr>
                <w:rFonts w:ascii="Times New Roman" w:hAnsi="Times New Roman"/>
                <w:b/>
                <w:noProof/>
              </w:rPr>
              <w:t>2021—2027 г.</w:t>
            </w:r>
          </w:p>
        </w:tc>
      </w:tr>
      <w:tr w:rsidR="00343A61">
        <w:trPr>
          <w:trHeight w:val="396"/>
          <w:jc w:val="center"/>
        </w:trPr>
        <w:tc>
          <w:tcPr>
            <w:tcW w:w="7093" w:type="dxa"/>
            <w:shd w:val="clear" w:color="auto" w:fill="auto"/>
            <w:vAlign w:val="center"/>
          </w:tcPr>
          <w:p w:rsidR="00343A61" w:rsidRDefault="00C85AE7">
            <w:pPr>
              <w:spacing w:before="30" w:after="30"/>
              <w:jc w:val="both"/>
              <w:rPr>
                <w:rFonts w:ascii="Times New Roman" w:eastAsia="Times New Roman" w:hAnsi="Times New Roman" w:cs="Times New Roman"/>
                <w:noProof/>
              </w:rPr>
            </w:pPr>
            <w:r>
              <w:rPr>
                <w:rFonts w:ascii="Times New Roman" w:hAnsi="Times New Roman"/>
                <w:noProof/>
              </w:rPr>
              <w:t xml:space="preserve">Увеличаване </w:t>
            </w:r>
            <w:r>
              <w:rPr>
                <w:rFonts w:ascii="Times New Roman" w:hAnsi="Times New Roman"/>
                <w:noProof/>
              </w:rPr>
              <w:t>на човешките ресурси на шест изпълнителни агенции вследствие на допълнителното делегиране в сравнение с одобреното ниво през 2020 г.</w:t>
            </w:r>
          </w:p>
        </w:tc>
        <w:tc>
          <w:tcPr>
            <w:tcW w:w="1339" w:type="dxa"/>
            <w:vAlign w:val="center"/>
          </w:tcPr>
          <w:p w:rsidR="00343A61" w:rsidRDefault="00C85AE7">
            <w:pPr>
              <w:spacing w:before="30" w:after="30"/>
              <w:jc w:val="center"/>
              <w:rPr>
                <w:rFonts w:ascii="Times New Roman" w:eastAsia="Times New Roman" w:hAnsi="Times New Roman" w:cs="Times New Roman"/>
                <w:noProof/>
              </w:rPr>
            </w:pPr>
            <w:r>
              <w:rPr>
                <w:rFonts w:ascii="Times New Roman" w:hAnsi="Times New Roman"/>
                <w:noProof/>
              </w:rPr>
              <w:t>+445</w:t>
            </w:r>
          </w:p>
        </w:tc>
        <w:tc>
          <w:tcPr>
            <w:tcW w:w="1339" w:type="dxa"/>
            <w:vAlign w:val="center"/>
          </w:tcPr>
          <w:p w:rsidR="00343A61" w:rsidRDefault="00C85AE7">
            <w:pPr>
              <w:spacing w:before="30" w:after="30"/>
              <w:jc w:val="center"/>
              <w:rPr>
                <w:rFonts w:ascii="Times New Roman" w:eastAsia="Times New Roman" w:hAnsi="Times New Roman" w:cs="Times New Roman"/>
                <w:noProof/>
              </w:rPr>
            </w:pPr>
            <w:r>
              <w:rPr>
                <w:rFonts w:ascii="Times New Roman" w:hAnsi="Times New Roman"/>
                <w:noProof/>
              </w:rPr>
              <w:t>+679</w:t>
            </w:r>
          </w:p>
        </w:tc>
      </w:tr>
      <w:tr w:rsidR="00343A61">
        <w:trPr>
          <w:trHeight w:val="388"/>
          <w:jc w:val="center"/>
        </w:trPr>
        <w:tc>
          <w:tcPr>
            <w:tcW w:w="7093" w:type="dxa"/>
            <w:shd w:val="clear" w:color="auto" w:fill="auto"/>
            <w:vAlign w:val="center"/>
          </w:tcPr>
          <w:p w:rsidR="00343A61" w:rsidRDefault="00C85AE7">
            <w:pPr>
              <w:spacing w:before="30" w:after="30"/>
              <w:jc w:val="both"/>
              <w:rPr>
                <w:rFonts w:ascii="Times New Roman" w:eastAsia="Times New Roman" w:hAnsi="Times New Roman" w:cs="Times New Roman"/>
                <w:noProof/>
              </w:rPr>
            </w:pPr>
            <w:r>
              <w:rPr>
                <w:rFonts w:ascii="Times New Roman" w:hAnsi="Times New Roman"/>
                <w:noProof/>
              </w:rPr>
              <w:t>Намаляване на човешките ресурси по функция 7 вследствие на делегиране на задачи, които понастоящем се управляват</w:t>
            </w:r>
            <w:r>
              <w:rPr>
                <w:rFonts w:ascii="Times New Roman" w:hAnsi="Times New Roman"/>
                <w:noProof/>
              </w:rPr>
              <w:t xml:space="preserve"> от Комисията</w:t>
            </w:r>
          </w:p>
        </w:tc>
        <w:tc>
          <w:tcPr>
            <w:tcW w:w="1339" w:type="dxa"/>
            <w:vAlign w:val="center"/>
          </w:tcPr>
          <w:p w:rsidR="00343A61" w:rsidRDefault="00C85AE7">
            <w:pPr>
              <w:spacing w:before="30" w:after="30"/>
              <w:jc w:val="center"/>
              <w:rPr>
                <w:rFonts w:ascii="Times New Roman" w:eastAsia="Times New Roman" w:hAnsi="Times New Roman" w:cs="Times New Roman"/>
                <w:noProof/>
              </w:rPr>
            </w:pPr>
            <w:r>
              <w:rPr>
                <w:rFonts w:ascii="Times New Roman" w:hAnsi="Times New Roman"/>
                <w:noProof/>
              </w:rPr>
              <w:t>-31</w:t>
            </w:r>
          </w:p>
        </w:tc>
        <w:tc>
          <w:tcPr>
            <w:tcW w:w="1339" w:type="dxa"/>
            <w:vAlign w:val="center"/>
          </w:tcPr>
          <w:p w:rsidR="00343A61" w:rsidRDefault="00C85AE7">
            <w:pPr>
              <w:spacing w:before="30" w:after="30"/>
              <w:jc w:val="center"/>
              <w:rPr>
                <w:rFonts w:ascii="Times New Roman" w:eastAsia="Times New Roman" w:hAnsi="Times New Roman" w:cs="Times New Roman"/>
                <w:noProof/>
              </w:rPr>
            </w:pPr>
            <w:r>
              <w:rPr>
                <w:rFonts w:ascii="Times New Roman" w:hAnsi="Times New Roman"/>
                <w:noProof/>
              </w:rPr>
              <w:t>-58</w:t>
            </w:r>
          </w:p>
        </w:tc>
      </w:tr>
      <w:tr w:rsidR="00343A61">
        <w:trPr>
          <w:trHeight w:val="388"/>
          <w:jc w:val="center"/>
        </w:trPr>
        <w:tc>
          <w:tcPr>
            <w:tcW w:w="7093" w:type="dxa"/>
            <w:shd w:val="clear" w:color="auto" w:fill="auto"/>
            <w:vAlign w:val="center"/>
          </w:tcPr>
          <w:p w:rsidR="00343A61" w:rsidRDefault="00C85AE7">
            <w:pPr>
              <w:spacing w:before="30" w:after="30"/>
              <w:jc w:val="both"/>
              <w:rPr>
                <w:rFonts w:ascii="Times New Roman" w:eastAsia="Times New Roman" w:hAnsi="Times New Roman" w:cs="Times New Roman"/>
                <w:noProof/>
              </w:rPr>
            </w:pPr>
            <w:r>
              <w:rPr>
                <w:rFonts w:ascii="Times New Roman" w:hAnsi="Times New Roman"/>
                <w:noProof/>
              </w:rPr>
              <w:t>Намаляване на човешките ресурси по други функции вследствие на делегиране на задачи, които понастоящем се управляват от Комисията</w:t>
            </w:r>
          </w:p>
        </w:tc>
        <w:tc>
          <w:tcPr>
            <w:tcW w:w="1339" w:type="dxa"/>
            <w:shd w:val="clear" w:color="auto" w:fill="auto"/>
            <w:vAlign w:val="center"/>
          </w:tcPr>
          <w:p w:rsidR="00343A61" w:rsidRDefault="00C85AE7">
            <w:pPr>
              <w:spacing w:before="30" w:after="30"/>
              <w:jc w:val="center"/>
              <w:rPr>
                <w:rFonts w:ascii="Times New Roman" w:eastAsia="Times New Roman" w:hAnsi="Times New Roman" w:cs="Times New Roman"/>
                <w:noProof/>
              </w:rPr>
            </w:pPr>
            <w:r>
              <w:rPr>
                <w:rFonts w:ascii="Times New Roman" w:hAnsi="Times New Roman"/>
                <w:noProof/>
              </w:rPr>
              <w:t>-139</w:t>
            </w:r>
          </w:p>
        </w:tc>
        <w:tc>
          <w:tcPr>
            <w:tcW w:w="1339" w:type="dxa"/>
            <w:vAlign w:val="center"/>
          </w:tcPr>
          <w:p w:rsidR="00343A61" w:rsidRDefault="00C85AE7">
            <w:pPr>
              <w:spacing w:before="30" w:after="30"/>
              <w:jc w:val="center"/>
              <w:rPr>
                <w:rFonts w:ascii="Times New Roman" w:eastAsia="Times New Roman" w:hAnsi="Times New Roman" w:cs="Times New Roman"/>
                <w:noProof/>
              </w:rPr>
            </w:pPr>
            <w:r>
              <w:rPr>
                <w:rFonts w:ascii="Times New Roman" w:hAnsi="Times New Roman"/>
                <w:noProof/>
              </w:rPr>
              <w:t>-368</w:t>
            </w:r>
          </w:p>
        </w:tc>
      </w:tr>
    </w:tbl>
    <w:bookmarkEnd w:id="24"/>
    <w:p w:rsidR="00343A61" w:rsidRDefault="00C85AE7">
      <w:pPr>
        <w:pStyle w:val="Text1"/>
        <w:ind w:left="0"/>
        <w:rPr>
          <w:noProof/>
        </w:rPr>
      </w:pPr>
      <w:r>
        <w:rPr>
          <w:noProof/>
        </w:rPr>
        <w:t xml:space="preserve">През 2021 г. Комисията ще вземе предвид въздействието на делегирането на задачи на </w:t>
      </w:r>
      <w:r>
        <w:rPr>
          <w:noProof/>
        </w:rPr>
        <w:t>изпълнителните агенции, както следва:</w:t>
      </w:r>
    </w:p>
    <w:p w:rsidR="00343A61" w:rsidRDefault="00C85AE7">
      <w:pPr>
        <w:pStyle w:val="Text1"/>
        <w:numPr>
          <w:ilvl w:val="0"/>
          <w:numId w:val="17"/>
        </w:numPr>
        <w:rPr>
          <w:noProof/>
        </w:rPr>
      </w:pPr>
      <w:r>
        <w:rPr>
          <w:noProof/>
        </w:rPr>
        <w:t>Функция 7 — Европейска публична администрация:</w:t>
      </w:r>
    </w:p>
    <w:p w:rsidR="00343A61" w:rsidRDefault="00C85AE7">
      <w:pPr>
        <w:pStyle w:val="Text1"/>
        <w:numPr>
          <w:ilvl w:val="0"/>
          <w:numId w:val="15"/>
        </w:numPr>
        <w:rPr>
          <w:noProof/>
        </w:rPr>
      </w:pPr>
      <w:r>
        <w:rPr>
          <w:noProof/>
        </w:rPr>
        <w:t>20 длъжности ще бъдат компенсирани от щатното разписание на Комисията чрез замразяване на 16 длъжности, за да се осигури възможност за допълнителни командировки от Комисия</w:t>
      </w:r>
      <w:r>
        <w:rPr>
          <w:noProof/>
        </w:rPr>
        <w:t>та в изпълнителните агенции, както и чрез съкращаване на четири длъжности. Освен това числеността на външния персонал, получаващ плащания по линия на общия финансов пакет, ще бъде намалена с 11 договорно наети лица.</w:t>
      </w:r>
    </w:p>
    <w:p w:rsidR="00343A61" w:rsidRDefault="00C85AE7">
      <w:pPr>
        <w:pStyle w:val="Text1"/>
        <w:numPr>
          <w:ilvl w:val="0"/>
          <w:numId w:val="15"/>
        </w:numPr>
        <w:rPr>
          <w:noProof/>
        </w:rPr>
      </w:pPr>
      <w:r>
        <w:rPr>
          <w:noProof/>
        </w:rPr>
        <w:t>В бюджета за 2021 г. за заплати за дейст</w:t>
      </w:r>
      <w:r>
        <w:rPr>
          <w:noProof/>
        </w:rPr>
        <w:t>ващото щатно разписание вече е отразено въздействието на пакета за делегиране, тъй като съответното намаляване вече е включено в писмо за внасяне на корекции 1/2021. Съответните административни бюджетни кредити от общия финансов пакет сега ще бъдат намален</w:t>
      </w:r>
      <w:r>
        <w:rPr>
          <w:noProof/>
        </w:rPr>
        <w:t>и с 0,45 млн. евро.</w:t>
      </w:r>
    </w:p>
    <w:p w:rsidR="00343A61" w:rsidRDefault="00C85AE7">
      <w:pPr>
        <w:pStyle w:val="Text1"/>
        <w:numPr>
          <w:ilvl w:val="0"/>
          <w:numId w:val="17"/>
        </w:numPr>
        <w:rPr>
          <w:noProof/>
        </w:rPr>
      </w:pPr>
      <w:r>
        <w:rPr>
          <w:noProof/>
        </w:rPr>
        <w:t xml:space="preserve">Непреки научни изследвания: </w:t>
      </w:r>
    </w:p>
    <w:p w:rsidR="00343A61" w:rsidRDefault="00C85AE7">
      <w:pPr>
        <w:pStyle w:val="Text1"/>
        <w:numPr>
          <w:ilvl w:val="0"/>
          <w:numId w:val="15"/>
        </w:numPr>
        <w:rPr>
          <w:noProof/>
        </w:rPr>
      </w:pPr>
      <w:r>
        <w:rPr>
          <w:noProof/>
        </w:rPr>
        <w:t>72 длъжности ще бъдат компенсирани от щатното разписание за непреки научни изследвания на Комисията чрез замразяване на 48 длъжности, за да се осигури възможност за допълнителни командировки от Комисията в и</w:t>
      </w:r>
      <w:r>
        <w:rPr>
          <w:noProof/>
        </w:rPr>
        <w:t>зпълнителните агенции, както и чрез съкращаване на 24 длъжности. Освен това числеността на външния персонал, получаващ плащания по линия на непреките научни изследвания, ще бъде намалена с 57 договорно наети лица. Във връзка с предишния пакет за делегиране</w:t>
      </w:r>
      <w:r>
        <w:rPr>
          <w:noProof/>
        </w:rPr>
        <w:t xml:space="preserve"> също така ще бъдат освободени две замразени длъжности в областта на научните изследвания и следователно ще бъдат съкратени от щатното разписание.</w:t>
      </w:r>
    </w:p>
    <w:p w:rsidR="00343A61" w:rsidRDefault="00C85AE7">
      <w:pPr>
        <w:pStyle w:val="Text1"/>
        <w:numPr>
          <w:ilvl w:val="0"/>
          <w:numId w:val="15"/>
        </w:numPr>
        <w:rPr>
          <w:noProof/>
        </w:rPr>
      </w:pPr>
      <w:r>
        <w:rPr>
          <w:noProof/>
        </w:rPr>
        <w:t>Съответните бюджетни кредити, предназначени за заплатите на тези длъжностни лица и външен персонал по съответ</w:t>
      </w:r>
      <w:r>
        <w:rPr>
          <w:noProof/>
        </w:rPr>
        <w:t>ните бюджетни редове за непреки научни изследвания, ще бъдат намалени съответно с 6,9 млн. евро и с 2,4 млн. евро посредством автономни трансфери на Комисията.</w:t>
      </w:r>
    </w:p>
    <w:p w:rsidR="00343A61" w:rsidRDefault="00C85AE7">
      <w:pPr>
        <w:pStyle w:val="Text1"/>
        <w:numPr>
          <w:ilvl w:val="0"/>
          <w:numId w:val="17"/>
        </w:numPr>
        <w:rPr>
          <w:noProof/>
        </w:rPr>
      </w:pPr>
      <w:r>
        <w:rPr>
          <w:noProof/>
        </w:rPr>
        <w:t xml:space="preserve">Преки научни изследвания: </w:t>
      </w:r>
    </w:p>
    <w:p w:rsidR="00343A61" w:rsidRDefault="00C85AE7">
      <w:pPr>
        <w:pStyle w:val="Text1"/>
        <w:numPr>
          <w:ilvl w:val="0"/>
          <w:numId w:val="15"/>
        </w:numPr>
        <w:rPr>
          <w:noProof/>
        </w:rPr>
      </w:pPr>
      <w:r>
        <w:rPr>
          <w:noProof/>
        </w:rPr>
        <w:t>10 длъжности ще бъдат съкратени от щатното разписание за преки научни</w:t>
      </w:r>
      <w:r>
        <w:rPr>
          <w:noProof/>
        </w:rPr>
        <w:t xml:space="preserve"> изследвания на Комисията, по отношение на които необходимото компенсиране за пакета за делегиране ще бъде приключено през 2022 г.</w:t>
      </w:r>
    </w:p>
    <w:p w:rsidR="00343A61" w:rsidRDefault="00C85AE7">
      <w:pPr>
        <w:pStyle w:val="Text1"/>
        <w:ind w:left="0"/>
        <w:rPr>
          <w:noProof/>
        </w:rPr>
      </w:pPr>
      <w:r>
        <w:rPr>
          <w:noProof/>
        </w:rPr>
        <w:t>Изменените щатни разписания са посочени в бюджетното приложение.</w:t>
      </w:r>
    </w:p>
    <w:p w:rsidR="00343A61" w:rsidRDefault="00C85AE7">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tab/>
      </w:r>
      <w:bookmarkStart w:id="25" w:name="_Toc68801887"/>
      <w:r>
        <w:rPr>
          <w:rFonts w:ascii="Times New Roman" w:hAnsi="Times New Roman"/>
          <w:b/>
          <w:smallCaps/>
          <w:noProof/>
          <w:sz w:val="24"/>
          <w:szCs w:val="24"/>
        </w:rPr>
        <w:t>Съвместни предприятия</w:t>
      </w:r>
      <w:bookmarkEnd w:id="25"/>
    </w:p>
    <w:p w:rsidR="00343A61" w:rsidRDefault="00C85AE7">
      <w:pPr>
        <w:pStyle w:val="Text1"/>
        <w:spacing w:before="240"/>
        <w:ind w:left="0"/>
        <w:rPr>
          <w:noProof/>
        </w:rPr>
      </w:pPr>
      <w:r>
        <w:rPr>
          <w:noProof/>
        </w:rPr>
        <w:t xml:space="preserve">В допълнение към предложението на </w:t>
      </w:r>
      <w:r>
        <w:rPr>
          <w:noProof/>
        </w:rPr>
        <w:t>Комисията от 23 февруари 2021 г. за създаване на новото поколение съвместни предприятия в рамките на „Хоризонт Европа“</w:t>
      </w:r>
      <w:r>
        <w:rPr>
          <w:rStyle w:val="FootnoteReference"/>
          <w:noProof/>
        </w:rPr>
        <w:footnoteReference w:id="20"/>
      </w:r>
      <w:r>
        <w:rPr>
          <w:noProof/>
        </w:rPr>
        <w:t xml:space="preserve"> се предлага да бъдат създадени съответните бюджетни редове в съответните клъстери от стълб II от „Хоризонт Европа“ (т.е. бюджетна позици</w:t>
      </w:r>
      <w:r>
        <w:rPr>
          <w:noProof/>
        </w:rPr>
        <w:t xml:space="preserve">я 01 02 02 XX), както следва: </w:t>
      </w:r>
    </w:p>
    <w:p w:rsidR="00343A61" w:rsidRDefault="00C85AE7">
      <w:pPr>
        <w:pStyle w:val="Text1"/>
        <w:numPr>
          <w:ilvl w:val="1"/>
          <w:numId w:val="4"/>
        </w:numPr>
        <w:rPr>
          <w:noProof/>
        </w:rPr>
      </w:pPr>
      <w:r>
        <w:rPr>
          <w:noProof/>
        </w:rPr>
        <w:t>по клъстер 1 „Здравеопазване“ ще се финансират съвместното предприятие „Инициатива за иновативно здравеопазване“ и съвместното предприятие „Глобално здравеопазване EDCTP3“ (за третата програма за партньорство за клинични изпи</w:t>
      </w:r>
      <w:r>
        <w:rPr>
          <w:noProof/>
        </w:rPr>
        <w:t>твания между европейските и развиващите се страни);</w:t>
      </w:r>
    </w:p>
    <w:p w:rsidR="00343A61" w:rsidRDefault="00C85AE7">
      <w:pPr>
        <w:pStyle w:val="Text1"/>
        <w:numPr>
          <w:ilvl w:val="1"/>
          <w:numId w:val="4"/>
        </w:numPr>
        <w:rPr>
          <w:noProof/>
        </w:rPr>
      </w:pPr>
      <w:r>
        <w:rPr>
          <w:noProof/>
        </w:rPr>
        <w:t>по клъстер 4 „Цифрова сфера, промишленост и космическо пространство“ ще се финансират съвместното предприятие „Ключови цифрови технологии“ и съвместното предприятие „Интелигентни мрежи и услуги“. Това е в</w:t>
      </w:r>
      <w:r>
        <w:rPr>
          <w:noProof/>
        </w:rPr>
        <w:t xml:space="preserve"> допълнение към Съвместното предприятие за високопроизводителни изчислителни технологии (EuroHPC), за което вече съществува бюджетен ред;</w:t>
      </w:r>
    </w:p>
    <w:p w:rsidR="00343A61" w:rsidRDefault="00C85AE7">
      <w:pPr>
        <w:pStyle w:val="Text1"/>
        <w:numPr>
          <w:ilvl w:val="1"/>
          <w:numId w:val="4"/>
        </w:numPr>
        <w:rPr>
          <w:noProof/>
        </w:rPr>
      </w:pPr>
      <w:r>
        <w:rPr>
          <w:noProof/>
        </w:rPr>
        <w:t>по клъстер 5 „Климат, енергия и мобилност“ ще се финансират съвместното предприятие „Изследване на УВД в единното евро</w:t>
      </w:r>
      <w:r>
        <w:rPr>
          <w:noProof/>
        </w:rPr>
        <w:t>пейско небе 3“, съвместното предприятие „Чисто въздухоплаване“, съвместното предприятие „Европейски железопътен транспорт“ и съвместното предприятие „Чист водород“; и</w:t>
      </w:r>
    </w:p>
    <w:p w:rsidR="00343A61" w:rsidRDefault="00C85AE7">
      <w:pPr>
        <w:pStyle w:val="Text1"/>
        <w:numPr>
          <w:ilvl w:val="1"/>
          <w:numId w:val="4"/>
        </w:numPr>
        <w:rPr>
          <w:noProof/>
        </w:rPr>
      </w:pPr>
      <w:r>
        <w:rPr>
          <w:noProof/>
        </w:rPr>
        <w:t>по клъстер 6 „Храни, биоикономика, природни ресурси, селско стопанство и околна среда“ ще</w:t>
      </w:r>
      <w:r>
        <w:rPr>
          <w:noProof/>
        </w:rPr>
        <w:t xml:space="preserve"> се финансира съвместното предприятие „Кръгова биотехнологична Европа“.</w:t>
      </w:r>
    </w:p>
    <w:p w:rsidR="00343A61" w:rsidRDefault="00C85AE7">
      <w:pPr>
        <w:pStyle w:val="Text1"/>
        <w:ind w:left="0"/>
        <w:rPr>
          <w:noProof/>
        </w:rPr>
      </w:pPr>
      <w:r>
        <w:rPr>
          <w:noProof/>
        </w:rPr>
        <w:t>Съответните бюджетни редове са посочени в бюджетното приложение. Бюджетните кредити, съответстващи на финансовия принос на Съюза за тези нови органи за 2021 г., ще останат в бюджетните</w:t>
      </w:r>
      <w:r>
        <w:rPr>
          <w:noProof/>
        </w:rPr>
        <w:t xml:space="preserve"> редове за съответните клъстери и ще бъдат прехвърлени автономно веднага след приемането от Съвета на предложението за създаването на съвместните предприятия. </w:t>
      </w:r>
    </w:p>
    <w:p w:rsidR="00343A61" w:rsidRDefault="00C85AE7">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rPr>
      </w:pPr>
      <w:bookmarkStart w:id="26" w:name="_Toc68801888"/>
      <w:r>
        <w:rPr>
          <w:rFonts w:ascii="Times New Roman" w:hAnsi="Times New Roman"/>
          <w:b/>
          <w:smallCaps/>
          <w:noProof/>
          <w:sz w:val="24"/>
          <w:szCs w:val="24"/>
        </w:rPr>
        <w:t>REACT-EU</w:t>
      </w:r>
      <w:bookmarkEnd w:id="26"/>
    </w:p>
    <w:p w:rsidR="00343A61" w:rsidRDefault="00C85AE7">
      <w:pPr>
        <w:pStyle w:val="Text1"/>
        <w:ind w:left="0"/>
        <w:rPr>
          <w:noProof/>
        </w:rPr>
      </w:pPr>
      <w:r>
        <w:rPr>
          <w:noProof/>
        </w:rPr>
        <w:t>Вследствие на приемането на Регламента за REACT-EU на 23 декември 2020 г.</w:t>
      </w:r>
      <w:r>
        <w:rPr>
          <w:rStyle w:val="FootnoteReference"/>
          <w:noProof/>
        </w:rPr>
        <w:footnoteReference w:id="21"/>
      </w:r>
      <w:r>
        <w:rPr>
          <w:noProof/>
        </w:rPr>
        <w:t xml:space="preserve"> се предлага </w:t>
      </w:r>
      <w:r>
        <w:rPr>
          <w:noProof/>
        </w:rPr>
        <w:t>да бъдат създадени следните две нови бюджетни позиции, свързани с NextGenerationEU:</w:t>
      </w:r>
    </w:p>
    <w:p w:rsidR="00343A61" w:rsidRDefault="00C85AE7">
      <w:pPr>
        <w:pStyle w:val="Text1"/>
        <w:numPr>
          <w:ilvl w:val="0"/>
          <w:numId w:val="4"/>
        </w:numPr>
        <w:rPr>
          <w:noProof/>
        </w:rPr>
      </w:pPr>
      <w:r>
        <w:rPr>
          <w:noProof/>
        </w:rPr>
        <w:t>Нова бюджетна позиция 07 02 07 01 — ИМЗ — Оперативни разходи — Финансиране по REACT-EU</w:t>
      </w:r>
    </w:p>
    <w:p w:rsidR="00343A61" w:rsidRDefault="00C85AE7">
      <w:pPr>
        <w:pStyle w:val="Text1"/>
        <w:numPr>
          <w:ilvl w:val="0"/>
          <w:numId w:val="4"/>
        </w:numPr>
        <w:rPr>
          <w:noProof/>
        </w:rPr>
      </w:pPr>
      <w:r>
        <w:rPr>
          <w:noProof/>
        </w:rPr>
        <w:t>Нова бюджетна позиция 05 02 05 03 — ЕТС — Оперативни разходи — Финансиране по REACT–E</w:t>
      </w:r>
      <w:r>
        <w:rPr>
          <w:noProof/>
        </w:rPr>
        <w:t>U</w:t>
      </w:r>
    </w:p>
    <w:p w:rsidR="00343A61" w:rsidRDefault="00C85AE7">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rPr>
      </w:pPr>
      <w:bookmarkStart w:id="27" w:name="_Toc68801889"/>
      <w:r>
        <w:rPr>
          <w:rFonts w:ascii="Times New Roman" w:hAnsi="Times New Roman"/>
          <w:b/>
          <w:smallCaps/>
          <w:noProof/>
          <w:sz w:val="24"/>
          <w:szCs w:val="24"/>
        </w:rPr>
        <w:t>Изтегляне напред във времето на провизирането на ЕФУР+</w:t>
      </w:r>
      <w:bookmarkEnd w:id="27"/>
      <w:r>
        <w:rPr>
          <w:rFonts w:ascii="Times New Roman" w:hAnsi="Times New Roman"/>
          <w:b/>
          <w:smallCaps/>
          <w:noProof/>
          <w:sz w:val="24"/>
          <w:szCs w:val="24"/>
        </w:rPr>
        <w:t xml:space="preserve"> </w:t>
      </w:r>
    </w:p>
    <w:p w:rsidR="00343A61" w:rsidRDefault="00C85AE7">
      <w:pPr>
        <w:pStyle w:val="Text1"/>
        <w:ind w:left="0"/>
        <w:rPr>
          <w:noProof/>
        </w:rPr>
      </w:pPr>
      <w:r>
        <w:rPr>
          <w:noProof/>
        </w:rPr>
        <w:t>Вследствие на закъсненията в приемането на правното основание за Инструмента за съседство, сътрудничество за развитие и международно сътрудничество (ИССРМС) и произтичащата от това необходимост да с</w:t>
      </w:r>
      <w:r>
        <w:rPr>
          <w:noProof/>
        </w:rPr>
        <w:t>е приключат програмните и проектните цикли Комисията предлага увеличаване, в сравнение с одобрения бюджет за 2021 г., на провизирането на ЕФУР+ по бюджетна позиция 14 02 01 70 „ИССРМС — обезпечаване на общия фонд „Провизии“ със 700 млн. евро бюджетни креди</w:t>
      </w:r>
      <w:r>
        <w:rPr>
          <w:noProof/>
        </w:rPr>
        <w:t>ти за поети задължения и съответно намаляване на средствата по географските бюджетни редове за Африка, Азия и Северна и Южна Америка, които допринасят за ЕФУР+. Нивото на бюджетните кредити за плащания остава непроменено. Тази корекция ще позволи в географ</w:t>
      </w:r>
      <w:r>
        <w:rPr>
          <w:noProof/>
        </w:rPr>
        <w:t>ските бюджетни редове за Африка, Азия, Северна и Южна Америка и Карибския басейн:</w:t>
      </w:r>
    </w:p>
    <w:p w:rsidR="00343A61" w:rsidRDefault="00C85AE7">
      <w:pPr>
        <w:pStyle w:val="ListParagraph"/>
        <w:numPr>
          <w:ilvl w:val="0"/>
          <w:numId w:val="4"/>
        </w:numPr>
        <w:jc w:val="both"/>
        <w:rPr>
          <w:noProof/>
        </w:rPr>
      </w:pPr>
      <w:r>
        <w:rPr>
          <w:rFonts w:ascii="Times New Roman" w:hAnsi="Times New Roman"/>
          <w:noProof/>
          <w:sz w:val="24"/>
          <w:szCs w:val="24"/>
        </w:rPr>
        <w:t>да се намали нивото на бюджетните кредити за поети задължения през първите години на МФР и съответно да се увеличи през по-късните години, като по този начин бюджетните креди</w:t>
      </w:r>
      <w:r>
        <w:rPr>
          <w:rFonts w:ascii="Times New Roman" w:hAnsi="Times New Roman"/>
          <w:noProof/>
          <w:sz w:val="24"/>
          <w:szCs w:val="24"/>
        </w:rPr>
        <w:t>ти се синхронизират по-добре с програмния и проектния цикъл, който ще бъде изпълнен след влизането в сила на правното основание за ИССРМС;</w:t>
      </w:r>
    </w:p>
    <w:p w:rsidR="00343A61" w:rsidRDefault="00C85AE7">
      <w:pPr>
        <w:pStyle w:val="ListParagraph"/>
        <w:numPr>
          <w:ilvl w:val="0"/>
          <w:numId w:val="4"/>
        </w:numPr>
        <w:jc w:val="both"/>
        <w:rPr>
          <w:noProof/>
        </w:rPr>
      </w:pPr>
      <w:r>
        <w:rPr>
          <w:rFonts w:ascii="Times New Roman" w:hAnsi="Times New Roman"/>
          <w:noProof/>
          <w:sz w:val="24"/>
          <w:szCs w:val="24"/>
        </w:rPr>
        <w:t>да се осигури стабилно ниво на бюджетните кредити за поети задължения по горепосочените географски бюджетни редове пр</w:t>
      </w:r>
      <w:r>
        <w:rPr>
          <w:rFonts w:ascii="Times New Roman" w:hAnsi="Times New Roman"/>
          <w:noProof/>
          <w:sz w:val="24"/>
          <w:szCs w:val="24"/>
        </w:rPr>
        <w:t>ез различните години, както беше при предишната МФР и Европейския фонд за развитие (ЕФР).</w:t>
      </w:r>
    </w:p>
    <w:p w:rsidR="00343A61" w:rsidRDefault="00C85AE7">
      <w:pPr>
        <w:pStyle w:val="Text1"/>
        <w:ind w:left="0"/>
        <w:rPr>
          <w:noProof/>
        </w:rPr>
      </w:pPr>
      <w:r>
        <w:rPr>
          <w:noProof/>
        </w:rPr>
        <w:t>В сравнение с одобрения бюджет за 2021 г. въздействието върху бюджетните кредити за поети задължения е следното:</w:t>
      </w:r>
    </w:p>
    <w:p w:rsidR="00343A61" w:rsidRDefault="00C85AE7">
      <w:pPr>
        <w:pStyle w:val="Text1"/>
        <w:ind w:left="0"/>
        <w:jc w:val="right"/>
        <w:rPr>
          <w:i/>
          <w:noProof/>
        </w:rPr>
      </w:pPr>
      <w:r>
        <w:rPr>
          <w:i/>
          <w:noProof/>
        </w:rPr>
        <w:t>Суми в EUR</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946"/>
        <w:gridCol w:w="1843"/>
      </w:tblGrid>
      <w:tr w:rsidR="00343A61">
        <w:tc>
          <w:tcPr>
            <w:tcW w:w="1276" w:type="dxa"/>
            <w:tcBorders>
              <w:top w:val="single" w:sz="4" w:space="0" w:color="auto"/>
            </w:tcBorders>
            <w:shd w:val="clear" w:color="auto" w:fill="D9D9D9"/>
            <w:vAlign w:val="center"/>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Бюджетен ред</w:t>
            </w:r>
          </w:p>
        </w:tc>
        <w:tc>
          <w:tcPr>
            <w:tcW w:w="6946" w:type="dxa"/>
            <w:tcBorders>
              <w:top w:val="single" w:sz="4" w:space="0" w:color="auto"/>
            </w:tcBorders>
            <w:shd w:val="clear" w:color="auto" w:fill="D9D9D9"/>
            <w:vAlign w:val="center"/>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Наименование</w:t>
            </w:r>
          </w:p>
        </w:tc>
        <w:tc>
          <w:tcPr>
            <w:tcW w:w="1843" w:type="dxa"/>
            <w:tcBorders>
              <w:top w:val="single" w:sz="4" w:space="0" w:color="auto"/>
            </w:tcBorders>
            <w:shd w:val="clear" w:color="auto" w:fill="D9D9D9"/>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Бюджетни кредити</w:t>
            </w:r>
            <w:r>
              <w:rPr>
                <w:rFonts w:ascii="Times New Roman" w:hAnsi="Times New Roman"/>
                <w:b/>
                <w:noProof/>
              </w:rPr>
              <w:t xml:space="preserve"> за поети задължения</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14 02 01 70</w:t>
            </w:r>
          </w:p>
        </w:tc>
        <w:tc>
          <w:tcPr>
            <w:tcW w:w="694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ИССРМС — обезпечаване на общия фонд „Провизии“</w:t>
            </w:r>
          </w:p>
        </w:tc>
        <w:tc>
          <w:tcPr>
            <w:tcW w:w="1843" w:type="dxa"/>
          </w:tcPr>
          <w:p w:rsidR="00343A61" w:rsidRDefault="00C85AE7">
            <w:pPr>
              <w:widowControl w:val="0"/>
              <w:spacing w:before="15" w:after="15"/>
              <w:jc w:val="right"/>
              <w:rPr>
                <w:rFonts w:ascii="Times New Roman" w:hAnsi="Times New Roman" w:cs="Times New Roman"/>
                <w:noProof/>
              </w:rPr>
            </w:pPr>
            <w:r>
              <w:rPr>
                <w:rFonts w:ascii="Times New Roman" w:hAnsi="Times New Roman"/>
                <w:noProof/>
              </w:rPr>
              <w:t>700 000 000</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14 02 01 20</w:t>
            </w:r>
          </w:p>
        </w:tc>
        <w:tc>
          <w:tcPr>
            <w:tcW w:w="694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Западна Африка</w:t>
            </w:r>
          </w:p>
        </w:tc>
        <w:tc>
          <w:tcPr>
            <w:tcW w:w="1843" w:type="dxa"/>
          </w:tcPr>
          <w:p w:rsidR="00343A61" w:rsidRDefault="00C85AE7">
            <w:pPr>
              <w:widowControl w:val="0"/>
              <w:spacing w:before="15" w:after="15"/>
              <w:jc w:val="right"/>
              <w:rPr>
                <w:rFonts w:ascii="Times New Roman" w:hAnsi="Times New Roman" w:cs="Times New Roman"/>
                <w:noProof/>
              </w:rPr>
            </w:pPr>
            <w:r>
              <w:rPr>
                <w:rFonts w:ascii="Times New Roman" w:hAnsi="Times New Roman"/>
                <w:noProof/>
              </w:rPr>
              <w:t>-206 429 300</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14 02 01 21</w:t>
            </w:r>
          </w:p>
        </w:tc>
        <w:tc>
          <w:tcPr>
            <w:tcW w:w="694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Източна и Централна Африка</w:t>
            </w:r>
          </w:p>
        </w:tc>
        <w:tc>
          <w:tcPr>
            <w:tcW w:w="1843" w:type="dxa"/>
          </w:tcPr>
          <w:p w:rsidR="00343A61" w:rsidRDefault="00C85AE7">
            <w:pPr>
              <w:widowControl w:val="0"/>
              <w:spacing w:before="15" w:after="15"/>
              <w:jc w:val="right"/>
              <w:rPr>
                <w:rFonts w:ascii="Times New Roman" w:hAnsi="Times New Roman" w:cs="Times New Roman"/>
                <w:noProof/>
              </w:rPr>
            </w:pPr>
            <w:r>
              <w:rPr>
                <w:rFonts w:ascii="Times New Roman" w:hAnsi="Times New Roman"/>
                <w:noProof/>
              </w:rPr>
              <w:t>-149 226 000</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14 02 01 22</w:t>
            </w:r>
          </w:p>
        </w:tc>
        <w:tc>
          <w:tcPr>
            <w:tcW w:w="694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Южната част на африканския континент и Индийският океан</w:t>
            </w:r>
          </w:p>
        </w:tc>
        <w:tc>
          <w:tcPr>
            <w:tcW w:w="1843" w:type="dxa"/>
          </w:tcPr>
          <w:p w:rsidR="00343A61" w:rsidRDefault="00C85AE7">
            <w:pPr>
              <w:widowControl w:val="0"/>
              <w:spacing w:before="15" w:after="15"/>
              <w:jc w:val="right"/>
              <w:rPr>
                <w:rFonts w:ascii="Times New Roman" w:hAnsi="Times New Roman" w:cs="Times New Roman"/>
                <w:noProof/>
              </w:rPr>
            </w:pPr>
            <w:r>
              <w:rPr>
                <w:rFonts w:ascii="Times New Roman" w:hAnsi="Times New Roman"/>
                <w:noProof/>
              </w:rPr>
              <w:t>-141 764 700</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14 02 01 30</w:t>
            </w:r>
          </w:p>
        </w:tc>
        <w:tc>
          <w:tcPr>
            <w:tcW w:w="694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Близкият изток и Централна Азия</w:t>
            </w:r>
          </w:p>
        </w:tc>
        <w:tc>
          <w:tcPr>
            <w:tcW w:w="1843" w:type="dxa"/>
          </w:tcPr>
          <w:p w:rsidR="00343A61" w:rsidRDefault="00C85AE7">
            <w:pPr>
              <w:widowControl w:val="0"/>
              <w:spacing w:before="15" w:after="15"/>
              <w:jc w:val="right"/>
              <w:rPr>
                <w:rFonts w:ascii="Times New Roman" w:hAnsi="Times New Roman" w:cs="Times New Roman"/>
                <w:noProof/>
              </w:rPr>
            </w:pPr>
            <w:r>
              <w:rPr>
                <w:rFonts w:ascii="Times New Roman" w:hAnsi="Times New Roman"/>
                <w:noProof/>
              </w:rPr>
              <w:t>-60 046 350</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14 02 01 31</w:t>
            </w:r>
          </w:p>
        </w:tc>
        <w:tc>
          <w:tcPr>
            <w:tcW w:w="694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Южна и Източна Азия</w:t>
            </w:r>
          </w:p>
        </w:tc>
        <w:tc>
          <w:tcPr>
            <w:tcW w:w="1843" w:type="dxa"/>
          </w:tcPr>
          <w:p w:rsidR="00343A61" w:rsidRDefault="00C85AE7">
            <w:pPr>
              <w:widowControl w:val="0"/>
              <w:spacing w:before="15" w:after="15"/>
              <w:jc w:val="right"/>
              <w:rPr>
                <w:rFonts w:ascii="Times New Roman" w:hAnsi="Times New Roman" w:cs="Times New Roman"/>
                <w:noProof/>
              </w:rPr>
            </w:pPr>
            <w:r>
              <w:rPr>
                <w:rFonts w:ascii="Times New Roman" w:hAnsi="Times New Roman"/>
                <w:noProof/>
              </w:rPr>
              <w:t>-69 595 890</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14 02 01 32</w:t>
            </w:r>
          </w:p>
        </w:tc>
        <w:tc>
          <w:tcPr>
            <w:tcW w:w="694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Тихоокеанският басейн</w:t>
            </w:r>
          </w:p>
        </w:tc>
        <w:tc>
          <w:tcPr>
            <w:tcW w:w="1843" w:type="dxa"/>
          </w:tcPr>
          <w:p w:rsidR="00343A61" w:rsidRDefault="00C85AE7">
            <w:pPr>
              <w:widowControl w:val="0"/>
              <w:spacing w:before="15" w:after="15"/>
              <w:jc w:val="right"/>
              <w:rPr>
                <w:rFonts w:ascii="Times New Roman" w:hAnsi="Times New Roman" w:cs="Times New Roman"/>
                <w:noProof/>
              </w:rPr>
            </w:pPr>
            <w:r>
              <w:rPr>
                <w:rFonts w:ascii="Times New Roman" w:hAnsi="Times New Roman"/>
                <w:noProof/>
              </w:rPr>
              <w:t>-15 047 760</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14 02 01 40</w:t>
            </w:r>
          </w:p>
        </w:tc>
        <w:tc>
          <w:tcPr>
            <w:tcW w:w="694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Северна и Южна Америка</w:t>
            </w:r>
          </w:p>
        </w:tc>
        <w:tc>
          <w:tcPr>
            <w:tcW w:w="1843" w:type="dxa"/>
          </w:tcPr>
          <w:p w:rsidR="00343A61" w:rsidRDefault="00C85AE7">
            <w:pPr>
              <w:widowControl w:val="0"/>
              <w:spacing w:before="15" w:after="15"/>
              <w:jc w:val="right"/>
              <w:rPr>
                <w:rFonts w:ascii="Times New Roman" w:hAnsi="Times New Roman" w:cs="Times New Roman"/>
                <w:noProof/>
              </w:rPr>
            </w:pPr>
            <w:r>
              <w:rPr>
                <w:rFonts w:ascii="Times New Roman" w:hAnsi="Times New Roman"/>
                <w:noProof/>
              </w:rPr>
              <w:t>-33 981 430</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14 02 01 41</w:t>
            </w:r>
          </w:p>
        </w:tc>
        <w:tc>
          <w:tcPr>
            <w:tcW w:w="694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Карибският басейн</w:t>
            </w:r>
          </w:p>
        </w:tc>
        <w:tc>
          <w:tcPr>
            <w:tcW w:w="1843" w:type="dxa"/>
          </w:tcPr>
          <w:p w:rsidR="00343A61" w:rsidRDefault="00C85AE7">
            <w:pPr>
              <w:widowControl w:val="0"/>
              <w:spacing w:before="15" w:after="15"/>
              <w:jc w:val="right"/>
              <w:rPr>
                <w:rFonts w:ascii="Times New Roman" w:hAnsi="Times New Roman" w:cs="Times New Roman"/>
                <w:noProof/>
              </w:rPr>
            </w:pPr>
            <w:r>
              <w:rPr>
                <w:rFonts w:ascii="Times New Roman" w:hAnsi="Times New Roman"/>
                <w:noProof/>
              </w:rPr>
              <w:t>-23 908 570</w:t>
            </w:r>
          </w:p>
        </w:tc>
      </w:tr>
      <w:tr w:rsidR="00343A61">
        <w:tc>
          <w:tcPr>
            <w:tcW w:w="8222" w:type="dxa"/>
            <w:gridSpan w:val="2"/>
            <w:shd w:val="clear" w:color="auto" w:fill="D9D9D9"/>
          </w:tcPr>
          <w:p w:rsidR="00343A61" w:rsidRDefault="00C85AE7">
            <w:pPr>
              <w:widowControl w:val="0"/>
              <w:tabs>
                <w:tab w:val="left" w:pos="975"/>
              </w:tabs>
              <w:spacing w:before="15" w:after="15"/>
              <w:jc w:val="both"/>
              <w:rPr>
                <w:rFonts w:ascii="Times New Roman" w:hAnsi="Times New Roman" w:cs="Times New Roman"/>
                <w:b/>
                <w:noProof/>
              </w:rPr>
            </w:pPr>
            <w:r>
              <w:rPr>
                <w:rFonts w:ascii="Times New Roman" w:hAnsi="Times New Roman"/>
                <w:b/>
                <w:noProof/>
              </w:rPr>
              <w:t>Общо</w:t>
            </w:r>
            <w:r>
              <w:rPr>
                <w:rFonts w:ascii="Times New Roman" w:hAnsi="Times New Roman"/>
                <w:b/>
                <w:noProof/>
              </w:rPr>
              <w:tab/>
            </w:r>
          </w:p>
        </w:tc>
        <w:tc>
          <w:tcPr>
            <w:tcW w:w="1843" w:type="dxa"/>
            <w:shd w:val="clear" w:color="auto" w:fill="D9D9D9"/>
          </w:tcPr>
          <w:p w:rsidR="00343A61" w:rsidRDefault="00C85AE7">
            <w:pPr>
              <w:widowControl w:val="0"/>
              <w:spacing w:before="15" w:after="15"/>
              <w:jc w:val="right"/>
              <w:rPr>
                <w:rFonts w:ascii="Times New Roman" w:hAnsi="Times New Roman" w:cs="Times New Roman"/>
                <w:b/>
                <w:noProof/>
              </w:rPr>
            </w:pPr>
            <w:r>
              <w:rPr>
                <w:rFonts w:ascii="Times New Roman" w:hAnsi="Times New Roman"/>
                <w:b/>
                <w:noProof/>
              </w:rPr>
              <w:t>0</w:t>
            </w:r>
          </w:p>
        </w:tc>
      </w:tr>
    </w:tbl>
    <w:p w:rsidR="00343A61" w:rsidRDefault="00C85AE7">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rPr>
      </w:pPr>
      <w:bookmarkStart w:id="28" w:name="_Toc68801890"/>
      <w:r>
        <w:rPr>
          <w:rFonts w:ascii="Times New Roman" w:hAnsi="Times New Roman"/>
          <w:b/>
          <w:smallCaps/>
          <w:noProof/>
          <w:sz w:val="24"/>
          <w:szCs w:val="24"/>
        </w:rPr>
        <w:t>Други корекции и технически актуализации</w:t>
      </w:r>
      <w:bookmarkEnd w:id="28"/>
      <w:r>
        <w:rPr>
          <w:rFonts w:ascii="Times New Roman" w:hAnsi="Times New Roman"/>
          <w:b/>
          <w:smallCaps/>
          <w:noProof/>
          <w:sz w:val="24"/>
          <w:szCs w:val="24"/>
        </w:rPr>
        <w:t xml:space="preserve"> </w:t>
      </w:r>
    </w:p>
    <w:p w:rsidR="00343A61" w:rsidRDefault="00C85AE7">
      <w:pPr>
        <w:pStyle w:val="Text1"/>
        <w:numPr>
          <w:ilvl w:val="0"/>
          <w:numId w:val="4"/>
        </w:numPr>
        <w:rPr>
          <w:noProof/>
        </w:rPr>
      </w:pPr>
      <w:r>
        <w:rPr>
          <w:noProof/>
        </w:rPr>
        <w:t>Предлага се актуализиране на бюджетните забележки с цел да се отразят постигнатите политически споразумения относно секторните правни основания след приемането на МФР. Съответните изменения са предоставени</w:t>
      </w:r>
      <w:r>
        <w:rPr>
          <w:noProof/>
        </w:rPr>
        <w:t xml:space="preserve"> в бюджетното приложение.</w:t>
      </w:r>
    </w:p>
    <w:p w:rsidR="00343A61" w:rsidRDefault="00C85AE7">
      <w:pPr>
        <w:pStyle w:val="Text1"/>
        <w:numPr>
          <w:ilvl w:val="0"/>
          <w:numId w:val="4"/>
        </w:numPr>
        <w:rPr>
          <w:noProof/>
        </w:rPr>
      </w:pPr>
      <w:r>
        <w:rPr>
          <w:noProof/>
        </w:rPr>
        <w:t>По функция 7 „Европейска публична администрация“ се предлага нивото на бюджетните кредити за наем и плащания по договори за наем на Европейския икономически и социален комитет да бъде намалено през 2021 г. с 5 500 000 EUR вследств</w:t>
      </w:r>
      <w:r>
        <w:rPr>
          <w:noProof/>
        </w:rPr>
        <w:t xml:space="preserve">ие на приемането на трансфера на бюджетни кредити в рамките на бюджета на Комитета DEC 1/2020 за разходи за предварително финансиране, свързани с обновяването на сградата VMA през 2020 г. </w:t>
      </w:r>
    </w:p>
    <w:p w:rsidR="00343A61" w:rsidRDefault="00C85AE7">
      <w:pPr>
        <w:pStyle w:val="Text1"/>
        <w:spacing w:after="0"/>
        <w:ind w:left="0"/>
        <w:rPr>
          <w:noProof/>
        </w:rPr>
      </w:pPr>
      <w:r>
        <w:rPr>
          <w:noProof/>
        </w:rPr>
        <w:t>Раздел VI — Европейски икономически и социален комитет</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343A61">
        <w:tc>
          <w:tcPr>
            <w:tcW w:w="9781" w:type="dxa"/>
            <w:gridSpan w:val="4"/>
            <w:tcBorders>
              <w:top w:val="nil"/>
              <w:left w:val="nil"/>
              <w:bottom w:val="single" w:sz="4" w:space="0" w:color="auto"/>
              <w:right w:val="nil"/>
            </w:tcBorders>
            <w:shd w:val="clear" w:color="auto" w:fill="FFFFFF" w:themeFill="background1"/>
            <w:vAlign w:val="center"/>
          </w:tcPr>
          <w:p w:rsidR="00343A61" w:rsidRDefault="00C85AE7">
            <w:pPr>
              <w:widowControl w:val="0"/>
              <w:spacing w:before="15" w:after="15"/>
              <w:jc w:val="right"/>
              <w:rPr>
                <w:rFonts w:ascii="Times New Roman" w:hAnsi="Times New Roman" w:cs="Times New Roman"/>
                <w:b/>
                <w:noProof/>
              </w:rPr>
            </w:pPr>
            <w:r>
              <w:rPr>
                <w:rFonts w:ascii="Times New Roman" w:hAnsi="Times New Roman"/>
                <w:i/>
                <w:noProof/>
                <w:shd w:val="clear" w:color="auto" w:fill="FFFFFF" w:themeFill="background1"/>
              </w:rPr>
              <w:t>Суми в</w:t>
            </w:r>
            <w:r>
              <w:rPr>
                <w:rFonts w:ascii="Times New Roman" w:hAnsi="Times New Roman"/>
                <w:i/>
                <w:noProof/>
              </w:rPr>
              <w:t xml:space="preserve"> EUR</w:t>
            </w:r>
          </w:p>
        </w:tc>
      </w:tr>
      <w:tr w:rsidR="00343A61">
        <w:tc>
          <w:tcPr>
            <w:tcW w:w="1276" w:type="dxa"/>
            <w:tcBorders>
              <w:top w:val="single" w:sz="4" w:space="0" w:color="auto"/>
            </w:tcBorders>
            <w:shd w:val="clear" w:color="auto" w:fill="D9D9D9"/>
            <w:vAlign w:val="center"/>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Бюджетен ред</w:t>
            </w:r>
          </w:p>
        </w:tc>
        <w:tc>
          <w:tcPr>
            <w:tcW w:w="5103" w:type="dxa"/>
            <w:tcBorders>
              <w:top w:val="single" w:sz="4" w:space="0" w:color="auto"/>
            </w:tcBorders>
            <w:shd w:val="clear" w:color="auto" w:fill="D9D9D9"/>
            <w:vAlign w:val="center"/>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Наименование</w:t>
            </w:r>
          </w:p>
        </w:tc>
        <w:tc>
          <w:tcPr>
            <w:tcW w:w="1701" w:type="dxa"/>
            <w:tcBorders>
              <w:top w:val="single" w:sz="4" w:space="0" w:color="auto"/>
            </w:tcBorders>
            <w:shd w:val="clear" w:color="auto" w:fill="D9D9D9"/>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Бюджетни кредити за поети задължения</w:t>
            </w:r>
          </w:p>
        </w:tc>
        <w:tc>
          <w:tcPr>
            <w:tcW w:w="1701" w:type="dxa"/>
            <w:tcBorders>
              <w:top w:val="single" w:sz="4" w:space="0" w:color="auto"/>
            </w:tcBorders>
            <w:shd w:val="clear" w:color="auto" w:fill="D9D9D9"/>
            <w:vAlign w:val="center"/>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Бюджетни кредити за плащания</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2 0 0 0</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Наем</w:t>
            </w:r>
          </w:p>
        </w:tc>
        <w:tc>
          <w:tcPr>
            <w:tcW w:w="1701" w:type="dxa"/>
          </w:tcPr>
          <w:p w:rsidR="00343A61" w:rsidRDefault="00C85AE7">
            <w:pPr>
              <w:jc w:val="right"/>
              <w:rPr>
                <w:rFonts w:ascii="Times New Roman" w:hAnsi="Times New Roman" w:cs="Times New Roman"/>
                <w:noProof/>
              </w:rPr>
            </w:pPr>
            <w:r>
              <w:rPr>
                <w:rFonts w:ascii="Times New Roman" w:hAnsi="Times New Roman"/>
                <w:noProof/>
              </w:rPr>
              <w:t>-1 375 000</w:t>
            </w:r>
          </w:p>
        </w:tc>
        <w:tc>
          <w:tcPr>
            <w:tcW w:w="1701" w:type="dxa"/>
          </w:tcPr>
          <w:p w:rsidR="00343A61" w:rsidRDefault="00C85AE7">
            <w:pPr>
              <w:widowControl w:val="0"/>
              <w:spacing w:before="15" w:after="15"/>
              <w:jc w:val="right"/>
              <w:rPr>
                <w:rFonts w:ascii="Times New Roman" w:hAnsi="Times New Roman" w:cs="Times New Roman"/>
                <w:noProof/>
              </w:rPr>
            </w:pPr>
            <w:r>
              <w:rPr>
                <w:rFonts w:ascii="Times New Roman" w:hAnsi="Times New Roman"/>
                <w:noProof/>
              </w:rPr>
              <w:t>-1 375 000</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2 0 0 1</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Плащания по договори за дългосрочен наем и подобни разходи</w:t>
            </w:r>
          </w:p>
        </w:tc>
        <w:tc>
          <w:tcPr>
            <w:tcW w:w="1701" w:type="dxa"/>
          </w:tcPr>
          <w:p w:rsidR="00343A61" w:rsidRDefault="00C85AE7">
            <w:pPr>
              <w:jc w:val="right"/>
              <w:rPr>
                <w:rFonts w:ascii="Times New Roman" w:hAnsi="Times New Roman" w:cs="Times New Roman"/>
                <w:noProof/>
              </w:rPr>
            </w:pPr>
            <w:r>
              <w:rPr>
                <w:rFonts w:ascii="Times New Roman" w:hAnsi="Times New Roman"/>
                <w:noProof/>
              </w:rPr>
              <w:t>-4 125 000</w:t>
            </w:r>
          </w:p>
        </w:tc>
        <w:tc>
          <w:tcPr>
            <w:tcW w:w="1701" w:type="dxa"/>
          </w:tcPr>
          <w:p w:rsidR="00343A61" w:rsidRDefault="00C85AE7">
            <w:pPr>
              <w:jc w:val="right"/>
              <w:rPr>
                <w:rFonts w:ascii="Times New Roman" w:hAnsi="Times New Roman" w:cs="Times New Roman"/>
                <w:noProof/>
              </w:rPr>
            </w:pPr>
            <w:r>
              <w:rPr>
                <w:rFonts w:ascii="Times New Roman" w:hAnsi="Times New Roman"/>
                <w:noProof/>
              </w:rPr>
              <w:t>-4 125 000</w:t>
            </w:r>
          </w:p>
        </w:tc>
      </w:tr>
      <w:tr w:rsidR="00343A61">
        <w:tc>
          <w:tcPr>
            <w:tcW w:w="6379" w:type="dxa"/>
            <w:gridSpan w:val="2"/>
            <w:shd w:val="clear" w:color="auto" w:fill="D9D9D9"/>
          </w:tcPr>
          <w:p w:rsidR="00343A61" w:rsidRDefault="00C85AE7">
            <w:pPr>
              <w:widowControl w:val="0"/>
              <w:tabs>
                <w:tab w:val="left" w:pos="975"/>
              </w:tabs>
              <w:spacing w:before="15" w:after="15"/>
              <w:jc w:val="both"/>
              <w:rPr>
                <w:rFonts w:ascii="Times New Roman" w:hAnsi="Times New Roman" w:cs="Times New Roman"/>
                <w:b/>
                <w:noProof/>
              </w:rPr>
            </w:pPr>
            <w:r>
              <w:rPr>
                <w:rFonts w:ascii="Times New Roman" w:hAnsi="Times New Roman"/>
                <w:b/>
                <w:noProof/>
              </w:rPr>
              <w:t>Общо</w:t>
            </w:r>
            <w:r>
              <w:rPr>
                <w:rFonts w:ascii="Times New Roman" w:hAnsi="Times New Roman"/>
                <w:b/>
                <w:noProof/>
              </w:rPr>
              <w:tab/>
            </w:r>
          </w:p>
        </w:tc>
        <w:tc>
          <w:tcPr>
            <w:tcW w:w="1701" w:type="dxa"/>
            <w:shd w:val="clear" w:color="auto" w:fill="D9D9D9"/>
          </w:tcPr>
          <w:p w:rsidR="00343A61" w:rsidRDefault="00C85AE7">
            <w:pPr>
              <w:jc w:val="right"/>
              <w:rPr>
                <w:rFonts w:ascii="Times New Roman" w:hAnsi="Times New Roman" w:cs="Times New Roman"/>
                <w:b/>
                <w:noProof/>
              </w:rPr>
            </w:pPr>
            <w:r>
              <w:rPr>
                <w:rFonts w:ascii="Times New Roman" w:hAnsi="Times New Roman"/>
                <w:b/>
                <w:noProof/>
              </w:rPr>
              <w:t>-5 500 000</w:t>
            </w:r>
          </w:p>
        </w:tc>
        <w:tc>
          <w:tcPr>
            <w:tcW w:w="1701" w:type="dxa"/>
            <w:shd w:val="clear" w:color="auto" w:fill="D9D9D9"/>
          </w:tcPr>
          <w:p w:rsidR="00343A61" w:rsidRDefault="00C85AE7">
            <w:pPr>
              <w:jc w:val="right"/>
              <w:rPr>
                <w:rFonts w:ascii="Times New Roman" w:hAnsi="Times New Roman" w:cs="Times New Roman"/>
                <w:b/>
                <w:noProof/>
              </w:rPr>
            </w:pPr>
            <w:r>
              <w:rPr>
                <w:rFonts w:ascii="Times New Roman" w:hAnsi="Times New Roman"/>
                <w:b/>
                <w:noProof/>
              </w:rPr>
              <w:t>-5 500 000</w:t>
            </w:r>
          </w:p>
        </w:tc>
      </w:tr>
    </w:tbl>
    <w:p w:rsidR="00343A61" w:rsidRDefault="00343A61">
      <w:pPr>
        <w:pStyle w:val="Text1"/>
        <w:ind w:left="720"/>
        <w:rPr>
          <w:noProof/>
        </w:rPr>
      </w:pPr>
    </w:p>
    <w:p w:rsidR="00343A61" w:rsidRDefault="00C85AE7">
      <w:pPr>
        <w:pStyle w:val="Text1"/>
        <w:numPr>
          <w:ilvl w:val="0"/>
          <w:numId w:val="4"/>
        </w:numPr>
        <w:rPr>
          <w:noProof/>
        </w:rPr>
      </w:pPr>
      <w:r>
        <w:rPr>
          <w:noProof/>
        </w:rPr>
        <w:t>Както е</w:t>
      </w:r>
      <w:r>
        <w:rPr>
          <w:noProof/>
        </w:rPr>
        <w:t xml:space="preserve"> посочено в приложение 3 към писмото на Комисията относно изпълнимостта, предадено в контекста на проекта на бюджет за 2021 г., пилотните проекти през 2021 г. PP 03 21 02 „Механизъм за мониторинг на собствеността върху медиите“ и PP 07 20 05 „Обзор на собс</w:t>
      </w:r>
      <w:r>
        <w:rPr>
          <w:noProof/>
        </w:rPr>
        <w:t>твеността върху медиите“ се отнасят по същество към същия проект. В бюджета за 2021 г. той се появява два пъти: в рамките на функция 1 и на функция 2б. Комисията предлага да се направи техническа корекция и бюджетните кредити за 2021 г. за PP 07 20 05 (в р</w:t>
      </w:r>
      <w:r>
        <w:rPr>
          <w:noProof/>
        </w:rPr>
        <w:t>азмер на 300 000 EUR бюджетни кредити за плащания) да се прехвърлят от функция 2б към функция 1, т.е. да се консолидират наличните бюджетни кредити по дял 03, пилотен проект PP 03 21 02.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343A61">
        <w:tc>
          <w:tcPr>
            <w:tcW w:w="9781" w:type="dxa"/>
            <w:gridSpan w:val="4"/>
            <w:tcBorders>
              <w:top w:val="nil"/>
              <w:left w:val="nil"/>
              <w:bottom w:val="single" w:sz="4" w:space="0" w:color="auto"/>
              <w:right w:val="nil"/>
            </w:tcBorders>
            <w:shd w:val="clear" w:color="auto" w:fill="FFFFFF" w:themeFill="background1"/>
            <w:vAlign w:val="center"/>
          </w:tcPr>
          <w:p w:rsidR="00343A61" w:rsidRDefault="00C85AE7">
            <w:pPr>
              <w:widowControl w:val="0"/>
              <w:spacing w:before="15" w:after="15"/>
              <w:jc w:val="right"/>
              <w:rPr>
                <w:rFonts w:ascii="Times New Roman" w:hAnsi="Times New Roman" w:cs="Times New Roman"/>
                <w:b/>
                <w:noProof/>
              </w:rPr>
            </w:pPr>
            <w:r>
              <w:rPr>
                <w:rFonts w:ascii="Times New Roman" w:hAnsi="Times New Roman"/>
                <w:i/>
                <w:noProof/>
                <w:shd w:val="clear" w:color="auto" w:fill="FFFFFF" w:themeFill="background1"/>
              </w:rPr>
              <w:t>Суми в</w:t>
            </w:r>
            <w:r>
              <w:rPr>
                <w:rFonts w:ascii="Times New Roman" w:hAnsi="Times New Roman"/>
                <w:i/>
                <w:noProof/>
              </w:rPr>
              <w:t xml:space="preserve"> EUR</w:t>
            </w:r>
          </w:p>
        </w:tc>
      </w:tr>
      <w:tr w:rsidR="00343A61">
        <w:tc>
          <w:tcPr>
            <w:tcW w:w="1276" w:type="dxa"/>
            <w:tcBorders>
              <w:top w:val="single" w:sz="4" w:space="0" w:color="auto"/>
            </w:tcBorders>
            <w:shd w:val="clear" w:color="auto" w:fill="D9D9D9"/>
            <w:vAlign w:val="center"/>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Бюджетен ред</w:t>
            </w:r>
          </w:p>
        </w:tc>
        <w:tc>
          <w:tcPr>
            <w:tcW w:w="5103" w:type="dxa"/>
            <w:tcBorders>
              <w:top w:val="single" w:sz="4" w:space="0" w:color="auto"/>
            </w:tcBorders>
            <w:shd w:val="clear" w:color="auto" w:fill="D9D9D9"/>
            <w:vAlign w:val="center"/>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Наименование</w:t>
            </w:r>
          </w:p>
        </w:tc>
        <w:tc>
          <w:tcPr>
            <w:tcW w:w="1701" w:type="dxa"/>
            <w:tcBorders>
              <w:top w:val="single" w:sz="4" w:space="0" w:color="auto"/>
            </w:tcBorders>
            <w:shd w:val="clear" w:color="auto" w:fill="D9D9D9"/>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 xml:space="preserve">Бюджетни кредити за поети </w:t>
            </w:r>
            <w:r>
              <w:rPr>
                <w:rFonts w:ascii="Times New Roman" w:hAnsi="Times New Roman"/>
                <w:b/>
                <w:noProof/>
              </w:rPr>
              <w:t>задължения</w:t>
            </w:r>
          </w:p>
        </w:tc>
        <w:tc>
          <w:tcPr>
            <w:tcW w:w="1701" w:type="dxa"/>
            <w:tcBorders>
              <w:top w:val="single" w:sz="4" w:space="0" w:color="auto"/>
            </w:tcBorders>
            <w:shd w:val="clear" w:color="auto" w:fill="D9D9D9"/>
            <w:vAlign w:val="center"/>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Бюджетни кредити за плащания</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03 20 01</w:t>
            </w:r>
          </w:p>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PP 03 21 02</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Пилотен проект — Механизъм за мониторинг на собствеността върху медиите</w:t>
            </w:r>
          </w:p>
        </w:tc>
        <w:tc>
          <w:tcPr>
            <w:tcW w:w="1701" w:type="dxa"/>
          </w:tcPr>
          <w:p w:rsidR="00343A61" w:rsidRDefault="00343A61">
            <w:pPr>
              <w:jc w:val="right"/>
              <w:rPr>
                <w:rFonts w:ascii="Times New Roman" w:hAnsi="Times New Roman" w:cs="Times New Roman"/>
                <w:noProof/>
              </w:rPr>
            </w:pPr>
          </w:p>
        </w:tc>
        <w:tc>
          <w:tcPr>
            <w:tcW w:w="1701" w:type="dxa"/>
          </w:tcPr>
          <w:p w:rsidR="00343A61" w:rsidRDefault="00C85AE7">
            <w:pPr>
              <w:widowControl w:val="0"/>
              <w:spacing w:before="15" w:after="15"/>
              <w:jc w:val="right"/>
              <w:rPr>
                <w:rFonts w:ascii="Times New Roman" w:hAnsi="Times New Roman" w:cs="Times New Roman"/>
                <w:noProof/>
              </w:rPr>
            </w:pPr>
            <w:r>
              <w:rPr>
                <w:rFonts w:ascii="Times New Roman" w:hAnsi="Times New Roman"/>
                <w:noProof/>
              </w:rPr>
              <w:t>+300 000</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07 20 01</w:t>
            </w:r>
          </w:p>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PP 07 20 05</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Пилотен проект — Обзор на собствеността върху медиите</w:t>
            </w:r>
          </w:p>
        </w:tc>
        <w:tc>
          <w:tcPr>
            <w:tcW w:w="1701" w:type="dxa"/>
          </w:tcPr>
          <w:p w:rsidR="00343A61" w:rsidRDefault="00343A61">
            <w:pPr>
              <w:jc w:val="right"/>
              <w:rPr>
                <w:rFonts w:ascii="Times New Roman" w:hAnsi="Times New Roman" w:cs="Times New Roman"/>
                <w:noProof/>
              </w:rPr>
            </w:pPr>
          </w:p>
        </w:tc>
        <w:tc>
          <w:tcPr>
            <w:tcW w:w="1701" w:type="dxa"/>
          </w:tcPr>
          <w:p w:rsidR="00343A61" w:rsidRDefault="00C85AE7">
            <w:pPr>
              <w:jc w:val="right"/>
              <w:rPr>
                <w:rFonts w:ascii="Times New Roman" w:hAnsi="Times New Roman" w:cs="Times New Roman"/>
                <w:noProof/>
              </w:rPr>
            </w:pPr>
            <w:r>
              <w:rPr>
                <w:rFonts w:ascii="Times New Roman" w:hAnsi="Times New Roman"/>
                <w:noProof/>
              </w:rPr>
              <w:t>-300 000</w:t>
            </w:r>
          </w:p>
        </w:tc>
      </w:tr>
      <w:tr w:rsidR="00343A61">
        <w:tc>
          <w:tcPr>
            <w:tcW w:w="6379" w:type="dxa"/>
            <w:gridSpan w:val="2"/>
            <w:shd w:val="clear" w:color="auto" w:fill="D9D9D9"/>
          </w:tcPr>
          <w:p w:rsidR="00343A61" w:rsidRDefault="00C85AE7">
            <w:pPr>
              <w:widowControl w:val="0"/>
              <w:tabs>
                <w:tab w:val="left" w:pos="975"/>
              </w:tabs>
              <w:spacing w:before="15" w:after="15"/>
              <w:jc w:val="both"/>
              <w:rPr>
                <w:rFonts w:ascii="Times New Roman" w:hAnsi="Times New Roman" w:cs="Times New Roman"/>
                <w:b/>
                <w:noProof/>
              </w:rPr>
            </w:pPr>
            <w:r>
              <w:rPr>
                <w:rFonts w:ascii="Times New Roman" w:hAnsi="Times New Roman"/>
                <w:b/>
                <w:noProof/>
              </w:rPr>
              <w:t>Общо</w:t>
            </w:r>
            <w:r>
              <w:rPr>
                <w:rFonts w:ascii="Times New Roman" w:hAnsi="Times New Roman"/>
                <w:b/>
                <w:noProof/>
              </w:rPr>
              <w:tab/>
            </w:r>
          </w:p>
        </w:tc>
        <w:tc>
          <w:tcPr>
            <w:tcW w:w="1701" w:type="dxa"/>
            <w:shd w:val="clear" w:color="auto" w:fill="D9D9D9"/>
          </w:tcPr>
          <w:p w:rsidR="00343A61" w:rsidRDefault="00C85AE7">
            <w:pPr>
              <w:jc w:val="right"/>
              <w:rPr>
                <w:rFonts w:ascii="Times New Roman" w:hAnsi="Times New Roman" w:cs="Times New Roman"/>
                <w:b/>
                <w:noProof/>
              </w:rPr>
            </w:pPr>
            <w:r>
              <w:rPr>
                <w:rFonts w:ascii="Times New Roman" w:hAnsi="Times New Roman"/>
                <w:b/>
                <w:noProof/>
              </w:rPr>
              <w:t>0</w:t>
            </w:r>
          </w:p>
        </w:tc>
        <w:tc>
          <w:tcPr>
            <w:tcW w:w="1701" w:type="dxa"/>
            <w:shd w:val="clear" w:color="auto" w:fill="D9D9D9"/>
          </w:tcPr>
          <w:p w:rsidR="00343A61" w:rsidRDefault="00C85AE7">
            <w:pPr>
              <w:jc w:val="right"/>
              <w:rPr>
                <w:rFonts w:ascii="Times New Roman" w:hAnsi="Times New Roman" w:cs="Times New Roman"/>
                <w:b/>
                <w:noProof/>
              </w:rPr>
            </w:pPr>
            <w:r>
              <w:rPr>
                <w:rFonts w:ascii="Times New Roman" w:hAnsi="Times New Roman"/>
                <w:b/>
                <w:noProof/>
              </w:rPr>
              <w:t>0</w:t>
            </w:r>
          </w:p>
        </w:tc>
      </w:tr>
    </w:tbl>
    <w:p w:rsidR="00343A61" w:rsidRDefault="00343A61">
      <w:pPr>
        <w:pStyle w:val="Text1"/>
        <w:ind w:left="0"/>
        <w:rPr>
          <w:noProof/>
        </w:rPr>
      </w:pPr>
    </w:p>
    <w:p w:rsidR="00343A61" w:rsidRDefault="00C85AE7">
      <w:pPr>
        <w:pStyle w:val="Text1"/>
        <w:numPr>
          <w:ilvl w:val="0"/>
          <w:numId w:val="4"/>
        </w:numPr>
        <w:rPr>
          <w:noProof/>
        </w:rPr>
      </w:pPr>
      <w:r>
        <w:rPr>
          <w:noProof/>
        </w:rPr>
        <w:t xml:space="preserve">Както е </w:t>
      </w:r>
      <w:r>
        <w:rPr>
          <w:noProof/>
        </w:rPr>
        <w:t>посочено в писмото на Комисията относно изпълнимостта, предадено в контекста на проекта на бюджет за 2021 г., пилотният проект „Интернационализация на опита и моделите на „Европейска столица на културата“ не може да бъде осъществен, тъй като предложените д</w:t>
      </w:r>
      <w:r>
        <w:rPr>
          <w:noProof/>
        </w:rPr>
        <w:t>ейности вече са обхванати от бъдещото правно основание на Инструмента за съседство, сътрудничество за развитие и международно сътрудничество (ИССРМС), в което се предвижда да се обхванат дейностите за сътрудничество в областта на културата и дейностите с п</w:t>
      </w:r>
      <w:r>
        <w:rPr>
          <w:noProof/>
        </w:rPr>
        <w:t xml:space="preserve">артньори от развиващите се страни, включително градовете. За да се развиват дейностите за насърчаване на устойчивото градско развитие чрез култура, този проект или части от него могат да бъдат взети предвид в рамките на бъдещи проекти по ИССРМС. Съответно </w:t>
      </w:r>
      <w:r>
        <w:rPr>
          <w:noProof/>
        </w:rPr>
        <w:t>Комисията предлага бюджетните кредити да се прехвърлят към бюджетната позиция за ИССРМС 14 02 02 40 „Хора — глобални предизвикателства“, а бюджетната позиция 07 20 01 PP 07 21 11 да се заличи.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343A61">
        <w:tc>
          <w:tcPr>
            <w:tcW w:w="9781" w:type="dxa"/>
            <w:gridSpan w:val="4"/>
            <w:tcBorders>
              <w:top w:val="nil"/>
              <w:left w:val="nil"/>
              <w:bottom w:val="single" w:sz="4" w:space="0" w:color="auto"/>
              <w:right w:val="nil"/>
            </w:tcBorders>
            <w:shd w:val="clear" w:color="auto" w:fill="FFFFFF" w:themeFill="background1"/>
            <w:vAlign w:val="center"/>
          </w:tcPr>
          <w:p w:rsidR="00343A61" w:rsidRDefault="00C85AE7">
            <w:pPr>
              <w:widowControl w:val="0"/>
              <w:spacing w:before="15" w:after="15"/>
              <w:jc w:val="right"/>
              <w:rPr>
                <w:rFonts w:ascii="Times New Roman" w:hAnsi="Times New Roman" w:cs="Times New Roman"/>
                <w:b/>
                <w:noProof/>
              </w:rPr>
            </w:pPr>
            <w:r>
              <w:rPr>
                <w:rFonts w:ascii="Times New Roman" w:hAnsi="Times New Roman"/>
                <w:i/>
                <w:noProof/>
                <w:shd w:val="clear" w:color="auto" w:fill="FFFFFF" w:themeFill="background1"/>
              </w:rPr>
              <w:t>Суми в</w:t>
            </w:r>
            <w:r>
              <w:rPr>
                <w:rFonts w:ascii="Times New Roman" w:hAnsi="Times New Roman"/>
                <w:i/>
                <w:noProof/>
              </w:rPr>
              <w:t xml:space="preserve"> EUR</w:t>
            </w:r>
          </w:p>
        </w:tc>
      </w:tr>
      <w:tr w:rsidR="00343A61">
        <w:tc>
          <w:tcPr>
            <w:tcW w:w="1276" w:type="dxa"/>
            <w:tcBorders>
              <w:top w:val="single" w:sz="4" w:space="0" w:color="auto"/>
            </w:tcBorders>
            <w:shd w:val="clear" w:color="auto" w:fill="D9D9D9"/>
            <w:vAlign w:val="center"/>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Бюджетен ред</w:t>
            </w:r>
          </w:p>
        </w:tc>
        <w:tc>
          <w:tcPr>
            <w:tcW w:w="5103" w:type="dxa"/>
            <w:tcBorders>
              <w:top w:val="single" w:sz="4" w:space="0" w:color="auto"/>
            </w:tcBorders>
            <w:shd w:val="clear" w:color="auto" w:fill="D9D9D9"/>
            <w:vAlign w:val="center"/>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Наименование</w:t>
            </w:r>
          </w:p>
        </w:tc>
        <w:tc>
          <w:tcPr>
            <w:tcW w:w="1701" w:type="dxa"/>
            <w:tcBorders>
              <w:top w:val="single" w:sz="4" w:space="0" w:color="auto"/>
            </w:tcBorders>
            <w:shd w:val="clear" w:color="auto" w:fill="D9D9D9"/>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Бюджетни кредити за поети</w:t>
            </w:r>
            <w:r>
              <w:rPr>
                <w:rFonts w:ascii="Times New Roman" w:hAnsi="Times New Roman"/>
                <w:b/>
                <w:noProof/>
              </w:rPr>
              <w:t xml:space="preserve"> задължения</w:t>
            </w:r>
          </w:p>
        </w:tc>
        <w:tc>
          <w:tcPr>
            <w:tcW w:w="1701" w:type="dxa"/>
            <w:tcBorders>
              <w:top w:val="single" w:sz="4" w:space="0" w:color="auto"/>
            </w:tcBorders>
            <w:shd w:val="clear" w:color="auto" w:fill="D9D9D9"/>
            <w:vAlign w:val="center"/>
          </w:tcPr>
          <w:p w:rsidR="00343A61" w:rsidRDefault="00C85AE7">
            <w:pPr>
              <w:widowControl w:val="0"/>
              <w:spacing w:before="15" w:after="15"/>
              <w:jc w:val="center"/>
              <w:rPr>
                <w:rFonts w:ascii="Times New Roman" w:hAnsi="Times New Roman" w:cs="Times New Roman"/>
                <w:b/>
                <w:noProof/>
              </w:rPr>
            </w:pPr>
            <w:r>
              <w:rPr>
                <w:rFonts w:ascii="Times New Roman" w:hAnsi="Times New Roman"/>
                <w:b/>
                <w:noProof/>
              </w:rPr>
              <w:t>Бюджетни кредити за плащания</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07 20 01 PP 07 21 11</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Интернационализация на опита и моделите на „Европейска столица на културата. Споделяне на модели за управление и междукултурен обмен за повече съвместно създаване и партньорство.</w:t>
            </w:r>
          </w:p>
        </w:tc>
        <w:tc>
          <w:tcPr>
            <w:tcW w:w="1701" w:type="dxa"/>
          </w:tcPr>
          <w:p w:rsidR="00343A61" w:rsidRDefault="00C85AE7">
            <w:pPr>
              <w:jc w:val="right"/>
              <w:rPr>
                <w:rFonts w:ascii="Times New Roman" w:hAnsi="Times New Roman" w:cs="Times New Roman"/>
                <w:noProof/>
              </w:rPr>
            </w:pPr>
            <w:r>
              <w:rPr>
                <w:rFonts w:ascii="Times New Roman" w:hAnsi="Times New Roman"/>
                <w:noProof/>
              </w:rPr>
              <w:t>-160 000</w:t>
            </w:r>
          </w:p>
        </w:tc>
        <w:tc>
          <w:tcPr>
            <w:tcW w:w="1701" w:type="dxa"/>
          </w:tcPr>
          <w:p w:rsidR="00343A61" w:rsidRDefault="00C85AE7">
            <w:pPr>
              <w:widowControl w:val="0"/>
              <w:spacing w:before="15" w:after="15"/>
              <w:jc w:val="right"/>
              <w:rPr>
                <w:rFonts w:ascii="Times New Roman" w:hAnsi="Times New Roman" w:cs="Times New Roman"/>
                <w:noProof/>
              </w:rPr>
            </w:pPr>
            <w:r>
              <w:rPr>
                <w:rFonts w:ascii="Times New Roman" w:hAnsi="Times New Roman"/>
                <w:noProof/>
              </w:rPr>
              <w:t>-40 000</w:t>
            </w:r>
          </w:p>
        </w:tc>
      </w:tr>
      <w:tr w:rsidR="00343A61">
        <w:tc>
          <w:tcPr>
            <w:tcW w:w="1276"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14 02 02 40</w:t>
            </w:r>
          </w:p>
        </w:tc>
        <w:tc>
          <w:tcPr>
            <w:tcW w:w="5103" w:type="dxa"/>
          </w:tcPr>
          <w:p w:rsidR="00343A61" w:rsidRDefault="00C85AE7">
            <w:pPr>
              <w:widowControl w:val="0"/>
              <w:spacing w:before="15" w:after="15"/>
              <w:ind w:right="-113"/>
              <w:jc w:val="both"/>
              <w:rPr>
                <w:rFonts w:ascii="Times New Roman" w:hAnsi="Times New Roman" w:cs="Times New Roman"/>
                <w:noProof/>
              </w:rPr>
            </w:pPr>
            <w:r>
              <w:rPr>
                <w:rFonts w:ascii="Times New Roman" w:hAnsi="Times New Roman"/>
                <w:noProof/>
              </w:rPr>
              <w:t>Хора — глобални предизвикателства</w:t>
            </w:r>
          </w:p>
        </w:tc>
        <w:tc>
          <w:tcPr>
            <w:tcW w:w="1701" w:type="dxa"/>
          </w:tcPr>
          <w:p w:rsidR="00343A61" w:rsidRDefault="00C85AE7">
            <w:pPr>
              <w:jc w:val="right"/>
              <w:rPr>
                <w:rFonts w:ascii="Times New Roman" w:hAnsi="Times New Roman" w:cs="Times New Roman"/>
                <w:noProof/>
              </w:rPr>
            </w:pPr>
            <w:r>
              <w:rPr>
                <w:rFonts w:ascii="Times New Roman" w:hAnsi="Times New Roman"/>
                <w:noProof/>
              </w:rPr>
              <w:t>+160 000</w:t>
            </w:r>
          </w:p>
        </w:tc>
        <w:tc>
          <w:tcPr>
            <w:tcW w:w="1701" w:type="dxa"/>
          </w:tcPr>
          <w:p w:rsidR="00343A61" w:rsidRDefault="00C85AE7">
            <w:pPr>
              <w:jc w:val="right"/>
              <w:rPr>
                <w:rFonts w:ascii="Times New Roman" w:hAnsi="Times New Roman" w:cs="Times New Roman"/>
                <w:noProof/>
              </w:rPr>
            </w:pPr>
            <w:r>
              <w:rPr>
                <w:rFonts w:ascii="Times New Roman" w:hAnsi="Times New Roman"/>
                <w:noProof/>
              </w:rPr>
              <w:t>+40 000</w:t>
            </w:r>
          </w:p>
        </w:tc>
      </w:tr>
      <w:tr w:rsidR="00343A61">
        <w:tc>
          <w:tcPr>
            <w:tcW w:w="6379" w:type="dxa"/>
            <w:gridSpan w:val="2"/>
            <w:shd w:val="clear" w:color="auto" w:fill="D9D9D9"/>
          </w:tcPr>
          <w:p w:rsidR="00343A61" w:rsidRDefault="00C85AE7">
            <w:pPr>
              <w:widowControl w:val="0"/>
              <w:tabs>
                <w:tab w:val="left" w:pos="975"/>
              </w:tabs>
              <w:spacing w:before="15" w:after="15"/>
              <w:jc w:val="both"/>
              <w:rPr>
                <w:rFonts w:ascii="Times New Roman" w:hAnsi="Times New Roman" w:cs="Times New Roman"/>
                <w:b/>
                <w:noProof/>
              </w:rPr>
            </w:pPr>
            <w:r>
              <w:rPr>
                <w:rFonts w:ascii="Times New Roman" w:hAnsi="Times New Roman"/>
                <w:b/>
                <w:noProof/>
              </w:rPr>
              <w:t>Общо</w:t>
            </w:r>
            <w:r>
              <w:rPr>
                <w:rFonts w:ascii="Times New Roman" w:hAnsi="Times New Roman"/>
                <w:b/>
                <w:noProof/>
              </w:rPr>
              <w:tab/>
            </w:r>
          </w:p>
        </w:tc>
        <w:tc>
          <w:tcPr>
            <w:tcW w:w="1701" w:type="dxa"/>
            <w:shd w:val="clear" w:color="auto" w:fill="D9D9D9"/>
          </w:tcPr>
          <w:p w:rsidR="00343A61" w:rsidRDefault="00C85AE7">
            <w:pPr>
              <w:jc w:val="right"/>
              <w:rPr>
                <w:rFonts w:ascii="Times New Roman" w:hAnsi="Times New Roman" w:cs="Times New Roman"/>
                <w:b/>
                <w:noProof/>
              </w:rPr>
            </w:pPr>
            <w:r>
              <w:rPr>
                <w:rFonts w:ascii="Times New Roman" w:hAnsi="Times New Roman"/>
                <w:b/>
                <w:noProof/>
              </w:rPr>
              <w:t>0</w:t>
            </w:r>
          </w:p>
        </w:tc>
        <w:tc>
          <w:tcPr>
            <w:tcW w:w="1701" w:type="dxa"/>
            <w:shd w:val="clear" w:color="auto" w:fill="D9D9D9"/>
          </w:tcPr>
          <w:p w:rsidR="00343A61" w:rsidRDefault="00C85AE7">
            <w:pPr>
              <w:jc w:val="right"/>
              <w:rPr>
                <w:rFonts w:ascii="Times New Roman" w:hAnsi="Times New Roman" w:cs="Times New Roman"/>
                <w:b/>
                <w:noProof/>
              </w:rPr>
            </w:pPr>
            <w:r>
              <w:rPr>
                <w:rFonts w:ascii="Times New Roman" w:hAnsi="Times New Roman"/>
                <w:b/>
                <w:noProof/>
              </w:rPr>
              <w:t>0</w:t>
            </w:r>
          </w:p>
        </w:tc>
      </w:tr>
    </w:tbl>
    <w:p w:rsidR="00343A61" w:rsidRDefault="00C85AE7">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t xml:space="preserve"> </w:t>
      </w:r>
      <w:bookmarkStart w:id="29" w:name="_Toc68801891"/>
      <w:r>
        <w:rPr>
          <w:rFonts w:ascii="Times New Roman" w:hAnsi="Times New Roman"/>
          <w:b/>
          <w:smallCaps/>
          <w:noProof/>
          <w:sz w:val="24"/>
          <w:szCs w:val="24"/>
        </w:rPr>
        <w:t>Фонд „Солидарност“ на ЕС</w:t>
      </w:r>
      <w:bookmarkEnd w:id="29"/>
    </w:p>
    <w:p w:rsidR="00343A61" w:rsidRDefault="00C85AE7">
      <w:pPr>
        <w:pStyle w:val="Text1"/>
        <w:ind w:left="0"/>
        <w:rPr>
          <w:noProof/>
        </w:rPr>
      </w:pPr>
      <w:r>
        <w:rPr>
          <w:noProof/>
        </w:rPr>
        <w:t xml:space="preserve">От средствата, разпределени за фонд „Солидарност“ на ЕС за 2020 г., до края на въпросната година не е използвана сума в размер на 47 981 598 EUR. </w:t>
      </w:r>
      <w:r>
        <w:rPr>
          <w:noProof/>
        </w:rPr>
        <w:t>В съответствие с член 10 от Регламент (ЕС) 1311/2013 Комисията предлага цялата останала сума да се пренесе директно в оперативна бюджетна позиция 16 02 01 01 за фонд „Солидарност“ на ЕС. Тя ще се използва за уреждане на заявленията, представени от Австрия,</w:t>
      </w:r>
      <w:r>
        <w:rPr>
          <w:noProof/>
        </w:rPr>
        <w:t xml:space="preserve"> Белгия, Германия, Гърция, Естония, Ирландия, Испания, Италия, Латвия, Литва, Люксембург, Португалия, Румъния, Унгария, Франция, Хърватия и Чехия в отговор на основните извънредни ситуации в областта на общественото здраве, причинени от пандемията от COVID</w:t>
      </w:r>
      <w:r>
        <w:rPr>
          <w:noProof/>
        </w:rPr>
        <w:t>-19 в началото на 2020 г. Останалата сума ще бъде финансирана чрез трансфер на бюджетния орган (DEC 3/2021) от Резерва за солидарност и спешна помощ.</w:t>
      </w:r>
    </w:p>
    <w:p w:rsidR="00343A61" w:rsidRDefault="00C85AE7">
      <w:pPr>
        <w:pStyle w:val="Text1"/>
        <w:ind w:left="0"/>
        <w:rPr>
          <w:noProof/>
        </w:rPr>
      </w:pPr>
      <w:r>
        <w:rPr>
          <w:noProof/>
        </w:rPr>
        <w:t>Съответните бюджетни кредити се вписват в бюджета над годишните тавани на разходите, определени в МФР за п</w:t>
      </w:r>
      <w:r>
        <w:rPr>
          <w:noProof/>
        </w:rPr>
        <w:t>ериода 2021—2027 г.</w:t>
      </w:r>
    </w:p>
    <w:p w:rsidR="00343A61" w:rsidRDefault="00C85AE7">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rPr>
      </w:pPr>
      <w:bookmarkStart w:id="30" w:name="_Toc68801892"/>
      <w:r>
        <w:rPr>
          <w:rFonts w:ascii="Times New Roman" w:hAnsi="Times New Roman"/>
          <w:b/>
          <w:smallCaps/>
          <w:noProof/>
          <w:sz w:val="24"/>
          <w:szCs w:val="24"/>
        </w:rPr>
        <w:t>Финансиране</w:t>
      </w:r>
      <w:bookmarkEnd w:id="19"/>
      <w:bookmarkEnd w:id="30"/>
    </w:p>
    <w:p w:rsidR="00343A61" w:rsidRDefault="00C85AE7">
      <w:pPr>
        <w:spacing w:before="120" w:after="120" w:line="240" w:lineRule="auto"/>
        <w:jc w:val="both"/>
        <w:rPr>
          <w:rFonts w:ascii="Times New Roman" w:eastAsia="Times New Roman" w:hAnsi="Times New Roman" w:cs="Times New Roman"/>
          <w:noProof/>
          <w:sz w:val="24"/>
          <w:szCs w:val="24"/>
        </w:rPr>
      </w:pPr>
      <w:bookmarkStart w:id="31" w:name="_Toc35506112"/>
      <w:r>
        <w:rPr>
          <w:rFonts w:ascii="Times New Roman" w:hAnsi="Times New Roman"/>
          <w:noProof/>
          <w:sz w:val="24"/>
          <w:szCs w:val="24"/>
        </w:rPr>
        <w:t>Поради причините, изложени в раздел 2, се предлага чрез настоящия ПКБ № 2 да бъдат предоставени 216,2 млн. евро за превенция, готовност и реакция във връзка с пандемията от COVID-19. Предвид липсата на маржове и на възможнос</w:t>
      </w:r>
      <w:r>
        <w:rPr>
          <w:rFonts w:ascii="Times New Roman" w:hAnsi="Times New Roman"/>
          <w:noProof/>
          <w:sz w:val="24"/>
          <w:szCs w:val="24"/>
        </w:rPr>
        <w:t>т за преразпределяне на средства по функция 2б от МФР, Комисията предлага да се мобилизира Инструментът за гъвкавост в съответствие с член 12 от Регламента за МФР</w:t>
      </w:r>
      <w:r>
        <w:rPr>
          <w:rStyle w:val="FootnoteReference"/>
          <w:rFonts w:ascii="Times New Roman" w:eastAsia="Times New Roman" w:hAnsi="Times New Roman" w:cs="Times New Roman"/>
          <w:noProof/>
          <w:sz w:val="24"/>
          <w:szCs w:val="24"/>
          <w:lang w:eastAsia="en-GB"/>
        </w:rPr>
        <w:footnoteReference w:id="22"/>
      </w:r>
      <w:r>
        <w:rPr>
          <w:rFonts w:ascii="Times New Roman" w:hAnsi="Times New Roman"/>
          <w:noProof/>
          <w:sz w:val="24"/>
          <w:szCs w:val="24"/>
        </w:rPr>
        <w:t>. Като се отчита прехвърлянето на двата пилотни проекта от функция 2б, посочено в раздел 8, И</w:t>
      </w:r>
      <w:r>
        <w:rPr>
          <w:rFonts w:ascii="Times New Roman" w:hAnsi="Times New Roman"/>
          <w:noProof/>
          <w:sz w:val="24"/>
          <w:szCs w:val="24"/>
        </w:rPr>
        <w:t xml:space="preserve">нструментът за гъвкавост за 2021 г. се мобилизира за предоставяне на бюджетни кредити за поети задължения в размер на 216 040 000 EUR за функция 2б „Устойчивост и ценности“. </w:t>
      </w:r>
    </w:p>
    <w:p w:rsidR="00343A61" w:rsidRDefault="00C85AE7">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Според изчисленията на Комисията бюджетните кредити за плащания за 2021 г., свърз</w:t>
      </w:r>
      <w:r>
        <w:rPr>
          <w:rFonts w:ascii="Times New Roman" w:hAnsi="Times New Roman"/>
          <w:noProof/>
          <w:sz w:val="24"/>
          <w:szCs w:val="24"/>
        </w:rPr>
        <w:t>ани с мобилизирането на Инструмента за гъвкавост през 2018 г., 2019 г., 2020 г. и 2021 г., възлизат на 836,6 млн. евро. Прогнозният график на плащанията за съответните неизплатени суми за тези години е представен подробно в таблицата по-долу:</w:t>
      </w:r>
    </w:p>
    <w:tbl>
      <w:tblPr>
        <w:tblW w:w="8008" w:type="dxa"/>
        <w:tblInd w:w="113" w:type="dxa"/>
        <w:tblLook w:val="04A0" w:firstRow="1" w:lastRow="0" w:firstColumn="1" w:lastColumn="0" w:noHBand="0" w:noVBand="1"/>
      </w:tblPr>
      <w:tblGrid>
        <w:gridCol w:w="2122"/>
        <w:gridCol w:w="1206"/>
        <w:gridCol w:w="1206"/>
        <w:gridCol w:w="1206"/>
        <w:gridCol w:w="992"/>
        <w:gridCol w:w="1276"/>
      </w:tblGrid>
      <w:tr w:rsidR="00343A61">
        <w:trPr>
          <w:trHeight w:val="290"/>
        </w:trPr>
        <w:tc>
          <w:tcPr>
            <w:tcW w:w="8008" w:type="dxa"/>
            <w:gridSpan w:val="6"/>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43A61" w:rsidRDefault="00C85AE7">
            <w:pPr>
              <w:spacing w:after="0" w:line="240" w:lineRule="auto"/>
              <w:jc w:val="center"/>
              <w:rPr>
                <w:rFonts w:ascii="Times New Roman" w:eastAsia="Times New Roman" w:hAnsi="Times New Roman" w:cs="Times New Roman"/>
                <w:b/>
                <w:iCs/>
                <w:noProof/>
                <w:color w:val="000000"/>
                <w:sz w:val="20"/>
                <w:szCs w:val="20"/>
              </w:rPr>
            </w:pPr>
            <w:r>
              <w:rPr>
                <w:rFonts w:ascii="Times New Roman" w:hAnsi="Times New Roman"/>
                <w:b/>
                <w:iCs/>
                <w:noProof/>
                <w:color w:val="000000"/>
                <w:sz w:val="20"/>
                <w:szCs w:val="20"/>
              </w:rPr>
              <w:t>Инструмент за</w:t>
            </w:r>
            <w:r>
              <w:rPr>
                <w:rFonts w:ascii="Times New Roman" w:hAnsi="Times New Roman"/>
                <w:b/>
                <w:iCs/>
                <w:noProof/>
                <w:color w:val="000000"/>
                <w:sz w:val="20"/>
                <w:szCs w:val="20"/>
              </w:rPr>
              <w:t xml:space="preserve"> гъвкавост — профил на плащанията</w:t>
            </w:r>
          </w:p>
        </w:tc>
      </w:tr>
      <w:tr w:rsidR="00343A61">
        <w:trPr>
          <w:trHeight w:val="280"/>
        </w:trPr>
        <w:tc>
          <w:tcPr>
            <w:tcW w:w="2122" w:type="dxa"/>
            <w:tcBorders>
              <w:top w:val="nil"/>
              <w:left w:val="single" w:sz="4" w:space="0" w:color="auto"/>
              <w:bottom w:val="single" w:sz="4" w:space="0" w:color="auto"/>
              <w:right w:val="single" w:sz="4" w:space="0" w:color="auto"/>
            </w:tcBorders>
            <w:shd w:val="pct15" w:color="auto" w:fill="auto"/>
            <w:noWrap/>
            <w:vAlign w:val="center"/>
            <w:hideMark/>
          </w:tcPr>
          <w:p w:rsidR="00343A61" w:rsidRDefault="00C85AE7">
            <w:pPr>
              <w:spacing w:after="0" w:line="240" w:lineRule="auto"/>
              <w:rPr>
                <w:rFonts w:ascii="Times New Roman" w:eastAsia="Times New Roman" w:hAnsi="Times New Roman" w:cs="Times New Roman"/>
                <w:b/>
                <w:i/>
                <w:iCs/>
                <w:noProof/>
                <w:color w:val="000000"/>
              </w:rPr>
            </w:pPr>
            <w:r>
              <w:rPr>
                <w:rFonts w:ascii="Times New Roman" w:hAnsi="Times New Roman"/>
                <w:b/>
                <w:i/>
                <w:iCs/>
                <w:noProof/>
                <w:color w:val="000000"/>
              </w:rPr>
              <w:t>Година на мобилизиране</w:t>
            </w:r>
          </w:p>
        </w:tc>
        <w:tc>
          <w:tcPr>
            <w:tcW w:w="1206" w:type="dxa"/>
            <w:tcBorders>
              <w:top w:val="nil"/>
              <w:left w:val="nil"/>
              <w:bottom w:val="single" w:sz="4" w:space="0" w:color="auto"/>
              <w:right w:val="single" w:sz="4" w:space="0" w:color="auto"/>
            </w:tcBorders>
            <w:shd w:val="pct15" w:color="auto" w:fill="auto"/>
            <w:noWrap/>
            <w:vAlign w:val="bottom"/>
            <w:hideMark/>
          </w:tcPr>
          <w:p w:rsidR="00343A61" w:rsidRDefault="00C85AE7">
            <w:pPr>
              <w:spacing w:after="0" w:line="240" w:lineRule="auto"/>
              <w:jc w:val="right"/>
              <w:rPr>
                <w:rFonts w:ascii="Times New Roman" w:eastAsia="Times New Roman" w:hAnsi="Times New Roman" w:cs="Times New Roman"/>
                <w:b/>
                <w:noProof/>
                <w:color w:val="000000"/>
              </w:rPr>
            </w:pPr>
            <w:r>
              <w:rPr>
                <w:rFonts w:ascii="Times New Roman" w:hAnsi="Times New Roman"/>
                <w:b/>
                <w:noProof/>
                <w:color w:val="000000"/>
              </w:rPr>
              <w:t>2021 г.</w:t>
            </w:r>
          </w:p>
        </w:tc>
        <w:tc>
          <w:tcPr>
            <w:tcW w:w="1206" w:type="dxa"/>
            <w:tcBorders>
              <w:top w:val="nil"/>
              <w:left w:val="nil"/>
              <w:bottom w:val="single" w:sz="4" w:space="0" w:color="auto"/>
              <w:right w:val="single" w:sz="4" w:space="0" w:color="auto"/>
            </w:tcBorders>
            <w:shd w:val="pct15" w:color="auto" w:fill="auto"/>
            <w:noWrap/>
            <w:vAlign w:val="bottom"/>
            <w:hideMark/>
          </w:tcPr>
          <w:p w:rsidR="00343A61" w:rsidRDefault="00C85AE7">
            <w:pPr>
              <w:spacing w:after="0" w:line="240" w:lineRule="auto"/>
              <w:jc w:val="right"/>
              <w:rPr>
                <w:rFonts w:ascii="Times New Roman" w:eastAsia="Times New Roman" w:hAnsi="Times New Roman" w:cs="Times New Roman"/>
                <w:b/>
                <w:noProof/>
                <w:color w:val="000000"/>
              </w:rPr>
            </w:pPr>
            <w:r>
              <w:rPr>
                <w:rFonts w:ascii="Times New Roman" w:hAnsi="Times New Roman"/>
                <w:b/>
                <w:noProof/>
                <w:color w:val="000000"/>
              </w:rPr>
              <w:t>2022 г.</w:t>
            </w:r>
          </w:p>
        </w:tc>
        <w:tc>
          <w:tcPr>
            <w:tcW w:w="1206" w:type="dxa"/>
            <w:tcBorders>
              <w:top w:val="nil"/>
              <w:left w:val="nil"/>
              <w:bottom w:val="single" w:sz="4" w:space="0" w:color="auto"/>
              <w:right w:val="single" w:sz="4" w:space="0" w:color="auto"/>
            </w:tcBorders>
            <w:shd w:val="pct15" w:color="auto" w:fill="auto"/>
            <w:noWrap/>
            <w:vAlign w:val="bottom"/>
            <w:hideMark/>
          </w:tcPr>
          <w:p w:rsidR="00343A61" w:rsidRDefault="00C85AE7">
            <w:pPr>
              <w:spacing w:after="0" w:line="240" w:lineRule="auto"/>
              <w:jc w:val="right"/>
              <w:rPr>
                <w:rFonts w:ascii="Times New Roman" w:eastAsia="Times New Roman" w:hAnsi="Times New Roman" w:cs="Times New Roman"/>
                <w:b/>
                <w:noProof/>
                <w:color w:val="000000"/>
              </w:rPr>
            </w:pPr>
            <w:r>
              <w:rPr>
                <w:rFonts w:ascii="Times New Roman" w:hAnsi="Times New Roman"/>
                <w:b/>
                <w:noProof/>
                <w:color w:val="000000"/>
              </w:rPr>
              <w:t>2023 г.</w:t>
            </w:r>
          </w:p>
        </w:tc>
        <w:tc>
          <w:tcPr>
            <w:tcW w:w="992" w:type="dxa"/>
            <w:tcBorders>
              <w:top w:val="nil"/>
              <w:left w:val="nil"/>
              <w:bottom w:val="single" w:sz="4" w:space="0" w:color="auto"/>
              <w:right w:val="single" w:sz="4" w:space="0" w:color="auto"/>
            </w:tcBorders>
            <w:shd w:val="pct15" w:color="auto" w:fill="auto"/>
            <w:noWrap/>
            <w:vAlign w:val="bottom"/>
            <w:hideMark/>
          </w:tcPr>
          <w:p w:rsidR="00343A61" w:rsidRDefault="00C85AE7">
            <w:pPr>
              <w:spacing w:after="0" w:line="240" w:lineRule="auto"/>
              <w:jc w:val="right"/>
              <w:rPr>
                <w:rFonts w:ascii="Times New Roman" w:eastAsia="Times New Roman" w:hAnsi="Times New Roman" w:cs="Times New Roman"/>
                <w:b/>
                <w:noProof/>
                <w:color w:val="000000"/>
              </w:rPr>
            </w:pPr>
            <w:r>
              <w:rPr>
                <w:rFonts w:ascii="Times New Roman" w:hAnsi="Times New Roman"/>
                <w:b/>
                <w:noProof/>
                <w:color w:val="000000"/>
              </w:rPr>
              <w:t>2024 г.</w:t>
            </w:r>
          </w:p>
        </w:tc>
        <w:tc>
          <w:tcPr>
            <w:tcW w:w="1276" w:type="dxa"/>
            <w:tcBorders>
              <w:top w:val="nil"/>
              <w:left w:val="nil"/>
              <w:bottom w:val="single" w:sz="4" w:space="0" w:color="auto"/>
              <w:right w:val="single" w:sz="4" w:space="0" w:color="auto"/>
            </w:tcBorders>
            <w:shd w:val="pct15" w:color="auto" w:fill="auto"/>
            <w:noWrap/>
            <w:vAlign w:val="bottom"/>
            <w:hideMark/>
          </w:tcPr>
          <w:p w:rsidR="00343A61" w:rsidRDefault="00C85AE7">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Общо</w:t>
            </w:r>
          </w:p>
        </w:tc>
      </w:tr>
      <w:tr w:rsidR="00343A61">
        <w:trPr>
          <w:trHeight w:val="28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343A61" w:rsidRDefault="00C85AE7">
            <w:pPr>
              <w:spacing w:after="0" w:line="240" w:lineRule="auto"/>
              <w:rPr>
                <w:rFonts w:ascii="Times New Roman" w:eastAsia="Times New Roman" w:hAnsi="Times New Roman" w:cs="Times New Roman"/>
                <w:noProof/>
                <w:color w:val="000000"/>
              </w:rPr>
            </w:pPr>
            <w:r>
              <w:rPr>
                <w:rFonts w:ascii="Times New Roman" w:hAnsi="Times New Roman"/>
                <w:noProof/>
                <w:color w:val="000000"/>
              </w:rPr>
              <w:t>2018 г.</w:t>
            </w:r>
          </w:p>
        </w:tc>
        <w:tc>
          <w:tcPr>
            <w:tcW w:w="1206" w:type="dxa"/>
            <w:tcBorders>
              <w:top w:val="nil"/>
              <w:left w:val="nil"/>
              <w:bottom w:val="single" w:sz="4" w:space="0" w:color="auto"/>
              <w:right w:val="single" w:sz="4" w:space="0" w:color="auto"/>
            </w:tcBorders>
            <w:shd w:val="clear" w:color="auto" w:fill="auto"/>
            <w:noWrap/>
            <w:hideMark/>
          </w:tcPr>
          <w:p w:rsidR="00343A61" w:rsidRDefault="00C85AE7">
            <w:pPr>
              <w:spacing w:after="0" w:line="240" w:lineRule="auto"/>
              <w:jc w:val="right"/>
              <w:rPr>
                <w:rFonts w:ascii="Times New Roman" w:eastAsia="Times New Roman" w:hAnsi="Times New Roman" w:cs="Times New Roman"/>
                <w:noProof/>
                <w:color w:val="000000"/>
              </w:rPr>
            </w:pPr>
            <w:r>
              <w:rPr>
                <w:rFonts w:ascii="Times New Roman" w:hAnsi="Times New Roman"/>
                <w:noProof/>
              </w:rPr>
              <w:t>34,2</w:t>
            </w:r>
          </w:p>
        </w:tc>
        <w:tc>
          <w:tcPr>
            <w:tcW w:w="1206" w:type="dxa"/>
            <w:tcBorders>
              <w:top w:val="nil"/>
              <w:left w:val="nil"/>
              <w:bottom w:val="single" w:sz="4" w:space="0" w:color="auto"/>
              <w:right w:val="single" w:sz="4" w:space="0" w:color="auto"/>
            </w:tcBorders>
            <w:shd w:val="clear" w:color="auto" w:fill="auto"/>
            <w:noWrap/>
            <w:hideMark/>
          </w:tcPr>
          <w:p w:rsidR="00343A61" w:rsidRDefault="00C85AE7">
            <w:pPr>
              <w:spacing w:after="0" w:line="240" w:lineRule="auto"/>
              <w:jc w:val="right"/>
              <w:rPr>
                <w:rFonts w:ascii="Times New Roman" w:eastAsia="Times New Roman" w:hAnsi="Times New Roman" w:cs="Times New Roman"/>
                <w:noProof/>
                <w:color w:val="000000"/>
              </w:rPr>
            </w:pPr>
            <w:r>
              <w:rPr>
                <w:rFonts w:ascii="Times New Roman" w:hAnsi="Times New Roman"/>
                <w:noProof/>
              </w:rPr>
              <w:t>0,0</w:t>
            </w:r>
          </w:p>
        </w:tc>
        <w:tc>
          <w:tcPr>
            <w:tcW w:w="1206" w:type="dxa"/>
            <w:tcBorders>
              <w:top w:val="nil"/>
              <w:left w:val="nil"/>
              <w:bottom w:val="single" w:sz="4" w:space="0" w:color="auto"/>
              <w:right w:val="single" w:sz="4" w:space="0" w:color="auto"/>
            </w:tcBorders>
            <w:shd w:val="clear" w:color="auto" w:fill="auto"/>
            <w:noWrap/>
            <w:hideMark/>
          </w:tcPr>
          <w:p w:rsidR="00343A61" w:rsidRDefault="00C85AE7">
            <w:pPr>
              <w:spacing w:after="0" w:line="240" w:lineRule="auto"/>
              <w:jc w:val="right"/>
              <w:rPr>
                <w:rFonts w:ascii="Times New Roman" w:eastAsia="Times New Roman" w:hAnsi="Times New Roman" w:cs="Times New Roman"/>
                <w:noProof/>
                <w:color w:val="000000"/>
              </w:rPr>
            </w:pPr>
            <w:r>
              <w:rPr>
                <w:rFonts w:ascii="Times New Roman" w:hAnsi="Times New Roman"/>
                <w:noProof/>
              </w:rPr>
              <w:t>0,0</w:t>
            </w:r>
          </w:p>
        </w:tc>
        <w:tc>
          <w:tcPr>
            <w:tcW w:w="992" w:type="dxa"/>
            <w:tcBorders>
              <w:top w:val="nil"/>
              <w:left w:val="nil"/>
              <w:bottom w:val="single" w:sz="4" w:space="0" w:color="auto"/>
              <w:right w:val="single" w:sz="4" w:space="0" w:color="auto"/>
            </w:tcBorders>
            <w:shd w:val="clear" w:color="auto" w:fill="auto"/>
            <w:noWrap/>
            <w:hideMark/>
          </w:tcPr>
          <w:p w:rsidR="00343A61" w:rsidRDefault="00C85AE7">
            <w:pPr>
              <w:spacing w:after="0" w:line="240" w:lineRule="auto"/>
              <w:jc w:val="right"/>
              <w:rPr>
                <w:rFonts w:ascii="Times New Roman" w:eastAsia="Times New Roman" w:hAnsi="Times New Roman" w:cs="Times New Roman"/>
                <w:noProof/>
                <w:color w:val="000000"/>
              </w:rPr>
            </w:pPr>
            <w:r>
              <w:rPr>
                <w:rFonts w:ascii="Times New Roman" w:hAnsi="Times New Roman"/>
                <w:noProof/>
              </w:rPr>
              <w:t>0,0</w:t>
            </w:r>
          </w:p>
        </w:tc>
        <w:tc>
          <w:tcPr>
            <w:tcW w:w="1276" w:type="dxa"/>
            <w:tcBorders>
              <w:top w:val="nil"/>
              <w:left w:val="nil"/>
              <w:bottom w:val="single" w:sz="4" w:space="0" w:color="auto"/>
              <w:right w:val="single" w:sz="4" w:space="0" w:color="auto"/>
            </w:tcBorders>
            <w:shd w:val="clear" w:color="auto" w:fill="auto"/>
            <w:noWrap/>
            <w:hideMark/>
          </w:tcPr>
          <w:p w:rsidR="00343A61" w:rsidRDefault="00C85AE7">
            <w:pPr>
              <w:spacing w:after="0" w:line="240" w:lineRule="auto"/>
              <w:jc w:val="right"/>
              <w:rPr>
                <w:rFonts w:ascii="Times New Roman" w:eastAsia="Times New Roman" w:hAnsi="Times New Roman" w:cs="Times New Roman"/>
                <w:b/>
                <w:bCs/>
                <w:noProof/>
                <w:color w:val="000000"/>
              </w:rPr>
            </w:pPr>
            <w:r>
              <w:rPr>
                <w:rFonts w:ascii="Times New Roman" w:hAnsi="Times New Roman"/>
                <w:noProof/>
              </w:rPr>
              <w:t>34,2</w:t>
            </w:r>
          </w:p>
        </w:tc>
      </w:tr>
      <w:tr w:rsidR="00343A61">
        <w:trPr>
          <w:trHeight w:val="28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343A61" w:rsidRDefault="00C85AE7">
            <w:pPr>
              <w:spacing w:after="0" w:line="240" w:lineRule="auto"/>
              <w:rPr>
                <w:rFonts w:ascii="Times New Roman" w:eastAsia="Times New Roman" w:hAnsi="Times New Roman" w:cs="Times New Roman"/>
                <w:noProof/>
                <w:color w:val="000000"/>
              </w:rPr>
            </w:pPr>
            <w:r>
              <w:rPr>
                <w:rFonts w:ascii="Times New Roman" w:hAnsi="Times New Roman"/>
                <w:noProof/>
                <w:color w:val="000000"/>
              </w:rPr>
              <w:t>2019 г.</w:t>
            </w:r>
          </w:p>
        </w:tc>
        <w:tc>
          <w:tcPr>
            <w:tcW w:w="1206" w:type="dxa"/>
            <w:tcBorders>
              <w:top w:val="nil"/>
              <w:left w:val="nil"/>
              <w:bottom w:val="single" w:sz="4" w:space="0" w:color="auto"/>
              <w:right w:val="single" w:sz="4" w:space="0" w:color="auto"/>
            </w:tcBorders>
            <w:shd w:val="clear" w:color="auto" w:fill="auto"/>
            <w:noWrap/>
            <w:hideMark/>
          </w:tcPr>
          <w:p w:rsidR="00343A61" w:rsidRDefault="00C85AE7">
            <w:pPr>
              <w:spacing w:after="0" w:line="240" w:lineRule="auto"/>
              <w:jc w:val="right"/>
              <w:rPr>
                <w:rFonts w:ascii="Times New Roman" w:eastAsia="Times New Roman" w:hAnsi="Times New Roman" w:cs="Times New Roman"/>
                <w:noProof/>
                <w:color w:val="000000"/>
              </w:rPr>
            </w:pPr>
            <w:r>
              <w:rPr>
                <w:rFonts w:ascii="Times New Roman" w:hAnsi="Times New Roman"/>
                <w:noProof/>
              </w:rPr>
              <w:t>135,2</w:t>
            </w:r>
          </w:p>
        </w:tc>
        <w:tc>
          <w:tcPr>
            <w:tcW w:w="1206" w:type="dxa"/>
            <w:tcBorders>
              <w:top w:val="nil"/>
              <w:left w:val="nil"/>
              <w:bottom w:val="single" w:sz="4" w:space="0" w:color="auto"/>
              <w:right w:val="single" w:sz="4" w:space="0" w:color="auto"/>
            </w:tcBorders>
            <w:shd w:val="clear" w:color="auto" w:fill="auto"/>
            <w:noWrap/>
            <w:hideMark/>
          </w:tcPr>
          <w:p w:rsidR="00343A61" w:rsidRDefault="00C85AE7">
            <w:pPr>
              <w:spacing w:after="0" w:line="240" w:lineRule="auto"/>
              <w:jc w:val="right"/>
              <w:rPr>
                <w:rFonts w:ascii="Times New Roman" w:eastAsia="Times New Roman" w:hAnsi="Times New Roman" w:cs="Times New Roman"/>
                <w:noProof/>
                <w:color w:val="000000"/>
              </w:rPr>
            </w:pPr>
            <w:r>
              <w:rPr>
                <w:rFonts w:ascii="Times New Roman" w:hAnsi="Times New Roman"/>
                <w:noProof/>
              </w:rPr>
              <w:t>140,9</w:t>
            </w:r>
          </w:p>
        </w:tc>
        <w:tc>
          <w:tcPr>
            <w:tcW w:w="1206" w:type="dxa"/>
            <w:tcBorders>
              <w:top w:val="nil"/>
              <w:left w:val="nil"/>
              <w:bottom w:val="single" w:sz="4" w:space="0" w:color="auto"/>
              <w:right w:val="single" w:sz="4" w:space="0" w:color="auto"/>
            </w:tcBorders>
            <w:shd w:val="clear" w:color="auto" w:fill="auto"/>
            <w:noWrap/>
            <w:hideMark/>
          </w:tcPr>
          <w:p w:rsidR="00343A61" w:rsidRDefault="00C85AE7">
            <w:pPr>
              <w:spacing w:after="0" w:line="240" w:lineRule="auto"/>
              <w:jc w:val="right"/>
              <w:rPr>
                <w:rFonts w:ascii="Times New Roman" w:eastAsia="Times New Roman" w:hAnsi="Times New Roman" w:cs="Times New Roman"/>
                <w:noProof/>
                <w:color w:val="000000"/>
              </w:rPr>
            </w:pPr>
            <w:r>
              <w:rPr>
                <w:rFonts w:ascii="Times New Roman" w:hAnsi="Times New Roman"/>
                <w:noProof/>
              </w:rPr>
              <w:t>82,2</w:t>
            </w:r>
          </w:p>
        </w:tc>
        <w:tc>
          <w:tcPr>
            <w:tcW w:w="992" w:type="dxa"/>
            <w:tcBorders>
              <w:top w:val="nil"/>
              <w:left w:val="nil"/>
              <w:bottom w:val="single" w:sz="4" w:space="0" w:color="auto"/>
              <w:right w:val="single" w:sz="4" w:space="0" w:color="auto"/>
            </w:tcBorders>
            <w:shd w:val="clear" w:color="auto" w:fill="auto"/>
            <w:noWrap/>
            <w:hideMark/>
          </w:tcPr>
          <w:p w:rsidR="00343A61" w:rsidRDefault="00C85AE7">
            <w:pPr>
              <w:spacing w:after="0" w:line="240" w:lineRule="auto"/>
              <w:jc w:val="right"/>
              <w:rPr>
                <w:rFonts w:ascii="Times New Roman" w:eastAsia="Times New Roman" w:hAnsi="Times New Roman" w:cs="Times New Roman"/>
                <w:noProof/>
                <w:color w:val="000000"/>
              </w:rPr>
            </w:pPr>
            <w:r>
              <w:rPr>
                <w:rFonts w:ascii="Times New Roman" w:hAnsi="Times New Roman"/>
                <w:noProof/>
              </w:rPr>
              <w:t>0,0</w:t>
            </w:r>
          </w:p>
        </w:tc>
        <w:tc>
          <w:tcPr>
            <w:tcW w:w="1276" w:type="dxa"/>
            <w:tcBorders>
              <w:top w:val="nil"/>
              <w:left w:val="nil"/>
              <w:bottom w:val="single" w:sz="4" w:space="0" w:color="auto"/>
              <w:right w:val="single" w:sz="4" w:space="0" w:color="auto"/>
            </w:tcBorders>
            <w:shd w:val="clear" w:color="auto" w:fill="auto"/>
            <w:noWrap/>
            <w:hideMark/>
          </w:tcPr>
          <w:p w:rsidR="00343A61" w:rsidRDefault="00C85AE7">
            <w:pPr>
              <w:spacing w:after="0" w:line="240" w:lineRule="auto"/>
              <w:jc w:val="right"/>
              <w:rPr>
                <w:rFonts w:ascii="Times New Roman" w:eastAsia="Times New Roman" w:hAnsi="Times New Roman" w:cs="Times New Roman"/>
                <w:b/>
                <w:bCs/>
                <w:noProof/>
                <w:color w:val="000000"/>
              </w:rPr>
            </w:pPr>
            <w:r>
              <w:rPr>
                <w:rFonts w:ascii="Times New Roman" w:hAnsi="Times New Roman"/>
                <w:noProof/>
              </w:rPr>
              <w:t>358,4</w:t>
            </w:r>
          </w:p>
        </w:tc>
      </w:tr>
      <w:tr w:rsidR="00343A61">
        <w:trPr>
          <w:trHeight w:val="28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343A61" w:rsidRDefault="00C85AE7">
            <w:pPr>
              <w:spacing w:after="0" w:line="240" w:lineRule="auto"/>
              <w:rPr>
                <w:rFonts w:ascii="Times New Roman" w:eastAsia="Times New Roman" w:hAnsi="Times New Roman" w:cs="Times New Roman"/>
                <w:noProof/>
                <w:color w:val="000000"/>
              </w:rPr>
            </w:pPr>
            <w:r>
              <w:rPr>
                <w:rFonts w:ascii="Times New Roman" w:hAnsi="Times New Roman"/>
                <w:noProof/>
                <w:color w:val="000000"/>
              </w:rPr>
              <w:t>2020 г.</w:t>
            </w:r>
          </w:p>
        </w:tc>
        <w:tc>
          <w:tcPr>
            <w:tcW w:w="1206" w:type="dxa"/>
            <w:tcBorders>
              <w:top w:val="nil"/>
              <w:left w:val="nil"/>
              <w:bottom w:val="single" w:sz="4" w:space="0" w:color="auto"/>
              <w:right w:val="single" w:sz="4" w:space="0" w:color="auto"/>
            </w:tcBorders>
            <w:shd w:val="clear" w:color="auto" w:fill="auto"/>
            <w:noWrap/>
            <w:hideMark/>
          </w:tcPr>
          <w:p w:rsidR="00343A61" w:rsidRDefault="00C85AE7">
            <w:pPr>
              <w:spacing w:after="0" w:line="240" w:lineRule="auto"/>
              <w:jc w:val="right"/>
              <w:rPr>
                <w:rFonts w:ascii="Times New Roman" w:eastAsia="Times New Roman" w:hAnsi="Times New Roman" w:cs="Times New Roman"/>
                <w:noProof/>
                <w:color w:val="000000"/>
              </w:rPr>
            </w:pPr>
            <w:r>
              <w:rPr>
                <w:rFonts w:ascii="Times New Roman" w:hAnsi="Times New Roman"/>
                <w:noProof/>
              </w:rPr>
              <w:t>413,7</w:t>
            </w:r>
          </w:p>
        </w:tc>
        <w:tc>
          <w:tcPr>
            <w:tcW w:w="1206" w:type="dxa"/>
            <w:tcBorders>
              <w:top w:val="nil"/>
              <w:left w:val="nil"/>
              <w:bottom w:val="single" w:sz="4" w:space="0" w:color="auto"/>
              <w:right w:val="single" w:sz="4" w:space="0" w:color="auto"/>
            </w:tcBorders>
            <w:shd w:val="clear" w:color="auto" w:fill="auto"/>
            <w:noWrap/>
            <w:hideMark/>
          </w:tcPr>
          <w:p w:rsidR="00343A61" w:rsidRDefault="00C85AE7">
            <w:pPr>
              <w:spacing w:after="0" w:line="240" w:lineRule="auto"/>
              <w:jc w:val="right"/>
              <w:rPr>
                <w:rFonts w:ascii="Times New Roman" w:eastAsia="Times New Roman" w:hAnsi="Times New Roman" w:cs="Times New Roman"/>
                <w:noProof/>
                <w:color w:val="000000"/>
              </w:rPr>
            </w:pPr>
            <w:r>
              <w:rPr>
                <w:rFonts w:ascii="Times New Roman" w:hAnsi="Times New Roman"/>
                <w:noProof/>
              </w:rPr>
              <w:t>66,2</w:t>
            </w:r>
          </w:p>
        </w:tc>
        <w:tc>
          <w:tcPr>
            <w:tcW w:w="1206" w:type="dxa"/>
            <w:tcBorders>
              <w:top w:val="nil"/>
              <w:left w:val="nil"/>
              <w:bottom w:val="single" w:sz="4" w:space="0" w:color="auto"/>
              <w:right w:val="single" w:sz="4" w:space="0" w:color="auto"/>
            </w:tcBorders>
            <w:shd w:val="clear" w:color="auto" w:fill="auto"/>
            <w:noWrap/>
            <w:hideMark/>
          </w:tcPr>
          <w:p w:rsidR="00343A61" w:rsidRDefault="00C85AE7">
            <w:pPr>
              <w:spacing w:after="0" w:line="240" w:lineRule="auto"/>
              <w:jc w:val="right"/>
              <w:rPr>
                <w:rFonts w:ascii="Times New Roman" w:eastAsia="Times New Roman" w:hAnsi="Times New Roman" w:cs="Times New Roman"/>
                <w:noProof/>
                <w:color w:val="000000"/>
              </w:rPr>
            </w:pPr>
            <w:r>
              <w:rPr>
                <w:rFonts w:ascii="Times New Roman" w:hAnsi="Times New Roman"/>
                <w:noProof/>
              </w:rPr>
              <w:t>39,9</w:t>
            </w:r>
          </w:p>
        </w:tc>
        <w:tc>
          <w:tcPr>
            <w:tcW w:w="992" w:type="dxa"/>
            <w:tcBorders>
              <w:top w:val="nil"/>
              <w:left w:val="nil"/>
              <w:bottom w:val="single" w:sz="4" w:space="0" w:color="auto"/>
              <w:right w:val="single" w:sz="4" w:space="0" w:color="auto"/>
            </w:tcBorders>
            <w:shd w:val="clear" w:color="auto" w:fill="auto"/>
            <w:noWrap/>
            <w:hideMark/>
          </w:tcPr>
          <w:p w:rsidR="00343A61" w:rsidRDefault="00C85AE7">
            <w:pPr>
              <w:spacing w:after="0" w:line="240" w:lineRule="auto"/>
              <w:jc w:val="right"/>
              <w:rPr>
                <w:rFonts w:ascii="Times New Roman" w:eastAsia="Times New Roman" w:hAnsi="Times New Roman" w:cs="Times New Roman"/>
                <w:noProof/>
                <w:color w:val="000000"/>
              </w:rPr>
            </w:pPr>
            <w:r>
              <w:rPr>
                <w:rFonts w:ascii="Times New Roman" w:hAnsi="Times New Roman"/>
                <w:noProof/>
              </w:rPr>
              <w:t>0,0</w:t>
            </w:r>
          </w:p>
        </w:tc>
        <w:tc>
          <w:tcPr>
            <w:tcW w:w="1276" w:type="dxa"/>
            <w:tcBorders>
              <w:top w:val="nil"/>
              <w:left w:val="nil"/>
              <w:bottom w:val="single" w:sz="4" w:space="0" w:color="auto"/>
              <w:right w:val="single" w:sz="4" w:space="0" w:color="auto"/>
            </w:tcBorders>
            <w:shd w:val="clear" w:color="auto" w:fill="auto"/>
            <w:noWrap/>
            <w:hideMark/>
          </w:tcPr>
          <w:p w:rsidR="00343A61" w:rsidRDefault="00C85AE7">
            <w:pPr>
              <w:spacing w:after="0" w:line="240" w:lineRule="auto"/>
              <w:jc w:val="right"/>
              <w:rPr>
                <w:rFonts w:ascii="Times New Roman" w:eastAsia="Times New Roman" w:hAnsi="Times New Roman" w:cs="Times New Roman"/>
                <w:b/>
                <w:bCs/>
                <w:noProof/>
                <w:color w:val="000000"/>
              </w:rPr>
            </w:pPr>
            <w:r>
              <w:rPr>
                <w:rFonts w:ascii="Times New Roman" w:hAnsi="Times New Roman"/>
                <w:noProof/>
              </w:rPr>
              <w:t>519,8</w:t>
            </w:r>
          </w:p>
        </w:tc>
      </w:tr>
      <w:tr w:rsidR="00343A61">
        <w:trPr>
          <w:trHeight w:val="28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343A61" w:rsidRDefault="00C85AE7">
            <w:pPr>
              <w:spacing w:after="0" w:line="240" w:lineRule="auto"/>
              <w:rPr>
                <w:rFonts w:ascii="Times New Roman" w:eastAsia="Times New Roman" w:hAnsi="Times New Roman" w:cs="Times New Roman"/>
                <w:noProof/>
                <w:color w:val="000000"/>
              </w:rPr>
            </w:pPr>
            <w:r>
              <w:rPr>
                <w:rFonts w:ascii="Times New Roman" w:hAnsi="Times New Roman"/>
                <w:noProof/>
                <w:color w:val="000000"/>
              </w:rPr>
              <w:t>2021 г.</w:t>
            </w:r>
          </w:p>
        </w:tc>
        <w:tc>
          <w:tcPr>
            <w:tcW w:w="1206" w:type="dxa"/>
            <w:tcBorders>
              <w:top w:val="nil"/>
              <w:left w:val="nil"/>
              <w:bottom w:val="single" w:sz="4" w:space="0" w:color="auto"/>
              <w:right w:val="single" w:sz="4" w:space="0" w:color="auto"/>
            </w:tcBorders>
            <w:shd w:val="clear" w:color="auto" w:fill="auto"/>
            <w:noWrap/>
            <w:hideMark/>
          </w:tcPr>
          <w:p w:rsidR="00343A61" w:rsidRDefault="00C85AE7">
            <w:pPr>
              <w:spacing w:after="0" w:line="240" w:lineRule="auto"/>
              <w:jc w:val="right"/>
              <w:rPr>
                <w:rFonts w:ascii="Times New Roman" w:eastAsia="Times New Roman" w:hAnsi="Times New Roman" w:cs="Times New Roman"/>
                <w:noProof/>
                <w:color w:val="000000"/>
              </w:rPr>
            </w:pPr>
            <w:r>
              <w:rPr>
                <w:rFonts w:ascii="Times New Roman" w:hAnsi="Times New Roman"/>
                <w:noProof/>
              </w:rPr>
              <w:t>253,5</w:t>
            </w:r>
          </w:p>
        </w:tc>
        <w:tc>
          <w:tcPr>
            <w:tcW w:w="1206" w:type="dxa"/>
            <w:tcBorders>
              <w:top w:val="nil"/>
              <w:left w:val="nil"/>
              <w:bottom w:val="single" w:sz="4" w:space="0" w:color="auto"/>
              <w:right w:val="single" w:sz="4" w:space="0" w:color="auto"/>
            </w:tcBorders>
            <w:shd w:val="clear" w:color="auto" w:fill="auto"/>
            <w:noWrap/>
            <w:hideMark/>
          </w:tcPr>
          <w:p w:rsidR="00343A61" w:rsidRDefault="00C85AE7">
            <w:pPr>
              <w:spacing w:after="0" w:line="240" w:lineRule="auto"/>
              <w:jc w:val="right"/>
              <w:rPr>
                <w:rFonts w:ascii="Times New Roman" w:eastAsia="Times New Roman" w:hAnsi="Times New Roman" w:cs="Times New Roman"/>
                <w:noProof/>
                <w:color w:val="000000"/>
              </w:rPr>
            </w:pPr>
            <w:r>
              <w:rPr>
                <w:rFonts w:ascii="Times New Roman" w:hAnsi="Times New Roman"/>
                <w:noProof/>
              </w:rPr>
              <w:t>20,9</w:t>
            </w:r>
          </w:p>
        </w:tc>
        <w:tc>
          <w:tcPr>
            <w:tcW w:w="1206" w:type="dxa"/>
            <w:tcBorders>
              <w:top w:val="nil"/>
              <w:left w:val="nil"/>
              <w:bottom w:val="single" w:sz="4" w:space="0" w:color="auto"/>
              <w:right w:val="single" w:sz="4" w:space="0" w:color="auto"/>
            </w:tcBorders>
            <w:shd w:val="clear" w:color="auto" w:fill="auto"/>
            <w:noWrap/>
            <w:hideMark/>
          </w:tcPr>
          <w:p w:rsidR="00343A61" w:rsidRDefault="00C85AE7">
            <w:pPr>
              <w:spacing w:after="0" w:line="240" w:lineRule="auto"/>
              <w:jc w:val="right"/>
              <w:rPr>
                <w:rFonts w:ascii="Times New Roman" w:eastAsia="Times New Roman" w:hAnsi="Times New Roman" w:cs="Times New Roman"/>
                <w:noProof/>
                <w:color w:val="000000"/>
              </w:rPr>
            </w:pPr>
            <w:r>
              <w:rPr>
                <w:rFonts w:ascii="Times New Roman" w:hAnsi="Times New Roman"/>
                <w:noProof/>
              </w:rPr>
              <w:t>10,3</w:t>
            </w:r>
          </w:p>
        </w:tc>
        <w:tc>
          <w:tcPr>
            <w:tcW w:w="992" w:type="dxa"/>
            <w:tcBorders>
              <w:top w:val="nil"/>
              <w:left w:val="nil"/>
              <w:bottom w:val="single" w:sz="4" w:space="0" w:color="auto"/>
              <w:right w:val="single" w:sz="4" w:space="0" w:color="auto"/>
            </w:tcBorders>
            <w:shd w:val="clear" w:color="auto" w:fill="auto"/>
            <w:noWrap/>
            <w:hideMark/>
          </w:tcPr>
          <w:p w:rsidR="00343A61" w:rsidRDefault="00C85AE7">
            <w:pPr>
              <w:spacing w:after="0" w:line="240" w:lineRule="auto"/>
              <w:jc w:val="right"/>
              <w:rPr>
                <w:rFonts w:ascii="Times New Roman" w:eastAsia="Times New Roman" w:hAnsi="Times New Roman" w:cs="Times New Roman"/>
                <w:noProof/>
                <w:color w:val="000000"/>
              </w:rPr>
            </w:pPr>
            <w:r>
              <w:rPr>
                <w:rFonts w:ascii="Times New Roman" w:hAnsi="Times New Roman"/>
                <w:noProof/>
              </w:rPr>
              <w:t>7,6</w:t>
            </w:r>
          </w:p>
        </w:tc>
        <w:tc>
          <w:tcPr>
            <w:tcW w:w="1276" w:type="dxa"/>
            <w:tcBorders>
              <w:top w:val="nil"/>
              <w:left w:val="nil"/>
              <w:bottom w:val="single" w:sz="4" w:space="0" w:color="auto"/>
              <w:right w:val="single" w:sz="4" w:space="0" w:color="auto"/>
            </w:tcBorders>
            <w:shd w:val="clear" w:color="auto" w:fill="auto"/>
            <w:noWrap/>
            <w:hideMark/>
          </w:tcPr>
          <w:p w:rsidR="00343A61" w:rsidRDefault="00C85AE7">
            <w:pPr>
              <w:spacing w:after="0" w:line="240" w:lineRule="auto"/>
              <w:jc w:val="right"/>
              <w:rPr>
                <w:rFonts w:ascii="Times New Roman" w:eastAsia="Times New Roman" w:hAnsi="Times New Roman" w:cs="Times New Roman"/>
                <w:b/>
                <w:bCs/>
                <w:noProof/>
                <w:color w:val="000000"/>
              </w:rPr>
            </w:pPr>
            <w:r>
              <w:rPr>
                <w:rFonts w:ascii="Times New Roman" w:hAnsi="Times New Roman"/>
                <w:noProof/>
              </w:rPr>
              <w:t>292,4</w:t>
            </w:r>
          </w:p>
        </w:tc>
      </w:tr>
      <w:tr w:rsidR="00343A61">
        <w:trPr>
          <w:trHeight w:val="280"/>
        </w:trPr>
        <w:tc>
          <w:tcPr>
            <w:tcW w:w="212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343A61" w:rsidRDefault="00C85AE7">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Общо</w:t>
            </w:r>
          </w:p>
        </w:tc>
        <w:tc>
          <w:tcPr>
            <w:tcW w:w="1206" w:type="dxa"/>
            <w:tcBorders>
              <w:top w:val="nil"/>
              <w:left w:val="nil"/>
              <w:bottom w:val="single" w:sz="4" w:space="0" w:color="auto"/>
              <w:right w:val="single" w:sz="4" w:space="0" w:color="auto"/>
            </w:tcBorders>
            <w:shd w:val="clear" w:color="auto" w:fill="D9D9D9" w:themeFill="background1" w:themeFillShade="D9"/>
            <w:noWrap/>
            <w:hideMark/>
          </w:tcPr>
          <w:p w:rsidR="00343A61" w:rsidRDefault="00C85AE7">
            <w:pPr>
              <w:spacing w:after="0" w:line="240" w:lineRule="auto"/>
              <w:jc w:val="right"/>
              <w:rPr>
                <w:rFonts w:ascii="Times New Roman" w:eastAsia="Times New Roman" w:hAnsi="Times New Roman" w:cs="Times New Roman"/>
                <w:b/>
                <w:bCs/>
                <w:noProof/>
                <w:color w:val="000000"/>
              </w:rPr>
            </w:pPr>
            <w:r>
              <w:rPr>
                <w:rFonts w:ascii="Times New Roman" w:hAnsi="Times New Roman"/>
                <w:b/>
                <w:noProof/>
              </w:rPr>
              <w:t>836,6</w:t>
            </w:r>
          </w:p>
        </w:tc>
        <w:tc>
          <w:tcPr>
            <w:tcW w:w="1206" w:type="dxa"/>
            <w:tcBorders>
              <w:top w:val="nil"/>
              <w:left w:val="nil"/>
              <w:bottom w:val="single" w:sz="4" w:space="0" w:color="auto"/>
              <w:right w:val="single" w:sz="4" w:space="0" w:color="auto"/>
            </w:tcBorders>
            <w:shd w:val="clear" w:color="auto" w:fill="D9D9D9" w:themeFill="background1" w:themeFillShade="D9"/>
            <w:noWrap/>
            <w:hideMark/>
          </w:tcPr>
          <w:p w:rsidR="00343A61" w:rsidRDefault="00C85AE7">
            <w:pPr>
              <w:spacing w:after="0" w:line="240" w:lineRule="auto"/>
              <w:jc w:val="right"/>
              <w:rPr>
                <w:rFonts w:ascii="Times New Roman" w:eastAsia="Times New Roman" w:hAnsi="Times New Roman" w:cs="Times New Roman"/>
                <w:b/>
                <w:bCs/>
                <w:noProof/>
                <w:color w:val="000000"/>
              </w:rPr>
            </w:pPr>
            <w:r>
              <w:rPr>
                <w:rFonts w:ascii="Times New Roman" w:hAnsi="Times New Roman"/>
                <w:b/>
                <w:noProof/>
              </w:rPr>
              <w:t>228,0</w:t>
            </w:r>
          </w:p>
        </w:tc>
        <w:tc>
          <w:tcPr>
            <w:tcW w:w="1206" w:type="dxa"/>
            <w:tcBorders>
              <w:top w:val="nil"/>
              <w:left w:val="nil"/>
              <w:bottom w:val="single" w:sz="4" w:space="0" w:color="auto"/>
              <w:right w:val="single" w:sz="4" w:space="0" w:color="auto"/>
            </w:tcBorders>
            <w:shd w:val="clear" w:color="auto" w:fill="D9D9D9" w:themeFill="background1" w:themeFillShade="D9"/>
            <w:noWrap/>
            <w:hideMark/>
          </w:tcPr>
          <w:p w:rsidR="00343A61" w:rsidRDefault="00C85AE7">
            <w:pPr>
              <w:spacing w:after="0" w:line="240" w:lineRule="auto"/>
              <w:jc w:val="right"/>
              <w:rPr>
                <w:rFonts w:ascii="Times New Roman" w:eastAsia="Times New Roman" w:hAnsi="Times New Roman" w:cs="Times New Roman"/>
                <w:b/>
                <w:bCs/>
                <w:noProof/>
                <w:color w:val="000000"/>
              </w:rPr>
            </w:pPr>
            <w:r>
              <w:rPr>
                <w:rFonts w:ascii="Times New Roman" w:hAnsi="Times New Roman"/>
                <w:b/>
                <w:noProof/>
              </w:rPr>
              <w:t>132,5</w:t>
            </w:r>
          </w:p>
        </w:tc>
        <w:tc>
          <w:tcPr>
            <w:tcW w:w="992" w:type="dxa"/>
            <w:tcBorders>
              <w:top w:val="nil"/>
              <w:left w:val="nil"/>
              <w:bottom w:val="single" w:sz="4" w:space="0" w:color="auto"/>
              <w:right w:val="single" w:sz="4" w:space="0" w:color="auto"/>
            </w:tcBorders>
            <w:shd w:val="clear" w:color="auto" w:fill="D9D9D9" w:themeFill="background1" w:themeFillShade="D9"/>
            <w:noWrap/>
            <w:hideMark/>
          </w:tcPr>
          <w:p w:rsidR="00343A61" w:rsidRDefault="00C85AE7">
            <w:pPr>
              <w:spacing w:after="0" w:line="240" w:lineRule="auto"/>
              <w:jc w:val="right"/>
              <w:rPr>
                <w:rFonts w:ascii="Times New Roman" w:eastAsia="Times New Roman" w:hAnsi="Times New Roman" w:cs="Times New Roman"/>
                <w:b/>
                <w:bCs/>
                <w:noProof/>
                <w:color w:val="000000"/>
              </w:rPr>
            </w:pPr>
            <w:r>
              <w:rPr>
                <w:rFonts w:ascii="Times New Roman" w:hAnsi="Times New Roman"/>
                <w:b/>
                <w:noProof/>
              </w:rPr>
              <w:t>7,6</w:t>
            </w:r>
          </w:p>
        </w:tc>
        <w:tc>
          <w:tcPr>
            <w:tcW w:w="1276" w:type="dxa"/>
            <w:tcBorders>
              <w:top w:val="nil"/>
              <w:left w:val="nil"/>
              <w:bottom w:val="single" w:sz="4" w:space="0" w:color="auto"/>
              <w:right w:val="single" w:sz="4" w:space="0" w:color="auto"/>
            </w:tcBorders>
            <w:shd w:val="clear" w:color="auto" w:fill="D9D9D9" w:themeFill="background1" w:themeFillShade="D9"/>
            <w:noWrap/>
            <w:hideMark/>
          </w:tcPr>
          <w:p w:rsidR="00343A61" w:rsidRDefault="00C85AE7">
            <w:pPr>
              <w:spacing w:after="0" w:line="240" w:lineRule="auto"/>
              <w:jc w:val="right"/>
              <w:rPr>
                <w:rFonts w:ascii="Times New Roman" w:eastAsia="Times New Roman" w:hAnsi="Times New Roman" w:cs="Times New Roman"/>
                <w:b/>
                <w:bCs/>
                <w:noProof/>
                <w:color w:val="000000"/>
              </w:rPr>
            </w:pPr>
            <w:r>
              <w:rPr>
                <w:rFonts w:ascii="Times New Roman" w:hAnsi="Times New Roman"/>
                <w:b/>
                <w:noProof/>
              </w:rPr>
              <w:t>1 204,7</w:t>
            </w:r>
          </w:p>
        </w:tc>
      </w:tr>
    </w:tbl>
    <w:p w:rsidR="00343A61" w:rsidRDefault="00343A61">
      <w:pPr>
        <w:rPr>
          <w:rFonts w:ascii="Times New Roman" w:eastAsia="Times New Roman" w:hAnsi="Times New Roman" w:cs="Times New Roman"/>
          <w:b/>
          <w:smallCaps/>
          <w:noProof/>
          <w:sz w:val="24"/>
          <w:szCs w:val="24"/>
          <w:lang w:eastAsia="de-DE"/>
        </w:rPr>
      </w:pPr>
    </w:p>
    <w:p w:rsidR="00343A61" w:rsidRDefault="00C85AE7">
      <w:pPr>
        <w:rPr>
          <w:rFonts w:ascii="Times New Roman" w:eastAsia="Times New Roman" w:hAnsi="Times New Roman" w:cs="Times New Roman"/>
          <w:b/>
          <w:smallCaps/>
          <w:noProof/>
          <w:sz w:val="24"/>
          <w:szCs w:val="24"/>
        </w:rPr>
      </w:pPr>
      <w:r>
        <w:rPr>
          <w:noProof/>
        </w:rPr>
        <w:br w:type="page"/>
      </w:r>
    </w:p>
    <w:p w:rsidR="00343A61" w:rsidRDefault="00C85AE7">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rPr>
      </w:pPr>
      <w:bookmarkStart w:id="32" w:name="_Toc68801893"/>
      <w:r>
        <w:rPr>
          <w:rFonts w:ascii="Times New Roman" w:hAnsi="Times New Roman"/>
          <w:b/>
          <w:smallCaps/>
          <w:noProof/>
          <w:sz w:val="24"/>
          <w:szCs w:val="24"/>
        </w:rPr>
        <w:t>Обобщаваща таблица по функции от МФР</w:t>
      </w:r>
      <w:bookmarkEnd w:id="20"/>
      <w:bookmarkEnd w:id="21"/>
      <w:bookmarkEnd w:id="31"/>
      <w:bookmarkEnd w:id="32"/>
    </w:p>
    <w:tbl>
      <w:tblPr>
        <w:tblW w:w="10632" w:type="dxa"/>
        <w:tblInd w:w="108" w:type="dxa"/>
        <w:tblLook w:val="04A0" w:firstRow="1" w:lastRow="0" w:firstColumn="1" w:lastColumn="0" w:noHBand="0" w:noVBand="1"/>
      </w:tblPr>
      <w:tblGrid>
        <w:gridCol w:w="425"/>
        <w:gridCol w:w="2633"/>
        <w:gridCol w:w="1296"/>
        <w:gridCol w:w="1296"/>
        <w:gridCol w:w="1128"/>
        <w:gridCol w:w="1262"/>
        <w:gridCol w:w="1296"/>
        <w:gridCol w:w="1296"/>
      </w:tblGrid>
      <w:tr w:rsidR="00343A61">
        <w:trPr>
          <w:trHeight w:val="290"/>
        </w:trPr>
        <w:tc>
          <w:tcPr>
            <w:tcW w:w="3119" w:type="dxa"/>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551" w:type="dxa"/>
            <w:gridSpan w:val="2"/>
            <w:vMerge w:val="restart"/>
            <w:tcBorders>
              <w:top w:val="single" w:sz="8" w:space="0" w:color="auto"/>
              <w:left w:val="single" w:sz="8" w:space="0" w:color="000000"/>
              <w:bottom w:val="single" w:sz="8" w:space="0" w:color="000000"/>
              <w:right w:val="single" w:sz="8" w:space="0" w:color="000000"/>
            </w:tcBorders>
            <w:shd w:val="clear" w:color="000000" w:fill="BFBFBF"/>
            <w:vAlign w:val="center"/>
            <w:hideMark/>
          </w:tcPr>
          <w:p w:rsidR="00343A61" w:rsidRDefault="00C85AE7">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Бюджет за 2021 г. (вкл. ПКБ № 1/2021)</w:t>
            </w:r>
          </w:p>
        </w:tc>
        <w:tc>
          <w:tcPr>
            <w:tcW w:w="2410" w:type="dxa"/>
            <w:gridSpan w:val="2"/>
            <w:vMerge w:val="restart"/>
            <w:tcBorders>
              <w:top w:val="single" w:sz="8" w:space="0" w:color="auto"/>
              <w:left w:val="single" w:sz="8" w:space="0" w:color="000000"/>
              <w:bottom w:val="single" w:sz="8" w:space="0" w:color="000000"/>
              <w:right w:val="single" w:sz="8" w:space="0" w:color="000000"/>
            </w:tcBorders>
            <w:shd w:val="clear" w:color="000000" w:fill="BFBFBF"/>
            <w:vAlign w:val="center"/>
            <w:hideMark/>
          </w:tcPr>
          <w:p w:rsidR="00343A61" w:rsidRDefault="00C85AE7">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Проект на коригиращ бюджет № 2/2021</w:t>
            </w:r>
          </w:p>
        </w:tc>
        <w:tc>
          <w:tcPr>
            <w:tcW w:w="2552" w:type="dxa"/>
            <w:gridSpan w:val="2"/>
            <w:vMerge w:val="restart"/>
            <w:tcBorders>
              <w:top w:val="single" w:sz="8" w:space="0" w:color="auto"/>
              <w:left w:val="single" w:sz="8" w:space="0" w:color="000000"/>
              <w:bottom w:val="single" w:sz="8" w:space="0" w:color="000000"/>
              <w:right w:val="single" w:sz="8" w:space="0" w:color="000000"/>
            </w:tcBorders>
            <w:shd w:val="clear" w:color="000000" w:fill="BFBFBF"/>
            <w:vAlign w:val="center"/>
            <w:hideMark/>
          </w:tcPr>
          <w:p w:rsidR="00343A61" w:rsidRDefault="00C85AE7">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Бюджет за 2021 г. (вкл. ПКБ № 1—2/2021)</w:t>
            </w:r>
          </w:p>
        </w:tc>
      </w:tr>
      <w:tr w:rsidR="00343A61">
        <w:trPr>
          <w:trHeight w:val="184"/>
        </w:trPr>
        <w:tc>
          <w:tcPr>
            <w:tcW w:w="3119" w:type="dxa"/>
            <w:gridSpan w:val="2"/>
            <w:vMerge/>
            <w:tcBorders>
              <w:top w:val="single" w:sz="8" w:space="0" w:color="auto"/>
              <w:left w:val="single" w:sz="8" w:space="0" w:color="auto"/>
              <w:bottom w:val="single" w:sz="8" w:space="0" w:color="000000"/>
              <w:right w:val="single" w:sz="8" w:space="0" w:color="000000"/>
            </w:tcBorders>
            <w:vAlign w:val="center"/>
            <w:hideMark/>
          </w:tcPr>
          <w:p w:rsidR="00343A61" w:rsidRDefault="00343A61">
            <w:pPr>
              <w:spacing w:after="0" w:line="240" w:lineRule="auto"/>
              <w:rPr>
                <w:rFonts w:ascii="Times New Roman" w:eastAsia="Times New Roman" w:hAnsi="Times New Roman" w:cs="Times New Roman"/>
                <w:noProof/>
                <w:color w:val="000000"/>
                <w:sz w:val="16"/>
                <w:szCs w:val="16"/>
                <w:lang w:eastAsia="en-GB"/>
              </w:rPr>
            </w:pPr>
          </w:p>
        </w:tc>
        <w:tc>
          <w:tcPr>
            <w:tcW w:w="2551" w:type="dxa"/>
            <w:gridSpan w:val="2"/>
            <w:vMerge/>
            <w:tcBorders>
              <w:top w:val="single" w:sz="8" w:space="0" w:color="auto"/>
              <w:left w:val="single" w:sz="8" w:space="0" w:color="000000"/>
              <w:bottom w:val="single" w:sz="8" w:space="0" w:color="000000"/>
              <w:right w:val="single" w:sz="8" w:space="0" w:color="000000"/>
            </w:tcBorders>
            <w:vAlign w:val="center"/>
            <w:hideMark/>
          </w:tcPr>
          <w:p w:rsidR="00343A61" w:rsidRDefault="00343A61">
            <w:pPr>
              <w:spacing w:after="0" w:line="240" w:lineRule="auto"/>
              <w:rPr>
                <w:rFonts w:ascii="Times New Roman" w:eastAsia="Times New Roman" w:hAnsi="Times New Roman" w:cs="Times New Roman"/>
                <w:b/>
                <w:bCs/>
                <w:noProof/>
                <w:color w:val="000000"/>
                <w:sz w:val="16"/>
                <w:szCs w:val="16"/>
                <w:lang w:eastAsia="en-GB"/>
              </w:rPr>
            </w:pPr>
          </w:p>
        </w:tc>
        <w:tc>
          <w:tcPr>
            <w:tcW w:w="2410" w:type="dxa"/>
            <w:gridSpan w:val="2"/>
            <w:vMerge/>
            <w:tcBorders>
              <w:top w:val="single" w:sz="8" w:space="0" w:color="auto"/>
              <w:left w:val="single" w:sz="8" w:space="0" w:color="000000"/>
              <w:bottom w:val="single" w:sz="8" w:space="0" w:color="000000"/>
              <w:right w:val="single" w:sz="8" w:space="0" w:color="000000"/>
            </w:tcBorders>
            <w:vAlign w:val="center"/>
            <w:hideMark/>
          </w:tcPr>
          <w:p w:rsidR="00343A61" w:rsidRDefault="00343A61">
            <w:pPr>
              <w:spacing w:after="0" w:line="240" w:lineRule="auto"/>
              <w:rPr>
                <w:rFonts w:ascii="Times New Roman" w:eastAsia="Times New Roman" w:hAnsi="Times New Roman" w:cs="Times New Roman"/>
                <w:b/>
                <w:bCs/>
                <w:noProof/>
                <w:color w:val="000000"/>
                <w:sz w:val="16"/>
                <w:szCs w:val="16"/>
                <w:lang w:eastAsia="en-GB"/>
              </w:rPr>
            </w:pPr>
          </w:p>
        </w:tc>
        <w:tc>
          <w:tcPr>
            <w:tcW w:w="2552" w:type="dxa"/>
            <w:gridSpan w:val="2"/>
            <w:vMerge/>
            <w:tcBorders>
              <w:top w:val="single" w:sz="8" w:space="0" w:color="auto"/>
              <w:left w:val="single" w:sz="8" w:space="0" w:color="000000"/>
              <w:bottom w:val="single" w:sz="8" w:space="0" w:color="000000"/>
              <w:right w:val="single" w:sz="8" w:space="0" w:color="000000"/>
            </w:tcBorders>
            <w:vAlign w:val="center"/>
            <w:hideMark/>
          </w:tcPr>
          <w:p w:rsidR="00343A61" w:rsidRDefault="00343A61">
            <w:pPr>
              <w:spacing w:after="0" w:line="240" w:lineRule="auto"/>
              <w:rPr>
                <w:rFonts w:ascii="Times New Roman" w:eastAsia="Times New Roman" w:hAnsi="Times New Roman" w:cs="Times New Roman"/>
                <w:b/>
                <w:bCs/>
                <w:noProof/>
                <w:color w:val="000000"/>
                <w:sz w:val="16"/>
                <w:szCs w:val="16"/>
                <w:lang w:eastAsia="en-GB"/>
              </w:rPr>
            </w:pPr>
          </w:p>
        </w:tc>
      </w:tr>
      <w:tr w:rsidR="00343A61">
        <w:trPr>
          <w:trHeight w:val="51"/>
        </w:trPr>
        <w:tc>
          <w:tcPr>
            <w:tcW w:w="3119" w:type="dxa"/>
            <w:gridSpan w:val="2"/>
            <w:vMerge/>
            <w:tcBorders>
              <w:top w:val="single" w:sz="8" w:space="0" w:color="auto"/>
              <w:left w:val="single" w:sz="8" w:space="0" w:color="auto"/>
              <w:bottom w:val="single" w:sz="8" w:space="0" w:color="000000"/>
              <w:right w:val="single" w:sz="8" w:space="0" w:color="000000"/>
            </w:tcBorders>
            <w:vAlign w:val="center"/>
            <w:hideMark/>
          </w:tcPr>
          <w:p w:rsidR="00343A61" w:rsidRDefault="00343A61">
            <w:pPr>
              <w:spacing w:after="0" w:line="240" w:lineRule="auto"/>
              <w:rPr>
                <w:rFonts w:ascii="Times New Roman" w:eastAsia="Times New Roman" w:hAnsi="Times New Roman" w:cs="Times New Roman"/>
                <w:noProof/>
                <w:color w:val="000000"/>
                <w:sz w:val="16"/>
                <w:szCs w:val="16"/>
                <w:lang w:eastAsia="en-GB"/>
              </w:rPr>
            </w:pPr>
          </w:p>
        </w:tc>
        <w:tc>
          <w:tcPr>
            <w:tcW w:w="1276" w:type="dxa"/>
            <w:tcBorders>
              <w:top w:val="nil"/>
              <w:left w:val="nil"/>
              <w:bottom w:val="single" w:sz="8" w:space="0" w:color="auto"/>
              <w:right w:val="single" w:sz="8" w:space="0" w:color="auto"/>
            </w:tcBorders>
            <w:shd w:val="clear" w:color="000000" w:fill="BFBFBF"/>
            <w:vAlign w:val="center"/>
            <w:hideMark/>
          </w:tcPr>
          <w:p w:rsidR="00343A61" w:rsidRDefault="00C85AE7">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БКПЗ</w:t>
            </w:r>
          </w:p>
        </w:tc>
        <w:tc>
          <w:tcPr>
            <w:tcW w:w="1275" w:type="dxa"/>
            <w:tcBorders>
              <w:top w:val="nil"/>
              <w:left w:val="nil"/>
              <w:bottom w:val="single" w:sz="8" w:space="0" w:color="auto"/>
              <w:right w:val="single" w:sz="8" w:space="0" w:color="auto"/>
            </w:tcBorders>
            <w:shd w:val="clear" w:color="000000" w:fill="BFBFBF"/>
            <w:vAlign w:val="center"/>
            <w:hideMark/>
          </w:tcPr>
          <w:p w:rsidR="00343A61" w:rsidRDefault="00C85AE7">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БКП</w:t>
            </w:r>
          </w:p>
        </w:tc>
        <w:tc>
          <w:tcPr>
            <w:tcW w:w="1134" w:type="dxa"/>
            <w:tcBorders>
              <w:top w:val="nil"/>
              <w:left w:val="nil"/>
              <w:bottom w:val="single" w:sz="8" w:space="0" w:color="auto"/>
              <w:right w:val="single" w:sz="8" w:space="0" w:color="auto"/>
            </w:tcBorders>
            <w:shd w:val="clear" w:color="000000" w:fill="BFBFBF"/>
            <w:vAlign w:val="center"/>
            <w:hideMark/>
          </w:tcPr>
          <w:p w:rsidR="00343A61" w:rsidRDefault="00C85AE7">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БКПЗ</w:t>
            </w:r>
          </w:p>
        </w:tc>
        <w:tc>
          <w:tcPr>
            <w:tcW w:w="1276" w:type="dxa"/>
            <w:tcBorders>
              <w:top w:val="nil"/>
              <w:left w:val="nil"/>
              <w:bottom w:val="single" w:sz="8" w:space="0" w:color="auto"/>
              <w:right w:val="single" w:sz="8" w:space="0" w:color="auto"/>
            </w:tcBorders>
            <w:shd w:val="clear" w:color="000000" w:fill="BFBFBF"/>
            <w:vAlign w:val="center"/>
            <w:hideMark/>
          </w:tcPr>
          <w:p w:rsidR="00343A61" w:rsidRDefault="00C85AE7">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БКП</w:t>
            </w:r>
          </w:p>
        </w:tc>
        <w:tc>
          <w:tcPr>
            <w:tcW w:w="1276" w:type="dxa"/>
            <w:tcBorders>
              <w:top w:val="nil"/>
              <w:left w:val="nil"/>
              <w:bottom w:val="single" w:sz="8" w:space="0" w:color="auto"/>
              <w:right w:val="single" w:sz="8" w:space="0" w:color="auto"/>
            </w:tcBorders>
            <w:shd w:val="clear" w:color="000000" w:fill="BFBFBF"/>
            <w:vAlign w:val="center"/>
            <w:hideMark/>
          </w:tcPr>
          <w:p w:rsidR="00343A61" w:rsidRDefault="00C85AE7">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БКПЗ</w:t>
            </w:r>
          </w:p>
        </w:tc>
        <w:tc>
          <w:tcPr>
            <w:tcW w:w="1276" w:type="dxa"/>
            <w:tcBorders>
              <w:top w:val="nil"/>
              <w:left w:val="nil"/>
              <w:bottom w:val="single" w:sz="8" w:space="0" w:color="auto"/>
              <w:right w:val="single" w:sz="8" w:space="0" w:color="auto"/>
            </w:tcBorders>
            <w:shd w:val="clear" w:color="000000" w:fill="BFBFBF"/>
            <w:vAlign w:val="center"/>
            <w:hideMark/>
          </w:tcPr>
          <w:p w:rsidR="00343A61" w:rsidRDefault="00C85AE7">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БКП</w:t>
            </w:r>
          </w:p>
        </w:tc>
      </w:tr>
      <w:tr w:rsidR="00343A61">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343A61" w:rsidRDefault="00C85AE7">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w:t>
            </w:r>
          </w:p>
        </w:tc>
        <w:tc>
          <w:tcPr>
            <w:tcW w:w="2693"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Единен пазар, иновации и цифрова сфера</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20 816 559 767</w:t>
            </w:r>
          </w:p>
        </w:tc>
        <w:tc>
          <w:tcPr>
            <w:tcW w:w="1275"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17 191 587 232</w:t>
            </w:r>
          </w:p>
        </w:tc>
        <w:tc>
          <w:tcPr>
            <w:tcW w:w="1134"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300 000</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20 816 559 767</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17 191 887 232</w:t>
            </w:r>
          </w:p>
        </w:tc>
      </w:tr>
      <w:tr w:rsidR="00343A61">
        <w:trPr>
          <w:trHeight w:val="290"/>
        </w:trPr>
        <w:tc>
          <w:tcPr>
            <w:tcW w:w="426" w:type="dxa"/>
            <w:tcBorders>
              <w:top w:val="nil"/>
              <w:left w:val="single" w:sz="8" w:space="0" w:color="auto"/>
              <w:bottom w:val="dotted" w:sz="4" w:space="0" w:color="auto"/>
              <w:right w:val="nil"/>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Таван</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20 919 000 000</w:t>
            </w:r>
          </w:p>
        </w:tc>
        <w:tc>
          <w:tcPr>
            <w:tcW w:w="1275"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20 919 000 000</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343A61">
        <w:trPr>
          <w:trHeight w:val="290"/>
        </w:trPr>
        <w:tc>
          <w:tcPr>
            <w:tcW w:w="426" w:type="dxa"/>
            <w:tcBorders>
              <w:top w:val="nil"/>
              <w:left w:val="single" w:sz="8" w:space="0" w:color="auto"/>
              <w:bottom w:val="single" w:sz="8" w:space="0" w:color="auto"/>
              <w:right w:val="nil"/>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Марж</w:t>
            </w:r>
          </w:p>
        </w:tc>
        <w:tc>
          <w:tcPr>
            <w:tcW w:w="1276"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102 440 233</w:t>
            </w:r>
          </w:p>
        </w:tc>
        <w:tc>
          <w:tcPr>
            <w:tcW w:w="1275"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102 440 233</w:t>
            </w:r>
          </w:p>
        </w:tc>
        <w:tc>
          <w:tcPr>
            <w:tcW w:w="1276"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343A61">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343A61" w:rsidRDefault="00C85AE7">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w:t>
            </w:r>
          </w:p>
        </w:tc>
        <w:tc>
          <w:tcPr>
            <w:tcW w:w="2693"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Сближаване, устойчивост и ценности</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52 861 898 534</w:t>
            </w:r>
          </w:p>
        </w:tc>
        <w:tc>
          <w:tcPr>
            <w:tcW w:w="1275"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66 153 765 904</w:t>
            </w:r>
          </w:p>
        </w:tc>
        <w:tc>
          <w:tcPr>
            <w:tcW w:w="1134"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216 040 000</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207 760 000</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53 077 938 534</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66 361 525 904</w:t>
            </w:r>
          </w:p>
        </w:tc>
      </w:tr>
      <w:tr w:rsidR="00343A61">
        <w:trPr>
          <w:trHeight w:val="290"/>
        </w:trPr>
        <w:tc>
          <w:tcPr>
            <w:tcW w:w="426" w:type="dxa"/>
            <w:tcBorders>
              <w:top w:val="nil"/>
              <w:left w:val="single" w:sz="8" w:space="0" w:color="auto"/>
              <w:bottom w:val="dotted" w:sz="4" w:space="0" w:color="auto"/>
              <w:right w:val="nil"/>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От които по Инструмента за гъвкавост</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76 382 534</w:t>
            </w:r>
          </w:p>
        </w:tc>
        <w:tc>
          <w:tcPr>
            <w:tcW w:w="1275"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216 040 000</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208 100 000</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292 422 534</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343A61">
        <w:trPr>
          <w:trHeight w:val="290"/>
        </w:trPr>
        <w:tc>
          <w:tcPr>
            <w:tcW w:w="426" w:type="dxa"/>
            <w:tcBorders>
              <w:top w:val="nil"/>
              <w:left w:val="single" w:sz="8" w:space="0" w:color="auto"/>
              <w:bottom w:val="dotted" w:sz="4" w:space="0" w:color="auto"/>
              <w:right w:val="nil"/>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Таван</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52 786 000 000</w:t>
            </w:r>
          </w:p>
        </w:tc>
        <w:tc>
          <w:tcPr>
            <w:tcW w:w="1275"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52 786 000 000</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343A61">
        <w:trPr>
          <w:trHeight w:val="290"/>
        </w:trPr>
        <w:tc>
          <w:tcPr>
            <w:tcW w:w="426" w:type="dxa"/>
            <w:tcBorders>
              <w:top w:val="nil"/>
              <w:left w:val="single" w:sz="8" w:space="0" w:color="auto"/>
              <w:bottom w:val="dotted" w:sz="4" w:space="0" w:color="auto"/>
              <w:right w:val="nil"/>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Марж</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484 000</w:t>
            </w:r>
          </w:p>
        </w:tc>
        <w:tc>
          <w:tcPr>
            <w:tcW w:w="1275"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484 000</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343A61">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2а.</w:t>
            </w:r>
          </w:p>
        </w:tc>
        <w:tc>
          <w:tcPr>
            <w:tcW w:w="2693"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Икономическо, социално и териториално сближаване</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48 190 516 000</w:t>
            </w:r>
          </w:p>
        </w:tc>
        <w:tc>
          <w:tcPr>
            <w:tcW w:w="1275"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61 867 897 545</w:t>
            </w:r>
          </w:p>
        </w:tc>
        <w:tc>
          <w:tcPr>
            <w:tcW w:w="1134"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48 190 516 000</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61 867 897 545</w:t>
            </w:r>
          </w:p>
        </w:tc>
      </w:tr>
      <w:tr w:rsidR="00343A61">
        <w:trPr>
          <w:trHeight w:val="290"/>
        </w:trPr>
        <w:tc>
          <w:tcPr>
            <w:tcW w:w="426" w:type="dxa"/>
            <w:tcBorders>
              <w:top w:val="nil"/>
              <w:left w:val="single" w:sz="8" w:space="0" w:color="auto"/>
              <w:bottom w:val="dotted" w:sz="4" w:space="0" w:color="auto"/>
              <w:right w:val="nil"/>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Таван</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48 19</w:t>
            </w:r>
            <w:bookmarkStart w:id="33" w:name="_GoBack"/>
            <w:bookmarkEnd w:id="33"/>
            <w:r>
              <w:rPr>
                <w:rFonts w:ascii="Times New Roman" w:hAnsi="Times New Roman"/>
                <w:i/>
                <w:iCs/>
                <w:noProof/>
                <w:color w:val="000000"/>
                <w:sz w:val="16"/>
                <w:szCs w:val="16"/>
              </w:rPr>
              <w:t>1 000 000</w:t>
            </w:r>
          </w:p>
        </w:tc>
        <w:tc>
          <w:tcPr>
            <w:tcW w:w="1275"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48 191 000 000</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343A61">
        <w:trPr>
          <w:trHeight w:val="290"/>
        </w:trPr>
        <w:tc>
          <w:tcPr>
            <w:tcW w:w="426" w:type="dxa"/>
            <w:tcBorders>
              <w:top w:val="nil"/>
              <w:left w:val="single" w:sz="8" w:space="0" w:color="auto"/>
              <w:bottom w:val="dotted" w:sz="4" w:space="0" w:color="auto"/>
              <w:right w:val="nil"/>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Марж</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484 000</w:t>
            </w:r>
          </w:p>
        </w:tc>
        <w:tc>
          <w:tcPr>
            <w:tcW w:w="1275"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484 000</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343A61">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2б.</w:t>
            </w:r>
          </w:p>
        </w:tc>
        <w:tc>
          <w:tcPr>
            <w:tcW w:w="2693"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Устойчивост и ценности</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4 671 382 534</w:t>
            </w:r>
          </w:p>
        </w:tc>
        <w:tc>
          <w:tcPr>
            <w:tcW w:w="1275"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4 285 868 359</w:t>
            </w:r>
          </w:p>
        </w:tc>
        <w:tc>
          <w:tcPr>
            <w:tcW w:w="1134"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216 040 000</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207 760 000</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4 887 422 534</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4 493 628 359</w:t>
            </w:r>
          </w:p>
        </w:tc>
      </w:tr>
      <w:tr w:rsidR="00343A61">
        <w:trPr>
          <w:trHeight w:val="290"/>
        </w:trPr>
        <w:tc>
          <w:tcPr>
            <w:tcW w:w="426" w:type="dxa"/>
            <w:tcBorders>
              <w:top w:val="nil"/>
              <w:left w:val="single" w:sz="8" w:space="0" w:color="auto"/>
              <w:bottom w:val="dotted" w:sz="4" w:space="0" w:color="auto"/>
              <w:right w:val="nil"/>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От</w:t>
            </w:r>
            <w:r>
              <w:rPr>
                <w:rFonts w:ascii="Times New Roman" w:hAnsi="Times New Roman"/>
                <w:i/>
                <w:iCs/>
                <w:noProof/>
                <w:color w:val="000000"/>
                <w:sz w:val="16"/>
                <w:szCs w:val="16"/>
              </w:rPr>
              <w:t xml:space="preserve"> които по Инструмента за гъвкавост</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76 382 534</w:t>
            </w:r>
          </w:p>
        </w:tc>
        <w:tc>
          <w:tcPr>
            <w:tcW w:w="1275"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216 040 000</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208 100 000</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292 422 534</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343A61">
        <w:trPr>
          <w:trHeight w:val="290"/>
        </w:trPr>
        <w:tc>
          <w:tcPr>
            <w:tcW w:w="426" w:type="dxa"/>
            <w:tcBorders>
              <w:top w:val="nil"/>
              <w:left w:val="single" w:sz="8" w:space="0" w:color="auto"/>
              <w:bottom w:val="dotted" w:sz="4" w:space="0" w:color="auto"/>
              <w:right w:val="nil"/>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Таван</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4 595 000 000</w:t>
            </w:r>
          </w:p>
        </w:tc>
        <w:tc>
          <w:tcPr>
            <w:tcW w:w="1275"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4 595 000 000</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343A61">
        <w:trPr>
          <w:trHeight w:val="290"/>
        </w:trPr>
        <w:tc>
          <w:tcPr>
            <w:tcW w:w="426" w:type="dxa"/>
            <w:tcBorders>
              <w:top w:val="nil"/>
              <w:left w:val="single" w:sz="8" w:space="0" w:color="auto"/>
              <w:bottom w:val="single" w:sz="8" w:space="0" w:color="auto"/>
              <w:right w:val="nil"/>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Марж</w:t>
            </w:r>
          </w:p>
        </w:tc>
        <w:tc>
          <w:tcPr>
            <w:tcW w:w="1276"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5"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343A61">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343A61" w:rsidRDefault="00C85AE7">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3.</w:t>
            </w:r>
          </w:p>
        </w:tc>
        <w:tc>
          <w:tcPr>
            <w:tcW w:w="2693"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Природни ресурси и околна среда</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58 568 566 908</w:t>
            </w:r>
          </w:p>
        </w:tc>
        <w:tc>
          <w:tcPr>
            <w:tcW w:w="1275"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56 804 203 452</w:t>
            </w:r>
          </w:p>
        </w:tc>
        <w:tc>
          <w:tcPr>
            <w:tcW w:w="1134"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2 000 000</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2 000 000</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58 570 566 908</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56 806 203 452</w:t>
            </w:r>
          </w:p>
        </w:tc>
      </w:tr>
      <w:tr w:rsidR="00343A61">
        <w:trPr>
          <w:trHeight w:val="290"/>
        </w:trPr>
        <w:tc>
          <w:tcPr>
            <w:tcW w:w="426" w:type="dxa"/>
            <w:tcBorders>
              <w:top w:val="nil"/>
              <w:left w:val="single" w:sz="8" w:space="0" w:color="auto"/>
              <w:bottom w:val="dotted" w:sz="4" w:space="0" w:color="auto"/>
              <w:right w:val="nil"/>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Таван</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58 624 000 000</w:t>
            </w:r>
          </w:p>
        </w:tc>
        <w:tc>
          <w:tcPr>
            <w:tcW w:w="1275"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58 624 000 000</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343A61">
        <w:trPr>
          <w:trHeight w:val="290"/>
        </w:trPr>
        <w:tc>
          <w:tcPr>
            <w:tcW w:w="426" w:type="dxa"/>
            <w:tcBorders>
              <w:top w:val="nil"/>
              <w:left w:val="single" w:sz="8" w:space="0" w:color="auto"/>
              <w:bottom w:val="dotted" w:sz="4" w:space="0" w:color="auto"/>
              <w:right w:val="nil"/>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Марж</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55 433 092</w:t>
            </w:r>
          </w:p>
        </w:tc>
        <w:tc>
          <w:tcPr>
            <w:tcW w:w="1275"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53 433 092</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343A61">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От които: Разходи, свързани с пазара, и преки плащания</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40 367 954 000</w:t>
            </w:r>
          </w:p>
        </w:tc>
        <w:tc>
          <w:tcPr>
            <w:tcW w:w="1275"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40 353 742 883</w:t>
            </w:r>
          </w:p>
        </w:tc>
        <w:tc>
          <w:tcPr>
            <w:tcW w:w="1134"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40 367 954 000</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40 353 742 883</w:t>
            </w:r>
          </w:p>
        </w:tc>
      </w:tr>
      <w:tr w:rsidR="00343A61">
        <w:trPr>
          <w:trHeight w:val="290"/>
        </w:trPr>
        <w:tc>
          <w:tcPr>
            <w:tcW w:w="426" w:type="dxa"/>
            <w:tcBorders>
              <w:top w:val="nil"/>
              <w:left w:val="single" w:sz="8" w:space="0" w:color="auto"/>
              <w:bottom w:val="dotted" w:sz="4" w:space="0" w:color="auto"/>
              <w:right w:val="nil"/>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Подтаван за ЕФГЗ</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40 925 000 000</w:t>
            </w:r>
          </w:p>
        </w:tc>
        <w:tc>
          <w:tcPr>
            <w:tcW w:w="1275"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40 925 000 000</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343A61">
        <w:trPr>
          <w:trHeight w:val="290"/>
        </w:trPr>
        <w:tc>
          <w:tcPr>
            <w:tcW w:w="426" w:type="dxa"/>
            <w:tcBorders>
              <w:top w:val="nil"/>
              <w:left w:val="single" w:sz="8" w:space="0" w:color="auto"/>
              <w:bottom w:val="dotted" w:sz="4" w:space="0" w:color="auto"/>
              <w:right w:val="nil"/>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 xml:space="preserve"> Разлика от закръгляне, изключена от изчислението на подмаржа</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5"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343A61">
        <w:trPr>
          <w:trHeight w:val="290"/>
        </w:trPr>
        <w:tc>
          <w:tcPr>
            <w:tcW w:w="426" w:type="dxa"/>
            <w:tcBorders>
              <w:top w:val="nil"/>
              <w:left w:val="single" w:sz="8" w:space="0" w:color="auto"/>
              <w:bottom w:val="dotted" w:sz="4" w:space="0" w:color="auto"/>
              <w:right w:val="nil"/>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 xml:space="preserve"> Нетни трансфери между ЕФГЗ и ЕЗФРСР</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557 046 000</w:t>
            </w:r>
          </w:p>
        </w:tc>
        <w:tc>
          <w:tcPr>
            <w:tcW w:w="1275"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557 046 000</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343A61">
        <w:trPr>
          <w:trHeight w:val="400"/>
        </w:trPr>
        <w:tc>
          <w:tcPr>
            <w:tcW w:w="426" w:type="dxa"/>
            <w:tcBorders>
              <w:top w:val="nil"/>
              <w:left w:val="single" w:sz="8" w:space="0" w:color="auto"/>
              <w:bottom w:val="dotted" w:sz="4" w:space="0" w:color="auto"/>
              <w:right w:val="nil"/>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 xml:space="preserve"> Нетно салдо, налично за разходите по ЕФГЗ (подтаван, коригиран с трансфери между ЕФГЗ и ЕЗФРСР)</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40 367 954 000</w:t>
            </w:r>
          </w:p>
        </w:tc>
        <w:tc>
          <w:tcPr>
            <w:tcW w:w="1275"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40 367 954 000</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343A61">
        <w:trPr>
          <w:trHeight w:val="290"/>
        </w:trPr>
        <w:tc>
          <w:tcPr>
            <w:tcW w:w="426" w:type="dxa"/>
            <w:tcBorders>
              <w:top w:val="nil"/>
              <w:left w:val="single" w:sz="8" w:space="0" w:color="auto"/>
              <w:bottom w:val="single" w:sz="8" w:space="0" w:color="auto"/>
              <w:right w:val="nil"/>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Подмарж за ЕФГЗ</w:t>
            </w:r>
          </w:p>
        </w:tc>
        <w:tc>
          <w:tcPr>
            <w:tcW w:w="1276"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5"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343A61">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343A61" w:rsidRDefault="00C85AE7">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w:t>
            </w:r>
          </w:p>
        </w:tc>
        <w:tc>
          <w:tcPr>
            <w:tcW w:w="2693"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Миграция и управление на границите</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2 278 829 759</w:t>
            </w:r>
          </w:p>
        </w:tc>
        <w:tc>
          <w:tcPr>
            <w:tcW w:w="1275"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2 686 245 978</w:t>
            </w:r>
          </w:p>
        </w:tc>
        <w:tc>
          <w:tcPr>
            <w:tcW w:w="1134"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2 278 829 759</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2 686 245 978</w:t>
            </w:r>
          </w:p>
        </w:tc>
      </w:tr>
      <w:tr w:rsidR="00343A61">
        <w:trPr>
          <w:trHeight w:val="290"/>
        </w:trPr>
        <w:tc>
          <w:tcPr>
            <w:tcW w:w="426" w:type="dxa"/>
            <w:tcBorders>
              <w:top w:val="nil"/>
              <w:left w:val="single" w:sz="8" w:space="0" w:color="auto"/>
              <w:bottom w:val="dotted" w:sz="4" w:space="0" w:color="auto"/>
              <w:right w:val="nil"/>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Таван</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2 467 000 000</w:t>
            </w:r>
          </w:p>
        </w:tc>
        <w:tc>
          <w:tcPr>
            <w:tcW w:w="1275"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2 467 000 000</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343A61">
        <w:trPr>
          <w:trHeight w:val="290"/>
        </w:trPr>
        <w:tc>
          <w:tcPr>
            <w:tcW w:w="426" w:type="dxa"/>
            <w:tcBorders>
              <w:top w:val="nil"/>
              <w:left w:val="single" w:sz="8" w:space="0" w:color="auto"/>
              <w:bottom w:val="single" w:sz="8" w:space="0" w:color="auto"/>
              <w:right w:val="nil"/>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Марж</w:t>
            </w:r>
          </w:p>
        </w:tc>
        <w:tc>
          <w:tcPr>
            <w:tcW w:w="1276"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188 170 241</w:t>
            </w:r>
          </w:p>
        </w:tc>
        <w:tc>
          <w:tcPr>
            <w:tcW w:w="1275"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188 170 241</w:t>
            </w:r>
          </w:p>
        </w:tc>
        <w:tc>
          <w:tcPr>
            <w:tcW w:w="1276"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343A61">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343A61" w:rsidRDefault="00C85AE7">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w:t>
            </w:r>
          </w:p>
        </w:tc>
        <w:tc>
          <w:tcPr>
            <w:tcW w:w="2693"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Сигурност и отбрана</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1 709 261 441</w:t>
            </w:r>
          </w:p>
        </w:tc>
        <w:tc>
          <w:tcPr>
            <w:tcW w:w="1275"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670 628 243</w:t>
            </w:r>
          </w:p>
        </w:tc>
        <w:tc>
          <w:tcPr>
            <w:tcW w:w="1134"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1 709 261 441</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670 628 243</w:t>
            </w:r>
          </w:p>
        </w:tc>
      </w:tr>
      <w:tr w:rsidR="00343A61">
        <w:trPr>
          <w:trHeight w:val="290"/>
        </w:trPr>
        <w:tc>
          <w:tcPr>
            <w:tcW w:w="426" w:type="dxa"/>
            <w:tcBorders>
              <w:top w:val="nil"/>
              <w:left w:val="single" w:sz="8" w:space="0" w:color="auto"/>
              <w:bottom w:val="dotted" w:sz="4" w:space="0" w:color="auto"/>
              <w:right w:val="nil"/>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Таван</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1 805 000 000</w:t>
            </w:r>
          </w:p>
        </w:tc>
        <w:tc>
          <w:tcPr>
            <w:tcW w:w="1275"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1 805 000 000</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343A61">
        <w:trPr>
          <w:trHeight w:val="290"/>
        </w:trPr>
        <w:tc>
          <w:tcPr>
            <w:tcW w:w="426" w:type="dxa"/>
            <w:tcBorders>
              <w:top w:val="nil"/>
              <w:left w:val="single" w:sz="8" w:space="0" w:color="auto"/>
              <w:bottom w:val="single" w:sz="8" w:space="0" w:color="auto"/>
              <w:right w:val="nil"/>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Марж</w:t>
            </w:r>
          </w:p>
        </w:tc>
        <w:tc>
          <w:tcPr>
            <w:tcW w:w="1276"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95 738 559</w:t>
            </w:r>
          </w:p>
        </w:tc>
        <w:tc>
          <w:tcPr>
            <w:tcW w:w="1275"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95 738 559</w:t>
            </w:r>
          </w:p>
        </w:tc>
        <w:tc>
          <w:tcPr>
            <w:tcW w:w="1276"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343A61">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343A61" w:rsidRDefault="00C85AE7">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6.</w:t>
            </w:r>
          </w:p>
        </w:tc>
        <w:tc>
          <w:tcPr>
            <w:tcW w:w="2693"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Съседните региони и светът</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16 097 196 204</w:t>
            </w:r>
          </w:p>
        </w:tc>
        <w:tc>
          <w:tcPr>
            <w:tcW w:w="1275"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10 810 999 356</w:t>
            </w:r>
          </w:p>
        </w:tc>
        <w:tc>
          <w:tcPr>
            <w:tcW w:w="1134"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160 000</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40 000</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16 097 356 204</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10 811 039 356</w:t>
            </w:r>
          </w:p>
        </w:tc>
      </w:tr>
      <w:tr w:rsidR="00343A61">
        <w:trPr>
          <w:trHeight w:val="290"/>
        </w:trPr>
        <w:tc>
          <w:tcPr>
            <w:tcW w:w="426" w:type="dxa"/>
            <w:tcBorders>
              <w:top w:val="nil"/>
              <w:left w:val="single" w:sz="8" w:space="0" w:color="auto"/>
              <w:bottom w:val="dotted" w:sz="4" w:space="0" w:color="auto"/>
              <w:right w:val="nil"/>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Таван</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16 247 000 000</w:t>
            </w:r>
          </w:p>
        </w:tc>
        <w:tc>
          <w:tcPr>
            <w:tcW w:w="1275"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16 247 000 000</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343A61">
        <w:trPr>
          <w:trHeight w:val="290"/>
        </w:trPr>
        <w:tc>
          <w:tcPr>
            <w:tcW w:w="426" w:type="dxa"/>
            <w:tcBorders>
              <w:top w:val="nil"/>
              <w:left w:val="single" w:sz="8" w:space="0" w:color="auto"/>
              <w:bottom w:val="single" w:sz="8" w:space="0" w:color="auto"/>
              <w:right w:val="nil"/>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Марж</w:t>
            </w:r>
          </w:p>
        </w:tc>
        <w:tc>
          <w:tcPr>
            <w:tcW w:w="1276"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149 803 796</w:t>
            </w:r>
          </w:p>
        </w:tc>
        <w:tc>
          <w:tcPr>
            <w:tcW w:w="1275"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149 643 796</w:t>
            </w:r>
          </w:p>
        </w:tc>
        <w:tc>
          <w:tcPr>
            <w:tcW w:w="1276"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343A61">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343A61" w:rsidRDefault="00C85AE7">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7.</w:t>
            </w:r>
          </w:p>
        </w:tc>
        <w:tc>
          <w:tcPr>
            <w:tcW w:w="2693"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Европейска публична администрация</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10 448 313 002</w:t>
            </w:r>
          </w:p>
        </w:tc>
        <w:tc>
          <w:tcPr>
            <w:tcW w:w="1275"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10 449 588 091</w:t>
            </w:r>
          </w:p>
        </w:tc>
        <w:tc>
          <w:tcPr>
            <w:tcW w:w="1134"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-5 500 000</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-5 500 000</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10 442 813 002</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10 444 088 091</w:t>
            </w:r>
          </w:p>
        </w:tc>
      </w:tr>
      <w:tr w:rsidR="00343A61">
        <w:trPr>
          <w:trHeight w:val="290"/>
        </w:trPr>
        <w:tc>
          <w:tcPr>
            <w:tcW w:w="426" w:type="dxa"/>
            <w:tcBorders>
              <w:top w:val="nil"/>
              <w:left w:val="single" w:sz="8" w:space="0" w:color="auto"/>
              <w:bottom w:val="dotted" w:sz="4" w:space="0" w:color="auto"/>
              <w:right w:val="nil"/>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Таван</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10 635 000 000</w:t>
            </w:r>
          </w:p>
        </w:tc>
        <w:tc>
          <w:tcPr>
            <w:tcW w:w="1275"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10 635 000 000</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343A61">
        <w:trPr>
          <w:trHeight w:val="290"/>
        </w:trPr>
        <w:tc>
          <w:tcPr>
            <w:tcW w:w="426" w:type="dxa"/>
            <w:tcBorders>
              <w:top w:val="nil"/>
              <w:left w:val="single" w:sz="8" w:space="0" w:color="auto"/>
              <w:bottom w:val="dotted" w:sz="4" w:space="0" w:color="auto"/>
              <w:right w:val="nil"/>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Марж</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186 686 998</w:t>
            </w:r>
          </w:p>
        </w:tc>
        <w:tc>
          <w:tcPr>
            <w:tcW w:w="1275"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192 186 998</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343A61">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От които: Административни разходи на институциите</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8 035 824 720</w:t>
            </w:r>
          </w:p>
        </w:tc>
        <w:tc>
          <w:tcPr>
            <w:tcW w:w="1275"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8 037 099 809</w:t>
            </w:r>
          </w:p>
        </w:tc>
        <w:tc>
          <w:tcPr>
            <w:tcW w:w="1134"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-5 500 000</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-5 500 000</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8 030 324 720</w:t>
            </w:r>
          </w:p>
        </w:tc>
        <w:tc>
          <w:tcPr>
            <w:tcW w:w="1276" w:type="dxa"/>
            <w:tcBorders>
              <w:top w:val="nil"/>
              <w:left w:val="nil"/>
              <w:bottom w:val="dotted" w:sz="4"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8 031 599 809</w:t>
            </w:r>
          </w:p>
        </w:tc>
      </w:tr>
      <w:tr w:rsidR="00343A61">
        <w:trPr>
          <w:trHeight w:val="290"/>
        </w:trPr>
        <w:tc>
          <w:tcPr>
            <w:tcW w:w="426" w:type="dxa"/>
            <w:tcBorders>
              <w:top w:val="nil"/>
              <w:left w:val="single" w:sz="8" w:space="0" w:color="auto"/>
              <w:bottom w:val="dotted" w:sz="4" w:space="0" w:color="auto"/>
              <w:right w:val="nil"/>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Подтаван</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8 216 000 000</w:t>
            </w:r>
          </w:p>
        </w:tc>
        <w:tc>
          <w:tcPr>
            <w:tcW w:w="1275"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8 216 000 000</w:t>
            </w:r>
          </w:p>
        </w:tc>
        <w:tc>
          <w:tcPr>
            <w:tcW w:w="1276" w:type="dxa"/>
            <w:tcBorders>
              <w:top w:val="nil"/>
              <w:left w:val="nil"/>
              <w:bottom w:val="dotted" w:sz="4"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343A61">
        <w:trPr>
          <w:trHeight w:val="290"/>
        </w:trPr>
        <w:tc>
          <w:tcPr>
            <w:tcW w:w="426" w:type="dxa"/>
            <w:tcBorders>
              <w:top w:val="nil"/>
              <w:left w:val="single" w:sz="8" w:space="0" w:color="auto"/>
              <w:bottom w:val="single" w:sz="8" w:space="0" w:color="auto"/>
              <w:right w:val="nil"/>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Подмарж</w:t>
            </w:r>
          </w:p>
        </w:tc>
        <w:tc>
          <w:tcPr>
            <w:tcW w:w="1276"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180 175 280</w:t>
            </w:r>
          </w:p>
        </w:tc>
        <w:tc>
          <w:tcPr>
            <w:tcW w:w="1275"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185 675 280</w:t>
            </w:r>
          </w:p>
        </w:tc>
        <w:tc>
          <w:tcPr>
            <w:tcW w:w="1276" w:type="dxa"/>
            <w:tcBorders>
              <w:top w:val="nil"/>
              <w:left w:val="nil"/>
              <w:bottom w:val="single" w:sz="8" w:space="0" w:color="auto"/>
              <w:right w:val="single" w:sz="8" w:space="0" w:color="auto"/>
            </w:tcBorders>
            <w:shd w:val="clear" w:color="auto" w:fill="auto"/>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343A61">
        <w:trPr>
          <w:trHeight w:val="290"/>
        </w:trPr>
        <w:tc>
          <w:tcPr>
            <w:tcW w:w="3119"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Бюджетни кредити за функциите</w:t>
            </w:r>
          </w:p>
        </w:tc>
        <w:tc>
          <w:tcPr>
            <w:tcW w:w="1276" w:type="dxa"/>
            <w:tcBorders>
              <w:top w:val="nil"/>
              <w:left w:val="nil"/>
              <w:bottom w:val="single" w:sz="8" w:space="0" w:color="auto"/>
              <w:right w:val="single" w:sz="8" w:space="0" w:color="auto"/>
            </w:tcBorders>
            <w:shd w:val="clear" w:color="000000" w:fill="BFBFBF"/>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162 780 625 615</w:t>
            </w:r>
          </w:p>
        </w:tc>
        <w:tc>
          <w:tcPr>
            <w:tcW w:w="1275" w:type="dxa"/>
            <w:tcBorders>
              <w:top w:val="nil"/>
              <w:left w:val="nil"/>
              <w:bottom w:val="single" w:sz="8" w:space="0" w:color="auto"/>
              <w:right w:val="single" w:sz="8" w:space="0" w:color="auto"/>
            </w:tcBorders>
            <w:shd w:val="clear" w:color="000000" w:fill="BFBFBF"/>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164 767 018 256</w:t>
            </w:r>
          </w:p>
        </w:tc>
        <w:tc>
          <w:tcPr>
            <w:tcW w:w="1134" w:type="dxa"/>
            <w:tcBorders>
              <w:top w:val="nil"/>
              <w:left w:val="nil"/>
              <w:bottom w:val="single" w:sz="8" w:space="0" w:color="auto"/>
              <w:right w:val="single" w:sz="8" w:space="0" w:color="auto"/>
            </w:tcBorders>
            <w:shd w:val="clear" w:color="000000" w:fill="BFBFBF"/>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212 700 000</w:t>
            </w:r>
          </w:p>
        </w:tc>
        <w:tc>
          <w:tcPr>
            <w:tcW w:w="1276" w:type="dxa"/>
            <w:tcBorders>
              <w:top w:val="nil"/>
              <w:left w:val="nil"/>
              <w:bottom w:val="single" w:sz="8" w:space="0" w:color="auto"/>
              <w:right w:val="single" w:sz="8" w:space="0" w:color="auto"/>
            </w:tcBorders>
            <w:shd w:val="clear" w:color="000000" w:fill="BFBFBF"/>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204 600 000</w:t>
            </w:r>
          </w:p>
        </w:tc>
        <w:tc>
          <w:tcPr>
            <w:tcW w:w="1276" w:type="dxa"/>
            <w:tcBorders>
              <w:top w:val="nil"/>
              <w:left w:val="nil"/>
              <w:bottom w:val="single" w:sz="8" w:space="0" w:color="auto"/>
              <w:right w:val="single" w:sz="8" w:space="0" w:color="auto"/>
            </w:tcBorders>
            <w:shd w:val="clear" w:color="000000" w:fill="BFBFBF"/>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162 993 325 615</w:t>
            </w:r>
          </w:p>
        </w:tc>
        <w:tc>
          <w:tcPr>
            <w:tcW w:w="1276" w:type="dxa"/>
            <w:tcBorders>
              <w:top w:val="nil"/>
              <w:left w:val="nil"/>
              <w:bottom w:val="single" w:sz="8" w:space="0" w:color="auto"/>
              <w:right w:val="single" w:sz="8" w:space="0" w:color="auto"/>
            </w:tcBorders>
            <w:shd w:val="clear" w:color="000000" w:fill="BFBFBF"/>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164 971 618 256</w:t>
            </w:r>
          </w:p>
        </w:tc>
      </w:tr>
      <w:tr w:rsidR="00343A61">
        <w:trPr>
          <w:trHeight w:val="290"/>
        </w:trPr>
        <w:tc>
          <w:tcPr>
            <w:tcW w:w="426" w:type="dxa"/>
            <w:tcBorders>
              <w:top w:val="nil"/>
              <w:left w:val="single" w:sz="8" w:space="0" w:color="auto"/>
              <w:bottom w:val="dotted" w:sz="4" w:space="0" w:color="auto"/>
              <w:right w:val="nil"/>
            </w:tcBorders>
            <w:shd w:val="clear" w:color="000000" w:fill="F2F2F2"/>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000000" w:fill="F2F2F2"/>
            <w:vAlign w:val="center"/>
            <w:hideMark/>
          </w:tcPr>
          <w:p w:rsidR="00343A61" w:rsidRDefault="00C85AE7">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 xml:space="preserve">Таван </w:t>
            </w:r>
          </w:p>
        </w:tc>
        <w:tc>
          <w:tcPr>
            <w:tcW w:w="1276" w:type="dxa"/>
            <w:tcBorders>
              <w:top w:val="nil"/>
              <w:left w:val="nil"/>
              <w:bottom w:val="dotted" w:sz="4" w:space="0" w:color="auto"/>
              <w:right w:val="single" w:sz="8" w:space="0" w:color="auto"/>
            </w:tcBorders>
            <w:shd w:val="clear" w:color="000000" w:fill="F2F2F2"/>
            <w:vAlign w:val="center"/>
            <w:hideMark/>
          </w:tcPr>
          <w:p w:rsidR="00343A61" w:rsidRDefault="00C85AE7">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163 483 000 000</w:t>
            </w:r>
          </w:p>
        </w:tc>
        <w:tc>
          <w:tcPr>
            <w:tcW w:w="1275" w:type="dxa"/>
            <w:tcBorders>
              <w:top w:val="nil"/>
              <w:left w:val="nil"/>
              <w:bottom w:val="dotted" w:sz="4" w:space="0" w:color="auto"/>
              <w:right w:val="single" w:sz="8" w:space="0" w:color="auto"/>
            </w:tcBorders>
            <w:shd w:val="clear" w:color="000000" w:fill="F2F2F2"/>
            <w:vAlign w:val="center"/>
            <w:hideMark/>
          </w:tcPr>
          <w:p w:rsidR="00343A61" w:rsidRDefault="00C85AE7">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166 140 000 000</w:t>
            </w:r>
          </w:p>
        </w:tc>
        <w:tc>
          <w:tcPr>
            <w:tcW w:w="1134" w:type="dxa"/>
            <w:tcBorders>
              <w:top w:val="nil"/>
              <w:left w:val="nil"/>
              <w:bottom w:val="dotted" w:sz="4" w:space="0" w:color="auto"/>
              <w:right w:val="single" w:sz="8" w:space="0" w:color="auto"/>
            </w:tcBorders>
            <w:shd w:val="clear" w:color="000000" w:fill="F2F2F2"/>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000000" w:fill="F2F2F2"/>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000000" w:fill="F2F2F2"/>
            <w:vAlign w:val="center"/>
            <w:hideMark/>
          </w:tcPr>
          <w:p w:rsidR="00343A61" w:rsidRDefault="00C85AE7">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163 483 000 000</w:t>
            </w:r>
          </w:p>
        </w:tc>
        <w:tc>
          <w:tcPr>
            <w:tcW w:w="1276" w:type="dxa"/>
            <w:tcBorders>
              <w:top w:val="nil"/>
              <w:left w:val="nil"/>
              <w:bottom w:val="dotted" w:sz="4" w:space="0" w:color="auto"/>
              <w:right w:val="single" w:sz="8" w:space="0" w:color="auto"/>
            </w:tcBorders>
            <w:shd w:val="clear" w:color="000000" w:fill="F2F2F2"/>
            <w:vAlign w:val="center"/>
            <w:hideMark/>
          </w:tcPr>
          <w:p w:rsidR="00343A61" w:rsidRDefault="00C85AE7">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166 140 000 000</w:t>
            </w:r>
          </w:p>
        </w:tc>
      </w:tr>
      <w:tr w:rsidR="00343A61">
        <w:trPr>
          <w:trHeight w:val="290"/>
        </w:trPr>
        <w:tc>
          <w:tcPr>
            <w:tcW w:w="426" w:type="dxa"/>
            <w:tcBorders>
              <w:top w:val="nil"/>
              <w:left w:val="single" w:sz="8" w:space="0" w:color="auto"/>
              <w:bottom w:val="dotted" w:sz="4" w:space="0" w:color="auto"/>
              <w:right w:val="nil"/>
            </w:tcBorders>
            <w:shd w:val="clear" w:color="000000" w:fill="F2F2F2"/>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000000" w:fill="F2F2F2"/>
            <w:vAlign w:val="center"/>
            <w:hideMark/>
          </w:tcPr>
          <w:p w:rsidR="00343A61" w:rsidRDefault="00C85AE7">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От които по Инструмента за гъвкавост</w:t>
            </w:r>
          </w:p>
        </w:tc>
        <w:tc>
          <w:tcPr>
            <w:tcW w:w="1276" w:type="dxa"/>
            <w:tcBorders>
              <w:top w:val="nil"/>
              <w:left w:val="nil"/>
              <w:bottom w:val="dotted" w:sz="4" w:space="0" w:color="auto"/>
              <w:right w:val="single" w:sz="8" w:space="0" w:color="auto"/>
            </w:tcBorders>
            <w:shd w:val="clear" w:color="000000" w:fill="F2F2F2"/>
            <w:vAlign w:val="center"/>
            <w:hideMark/>
          </w:tcPr>
          <w:p w:rsidR="00343A61" w:rsidRDefault="00C85AE7">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76 382 534</w:t>
            </w:r>
          </w:p>
        </w:tc>
        <w:tc>
          <w:tcPr>
            <w:tcW w:w="1275" w:type="dxa"/>
            <w:tcBorders>
              <w:top w:val="nil"/>
              <w:left w:val="nil"/>
              <w:bottom w:val="dotted" w:sz="4" w:space="0" w:color="auto"/>
              <w:right w:val="single" w:sz="8" w:space="0" w:color="auto"/>
            </w:tcBorders>
            <w:shd w:val="clear" w:color="000000" w:fill="F2F2F2"/>
            <w:vAlign w:val="center"/>
            <w:hideMark/>
          </w:tcPr>
          <w:p w:rsidR="00343A61" w:rsidRDefault="00C85AE7">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628 462 086</w:t>
            </w:r>
          </w:p>
        </w:tc>
        <w:tc>
          <w:tcPr>
            <w:tcW w:w="1134" w:type="dxa"/>
            <w:tcBorders>
              <w:top w:val="nil"/>
              <w:left w:val="nil"/>
              <w:bottom w:val="dotted" w:sz="4" w:space="0" w:color="auto"/>
              <w:right w:val="single" w:sz="8" w:space="0" w:color="auto"/>
            </w:tcBorders>
            <w:shd w:val="clear" w:color="000000" w:fill="F2F2F2"/>
            <w:vAlign w:val="center"/>
            <w:hideMark/>
          </w:tcPr>
          <w:p w:rsidR="00343A61" w:rsidRDefault="00C85AE7">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216 040 000</w:t>
            </w:r>
          </w:p>
        </w:tc>
        <w:tc>
          <w:tcPr>
            <w:tcW w:w="1276" w:type="dxa"/>
            <w:tcBorders>
              <w:top w:val="nil"/>
              <w:left w:val="nil"/>
              <w:bottom w:val="dotted" w:sz="4" w:space="0" w:color="auto"/>
              <w:right w:val="single" w:sz="8" w:space="0" w:color="auto"/>
            </w:tcBorders>
            <w:shd w:val="clear" w:color="000000" w:fill="F2F2F2"/>
            <w:vAlign w:val="center"/>
            <w:hideMark/>
          </w:tcPr>
          <w:p w:rsidR="00343A61" w:rsidRDefault="00C85AE7">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208 100 000</w:t>
            </w:r>
          </w:p>
        </w:tc>
        <w:tc>
          <w:tcPr>
            <w:tcW w:w="1276" w:type="dxa"/>
            <w:tcBorders>
              <w:top w:val="nil"/>
              <w:left w:val="nil"/>
              <w:bottom w:val="dotted" w:sz="4" w:space="0" w:color="auto"/>
              <w:right w:val="single" w:sz="8" w:space="0" w:color="auto"/>
            </w:tcBorders>
            <w:shd w:val="clear" w:color="000000" w:fill="F2F2F2"/>
            <w:vAlign w:val="center"/>
            <w:hideMark/>
          </w:tcPr>
          <w:p w:rsidR="00343A61" w:rsidRDefault="00C85AE7">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292 422 534</w:t>
            </w:r>
          </w:p>
        </w:tc>
        <w:tc>
          <w:tcPr>
            <w:tcW w:w="1276" w:type="dxa"/>
            <w:tcBorders>
              <w:top w:val="nil"/>
              <w:left w:val="nil"/>
              <w:bottom w:val="dotted" w:sz="4" w:space="0" w:color="auto"/>
              <w:right w:val="single" w:sz="8" w:space="0" w:color="auto"/>
            </w:tcBorders>
            <w:shd w:val="clear" w:color="000000" w:fill="F2F2F2"/>
            <w:vAlign w:val="center"/>
            <w:hideMark/>
          </w:tcPr>
          <w:p w:rsidR="00343A61" w:rsidRDefault="00C85AE7">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836 562 086</w:t>
            </w:r>
          </w:p>
        </w:tc>
      </w:tr>
      <w:tr w:rsidR="00343A61">
        <w:trPr>
          <w:trHeight w:val="290"/>
        </w:trPr>
        <w:tc>
          <w:tcPr>
            <w:tcW w:w="426" w:type="dxa"/>
            <w:tcBorders>
              <w:top w:val="nil"/>
              <w:left w:val="single" w:sz="8" w:space="0" w:color="auto"/>
              <w:bottom w:val="single" w:sz="8" w:space="0" w:color="auto"/>
              <w:right w:val="nil"/>
            </w:tcBorders>
            <w:shd w:val="clear" w:color="000000" w:fill="F2F2F2"/>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single" w:sz="8" w:space="0" w:color="auto"/>
              <w:right w:val="single" w:sz="8" w:space="0" w:color="auto"/>
            </w:tcBorders>
            <w:shd w:val="clear" w:color="000000" w:fill="F2F2F2"/>
            <w:vAlign w:val="center"/>
            <w:hideMark/>
          </w:tcPr>
          <w:p w:rsidR="00343A61" w:rsidRDefault="00C85AE7">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Марж</w:t>
            </w:r>
          </w:p>
        </w:tc>
        <w:tc>
          <w:tcPr>
            <w:tcW w:w="1276" w:type="dxa"/>
            <w:tcBorders>
              <w:top w:val="nil"/>
              <w:left w:val="nil"/>
              <w:bottom w:val="single" w:sz="8" w:space="0" w:color="auto"/>
              <w:right w:val="single" w:sz="8" w:space="0" w:color="auto"/>
            </w:tcBorders>
            <w:shd w:val="clear" w:color="000000" w:fill="F2F2F2"/>
            <w:vAlign w:val="center"/>
            <w:hideMark/>
          </w:tcPr>
          <w:p w:rsidR="00343A61" w:rsidRDefault="00C85AE7">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778 756 919</w:t>
            </w:r>
          </w:p>
        </w:tc>
        <w:tc>
          <w:tcPr>
            <w:tcW w:w="1275" w:type="dxa"/>
            <w:tcBorders>
              <w:top w:val="nil"/>
              <w:left w:val="nil"/>
              <w:bottom w:val="single" w:sz="8" w:space="0" w:color="auto"/>
              <w:right w:val="single" w:sz="8" w:space="0" w:color="auto"/>
            </w:tcBorders>
            <w:shd w:val="clear" w:color="000000" w:fill="F2F2F2"/>
            <w:vAlign w:val="center"/>
            <w:hideMark/>
          </w:tcPr>
          <w:p w:rsidR="00343A61" w:rsidRDefault="00C85AE7">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2 001 443 830</w:t>
            </w:r>
          </w:p>
        </w:tc>
        <w:tc>
          <w:tcPr>
            <w:tcW w:w="1134" w:type="dxa"/>
            <w:tcBorders>
              <w:top w:val="nil"/>
              <w:left w:val="nil"/>
              <w:bottom w:val="single" w:sz="8" w:space="0" w:color="auto"/>
              <w:right w:val="single" w:sz="8" w:space="0" w:color="auto"/>
            </w:tcBorders>
            <w:shd w:val="clear" w:color="000000" w:fill="F2F2F2"/>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000000" w:fill="F2F2F2"/>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000000" w:fill="F2F2F2"/>
            <w:vAlign w:val="center"/>
            <w:hideMark/>
          </w:tcPr>
          <w:p w:rsidR="00343A61" w:rsidRDefault="00C85AE7">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782 096 919</w:t>
            </w:r>
          </w:p>
        </w:tc>
        <w:tc>
          <w:tcPr>
            <w:tcW w:w="1276" w:type="dxa"/>
            <w:tcBorders>
              <w:top w:val="nil"/>
              <w:left w:val="nil"/>
              <w:bottom w:val="single" w:sz="8" w:space="0" w:color="auto"/>
              <w:right w:val="single" w:sz="8" w:space="0" w:color="auto"/>
            </w:tcBorders>
            <w:shd w:val="clear" w:color="000000" w:fill="F2F2F2"/>
            <w:vAlign w:val="center"/>
            <w:hideMark/>
          </w:tcPr>
          <w:p w:rsidR="00343A61" w:rsidRDefault="00C85AE7">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2 004 943 830</w:t>
            </w:r>
          </w:p>
        </w:tc>
      </w:tr>
      <w:tr w:rsidR="00343A61">
        <w:trPr>
          <w:trHeight w:val="290"/>
        </w:trPr>
        <w:tc>
          <w:tcPr>
            <w:tcW w:w="426" w:type="dxa"/>
            <w:tcBorders>
              <w:top w:val="nil"/>
              <w:left w:val="single" w:sz="8" w:space="0" w:color="auto"/>
              <w:bottom w:val="single" w:sz="8" w:space="0" w:color="auto"/>
              <w:right w:val="nil"/>
            </w:tcBorders>
            <w:shd w:val="clear" w:color="000000" w:fill="D9D9D9"/>
            <w:vAlign w:val="center"/>
            <w:hideMark/>
          </w:tcPr>
          <w:p w:rsidR="00343A61" w:rsidRDefault="00C85AE7">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single" w:sz="8"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Тематични специални инструменти</w:t>
            </w:r>
          </w:p>
        </w:tc>
        <w:tc>
          <w:tcPr>
            <w:tcW w:w="1276" w:type="dxa"/>
            <w:tcBorders>
              <w:top w:val="nil"/>
              <w:left w:val="nil"/>
              <w:bottom w:val="single" w:sz="8"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5 715 667 000</w:t>
            </w:r>
          </w:p>
        </w:tc>
        <w:tc>
          <w:tcPr>
            <w:tcW w:w="1275" w:type="dxa"/>
            <w:tcBorders>
              <w:top w:val="nil"/>
              <w:left w:val="nil"/>
              <w:bottom w:val="single" w:sz="8"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5 538 282 000</w:t>
            </w:r>
          </w:p>
        </w:tc>
        <w:tc>
          <w:tcPr>
            <w:tcW w:w="1134" w:type="dxa"/>
            <w:tcBorders>
              <w:top w:val="nil"/>
              <w:left w:val="nil"/>
              <w:bottom w:val="single" w:sz="8"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47 981 598</w:t>
            </w:r>
          </w:p>
        </w:tc>
        <w:tc>
          <w:tcPr>
            <w:tcW w:w="1276" w:type="dxa"/>
            <w:tcBorders>
              <w:top w:val="nil"/>
              <w:left w:val="nil"/>
              <w:bottom w:val="single" w:sz="8"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47 981 598</w:t>
            </w:r>
          </w:p>
        </w:tc>
        <w:tc>
          <w:tcPr>
            <w:tcW w:w="1276" w:type="dxa"/>
            <w:tcBorders>
              <w:top w:val="nil"/>
              <w:left w:val="nil"/>
              <w:bottom w:val="single" w:sz="8"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5 763 648 598</w:t>
            </w:r>
          </w:p>
        </w:tc>
        <w:tc>
          <w:tcPr>
            <w:tcW w:w="1276" w:type="dxa"/>
            <w:tcBorders>
              <w:top w:val="nil"/>
              <w:left w:val="nil"/>
              <w:bottom w:val="single" w:sz="8" w:space="0" w:color="auto"/>
              <w:right w:val="single" w:sz="8" w:space="0" w:color="auto"/>
            </w:tcBorders>
            <w:shd w:val="clear" w:color="000000" w:fill="D9D9D9"/>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5 586 263 598</w:t>
            </w:r>
          </w:p>
        </w:tc>
      </w:tr>
      <w:tr w:rsidR="00343A61">
        <w:trPr>
          <w:trHeight w:val="290"/>
        </w:trPr>
        <w:tc>
          <w:tcPr>
            <w:tcW w:w="3119"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xml:space="preserve">Общо бюджетни кредити </w:t>
            </w:r>
          </w:p>
        </w:tc>
        <w:tc>
          <w:tcPr>
            <w:tcW w:w="1276" w:type="dxa"/>
            <w:tcBorders>
              <w:top w:val="nil"/>
              <w:left w:val="nil"/>
              <w:bottom w:val="single" w:sz="8" w:space="0" w:color="auto"/>
              <w:right w:val="single" w:sz="8" w:space="0" w:color="auto"/>
            </w:tcBorders>
            <w:shd w:val="clear" w:color="000000" w:fill="BFBFBF"/>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168 496 292 615</w:t>
            </w:r>
          </w:p>
        </w:tc>
        <w:tc>
          <w:tcPr>
            <w:tcW w:w="1275" w:type="dxa"/>
            <w:tcBorders>
              <w:top w:val="nil"/>
              <w:left w:val="nil"/>
              <w:bottom w:val="single" w:sz="8" w:space="0" w:color="auto"/>
              <w:right w:val="single" w:sz="8" w:space="0" w:color="auto"/>
            </w:tcBorders>
            <w:shd w:val="clear" w:color="000000" w:fill="BFBFBF"/>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170 305 300 256</w:t>
            </w:r>
          </w:p>
        </w:tc>
        <w:tc>
          <w:tcPr>
            <w:tcW w:w="1134" w:type="dxa"/>
            <w:tcBorders>
              <w:top w:val="nil"/>
              <w:left w:val="nil"/>
              <w:bottom w:val="single" w:sz="8" w:space="0" w:color="auto"/>
              <w:right w:val="single" w:sz="8" w:space="0" w:color="auto"/>
            </w:tcBorders>
            <w:shd w:val="clear" w:color="000000" w:fill="BFBFBF"/>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260 681 598</w:t>
            </w:r>
          </w:p>
        </w:tc>
        <w:tc>
          <w:tcPr>
            <w:tcW w:w="1276" w:type="dxa"/>
            <w:tcBorders>
              <w:top w:val="nil"/>
              <w:left w:val="nil"/>
              <w:bottom w:val="single" w:sz="8" w:space="0" w:color="auto"/>
              <w:right w:val="single" w:sz="8" w:space="0" w:color="auto"/>
            </w:tcBorders>
            <w:shd w:val="clear" w:color="000000" w:fill="BFBFBF"/>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252 581 598</w:t>
            </w:r>
          </w:p>
        </w:tc>
        <w:tc>
          <w:tcPr>
            <w:tcW w:w="1276" w:type="dxa"/>
            <w:tcBorders>
              <w:top w:val="nil"/>
              <w:left w:val="nil"/>
              <w:bottom w:val="single" w:sz="8" w:space="0" w:color="auto"/>
              <w:right w:val="single" w:sz="8" w:space="0" w:color="auto"/>
            </w:tcBorders>
            <w:shd w:val="clear" w:color="000000" w:fill="BFBFBF"/>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168 756 974 213</w:t>
            </w:r>
          </w:p>
        </w:tc>
        <w:tc>
          <w:tcPr>
            <w:tcW w:w="1276" w:type="dxa"/>
            <w:tcBorders>
              <w:top w:val="nil"/>
              <w:left w:val="nil"/>
              <w:bottom w:val="single" w:sz="8" w:space="0" w:color="auto"/>
              <w:right w:val="single" w:sz="8" w:space="0" w:color="auto"/>
            </w:tcBorders>
            <w:shd w:val="clear" w:color="000000" w:fill="BFBFBF"/>
            <w:vAlign w:val="center"/>
            <w:hideMark/>
          </w:tcPr>
          <w:p w:rsidR="00343A61" w:rsidRDefault="00C85AE7">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170 557 881 854</w:t>
            </w:r>
          </w:p>
        </w:tc>
      </w:tr>
    </w:tbl>
    <w:p w:rsidR="00343A61" w:rsidRDefault="00343A61">
      <w:pPr>
        <w:rPr>
          <w:rFonts w:ascii="Times New Roman" w:hAnsi="Times New Roman" w:cs="Times New Roman"/>
          <w:noProof/>
          <w:sz w:val="24"/>
          <w:szCs w:val="24"/>
        </w:rPr>
      </w:pPr>
    </w:p>
    <w:sectPr w:rsidR="00343A61">
      <w:headerReference w:type="even" r:id="rId32"/>
      <w:headerReference w:type="default" r:id="rId33"/>
      <w:footerReference w:type="even" r:id="rId34"/>
      <w:footerReference w:type="default" r:id="rId35"/>
      <w:headerReference w:type="first" r:id="rId36"/>
      <w:footerReference w:type="first" r:id="rId37"/>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A61" w:rsidRDefault="00C85AE7">
      <w:pPr>
        <w:spacing w:after="0" w:line="240" w:lineRule="auto"/>
      </w:pPr>
      <w:r>
        <w:separator/>
      </w:r>
    </w:p>
    <w:p w:rsidR="00343A61" w:rsidRDefault="00343A61"/>
  </w:endnote>
  <w:endnote w:type="continuationSeparator" w:id="0">
    <w:p w:rsidR="00343A61" w:rsidRDefault="00C85AE7">
      <w:pPr>
        <w:spacing w:after="0" w:line="240" w:lineRule="auto"/>
      </w:pPr>
      <w:r>
        <w:continuationSeparator/>
      </w:r>
    </w:p>
    <w:p w:rsidR="00343A61" w:rsidRDefault="00343A61"/>
  </w:endnote>
  <w:endnote w:type="continuationNotice" w:id="1">
    <w:p w:rsidR="00343A61" w:rsidRDefault="00343A61">
      <w:pPr>
        <w:spacing w:after="0" w:line="240" w:lineRule="auto"/>
      </w:pPr>
    </w:p>
    <w:p w:rsidR="00343A61" w:rsidRDefault="00343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E1" w:rsidRPr="00E23CE1" w:rsidRDefault="00E23CE1" w:rsidP="00E23CE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61" w:rsidRDefault="00343A61">
    <w:pPr>
      <w:pStyle w:val="Footer"/>
    </w:pPr>
  </w:p>
  <w:p w:rsidR="00343A61" w:rsidRDefault="00343A61"/>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61" w:rsidRDefault="00C85AE7">
    <w:pPr>
      <w:pStyle w:val="Footer"/>
      <w:tabs>
        <w:tab w:val="clear" w:pos="4513"/>
        <w:tab w:val="center" w:pos="4820"/>
      </w:tabs>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21</w:t>
    </w:r>
    <w:r>
      <w:fldChar w:fldCharType="end"/>
    </w:r>
    <w:r>
      <w:tab/>
    </w:r>
    <w:r>
      <w:tab/>
    </w:r>
  </w:p>
  <w:p w:rsidR="00343A61" w:rsidRDefault="00343A61"/>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61" w:rsidRDefault="00343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E1" w:rsidRPr="00E23CE1" w:rsidRDefault="00E23CE1" w:rsidP="00E23CE1">
    <w:pPr>
      <w:pStyle w:val="FooterCoverPage"/>
      <w:rPr>
        <w:rFonts w:ascii="Arial" w:hAnsi="Arial" w:cs="Arial"/>
        <w:b/>
        <w:sz w:val="48"/>
      </w:rPr>
    </w:pPr>
    <w:r w:rsidRPr="00E23CE1">
      <w:rPr>
        <w:rFonts w:ascii="Arial" w:hAnsi="Arial" w:cs="Arial"/>
        <w:b/>
        <w:sz w:val="48"/>
      </w:rPr>
      <w:t>BG</w:t>
    </w:r>
    <w:r w:rsidRPr="00E23CE1">
      <w:rPr>
        <w:rFonts w:ascii="Arial" w:hAnsi="Arial" w:cs="Arial"/>
        <w:b/>
        <w:sz w:val="48"/>
      </w:rPr>
      <w:tab/>
    </w:r>
    <w:r w:rsidRPr="00E23CE1">
      <w:rPr>
        <w:rFonts w:ascii="Arial" w:hAnsi="Arial" w:cs="Arial"/>
        <w:b/>
        <w:sz w:val="48"/>
      </w:rPr>
      <w:tab/>
    </w:r>
    <w:r w:rsidRPr="00E23CE1">
      <w:tab/>
    </w:r>
    <w:r w:rsidRPr="00E23CE1">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E1" w:rsidRPr="00E23CE1" w:rsidRDefault="00E23CE1" w:rsidP="00E23CE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61" w:rsidRDefault="00343A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61" w:rsidRDefault="00C85AE7">
    <w:pPr>
      <w:pStyle w:val="Footer"/>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61" w:rsidRDefault="00343A6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61" w:rsidRDefault="00343A6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61" w:rsidRDefault="00C85AE7">
    <w:pPr>
      <w:pStyle w:val="Footer"/>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2</w:t>
    </w:r>
    <w:r>
      <w:fldChar w:fldCharType="end"/>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61" w:rsidRDefault="00343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A61" w:rsidRDefault="00C85AE7">
      <w:pPr>
        <w:spacing w:after="0" w:line="240" w:lineRule="auto"/>
      </w:pPr>
      <w:r>
        <w:separator/>
      </w:r>
    </w:p>
    <w:p w:rsidR="00343A61" w:rsidRDefault="00343A61"/>
  </w:footnote>
  <w:footnote w:type="continuationSeparator" w:id="0">
    <w:p w:rsidR="00343A61" w:rsidRDefault="00C85AE7">
      <w:pPr>
        <w:spacing w:after="0" w:line="240" w:lineRule="auto"/>
      </w:pPr>
      <w:r>
        <w:continuationSeparator/>
      </w:r>
    </w:p>
    <w:p w:rsidR="00343A61" w:rsidRDefault="00343A61"/>
  </w:footnote>
  <w:footnote w:type="continuationNotice" w:id="1">
    <w:p w:rsidR="00343A61" w:rsidRDefault="00343A61">
      <w:pPr>
        <w:spacing w:after="0" w:line="240" w:lineRule="auto"/>
      </w:pPr>
    </w:p>
    <w:p w:rsidR="00343A61" w:rsidRDefault="00343A61"/>
  </w:footnote>
  <w:footnote w:id="2">
    <w:p w:rsidR="00343A61" w:rsidRDefault="00C85AE7">
      <w:pPr>
        <w:pStyle w:val="FootnoteText"/>
      </w:pPr>
      <w:r>
        <w:rPr>
          <w:rStyle w:val="FootnoteReference"/>
        </w:rPr>
        <w:footnoteRef/>
      </w:r>
      <w:r>
        <w:t xml:space="preserve"> </w:t>
      </w:r>
      <w:r>
        <w:tab/>
        <w:t>ОВ L 193, 30.7.2018 г</w:t>
      </w:r>
      <w:r>
        <w:rPr>
          <w:sz w:val="18"/>
          <w:szCs w:val="18"/>
        </w:rPr>
        <w:t>.</w:t>
      </w:r>
    </w:p>
  </w:footnote>
  <w:footnote w:id="3">
    <w:p w:rsidR="00343A61" w:rsidRDefault="00C85AE7">
      <w:pPr>
        <w:pStyle w:val="FootnoteText"/>
      </w:pPr>
      <w:r>
        <w:rPr>
          <w:rStyle w:val="FootnoteReference"/>
        </w:rPr>
        <w:footnoteRef/>
      </w:r>
      <w:r>
        <w:t xml:space="preserve"> </w:t>
      </w:r>
      <w:r>
        <w:tab/>
        <w:t>ОВ L 93, 17.3.2021 г.</w:t>
      </w:r>
    </w:p>
  </w:footnote>
  <w:footnote w:id="4">
    <w:p w:rsidR="00343A61" w:rsidRDefault="00C85AE7">
      <w:pPr>
        <w:pStyle w:val="FootnoteText"/>
      </w:pPr>
      <w:r>
        <w:rPr>
          <w:rStyle w:val="FootnoteReference"/>
        </w:rPr>
        <w:footnoteRef/>
      </w:r>
      <w:r>
        <w:t xml:space="preserve"> </w:t>
      </w:r>
      <w:r>
        <w:tab/>
        <w:t>COM(2021) 30 final.</w:t>
      </w:r>
    </w:p>
  </w:footnote>
  <w:footnote w:id="5">
    <w:p w:rsidR="00343A61" w:rsidRDefault="00C85AE7">
      <w:pPr>
        <w:pStyle w:val="FootnoteText"/>
      </w:pPr>
      <w:r>
        <w:rPr>
          <w:rStyle w:val="FootnoteReference"/>
        </w:rPr>
        <w:footnoteRef/>
      </w:r>
      <w:r>
        <w:t xml:space="preserve"> </w:t>
      </w:r>
      <w:r>
        <w:tab/>
        <w:t>COM(2021) 78, 17.2.2021 г.</w:t>
      </w:r>
    </w:p>
  </w:footnote>
  <w:footnote w:id="6">
    <w:p w:rsidR="00343A61" w:rsidRDefault="00C85AE7">
      <w:pPr>
        <w:pStyle w:val="FootnoteText"/>
      </w:pPr>
      <w:r>
        <w:rPr>
          <w:rStyle w:val="FootnoteReference"/>
        </w:rPr>
        <w:footnoteRef/>
      </w:r>
      <w:r>
        <w:t xml:space="preserve"> </w:t>
      </w:r>
      <w:r>
        <w:tab/>
        <w:t>COM(2021) 129, 17.3.2021 г.</w:t>
      </w:r>
    </w:p>
  </w:footnote>
  <w:footnote w:id="7">
    <w:p w:rsidR="00343A61" w:rsidRDefault="00C85AE7">
      <w:pPr>
        <w:pStyle w:val="FootnoteText"/>
      </w:pPr>
      <w:r>
        <w:rPr>
          <w:rStyle w:val="FootnoteReference"/>
        </w:rPr>
        <w:footnoteRef/>
      </w:r>
      <w:r>
        <w:t xml:space="preserve"> </w:t>
      </w:r>
      <w:r>
        <w:tab/>
        <w:t>COM(2021) 130, 17.3.2021 г.</w:t>
      </w:r>
    </w:p>
  </w:footnote>
  <w:footnote w:id="8">
    <w:p w:rsidR="00343A61" w:rsidRDefault="00C85AE7">
      <w:pPr>
        <w:pStyle w:val="FootnoteText"/>
      </w:pPr>
      <w:r>
        <w:rPr>
          <w:rStyle w:val="FootnoteReference"/>
        </w:rPr>
        <w:footnoteRef/>
      </w:r>
      <w:r>
        <w:t xml:space="preserve"> </w:t>
      </w:r>
      <w:r>
        <w:tab/>
        <w:t>ОВ L 433, 22.12.2020 г., стр. 11.</w:t>
      </w:r>
    </w:p>
  </w:footnote>
  <w:footnote w:id="9">
    <w:p w:rsidR="00343A61" w:rsidRDefault="00C85AE7">
      <w:pPr>
        <w:pStyle w:val="FootnoteText"/>
      </w:pPr>
      <w:r>
        <w:rPr>
          <w:rStyle w:val="FootnoteReference"/>
        </w:rPr>
        <w:footnoteRef/>
      </w:r>
      <w:r>
        <w:t xml:space="preserve"> </w:t>
      </w:r>
      <w:r>
        <w:tab/>
        <w:t>ОВ L 50,</w:t>
      </w:r>
      <w:r>
        <w:t xml:space="preserve"> 15.2.2021 г., стр. 9.</w:t>
      </w:r>
    </w:p>
  </w:footnote>
  <w:footnote w:id="10">
    <w:p w:rsidR="00343A61" w:rsidRDefault="00C85AE7">
      <w:pPr>
        <w:pStyle w:val="FootnoteText"/>
      </w:pPr>
      <w:r>
        <w:rPr>
          <w:rStyle w:val="FootnoteReference"/>
        </w:rPr>
        <w:footnoteRef/>
      </w:r>
      <w:r>
        <w:t xml:space="preserve"> </w:t>
      </w:r>
      <w:r>
        <w:tab/>
        <w:t>C(2021) 947, C(2021) 948, C(2021) 949, C(2021) 950, C(2021) 951 и C(2021) 952.</w:t>
      </w:r>
    </w:p>
  </w:footnote>
  <w:footnote w:id="11">
    <w:p w:rsidR="00343A61" w:rsidRDefault="00C85AE7">
      <w:pPr>
        <w:pStyle w:val="FootnoteText"/>
      </w:pPr>
      <w:r>
        <w:rPr>
          <w:rStyle w:val="FootnoteReference"/>
        </w:rPr>
        <w:footnoteRef/>
      </w:r>
      <w:r>
        <w:t xml:space="preserve"> </w:t>
      </w:r>
      <w:r>
        <w:tab/>
        <w:t>COM(2021) 87 final.</w:t>
      </w:r>
    </w:p>
  </w:footnote>
  <w:footnote w:id="12">
    <w:p w:rsidR="00343A61" w:rsidRDefault="00C85AE7">
      <w:pPr>
        <w:pStyle w:val="FootnoteText"/>
      </w:pPr>
      <w:r>
        <w:rPr>
          <w:rStyle w:val="FootnoteReference"/>
        </w:rPr>
        <w:footnoteRef/>
      </w:r>
      <w:r>
        <w:t xml:space="preserve"> </w:t>
      </w:r>
      <w:r>
        <w:tab/>
        <w:t>Регламент (ЕС, Евратом) № 1311/2013 на Съвета от 2 декември 2013 г. за определяне на многогодишната финансова рамка за години</w:t>
      </w:r>
      <w:r>
        <w:t xml:space="preserve">те 2014—2020 г. (ОВ L 347, 20.12.2013 г., стр. 884). </w:t>
      </w:r>
    </w:p>
  </w:footnote>
  <w:footnote w:id="13">
    <w:p w:rsidR="00343A61" w:rsidRDefault="00C85AE7">
      <w:pPr>
        <w:pStyle w:val="FootnoteText"/>
      </w:pPr>
      <w:r>
        <w:rPr>
          <w:rStyle w:val="FootnoteReference"/>
        </w:rPr>
        <w:footnoteRef/>
      </w:r>
      <w:r>
        <w:t xml:space="preserve"> </w:t>
      </w:r>
      <w:r>
        <w:tab/>
        <w:t>Регламент (EС) 2020/521 на Съвета от 14 април 2020 г. за активиране на спешната подкрепа по Регламент (ЕС) 2016/369 и за изменение на разпоредбите на посочения регламент предвид избухването на COVID-</w:t>
      </w:r>
      <w:r>
        <w:t xml:space="preserve">19 (ОВ L 117, 15.4.2020 г., стр. 3). </w:t>
      </w:r>
    </w:p>
  </w:footnote>
  <w:footnote w:id="14">
    <w:p w:rsidR="00343A61" w:rsidRDefault="00C85AE7">
      <w:pPr>
        <w:pStyle w:val="FootnoteText"/>
      </w:pPr>
      <w:r>
        <w:rPr>
          <w:rStyle w:val="FootnoteReference"/>
        </w:rPr>
        <w:footnoteRef/>
      </w:r>
      <w:r>
        <w:t xml:space="preserve"> </w:t>
      </w:r>
      <w:r>
        <w:tab/>
        <w:t>Предложение за Регламент на Европейския парламент и на Съвета относно рамка за издаването, проверката и приемането на оперативно съвместими удостоверения за ваксинация, направен тест и преболедуване с цел улесняване</w:t>
      </w:r>
      <w:r>
        <w:t xml:space="preserve"> на свободното движение по време на пандемията от COVID-19 (Цифрово зелено удостоверение) (COM(2021) 130, 17.3.2021 г.).</w:t>
      </w:r>
    </w:p>
  </w:footnote>
  <w:footnote w:id="15">
    <w:p w:rsidR="00343A61" w:rsidRDefault="00C85AE7">
      <w:pPr>
        <w:pStyle w:val="FootnoteText"/>
      </w:pPr>
      <w:r>
        <w:rPr>
          <w:rStyle w:val="FootnoteReference"/>
        </w:rPr>
        <w:footnoteRef/>
      </w:r>
      <w:r>
        <w:t xml:space="preserve"> </w:t>
      </w:r>
      <w:r>
        <w:tab/>
        <w:t>Съобщение на Комисията до Европейския парламент, Европейския съвет и Съвета „Инкубатор HERA: Съвместна подготовка за заплахата от ва</w:t>
      </w:r>
      <w:r>
        <w:t>риантите на COVID-19“ (COM(2021) 78, 17.2.2021 г.).</w:t>
      </w:r>
    </w:p>
  </w:footnote>
  <w:footnote w:id="16">
    <w:p w:rsidR="00343A61" w:rsidRDefault="00C85AE7">
      <w:pPr>
        <w:pStyle w:val="FootnoteText"/>
      </w:pPr>
      <w:r>
        <w:rPr>
          <w:rStyle w:val="FootnoteReference"/>
        </w:rPr>
        <w:footnoteRef/>
      </w:r>
      <w:r>
        <w:t xml:space="preserve"> </w:t>
      </w:r>
      <w:r>
        <w:tab/>
        <w:t>Съобщение на Комисията до Европейския парламент, Европейския съвет и Съвета „Общ път към безопасно и трайно отваряне“ (COM(2021) 129, 17.3.2021 г.).</w:t>
      </w:r>
    </w:p>
  </w:footnote>
  <w:footnote w:id="17">
    <w:p w:rsidR="00343A61" w:rsidRDefault="00C85AE7">
      <w:pPr>
        <w:pStyle w:val="FootnoteText"/>
      </w:pPr>
      <w:r>
        <w:rPr>
          <w:rStyle w:val="FootnoteReference"/>
        </w:rPr>
        <w:footnoteRef/>
      </w:r>
      <w:r>
        <w:t xml:space="preserve"> </w:t>
      </w:r>
      <w:r>
        <w:tab/>
        <w:t xml:space="preserve">COM(2020) 726. </w:t>
      </w:r>
    </w:p>
  </w:footnote>
  <w:footnote w:id="18">
    <w:p w:rsidR="00343A61" w:rsidRDefault="00C85AE7">
      <w:pPr>
        <w:pStyle w:val="FootnoteText"/>
      </w:pPr>
      <w:r>
        <w:rPr>
          <w:rStyle w:val="FootnoteReference"/>
        </w:rPr>
        <w:footnoteRef/>
      </w:r>
      <w:r>
        <w:t xml:space="preserve"> </w:t>
      </w:r>
      <w:r>
        <w:tab/>
        <w:t xml:space="preserve">Решение за изпълнение (EC) </w:t>
      </w:r>
      <w:r>
        <w:t>2021/173 на Комисията от 12 февруари 2021 г. за създаване на Европейската изпълнителна агенция за климата, инфраструктурата и околната среда, Европейската изпълнителна агенция за здравеопазването и цифровизацията, Европейската изпълнителна агенция за научн</w:t>
      </w:r>
      <w:r>
        <w:t>и изследвания, Изпълнителната агенция за Европейския съвет по иновациите и за МСП, Изпълнителната агенция на Европейския научноизследователски съвет и Европейската изпълнителна агенция за образование и култура и за отмяна на решения за изпълнение 2013/801/</w:t>
      </w:r>
      <w:r>
        <w:t>ЕС, 2013/771/ЕС, 2013/778/ЕС, 2013/779/ЕС, 2013/776/ЕС и 2013/770/ЕС (ОВ L 50, 15.2.2021 г., стр. 9).</w:t>
      </w:r>
    </w:p>
  </w:footnote>
  <w:footnote w:id="19">
    <w:p w:rsidR="00343A61" w:rsidRDefault="00C85AE7">
      <w:pPr>
        <w:pStyle w:val="FootnoteText"/>
        <w:ind w:left="142" w:hanging="142"/>
      </w:pPr>
      <w:r>
        <w:rPr>
          <w:rStyle w:val="FootnoteReference"/>
        </w:rPr>
        <w:footnoteRef/>
      </w:r>
      <w:r>
        <w:t xml:space="preserve"> </w:t>
      </w:r>
      <w:r>
        <w:tab/>
        <w:t>COM(2020) 748 final, 13.11.2020 г.</w:t>
      </w:r>
    </w:p>
  </w:footnote>
  <w:footnote w:id="20">
    <w:p w:rsidR="00343A61" w:rsidRDefault="00C85AE7">
      <w:pPr>
        <w:pStyle w:val="FootnoteText"/>
      </w:pPr>
      <w:r>
        <w:rPr>
          <w:rStyle w:val="FootnoteReference"/>
        </w:rPr>
        <w:footnoteRef/>
      </w:r>
      <w:r>
        <w:t xml:space="preserve"> </w:t>
      </w:r>
      <w:r>
        <w:tab/>
        <w:t>Предложение за Регламент на Съвета за създаване на съвместните предприятия в рамките на „Хоризонт Европа“ (COM(20</w:t>
      </w:r>
      <w:r>
        <w:t>21) 87 final).</w:t>
      </w:r>
    </w:p>
  </w:footnote>
  <w:footnote w:id="21">
    <w:p w:rsidR="00343A61" w:rsidRDefault="00C85AE7">
      <w:pPr>
        <w:pStyle w:val="FootnoteText"/>
      </w:pPr>
      <w:r>
        <w:rPr>
          <w:rStyle w:val="FootnoteReference"/>
        </w:rPr>
        <w:footnoteRef/>
      </w:r>
      <w:r>
        <w:t xml:space="preserve"> </w:t>
      </w:r>
      <w:r>
        <w:tab/>
        <w:t>Регламент (ЕС) 2020/2221 на Европейския парламент и на Съвета от 23 декември 2020 г. за изменение на Регламент (ЕС) № 1303/2013 по отношение на допълнителните средства и уредбата за изпълнение с цел оказване на помощ за улесняване на прео</w:t>
      </w:r>
      <w:r>
        <w:t>доляването на последиците от кризата в контекста на пандемията от COVID-19 и социалните последици от нея и за подготовка за екологично, цифрово и устойчиво възстановяване на икономиката (REACT-EU).</w:t>
      </w:r>
    </w:p>
  </w:footnote>
  <w:footnote w:id="22">
    <w:p w:rsidR="00343A61" w:rsidRDefault="00C85AE7">
      <w:pPr>
        <w:pStyle w:val="FootnoteText"/>
      </w:pPr>
      <w:r>
        <w:rPr>
          <w:rStyle w:val="FootnoteReference"/>
        </w:rPr>
        <w:footnoteRef/>
      </w:r>
      <w:r>
        <w:t xml:space="preserve"> </w:t>
      </w:r>
      <w:r>
        <w:tab/>
        <w:t>Регламент (ЕС, Евратом) 2020/2093 на Съвета от 17 декем</w:t>
      </w:r>
      <w:r>
        <w:t xml:space="preserve">ври 2020 г. за определяне на многогодишната финансова рамка за годините 2021—2027 (ОВ L 433I, 22.12.2020 г., стр. 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E1" w:rsidRPr="00E23CE1" w:rsidRDefault="00E23CE1" w:rsidP="00E23CE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61" w:rsidRDefault="00343A61">
    <w:pPr>
      <w:pStyle w:val="Header"/>
    </w:pPr>
  </w:p>
  <w:p w:rsidR="00343A61" w:rsidRDefault="00343A61"/>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61" w:rsidRDefault="00343A61">
    <w:pPr>
      <w:pStyle w:val="Header"/>
      <w:rPr>
        <w:sz w:val="2"/>
        <w:szCs w:val="2"/>
      </w:rPr>
    </w:pPr>
  </w:p>
  <w:p w:rsidR="00343A61" w:rsidRDefault="00343A61"/>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61" w:rsidRDefault="00343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E1" w:rsidRPr="00E23CE1" w:rsidRDefault="00E23CE1" w:rsidP="00E23CE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CE1" w:rsidRPr="00E23CE1" w:rsidRDefault="00E23CE1" w:rsidP="00E23CE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61" w:rsidRDefault="00343A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61" w:rsidRDefault="00343A61">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61" w:rsidRDefault="00343A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61" w:rsidRDefault="00343A6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61" w:rsidRDefault="00343A61">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A61" w:rsidRDefault="00343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E73"/>
    <w:multiLevelType w:val="hybridMultilevel"/>
    <w:tmpl w:val="E03872AE"/>
    <w:lvl w:ilvl="0" w:tplc="8A36BA8C">
      <w:numFmt w:val="bullet"/>
      <w:lvlText w:val=""/>
      <w:lvlJc w:val="left"/>
      <w:pPr>
        <w:ind w:left="360" w:hanging="360"/>
      </w:pPr>
      <w:rPr>
        <w:rFonts w:ascii="Symbol" w:eastAsia="Times New Roman" w:hAnsi="Symbol" w:hint="default"/>
      </w:rPr>
    </w:lvl>
    <w:lvl w:ilvl="1" w:tplc="9942206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064F4724"/>
    <w:multiLevelType w:val="hybridMultilevel"/>
    <w:tmpl w:val="C3AC3F54"/>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2" w15:restartNumberingAfterBreak="0">
    <w:nsid w:val="15CC67FE"/>
    <w:multiLevelType w:val="hybridMultilevel"/>
    <w:tmpl w:val="6720C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645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7B4AAC"/>
    <w:multiLevelType w:val="hybridMultilevel"/>
    <w:tmpl w:val="B3484EEE"/>
    <w:lvl w:ilvl="0" w:tplc="F13C5314">
      <w:start w:val="1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33707E"/>
    <w:multiLevelType w:val="hybridMultilevel"/>
    <w:tmpl w:val="9FFC1BDA"/>
    <w:lvl w:ilvl="0" w:tplc="8A36BA8C">
      <w:numFmt w:val="bullet"/>
      <w:lvlText w:val=""/>
      <w:lvlJc w:val="left"/>
      <w:pPr>
        <w:ind w:left="360" w:hanging="360"/>
      </w:pPr>
      <w:rPr>
        <w:rFonts w:ascii="Symbol" w:eastAsia="Times New Roman" w:hAnsi="Symbol" w:hint="default"/>
      </w:rPr>
    </w:lvl>
    <w:lvl w:ilvl="1" w:tplc="9942206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2B6453DB"/>
    <w:multiLevelType w:val="hybridMultilevel"/>
    <w:tmpl w:val="B7AE1634"/>
    <w:lvl w:ilvl="0" w:tplc="F5A8C980">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8" w15:restartNumberingAfterBreak="0">
    <w:nsid w:val="3D0527E6"/>
    <w:multiLevelType w:val="hybridMultilevel"/>
    <w:tmpl w:val="AE0C8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637D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A109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0434B8"/>
    <w:multiLevelType w:val="hybridMultilevel"/>
    <w:tmpl w:val="68202C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8A224E2"/>
    <w:multiLevelType w:val="hybridMultilevel"/>
    <w:tmpl w:val="4B4860BC"/>
    <w:lvl w:ilvl="0" w:tplc="7D50DF9C">
      <w:start w:val="2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CBD3E47"/>
    <w:multiLevelType w:val="hybridMultilevel"/>
    <w:tmpl w:val="BCFCC188"/>
    <w:lvl w:ilvl="0" w:tplc="7D50DF9C">
      <w:start w:val="2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0DF4EFA"/>
    <w:multiLevelType w:val="hybridMultilevel"/>
    <w:tmpl w:val="04B27E1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541C7C56"/>
    <w:multiLevelType w:val="hybridMultilevel"/>
    <w:tmpl w:val="64B869A6"/>
    <w:lvl w:ilvl="0" w:tplc="8A36BA8C">
      <w:numFmt w:val="bullet"/>
      <w:lvlText w:val=""/>
      <w:lvlJc w:val="left"/>
      <w:pPr>
        <w:ind w:left="360" w:hanging="360"/>
      </w:pPr>
      <w:rPr>
        <w:rFonts w:ascii="Symbol" w:eastAsia="Times New Roman" w:hAnsi="Symbol" w:hint="default"/>
      </w:rPr>
    </w:lvl>
    <w:lvl w:ilvl="1" w:tplc="08090005">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15:restartNumberingAfterBreak="0">
    <w:nsid w:val="5CBE37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EA57F3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484508"/>
    <w:multiLevelType w:val="hybridMultilevel"/>
    <w:tmpl w:val="1C9AA5CA"/>
    <w:lvl w:ilvl="0" w:tplc="7D50DF9C">
      <w:start w:val="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0F11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7DC15F1"/>
    <w:multiLevelType w:val="hybridMultilevel"/>
    <w:tmpl w:val="D4BE0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4367C3"/>
    <w:multiLevelType w:val="hybridMultilevel"/>
    <w:tmpl w:val="F6884C78"/>
    <w:lvl w:ilvl="0" w:tplc="7D50DF9C">
      <w:start w:val="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DE4B4F"/>
    <w:multiLevelType w:val="hybridMultilevel"/>
    <w:tmpl w:val="CFB27C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FF240EA"/>
    <w:multiLevelType w:val="hybridMultilevel"/>
    <w:tmpl w:val="8672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4"/>
  </w:num>
  <w:num w:numId="4">
    <w:abstractNumId w:val="2"/>
  </w:num>
  <w:num w:numId="5">
    <w:abstractNumId w:val="9"/>
  </w:num>
  <w:num w:numId="6">
    <w:abstractNumId w:val="16"/>
  </w:num>
  <w:num w:numId="7">
    <w:abstractNumId w:val="19"/>
  </w:num>
  <w:num w:numId="8">
    <w:abstractNumId w:val="8"/>
  </w:num>
  <w:num w:numId="9">
    <w:abstractNumId w:val="17"/>
  </w:num>
  <w:num w:numId="10">
    <w:abstractNumId w:val="11"/>
  </w:num>
  <w:num w:numId="11">
    <w:abstractNumId w:val="4"/>
  </w:num>
  <w:num w:numId="12">
    <w:abstractNumId w:val="21"/>
  </w:num>
  <w:num w:numId="13">
    <w:abstractNumId w:val="13"/>
  </w:num>
  <w:num w:numId="14">
    <w:abstractNumId w:val="18"/>
  </w:num>
  <w:num w:numId="15">
    <w:abstractNumId w:val="12"/>
  </w:num>
  <w:num w:numId="16">
    <w:abstractNumId w:val="6"/>
  </w:num>
  <w:num w:numId="17">
    <w:abstractNumId w:val="23"/>
  </w:num>
  <w:num w:numId="18">
    <w:abstractNumId w:val="20"/>
  </w:num>
  <w:num w:numId="19">
    <w:abstractNumId w:val="22"/>
  </w:num>
  <w:num w:numId="20">
    <w:abstractNumId w:val="10"/>
  </w:num>
  <w:num w:numId="21">
    <w:abstractNumId w:val="0"/>
  </w:num>
  <w:num w:numId="22">
    <w:abstractNumId w:val="1"/>
  </w:num>
  <w:num w:numId="23">
    <w:abstractNumId w:val="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014CF8E-1274-4D81-8717-D47A9B2BC05F"/>
    <w:docVar w:name="LW_COVERPAGE_TYPE" w:val="1"/>
    <w:docVar w:name="LW_CROSSREFERENCE" w:val="&lt;UNUSED&gt;"/>
    <w:docVar w:name="LW_DocType" w:val="NORMAL"/>
    <w:docVar w:name="LW_EMISSION" w:val="24.3.2021"/>
    <w:docVar w:name="LW_EMISSION_ISODATE" w:val="2021-03-24"/>
    <w:docVar w:name="LW_EMISSION_LOCATION" w:val="BRX"/>
    <w:docVar w:name="LW_EMISSION_PREFIX" w:val="\u1041?\u1088?\u1102?\u1082?\u1089?\u1077?\u1083?, "/>
    <w:docVar w:name="LW_EMISSION_SUFFIX" w:val=" \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BUD"/>
    <w:docVar w:name="LW_REF.II.NEW.CP_NUMBER" w:val="0078"/>
    <w:docVar w:name="LW_REF.II.NEW.CP_YEAR" w:val="2021"/>
    <w:docVar w:name="LW_REF.INST.NEW" w:val="COM"/>
    <w:docVar w:name="LW_REF.INST.NEW_ADOPTED" w:val="final"/>
    <w:docVar w:name="LW_REF.INST.NEW_TEXT" w:val="(2021) 2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79?\u1072? \u1092?\u1080?\u1085?\u1072?\u1085?\u1089?\u1080?\u1088?\u1072?\u1085?\u1077? \u1085?\u1072? \u1086?\u1090?\u1074?\u1077?\u1090?\u1085?\u1080?\u1090?\u1077? \u1084?\u1077?\u1088?\u1082?\u1080? \u1074?\u1098?\u1074? \u1074?\u1088?\u1098?\u1079?\u1082?\u1072? \u1089? COVID-19 \u1080? \u1079?\u1072? \u1074?\u1082?\u1083?\u1102?\u1095?\u1074?\u1072?\u1085?\u1077? \u1085?\u1072? \u1082?\u1086?\u1088?\u1077?\u1082?\u1094?\u1080?\u1080? \u1080? \u1072?\u1082?\u1090?\u1091?\u1072?\u1083?\u1080?\u1079?\u1072?\u1094?\u1080?\u1080?, \u1089?\u1074?\u1098?\u1088?\u1079?\u1072?\u1085?\u1080? \u1089? \u1086?\u1082?\u1086?\u1085?\u1095?\u1072?\u1090?\u1077?\u1083?\u1085?\u1086?\u1090?\u1086? \u1087?\u1088?\u1080?\u1077?\u1084?\u1072?\u1085?\u1077? \u1085?\u1072? \u1084?\u1085?\u1086?\u1075?\u1086?\u1075?\u1086?\u1076?\u1080?\u1096?\u1085?\u1072?\u1090?\u1072? \u1092?\u1080?\u1085?\u1072?\u1085?\u1089?\u1086?\u1074?\u1072? \u1088?\u1072?\u1084?\u1082?\u1072?_x000d__x000d__x000d__x000d__x000b__x000d__x000d__x000d__x000d__x000d__x000d__x000d__x000d__x000d__x000d__x000b_&lt;FMT:Font=Arial&gt;_x000d_&lt;/FMT&gt;_x000d__x000d__x000d__x000d__x000d__x000d__x000d__x000d__x000d__x000d__x000b_"/>
    <w:docVar w:name="LW_TYPE.DOC.CP" w:val="\u1055?\u1056?\u1054?\u1045?\u1050?\u1058? \u1053?\u1040? \u1050?\u1054?\u1056?\u1048?\u1043?\u1048?\u1056?\u1040?\u1065? \u1041?\u1070?\u1044?\u1046?\u1045?\u1058? \u8470? 2_x000b_\u1050?\u1066?\u1052? \u1054?\u1041?\u1065?\u1048?\u1071? \u1041?\u1070?\u1044?\u1046?\u1045?\u1058? \u1047?\u1040? 2021 \u1043?."/>
  </w:docVars>
  <w:rsids>
    <w:rsidRoot w:val="00343A61"/>
    <w:rsid w:val="00343A61"/>
    <w:rsid w:val="00C85AE7"/>
    <w:rsid w:val="00E23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4A0F4C7A-64A2-49F8-A85F-282C4207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Char Char Char Char Char Char,Char Char Char"/>
    <w:basedOn w:val="Normal"/>
    <w:link w:val="FootnoteTextChar"/>
    <w:qFormat/>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
    <w:basedOn w:val="DefaultParagraphFont"/>
    <w:link w:val="FootnoteText"/>
    <w:rPr>
      <w:rFonts w:ascii="Times New Roman" w:eastAsia="Times New Roman" w:hAnsi="Times New Roman" w:cs="Times New Roman"/>
      <w:sz w:val="20"/>
      <w:szCs w:val="20"/>
      <w:lang w:eastAsia="de-DE"/>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qFormat/>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character" w:styleId="Hyperlink">
    <w:name w:val="Hyperlink"/>
    <w:uiPriority w:val="99"/>
    <w:rPr>
      <w:color w:val="0000FF"/>
      <w:u w:val="singl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character" w:styleId="CommentReference">
    <w:name w:val="annotation reference"/>
    <w:rPr>
      <w:sz w:val="16"/>
      <w:szCs w:val="16"/>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pPr>
      <w:spacing w:after="0" w:line="240" w:lineRule="auto"/>
      <w:ind w:left="720"/>
    </w:pPr>
    <w:rPr>
      <w:rFonts w:ascii="Calibri" w:hAnsi="Calibri" w:cs="Calibri"/>
      <w:lang w:eastAsia="en-GB"/>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Normal"/>
    <w:uiPriority w:val="99"/>
    <w:pPr>
      <w:keepNext/>
      <w:spacing w:before="480" w:after="120" w:line="240" w:lineRule="auto"/>
    </w:pPr>
    <w:rPr>
      <w:rFonts w:ascii="Times New Roman" w:eastAsiaTheme="minorEastAsia" w:hAnsi="Times New Roman" w:cs="Times New Roman"/>
      <w:b/>
      <w:bCs/>
      <w:smallCaps/>
      <w:sz w:val="28"/>
      <w:szCs w:val="28"/>
      <w:lang w:eastAsia="en-GB"/>
    </w:rPr>
  </w:style>
  <w:style w:type="paragraph" w:customStyle="1" w:styleId="Item">
    <w:name w:val="Item"/>
    <w:basedOn w:val="Normal"/>
    <w:next w:val="Normal"/>
    <w:uiPriority w:val="99"/>
    <w:pPr>
      <w:keepNext/>
      <w:spacing w:before="480" w:after="120" w:line="240" w:lineRule="auto"/>
    </w:pPr>
    <w:rPr>
      <w:rFonts w:ascii="Times New Roman" w:eastAsiaTheme="minorEastAsia" w:hAnsi="Times New Roman" w:cs="Times New Roman"/>
      <w:lang w:eastAsia="en-GB"/>
    </w:rPr>
  </w:style>
  <w:style w:type="paragraph" w:customStyle="1" w:styleId="Article">
    <w:name w:val="Article"/>
    <w:basedOn w:val="Normal"/>
    <w:next w:val="Normal"/>
    <w:uiPriority w:val="99"/>
    <w:pPr>
      <w:keepNext/>
      <w:spacing w:before="480" w:after="120" w:line="240" w:lineRule="auto"/>
    </w:pPr>
    <w:rPr>
      <w:rFonts w:ascii="Times New Roman" w:eastAsiaTheme="minorEastAsia" w:hAnsi="Times New Roman" w:cs="Times New Roman"/>
      <w:b/>
      <w:bCs/>
      <w:i/>
      <w:iCs/>
      <w:sz w:val="24"/>
      <w:szCs w:val="24"/>
      <w:lang w:eastAsia="en-GB"/>
    </w:rPr>
  </w:style>
  <w:style w:type="table" w:customStyle="1" w:styleId="PlainTable11">
    <w:name w:val="Plain Table 1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1830">
      <w:bodyDiv w:val="1"/>
      <w:marLeft w:val="0"/>
      <w:marRight w:val="0"/>
      <w:marTop w:val="0"/>
      <w:marBottom w:val="0"/>
      <w:divBdr>
        <w:top w:val="none" w:sz="0" w:space="0" w:color="auto"/>
        <w:left w:val="none" w:sz="0" w:space="0" w:color="auto"/>
        <w:bottom w:val="none" w:sz="0" w:space="0" w:color="auto"/>
        <w:right w:val="none" w:sz="0" w:space="0" w:color="auto"/>
      </w:divBdr>
    </w:div>
    <w:div w:id="31881891">
      <w:bodyDiv w:val="1"/>
      <w:marLeft w:val="0"/>
      <w:marRight w:val="0"/>
      <w:marTop w:val="0"/>
      <w:marBottom w:val="0"/>
      <w:divBdr>
        <w:top w:val="none" w:sz="0" w:space="0" w:color="auto"/>
        <w:left w:val="none" w:sz="0" w:space="0" w:color="auto"/>
        <w:bottom w:val="none" w:sz="0" w:space="0" w:color="auto"/>
        <w:right w:val="none" w:sz="0" w:space="0" w:color="auto"/>
      </w:divBdr>
    </w:div>
    <w:div w:id="117845356">
      <w:bodyDiv w:val="1"/>
      <w:marLeft w:val="0"/>
      <w:marRight w:val="0"/>
      <w:marTop w:val="0"/>
      <w:marBottom w:val="0"/>
      <w:divBdr>
        <w:top w:val="none" w:sz="0" w:space="0" w:color="auto"/>
        <w:left w:val="none" w:sz="0" w:space="0" w:color="auto"/>
        <w:bottom w:val="none" w:sz="0" w:space="0" w:color="auto"/>
        <w:right w:val="none" w:sz="0" w:space="0" w:color="auto"/>
      </w:divBdr>
    </w:div>
    <w:div w:id="131025976">
      <w:bodyDiv w:val="1"/>
      <w:marLeft w:val="0"/>
      <w:marRight w:val="0"/>
      <w:marTop w:val="0"/>
      <w:marBottom w:val="0"/>
      <w:divBdr>
        <w:top w:val="none" w:sz="0" w:space="0" w:color="auto"/>
        <w:left w:val="none" w:sz="0" w:space="0" w:color="auto"/>
        <w:bottom w:val="none" w:sz="0" w:space="0" w:color="auto"/>
        <w:right w:val="none" w:sz="0" w:space="0" w:color="auto"/>
      </w:divBdr>
    </w:div>
    <w:div w:id="154036817">
      <w:bodyDiv w:val="1"/>
      <w:marLeft w:val="0"/>
      <w:marRight w:val="0"/>
      <w:marTop w:val="0"/>
      <w:marBottom w:val="0"/>
      <w:divBdr>
        <w:top w:val="none" w:sz="0" w:space="0" w:color="auto"/>
        <w:left w:val="none" w:sz="0" w:space="0" w:color="auto"/>
        <w:bottom w:val="none" w:sz="0" w:space="0" w:color="auto"/>
        <w:right w:val="none" w:sz="0" w:space="0" w:color="auto"/>
      </w:divBdr>
    </w:div>
    <w:div w:id="177279119">
      <w:bodyDiv w:val="1"/>
      <w:marLeft w:val="0"/>
      <w:marRight w:val="0"/>
      <w:marTop w:val="0"/>
      <w:marBottom w:val="0"/>
      <w:divBdr>
        <w:top w:val="none" w:sz="0" w:space="0" w:color="auto"/>
        <w:left w:val="none" w:sz="0" w:space="0" w:color="auto"/>
        <w:bottom w:val="none" w:sz="0" w:space="0" w:color="auto"/>
        <w:right w:val="none" w:sz="0" w:space="0" w:color="auto"/>
      </w:divBdr>
    </w:div>
    <w:div w:id="232857717">
      <w:bodyDiv w:val="1"/>
      <w:marLeft w:val="0"/>
      <w:marRight w:val="0"/>
      <w:marTop w:val="0"/>
      <w:marBottom w:val="0"/>
      <w:divBdr>
        <w:top w:val="none" w:sz="0" w:space="0" w:color="auto"/>
        <w:left w:val="none" w:sz="0" w:space="0" w:color="auto"/>
        <w:bottom w:val="none" w:sz="0" w:space="0" w:color="auto"/>
        <w:right w:val="none" w:sz="0" w:space="0" w:color="auto"/>
      </w:divBdr>
    </w:div>
    <w:div w:id="250041582">
      <w:bodyDiv w:val="1"/>
      <w:marLeft w:val="0"/>
      <w:marRight w:val="0"/>
      <w:marTop w:val="0"/>
      <w:marBottom w:val="0"/>
      <w:divBdr>
        <w:top w:val="none" w:sz="0" w:space="0" w:color="auto"/>
        <w:left w:val="none" w:sz="0" w:space="0" w:color="auto"/>
        <w:bottom w:val="none" w:sz="0" w:space="0" w:color="auto"/>
        <w:right w:val="none" w:sz="0" w:space="0" w:color="auto"/>
      </w:divBdr>
    </w:div>
    <w:div w:id="289744790">
      <w:bodyDiv w:val="1"/>
      <w:marLeft w:val="0"/>
      <w:marRight w:val="0"/>
      <w:marTop w:val="0"/>
      <w:marBottom w:val="0"/>
      <w:divBdr>
        <w:top w:val="none" w:sz="0" w:space="0" w:color="auto"/>
        <w:left w:val="none" w:sz="0" w:space="0" w:color="auto"/>
        <w:bottom w:val="none" w:sz="0" w:space="0" w:color="auto"/>
        <w:right w:val="none" w:sz="0" w:space="0" w:color="auto"/>
      </w:divBdr>
    </w:div>
    <w:div w:id="405499094">
      <w:bodyDiv w:val="1"/>
      <w:marLeft w:val="0"/>
      <w:marRight w:val="0"/>
      <w:marTop w:val="0"/>
      <w:marBottom w:val="0"/>
      <w:divBdr>
        <w:top w:val="none" w:sz="0" w:space="0" w:color="auto"/>
        <w:left w:val="none" w:sz="0" w:space="0" w:color="auto"/>
        <w:bottom w:val="none" w:sz="0" w:space="0" w:color="auto"/>
        <w:right w:val="none" w:sz="0" w:space="0" w:color="auto"/>
      </w:divBdr>
    </w:div>
    <w:div w:id="434445676">
      <w:bodyDiv w:val="1"/>
      <w:marLeft w:val="0"/>
      <w:marRight w:val="0"/>
      <w:marTop w:val="0"/>
      <w:marBottom w:val="0"/>
      <w:divBdr>
        <w:top w:val="none" w:sz="0" w:space="0" w:color="auto"/>
        <w:left w:val="none" w:sz="0" w:space="0" w:color="auto"/>
        <w:bottom w:val="none" w:sz="0" w:space="0" w:color="auto"/>
        <w:right w:val="none" w:sz="0" w:space="0" w:color="auto"/>
      </w:divBdr>
    </w:div>
    <w:div w:id="476648898">
      <w:bodyDiv w:val="1"/>
      <w:marLeft w:val="0"/>
      <w:marRight w:val="0"/>
      <w:marTop w:val="0"/>
      <w:marBottom w:val="0"/>
      <w:divBdr>
        <w:top w:val="none" w:sz="0" w:space="0" w:color="auto"/>
        <w:left w:val="none" w:sz="0" w:space="0" w:color="auto"/>
        <w:bottom w:val="none" w:sz="0" w:space="0" w:color="auto"/>
        <w:right w:val="none" w:sz="0" w:space="0" w:color="auto"/>
      </w:divBdr>
    </w:div>
    <w:div w:id="489907289">
      <w:bodyDiv w:val="1"/>
      <w:marLeft w:val="0"/>
      <w:marRight w:val="0"/>
      <w:marTop w:val="0"/>
      <w:marBottom w:val="0"/>
      <w:divBdr>
        <w:top w:val="none" w:sz="0" w:space="0" w:color="auto"/>
        <w:left w:val="none" w:sz="0" w:space="0" w:color="auto"/>
        <w:bottom w:val="none" w:sz="0" w:space="0" w:color="auto"/>
        <w:right w:val="none" w:sz="0" w:space="0" w:color="auto"/>
      </w:divBdr>
    </w:div>
    <w:div w:id="490681239">
      <w:bodyDiv w:val="1"/>
      <w:marLeft w:val="0"/>
      <w:marRight w:val="0"/>
      <w:marTop w:val="0"/>
      <w:marBottom w:val="0"/>
      <w:divBdr>
        <w:top w:val="none" w:sz="0" w:space="0" w:color="auto"/>
        <w:left w:val="none" w:sz="0" w:space="0" w:color="auto"/>
        <w:bottom w:val="none" w:sz="0" w:space="0" w:color="auto"/>
        <w:right w:val="none" w:sz="0" w:space="0" w:color="auto"/>
      </w:divBdr>
    </w:div>
    <w:div w:id="525295705">
      <w:bodyDiv w:val="1"/>
      <w:marLeft w:val="0"/>
      <w:marRight w:val="0"/>
      <w:marTop w:val="0"/>
      <w:marBottom w:val="0"/>
      <w:divBdr>
        <w:top w:val="none" w:sz="0" w:space="0" w:color="auto"/>
        <w:left w:val="none" w:sz="0" w:space="0" w:color="auto"/>
        <w:bottom w:val="none" w:sz="0" w:space="0" w:color="auto"/>
        <w:right w:val="none" w:sz="0" w:space="0" w:color="auto"/>
      </w:divBdr>
    </w:div>
    <w:div w:id="532809393">
      <w:bodyDiv w:val="1"/>
      <w:marLeft w:val="0"/>
      <w:marRight w:val="0"/>
      <w:marTop w:val="0"/>
      <w:marBottom w:val="0"/>
      <w:divBdr>
        <w:top w:val="none" w:sz="0" w:space="0" w:color="auto"/>
        <w:left w:val="none" w:sz="0" w:space="0" w:color="auto"/>
        <w:bottom w:val="none" w:sz="0" w:space="0" w:color="auto"/>
        <w:right w:val="none" w:sz="0" w:space="0" w:color="auto"/>
      </w:divBdr>
    </w:div>
    <w:div w:id="562913720">
      <w:bodyDiv w:val="1"/>
      <w:marLeft w:val="0"/>
      <w:marRight w:val="0"/>
      <w:marTop w:val="0"/>
      <w:marBottom w:val="0"/>
      <w:divBdr>
        <w:top w:val="none" w:sz="0" w:space="0" w:color="auto"/>
        <w:left w:val="none" w:sz="0" w:space="0" w:color="auto"/>
        <w:bottom w:val="none" w:sz="0" w:space="0" w:color="auto"/>
        <w:right w:val="none" w:sz="0" w:space="0" w:color="auto"/>
      </w:divBdr>
    </w:div>
    <w:div w:id="566501773">
      <w:bodyDiv w:val="1"/>
      <w:marLeft w:val="0"/>
      <w:marRight w:val="0"/>
      <w:marTop w:val="0"/>
      <w:marBottom w:val="0"/>
      <w:divBdr>
        <w:top w:val="none" w:sz="0" w:space="0" w:color="auto"/>
        <w:left w:val="none" w:sz="0" w:space="0" w:color="auto"/>
        <w:bottom w:val="none" w:sz="0" w:space="0" w:color="auto"/>
        <w:right w:val="none" w:sz="0" w:space="0" w:color="auto"/>
      </w:divBdr>
    </w:div>
    <w:div w:id="576595713">
      <w:bodyDiv w:val="1"/>
      <w:marLeft w:val="0"/>
      <w:marRight w:val="0"/>
      <w:marTop w:val="0"/>
      <w:marBottom w:val="0"/>
      <w:divBdr>
        <w:top w:val="none" w:sz="0" w:space="0" w:color="auto"/>
        <w:left w:val="none" w:sz="0" w:space="0" w:color="auto"/>
        <w:bottom w:val="none" w:sz="0" w:space="0" w:color="auto"/>
        <w:right w:val="none" w:sz="0" w:space="0" w:color="auto"/>
      </w:divBdr>
    </w:div>
    <w:div w:id="595941374">
      <w:bodyDiv w:val="1"/>
      <w:marLeft w:val="0"/>
      <w:marRight w:val="0"/>
      <w:marTop w:val="0"/>
      <w:marBottom w:val="0"/>
      <w:divBdr>
        <w:top w:val="none" w:sz="0" w:space="0" w:color="auto"/>
        <w:left w:val="none" w:sz="0" w:space="0" w:color="auto"/>
        <w:bottom w:val="none" w:sz="0" w:space="0" w:color="auto"/>
        <w:right w:val="none" w:sz="0" w:space="0" w:color="auto"/>
      </w:divBdr>
    </w:div>
    <w:div w:id="627053937">
      <w:bodyDiv w:val="1"/>
      <w:marLeft w:val="0"/>
      <w:marRight w:val="0"/>
      <w:marTop w:val="0"/>
      <w:marBottom w:val="0"/>
      <w:divBdr>
        <w:top w:val="none" w:sz="0" w:space="0" w:color="auto"/>
        <w:left w:val="none" w:sz="0" w:space="0" w:color="auto"/>
        <w:bottom w:val="none" w:sz="0" w:space="0" w:color="auto"/>
        <w:right w:val="none" w:sz="0" w:space="0" w:color="auto"/>
      </w:divBdr>
    </w:div>
    <w:div w:id="629282095">
      <w:bodyDiv w:val="1"/>
      <w:marLeft w:val="0"/>
      <w:marRight w:val="0"/>
      <w:marTop w:val="0"/>
      <w:marBottom w:val="0"/>
      <w:divBdr>
        <w:top w:val="none" w:sz="0" w:space="0" w:color="auto"/>
        <w:left w:val="none" w:sz="0" w:space="0" w:color="auto"/>
        <w:bottom w:val="none" w:sz="0" w:space="0" w:color="auto"/>
        <w:right w:val="none" w:sz="0" w:space="0" w:color="auto"/>
      </w:divBdr>
    </w:div>
    <w:div w:id="655187052">
      <w:bodyDiv w:val="1"/>
      <w:marLeft w:val="0"/>
      <w:marRight w:val="0"/>
      <w:marTop w:val="0"/>
      <w:marBottom w:val="0"/>
      <w:divBdr>
        <w:top w:val="none" w:sz="0" w:space="0" w:color="auto"/>
        <w:left w:val="none" w:sz="0" w:space="0" w:color="auto"/>
        <w:bottom w:val="none" w:sz="0" w:space="0" w:color="auto"/>
        <w:right w:val="none" w:sz="0" w:space="0" w:color="auto"/>
      </w:divBdr>
    </w:div>
    <w:div w:id="709838239">
      <w:bodyDiv w:val="1"/>
      <w:marLeft w:val="0"/>
      <w:marRight w:val="0"/>
      <w:marTop w:val="0"/>
      <w:marBottom w:val="0"/>
      <w:divBdr>
        <w:top w:val="none" w:sz="0" w:space="0" w:color="auto"/>
        <w:left w:val="none" w:sz="0" w:space="0" w:color="auto"/>
        <w:bottom w:val="none" w:sz="0" w:space="0" w:color="auto"/>
        <w:right w:val="none" w:sz="0" w:space="0" w:color="auto"/>
      </w:divBdr>
    </w:div>
    <w:div w:id="769542984">
      <w:bodyDiv w:val="1"/>
      <w:marLeft w:val="0"/>
      <w:marRight w:val="0"/>
      <w:marTop w:val="0"/>
      <w:marBottom w:val="0"/>
      <w:divBdr>
        <w:top w:val="none" w:sz="0" w:space="0" w:color="auto"/>
        <w:left w:val="none" w:sz="0" w:space="0" w:color="auto"/>
        <w:bottom w:val="none" w:sz="0" w:space="0" w:color="auto"/>
        <w:right w:val="none" w:sz="0" w:space="0" w:color="auto"/>
      </w:divBdr>
    </w:div>
    <w:div w:id="775099984">
      <w:bodyDiv w:val="1"/>
      <w:marLeft w:val="0"/>
      <w:marRight w:val="0"/>
      <w:marTop w:val="0"/>
      <w:marBottom w:val="0"/>
      <w:divBdr>
        <w:top w:val="none" w:sz="0" w:space="0" w:color="auto"/>
        <w:left w:val="none" w:sz="0" w:space="0" w:color="auto"/>
        <w:bottom w:val="none" w:sz="0" w:space="0" w:color="auto"/>
        <w:right w:val="none" w:sz="0" w:space="0" w:color="auto"/>
      </w:divBdr>
    </w:div>
    <w:div w:id="792678327">
      <w:bodyDiv w:val="1"/>
      <w:marLeft w:val="0"/>
      <w:marRight w:val="0"/>
      <w:marTop w:val="0"/>
      <w:marBottom w:val="0"/>
      <w:divBdr>
        <w:top w:val="none" w:sz="0" w:space="0" w:color="auto"/>
        <w:left w:val="none" w:sz="0" w:space="0" w:color="auto"/>
        <w:bottom w:val="none" w:sz="0" w:space="0" w:color="auto"/>
        <w:right w:val="none" w:sz="0" w:space="0" w:color="auto"/>
      </w:divBdr>
    </w:div>
    <w:div w:id="827401518">
      <w:bodyDiv w:val="1"/>
      <w:marLeft w:val="0"/>
      <w:marRight w:val="0"/>
      <w:marTop w:val="0"/>
      <w:marBottom w:val="0"/>
      <w:divBdr>
        <w:top w:val="none" w:sz="0" w:space="0" w:color="auto"/>
        <w:left w:val="none" w:sz="0" w:space="0" w:color="auto"/>
        <w:bottom w:val="none" w:sz="0" w:space="0" w:color="auto"/>
        <w:right w:val="none" w:sz="0" w:space="0" w:color="auto"/>
      </w:divBdr>
    </w:div>
    <w:div w:id="837354962">
      <w:bodyDiv w:val="1"/>
      <w:marLeft w:val="0"/>
      <w:marRight w:val="0"/>
      <w:marTop w:val="0"/>
      <w:marBottom w:val="0"/>
      <w:divBdr>
        <w:top w:val="none" w:sz="0" w:space="0" w:color="auto"/>
        <w:left w:val="none" w:sz="0" w:space="0" w:color="auto"/>
        <w:bottom w:val="none" w:sz="0" w:space="0" w:color="auto"/>
        <w:right w:val="none" w:sz="0" w:space="0" w:color="auto"/>
      </w:divBdr>
    </w:div>
    <w:div w:id="851263910">
      <w:bodyDiv w:val="1"/>
      <w:marLeft w:val="0"/>
      <w:marRight w:val="0"/>
      <w:marTop w:val="0"/>
      <w:marBottom w:val="0"/>
      <w:divBdr>
        <w:top w:val="none" w:sz="0" w:space="0" w:color="auto"/>
        <w:left w:val="none" w:sz="0" w:space="0" w:color="auto"/>
        <w:bottom w:val="none" w:sz="0" w:space="0" w:color="auto"/>
        <w:right w:val="none" w:sz="0" w:space="0" w:color="auto"/>
      </w:divBdr>
    </w:div>
    <w:div w:id="888414984">
      <w:bodyDiv w:val="1"/>
      <w:marLeft w:val="0"/>
      <w:marRight w:val="0"/>
      <w:marTop w:val="0"/>
      <w:marBottom w:val="0"/>
      <w:divBdr>
        <w:top w:val="none" w:sz="0" w:space="0" w:color="auto"/>
        <w:left w:val="none" w:sz="0" w:space="0" w:color="auto"/>
        <w:bottom w:val="none" w:sz="0" w:space="0" w:color="auto"/>
        <w:right w:val="none" w:sz="0" w:space="0" w:color="auto"/>
      </w:divBdr>
    </w:div>
    <w:div w:id="898633680">
      <w:bodyDiv w:val="1"/>
      <w:marLeft w:val="0"/>
      <w:marRight w:val="0"/>
      <w:marTop w:val="0"/>
      <w:marBottom w:val="0"/>
      <w:divBdr>
        <w:top w:val="none" w:sz="0" w:space="0" w:color="auto"/>
        <w:left w:val="none" w:sz="0" w:space="0" w:color="auto"/>
        <w:bottom w:val="none" w:sz="0" w:space="0" w:color="auto"/>
        <w:right w:val="none" w:sz="0" w:space="0" w:color="auto"/>
      </w:divBdr>
    </w:div>
    <w:div w:id="904413092">
      <w:bodyDiv w:val="1"/>
      <w:marLeft w:val="0"/>
      <w:marRight w:val="0"/>
      <w:marTop w:val="0"/>
      <w:marBottom w:val="0"/>
      <w:divBdr>
        <w:top w:val="none" w:sz="0" w:space="0" w:color="auto"/>
        <w:left w:val="none" w:sz="0" w:space="0" w:color="auto"/>
        <w:bottom w:val="none" w:sz="0" w:space="0" w:color="auto"/>
        <w:right w:val="none" w:sz="0" w:space="0" w:color="auto"/>
      </w:divBdr>
    </w:div>
    <w:div w:id="986784774">
      <w:bodyDiv w:val="1"/>
      <w:marLeft w:val="0"/>
      <w:marRight w:val="0"/>
      <w:marTop w:val="0"/>
      <w:marBottom w:val="0"/>
      <w:divBdr>
        <w:top w:val="none" w:sz="0" w:space="0" w:color="auto"/>
        <w:left w:val="none" w:sz="0" w:space="0" w:color="auto"/>
        <w:bottom w:val="none" w:sz="0" w:space="0" w:color="auto"/>
        <w:right w:val="none" w:sz="0" w:space="0" w:color="auto"/>
      </w:divBdr>
    </w:div>
    <w:div w:id="1037779153">
      <w:bodyDiv w:val="1"/>
      <w:marLeft w:val="0"/>
      <w:marRight w:val="0"/>
      <w:marTop w:val="0"/>
      <w:marBottom w:val="0"/>
      <w:divBdr>
        <w:top w:val="none" w:sz="0" w:space="0" w:color="auto"/>
        <w:left w:val="none" w:sz="0" w:space="0" w:color="auto"/>
        <w:bottom w:val="none" w:sz="0" w:space="0" w:color="auto"/>
        <w:right w:val="none" w:sz="0" w:space="0" w:color="auto"/>
      </w:divBdr>
    </w:div>
    <w:div w:id="1044914902">
      <w:bodyDiv w:val="1"/>
      <w:marLeft w:val="0"/>
      <w:marRight w:val="0"/>
      <w:marTop w:val="0"/>
      <w:marBottom w:val="0"/>
      <w:divBdr>
        <w:top w:val="none" w:sz="0" w:space="0" w:color="auto"/>
        <w:left w:val="none" w:sz="0" w:space="0" w:color="auto"/>
        <w:bottom w:val="none" w:sz="0" w:space="0" w:color="auto"/>
        <w:right w:val="none" w:sz="0" w:space="0" w:color="auto"/>
      </w:divBdr>
    </w:div>
    <w:div w:id="1068308376">
      <w:bodyDiv w:val="1"/>
      <w:marLeft w:val="0"/>
      <w:marRight w:val="0"/>
      <w:marTop w:val="0"/>
      <w:marBottom w:val="0"/>
      <w:divBdr>
        <w:top w:val="none" w:sz="0" w:space="0" w:color="auto"/>
        <w:left w:val="none" w:sz="0" w:space="0" w:color="auto"/>
        <w:bottom w:val="none" w:sz="0" w:space="0" w:color="auto"/>
        <w:right w:val="none" w:sz="0" w:space="0" w:color="auto"/>
      </w:divBdr>
    </w:div>
    <w:div w:id="1119252340">
      <w:bodyDiv w:val="1"/>
      <w:marLeft w:val="0"/>
      <w:marRight w:val="0"/>
      <w:marTop w:val="0"/>
      <w:marBottom w:val="0"/>
      <w:divBdr>
        <w:top w:val="none" w:sz="0" w:space="0" w:color="auto"/>
        <w:left w:val="none" w:sz="0" w:space="0" w:color="auto"/>
        <w:bottom w:val="none" w:sz="0" w:space="0" w:color="auto"/>
        <w:right w:val="none" w:sz="0" w:space="0" w:color="auto"/>
      </w:divBdr>
    </w:div>
    <w:div w:id="1124615618">
      <w:bodyDiv w:val="1"/>
      <w:marLeft w:val="0"/>
      <w:marRight w:val="0"/>
      <w:marTop w:val="0"/>
      <w:marBottom w:val="0"/>
      <w:divBdr>
        <w:top w:val="none" w:sz="0" w:space="0" w:color="auto"/>
        <w:left w:val="none" w:sz="0" w:space="0" w:color="auto"/>
        <w:bottom w:val="none" w:sz="0" w:space="0" w:color="auto"/>
        <w:right w:val="none" w:sz="0" w:space="0" w:color="auto"/>
      </w:divBdr>
    </w:div>
    <w:div w:id="1177036312">
      <w:bodyDiv w:val="1"/>
      <w:marLeft w:val="0"/>
      <w:marRight w:val="0"/>
      <w:marTop w:val="0"/>
      <w:marBottom w:val="0"/>
      <w:divBdr>
        <w:top w:val="none" w:sz="0" w:space="0" w:color="auto"/>
        <w:left w:val="none" w:sz="0" w:space="0" w:color="auto"/>
        <w:bottom w:val="none" w:sz="0" w:space="0" w:color="auto"/>
        <w:right w:val="none" w:sz="0" w:space="0" w:color="auto"/>
      </w:divBdr>
    </w:div>
    <w:div w:id="1229880171">
      <w:bodyDiv w:val="1"/>
      <w:marLeft w:val="0"/>
      <w:marRight w:val="0"/>
      <w:marTop w:val="0"/>
      <w:marBottom w:val="0"/>
      <w:divBdr>
        <w:top w:val="none" w:sz="0" w:space="0" w:color="auto"/>
        <w:left w:val="none" w:sz="0" w:space="0" w:color="auto"/>
        <w:bottom w:val="none" w:sz="0" w:space="0" w:color="auto"/>
        <w:right w:val="none" w:sz="0" w:space="0" w:color="auto"/>
      </w:divBdr>
    </w:div>
    <w:div w:id="1283800790">
      <w:bodyDiv w:val="1"/>
      <w:marLeft w:val="0"/>
      <w:marRight w:val="0"/>
      <w:marTop w:val="0"/>
      <w:marBottom w:val="0"/>
      <w:divBdr>
        <w:top w:val="none" w:sz="0" w:space="0" w:color="auto"/>
        <w:left w:val="none" w:sz="0" w:space="0" w:color="auto"/>
        <w:bottom w:val="none" w:sz="0" w:space="0" w:color="auto"/>
        <w:right w:val="none" w:sz="0" w:space="0" w:color="auto"/>
      </w:divBdr>
    </w:div>
    <w:div w:id="1354962907">
      <w:bodyDiv w:val="1"/>
      <w:marLeft w:val="0"/>
      <w:marRight w:val="0"/>
      <w:marTop w:val="0"/>
      <w:marBottom w:val="0"/>
      <w:divBdr>
        <w:top w:val="none" w:sz="0" w:space="0" w:color="auto"/>
        <w:left w:val="none" w:sz="0" w:space="0" w:color="auto"/>
        <w:bottom w:val="none" w:sz="0" w:space="0" w:color="auto"/>
        <w:right w:val="none" w:sz="0" w:space="0" w:color="auto"/>
      </w:divBdr>
    </w:div>
    <w:div w:id="1391344459">
      <w:bodyDiv w:val="1"/>
      <w:marLeft w:val="0"/>
      <w:marRight w:val="0"/>
      <w:marTop w:val="0"/>
      <w:marBottom w:val="0"/>
      <w:divBdr>
        <w:top w:val="none" w:sz="0" w:space="0" w:color="auto"/>
        <w:left w:val="none" w:sz="0" w:space="0" w:color="auto"/>
        <w:bottom w:val="none" w:sz="0" w:space="0" w:color="auto"/>
        <w:right w:val="none" w:sz="0" w:space="0" w:color="auto"/>
      </w:divBdr>
    </w:div>
    <w:div w:id="1394544216">
      <w:bodyDiv w:val="1"/>
      <w:marLeft w:val="0"/>
      <w:marRight w:val="0"/>
      <w:marTop w:val="0"/>
      <w:marBottom w:val="0"/>
      <w:divBdr>
        <w:top w:val="none" w:sz="0" w:space="0" w:color="auto"/>
        <w:left w:val="none" w:sz="0" w:space="0" w:color="auto"/>
        <w:bottom w:val="none" w:sz="0" w:space="0" w:color="auto"/>
        <w:right w:val="none" w:sz="0" w:space="0" w:color="auto"/>
      </w:divBdr>
    </w:div>
    <w:div w:id="1470636162">
      <w:bodyDiv w:val="1"/>
      <w:marLeft w:val="0"/>
      <w:marRight w:val="0"/>
      <w:marTop w:val="0"/>
      <w:marBottom w:val="0"/>
      <w:divBdr>
        <w:top w:val="none" w:sz="0" w:space="0" w:color="auto"/>
        <w:left w:val="none" w:sz="0" w:space="0" w:color="auto"/>
        <w:bottom w:val="none" w:sz="0" w:space="0" w:color="auto"/>
        <w:right w:val="none" w:sz="0" w:space="0" w:color="auto"/>
      </w:divBdr>
    </w:div>
    <w:div w:id="1489250906">
      <w:bodyDiv w:val="1"/>
      <w:marLeft w:val="0"/>
      <w:marRight w:val="0"/>
      <w:marTop w:val="0"/>
      <w:marBottom w:val="0"/>
      <w:divBdr>
        <w:top w:val="none" w:sz="0" w:space="0" w:color="auto"/>
        <w:left w:val="none" w:sz="0" w:space="0" w:color="auto"/>
        <w:bottom w:val="none" w:sz="0" w:space="0" w:color="auto"/>
        <w:right w:val="none" w:sz="0" w:space="0" w:color="auto"/>
      </w:divBdr>
    </w:div>
    <w:div w:id="1518999468">
      <w:bodyDiv w:val="1"/>
      <w:marLeft w:val="0"/>
      <w:marRight w:val="0"/>
      <w:marTop w:val="0"/>
      <w:marBottom w:val="0"/>
      <w:divBdr>
        <w:top w:val="none" w:sz="0" w:space="0" w:color="auto"/>
        <w:left w:val="none" w:sz="0" w:space="0" w:color="auto"/>
        <w:bottom w:val="none" w:sz="0" w:space="0" w:color="auto"/>
        <w:right w:val="none" w:sz="0" w:space="0" w:color="auto"/>
      </w:divBdr>
    </w:div>
    <w:div w:id="1579361095">
      <w:bodyDiv w:val="1"/>
      <w:marLeft w:val="0"/>
      <w:marRight w:val="0"/>
      <w:marTop w:val="0"/>
      <w:marBottom w:val="0"/>
      <w:divBdr>
        <w:top w:val="none" w:sz="0" w:space="0" w:color="auto"/>
        <w:left w:val="none" w:sz="0" w:space="0" w:color="auto"/>
        <w:bottom w:val="none" w:sz="0" w:space="0" w:color="auto"/>
        <w:right w:val="none" w:sz="0" w:space="0" w:color="auto"/>
      </w:divBdr>
    </w:div>
    <w:div w:id="167969161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700398033">
      <w:bodyDiv w:val="1"/>
      <w:marLeft w:val="0"/>
      <w:marRight w:val="0"/>
      <w:marTop w:val="0"/>
      <w:marBottom w:val="0"/>
      <w:divBdr>
        <w:top w:val="none" w:sz="0" w:space="0" w:color="auto"/>
        <w:left w:val="none" w:sz="0" w:space="0" w:color="auto"/>
        <w:bottom w:val="none" w:sz="0" w:space="0" w:color="auto"/>
        <w:right w:val="none" w:sz="0" w:space="0" w:color="auto"/>
      </w:divBdr>
    </w:div>
    <w:div w:id="1754737657">
      <w:bodyDiv w:val="1"/>
      <w:marLeft w:val="0"/>
      <w:marRight w:val="0"/>
      <w:marTop w:val="0"/>
      <w:marBottom w:val="0"/>
      <w:divBdr>
        <w:top w:val="none" w:sz="0" w:space="0" w:color="auto"/>
        <w:left w:val="none" w:sz="0" w:space="0" w:color="auto"/>
        <w:bottom w:val="none" w:sz="0" w:space="0" w:color="auto"/>
        <w:right w:val="none" w:sz="0" w:space="0" w:color="auto"/>
      </w:divBdr>
    </w:div>
    <w:div w:id="1816795029">
      <w:bodyDiv w:val="1"/>
      <w:marLeft w:val="0"/>
      <w:marRight w:val="0"/>
      <w:marTop w:val="0"/>
      <w:marBottom w:val="0"/>
      <w:divBdr>
        <w:top w:val="none" w:sz="0" w:space="0" w:color="auto"/>
        <w:left w:val="none" w:sz="0" w:space="0" w:color="auto"/>
        <w:bottom w:val="none" w:sz="0" w:space="0" w:color="auto"/>
        <w:right w:val="none" w:sz="0" w:space="0" w:color="auto"/>
      </w:divBdr>
    </w:div>
    <w:div w:id="1819230050">
      <w:bodyDiv w:val="1"/>
      <w:marLeft w:val="0"/>
      <w:marRight w:val="0"/>
      <w:marTop w:val="0"/>
      <w:marBottom w:val="0"/>
      <w:divBdr>
        <w:top w:val="none" w:sz="0" w:space="0" w:color="auto"/>
        <w:left w:val="none" w:sz="0" w:space="0" w:color="auto"/>
        <w:bottom w:val="none" w:sz="0" w:space="0" w:color="auto"/>
        <w:right w:val="none" w:sz="0" w:space="0" w:color="auto"/>
      </w:divBdr>
    </w:div>
    <w:div w:id="1822037354">
      <w:bodyDiv w:val="1"/>
      <w:marLeft w:val="0"/>
      <w:marRight w:val="0"/>
      <w:marTop w:val="0"/>
      <w:marBottom w:val="0"/>
      <w:divBdr>
        <w:top w:val="none" w:sz="0" w:space="0" w:color="auto"/>
        <w:left w:val="none" w:sz="0" w:space="0" w:color="auto"/>
        <w:bottom w:val="none" w:sz="0" w:space="0" w:color="auto"/>
        <w:right w:val="none" w:sz="0" w:space="0" w:color="auto"/>
      </w:divBdr>
    </w:div>
    <w:div w:id="1834907410">
      <w:bodyDiv w:val="1"/>
      <w:marLeft w:val="0"/>
      <w:marRight w:val="0"/>
      <w:marTop w:val="0"/>
      <w:marBottom w:val="0"/>
      <w:divBdr>
        <w:top w:val="none" w:sz="0" w:space="0" w:color="auto"/>
        <w:left w:val="none" w:sz="0" w:space="0" w:color="auto"/>
        <w:bottom w:val="none" w:sz="0" w:space="0" w:color="auto"/>
        <w:right w:val="none" w:sz="0" w:space="0" w:color="auto"/>
      </w:divBdr>
    </w:div>
    <w:div w:id="1844936424">
      <w:bodyDiv w:val="1"/>
      <w:marLeft w:val="0"/>
      <w:marRight w:val="0"/>
      <w:marTop w:val="0"/>
      <w:marBottom w:val="0"/>
      <w:divBdr>
        <w:top w:val="none" w:sz="0" w:space="0" w:color="auto"/>
        <w:left w:val="none" w:sz="0" w:space="0" w:color="auto"/>
        <w:bottom w:val="none" w:sz="0" w:space="0" w:color="auto"/>
        <w:right w:val="none" w:sz="0" w:space="0" w:color="auto"/>
      </w:divBdr>
    </w:div>
    <w:div w:id="1863519425">
      <w:bodyDiv w:val="1"/>
      <w:marLeft w:val="0"/>
      <w:marRight w:val="0"/>
      <w:marTop w:val="0"/>
      <w:marBottom w:val="0"/>
      <w:divBdr>
        <w:top w:val="none" w:sz="0" w:space="0" w:color="auto"/>
        <w:left w:val="none" w:sz="0" w:space="0" w:color="auto"/>
        <w:bottom w:val="none" w:sz="0" w:space="0" w:color="auto"/>
        <w:right w:val="none" w:sz="0" w:space="0" w:color="auto"/>
      </w:divBdr>
    </w:div>
    <w:div w:id="1907837056">
      <w:bodyDiv w:val="1"/>
      <w:marLeft w:val="0"/>
      <w:marRight w:val="0"/>
      <w:marTop w:val="0"/>
      <w:marBottom w:val="0"/>
      <w:divBdr>
        <w:top w:val="none" w:sz="0" w:space="0" w:color="auto"/>
        <w:left w:val="none" w:sz="0" w:space="0" w:color="auto"/>
        <w:bottom w:val="none" w:sz="0" w:space="0" w:color="auto"/>
        <w:right w:val="none" w:sz="0" w:space="0" w:color="auto"/>
      </w:divBdr>
    </w:div>
    <w:div w:id="1911886621">
      <w:bodyDiv w:val="1"/>
      <w:marLeft w:val="0"/>
      <w:marRight w:val="0"/>
      <w:marTop w:val="0"/>
      <w:marBottom w:val="0"/>
      <w:divBdr>
        <w:top w:val="none" w:sz="0" w:space="0" w:color="auto"/>
        <w:left w:val="none" w:sz="0" w:space="0" w:color="auto"/>
        <w:bottom w:val="none" w:sz="0" w:space="0" w:color="auto"/>
        <w:right w:val="none" w:sz="0" w:space="0" w:color="auto"/>
      </w:divBdr>
    </w:div>
    <w:div w:id="1922831286">
      <w:bodyDiv w:val="1"/>
      <w:marLeft w:val="0"/>
      <w:marRight w:val="0"/>
      <w:marTop w:val="0"/>
      <w:marBottom w:val="0"/>
      <w:divBdr>
        <w:top w:val="none" w:sz="0" w:space="0" w:color="auto"/>
        <w:left w:val="none" w:sz="0" w:space="0" w:color="auto"/>
        <w:bottom w:val="none" w:sz="0" w:space="0" w:color="auto"/>
        <w:right w:val="none" w:sz="0" w:space="0" w:color="auto"/>
      </w:divBdr>
    </w:div>
    <w:div w:id="1940143205">
      <w:bodyDiv w:val="1"/>
      <w:marLeft w:val="0"/>
      <w:marRight w:val="0"/>
      <w:marTop w:val="0"/>
      <w:marBottom w:val="0"/>
      <w:divBdr>
        <w:top w:val="none" w:sz="0" w:space="0" w:color="auto"/>
        <w:left w:val="none" w:sz="0" w:space="0" w:color="auto"/>
        <w:bottom w:val="none" w:sz="0" w:space="0" w:color="auto"/>
        <w:right w:val="none" w:sz="0" w:space="0" w:color="auto"/>
      </w:divBdr>
    </w:div>
    <w:div w:id="1992442959">
      <w:bodyDiv w:val="1"/>
      <w:marLeft w:val="0"/>
      <w:marRight w:val="0"/>
      <w:marTop w:val="0"/>
      <w:marBottom w:val="0"/>
      <w:divBdr>
        <w:top w:val="none" w:sz="0" w:space="0" w:color="auto"/>
        <w:left w:val="none" w:sz="0" w:space="0" w:color="auto"/>
        <w:bottom w:val="none" w:sz="0" w:space="0" w:color="auto"/>
        <w:right w:val="none" w:sz="0" w:space="0" w:color="auto"/>
      </w:divBdr>
    </w:div>
    <w:div w:id="2006274860">
      <w:bodyDiv w:val="1"/>
      <w:marLeft w:val="0"/>
      <w:marRight w:val="0"/>
      <w:marTop w:val="0"/>
      <w:marBottom w:val="0"/>
      <w:divBdr>
        <w:top w:val="none" w:sz="0" w:space="0" w:color="auto"/>
        <w:left w:val="none" w:sz="0" w:space="0" w:color="auto"/>
        <w:bottom w:val="none" w:sz="0" w:space="0" w:color="auto"/>
        <w:right w:val="none" w:sz="0" w:space="0" w:color="auto"/>
      </w:divBdr>
    </w:div>
    <w:div w:id="2067147145">
      <w:bodyDiv w:val="1"/>
      <w:marLeft w:val="0"/>
      <w:marRight w:val="0"/>
      <w:marTop w:val="0"/>
      <w:marBottom w:val="0"/>
      <w:divBdr>
        <w:top w:val="none" w:sz="0" w:space="0" w:color="auto"/>
        <w:left w:val="none" w:sz="0" w:space="0" w:color="auto"/>
        <w:bottom w:val="none" w:sz="0" w:space="0" w:color="auto"/>
        <w:right w:val="none" w:sz="0" w:space="0" w:color="auto"/>
      </w:divBdr>
    </w:div>
    <w:div w:id="2113670830">
      <w:bodyDiv w:val="1"/>
      <w:marLeft w:val="0"/>
      <w:marRight w:val="0"/>
      <w:marTop w:val="0"/>
      <w:marBottom w:val="0"/>
      <w:divBdr>
        <w:top w:val="none" w:sz="0" w:space="0" w:color="auto"/>
        <w:left w:val="none" w:sz="0" w:space="0" w:color="auto"/>
        <w:bottom w:val="none" w:sz="0" w:space="0" w:color="auto"/>
        <w:right w:val="none" w:sz="0" w:space="0" w:color="auto"/>
      </w:divBdr>
    </w:div>
    <w:div w:id="2121601394">
      <w:bodyDiv w:val="1"/>
      <w:marLeft w:val="0"/>
      <w:marRight w:val="0"/>
      <w:marTop w:val="0"/>
      <w:marBottom w:val="0"/>
      <w:divBdr>
        <w:top w:val="none" w:sz="0" w:space="0" w:color="auto"/>
        <w:left w:val="none" w:sz="0" w:space="0" w:color="auto"/>
        <w:bottom w:val="none" w:sz="0" w:space="0" w:color="auto"/>
        <w:right w:val="none" w:sz="0" w:space="0" w:color="auto"/>
      </w:divBdr>
    </w:div>
    <w:div w:id="212811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yperlink" Target="https://eur-lex.europa.eu/budget/www/index-bg.htm" TargetMode="Externa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16720daa-94aa-442b-b2b3-a8447496a7c4">EN</EC_Collab_DocumentLanguage>
    <Budgetary_x0020_Year xmlns="94b25300-4064-41ed-91a4-d5070ec118b5">2021</Budgetary_x0020_Year>
    <Collaborative_x0020_Document_x0020_Type xmlns="94b25300-4064-41ed-91a4-d5070ec118b5">PROC</Collaborative_x0020_Document_x0020_Type>
    <EC_Collab_Reference xmlns="16720daa-94aa-442b-b2b3-a8447496a7c4" xsi:nil="true"/>
    <Collaborative_x0020_Document_x0020_Active xmlns="94b25300-4064-41ed-91a4-d5070ec118b5">true</Collaborative_x0020_Document_x0020_Active>
    <EC_Collab_Status xmlns="16720daa-94aa-442b-b2b3-a8447496a7c4">Not Started</EC_Collab_Status>
    <Collaborative_x0020_Document_x0020_Message xmlns="94b25300-4064-41ed-91a4-d5070ec118b5" xsi:nil="true"/>
    <Collaborative_x0020_Document_x0020_Locked xmlns="94b25300-4064-41ed-91a4-d5070ec118b5">false</Collaborative_x0020_Document_x0020_Locked>
    <_dlc_DocId xmlns="b9a1bbf4-3872-40cb-a1a3-b88a292b9176">NHRUTF4F6DR2-724426890-312</_dlc_DocId>
    <_dlc_DocIdUrl xmlns="b9a1bbf4-3872-40cb-a1a3-b88a292b9176">
      <Url>https://myintracomm-collab.ec.europa.eu/dg/budg/unit-a1-site/AxCollaborativeSite/_layouts/15/DocIdRedir.aspx?ID=NHRUTF4F6DR2-724426890-312</Url>
      <Description>NHRUTF4F6DR2-724426890-312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ollaborative Document" ma:contentTypeID="0x010100258AA79CEB83498886A3A08681123250005B26C1F49889DF4FB58022634B30FA7100ED1E91EEBF4B8B45A53D14591E83EDB5" ma:contentTypeVersion="12" ma:contentTypeDescription="" ma:contentTypeScope="" ma:versionID="1643a75b7e28aa7b604ece7354ac0f1e">
  <xsd:schema xmlns:xsd="http://www.w3.org/2001/XMLSchema" xmlns:xs="http://www.w3.org/2001/XMLSchema" xmlns:p="http://schemas.microsoft.com/office/2006/metadata/properties" xmlns:ns1="94b25300-4064-41ed-91a4-d5070ec118b5" xmlns:ns4="16720daa-94aa-442b-b2b3-a8447496a7c4" xmlns:ns5="b9a1bbf4-3872-40cb-a1a3-b88a292b9176" targetNamespace="http://schemas.microsoft.com/office/2006/metadata/properties" ma:root="true" ma:fieldsID="20e6d8b0da888f34b854b6d9d8cedbf6" ns1:_="" ns4:_="" ns5:_="">
    <xsd:import namespace="94b25300-4064-41ed-91a4-d5070ec118b5"/>
    <xsd:import namespace="16720daa-94aa-442b-b2b3-a8447496a7c4"/>
    <xsd:import namespace="b9a1bbf4-3872-40cb-a1a3-b88a292b9176"/>
    <xsd:element name="properties">
      <xsd:complexType>
        <xsd:sequence>
          <xsd:element name="documentManagement">
            <xsd:complexType>
              <xsd:all>
                <xsd:element ref="ns1:Budgetary_x0020_Year"/>
                <xsd:element ref="ns1:Collaborative_x0020_Document_x0020_Type"/>
                <xsd:element ref="ns4:EC_Collab_Reference" minOccurs="0"/>
                <xsd:element ref="ns4:EC_Collab_DocumentLanguage"/>
                <xsd:element ref="ns4:EC_Collab_Status"/>
                <xsd:element ref="ns1:Collaborative_x0020_Document_x0020_Active" minOccurs="0"/>
                <xsd:element ref="ns1:Collaborative_x0020_Document_x0020_Message" minOccurs="0"/>
                <xsd:element ref="ns1:Collaborative_x0020_Document_x0020_Locke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25300-4064-41ed-91a4-d5070ec118b5" elementFormDefault="qualified">
    <xsd:import namespace="http://schemas.microsoft.com/office/2006/documentManagement/types"/>
    <xsd:import namespace="http://schemas.microsoft.com/office/infopath/2007/PartnerControls"/>
    <xsd:element name="Budgetary_x0020_Year" ma:index="0" ma:displayName="Budgetary Year" ma:format="Dropdown" ma:internalName="Budgetary_x0020_Year">
      <xsd:simpleType>
        <xsd:restriction base="dms:Choice">
          <xsd:enumeration value="2024"/>
          <xsd:enumeration value="2023"/>
          <xsd:enumeration value="2022"/>
          <xsd:enumeration value="2021"/>
          <xsd:enumeration value="2020"/>
          <xsd:enumeration value="2019"/>
          <xsd:enumeration value="2018"/>
        </xsd:restriction>
      </xsd:simpleType>
    </xsd:element>
    <xsd:element name="Collaborative_x0020_Document_x0020_Type" ma:index="1" ma:displayName="Collaborative Document Type" ma:format="Dropdown" ma:internalName="Collaborative_x0020_Document_x0020_Type">
      <xsd:simpleType>
        <xsd:restriction base="dms:Choice">
          <xsd:enumeration value="GUID"/>
          <xsd:enumeration value="REMARKS"/>
          <xsd:enumeration value="HEARING"/>
          <xsd:enumeration value="DOC I"/>
          <xsd:enumeration value="DOC II"/>
          <xsd:enumeration value="PROC"/>
          <xsd:enumeration value="ASSIST"/>
          <xsd:enumeration value="DEC"/>
          <xsd:enumeration value="TUFP"/>
          <xsd:enumeration value="MISC"/>
        </xsd:restriction>
      </xsd:simpleType>
    </xsd:element>
    <xsd:element name="Collaborative_x0020_Document_x0020_Active" ma:index="11" nillable="true" ma:displayName="Active" ma:default="1" ma:internalName="Collaborative_x0020_Document_x0020_Active">
      <xsd:simpleType>
        <xsd:restriction base="dms:Boolean"/>
      </xsd:simpleType>
    </xsd:element>
    <xsd:element name="Collaborative_x0020_Document_x0020_Message" ma:index="12" nillable="true" ma:displayName="Message" ma:internalName="Collaborative_x0020_Document_x0020_Message">
      <xsd:simpleType>
        <xsd:restriction base="dms:Text">
          <xsd:maxLength value="255"/>
        </xsd:restriction>
      </xsd:simpleType>
    </xsd:element>
    <xsd:element name="Collaborative_x0020_Document_x0020_Locked" ma:index="13" nillable="true" ma:displayName="Locked" ma:default="0" ma:internalName="Collaborative_x0020_Document_x0020_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720daa-94aa-442b-b2b3-a8447496a7c4" elementFormDefault="qualified">
    <xsd:import namespace="http://schemas.microsoft.com/office/2006/documentManagement/types"/>
    <xsd:import namespace="http://schemas.microsoft.com/office/infopath/2007/PartnerControls"/>
    <xsd:element name="EC_Collab_Reference" ma:index="8" nillable="true" ma:displayName="Reference" ma:internalName="EC_Collab_Reference">
      <xsd:simpleType>
        <xsd:restriction base="dms:Text"/>
      </xsd:simpleType>
    </xsd:element>
    <xsd:element name="EC_Collab_DocumentLanguage" ma:index="9"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0"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ma:index="4" ma:displayName="Subject"/>
        <xsd:element ref="dc:description" minOccurs="0" maxOccurs="1" ma:index="7" ma:displayName="Comments"/>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398E0-5782-4ECF-9E4C-EFFF82536329}">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b9a1bbf4-3872-40cb-a1a3-b88a292b9176"/>
    <ds:schemaRef ds:uri="http://purl.org/dc/elements/1.1/"/>
    <ds:schemaRef ds:uri="http://schemas.microsoft.com/office/2006/metadata/properties"/>
    <ds:schemaRef ds:uri="16720daa-94aa-442b-b2b3-a8447496a7c4"/>
    <ds:schemaRef ds:uri="94b25300-4064-41ed-91a4-d5070ec118b5"/>
    <ds:schemaRef ds:uri="http://www.w3.org/XML/1998/namespace"/>
    <ds:schemaRef ds:uri="http://purl.org/dc/dcmitype/"/>
  </ds:schemaRefs>
</ds:datastoreItem>
</file>

<file path=customXml/itemProps2.xml><?xml version="1.0" encoding="utf-8"?>
<ds:datastoreItem xmlns:ds="http://schemas.openxmlformats.org/officeDocument/2006/customXml" ds:itemID="{81E93B54-0247-4053-8670-E8264DF3D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25300-4064-41ed-91a4-d5070ec118b5"/>
    <ds:schemaRef ds:uri="16720daa-94aa-442b-b2b3-a8447496a7c4"/>
    <ds:schemaRef ds:uri="b9a1bbf4-3872-40cb-a1a3-b88a292b9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22975F-8551-4E18-8E71-91808425706E}">
  <ds:schemaRefs>
    <ds:schemaRef ds:uri="http://schemas.microsoft.com/sharepoint/events"/>
  </ds:schemaRefs>
</ds:datastoreItem>
</file>

<file path=customXml/itemProps4.xml><?xml version="1.0" encoding="utf-8"?>
<ds:datastoreItem xmlns:ds="http://schemas.openxmlformats.org/officeDocument/2006/customXml" ds:itemID="{BFB1D4FA-927C-4A2E-B7D6-4F16A9203DF2}">
  <ds:schemaRefs>
    <ds:schemaRef ds:uri="http://schemas.microsoft.com/sharepoint/v3/contenttype/forms"/>
  </ds:schemaRefs>
</ds:datastoreItem>
</file>

<file path=customXml/itemProps5.xml><?xml version="1.0" encoding="utf-8"?>
<ds:datastoreItem xmlns:ds="http://schemas.openxmlformats.org/officeDocument/2006/customXml" ds:itemID="{CFE5F7EA-480F-45B2-9B74-1774C218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7172</Words>
  <Characters>38157</Characters>
  <Application>Microsoft Office Word</Application>
  <DocSecurity>0</DocSecurity>
  <Lines>1467</Lines>
  <Paragraphs>871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PASCUAL IBANEZ Noelia (SG)</cp:lastModifiedBy>
  <cp:revision>22</cp:revision>
  <dcterms:created xsi:type="dcterms:W3CDTF">2021-03-22T10:23:00Z</dcterms:created>
  <dcterms:modified xsi:type="dcterms:W3CDTF">2021-04-12T09:48:00Z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7.0.1, Build 20190916</vt:lpwstr>
  </property>
  <property fmtid="{D5CDD505-2E9C-101B-9397-08002B2CF9AE}" pid="8" name="Created using">
    <vt:lpwstr>LW 7.0, Build 20190717</vt:lpwstr>
  </property>
  <property fmtid="{D5CDD505-2E9C-101B-9397-08002B2CF9AE}" pid="9" name="_dlc_DocIdItemGuid">
    <vt:lpwstr>cc8b19f7-359b-4651-a7c3-d664f84e1079</vt:lpwstr>
  </property>
  <property fmtid="{D5CDD505-2E9C-101B-9397-08002B2CF9AE}" pid="10" name="_LW_INVALIDATED__LW_INVALIDATED__LW_INVALIDATED__LW_INVALIDATED__LW_INVALIDATED__LW_INVALIDATED__LW_INVALIDATED_ContentTypeId">
    <vt:lpwstr>0x010100258AA79CEB83498886A3A08681123250005B26C1F49889DF4FB58022634B30FA7100ED1E91EEBF4B8B45A53D14591E83EDB5</vt:lpwstr>
  </property>
</Properties>
</file>