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4A5318-39E7-4761-8DBE-B2DE74F9E209" style="width:450.95pt;height:351.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International Cocoa Organization’s (hereafter: ‘ICCO’) </w:t>
      </w:r>
      <w:r>
        <w:rPr>
          <w:rStyle w:val="FootnoteReference"/>
          <w:rFonts w:eastAsia="Arial Unicode MS"/>
          <w:noProof/>
        </w:rPr>
        <w:footnoteReference w:id="1"/>
      </w:r>
      <w:r>
        <w:rPr>
          <w:noProof/>
        </w:rPr>
        <w:t xml:space="preserve"> International Cocoa Council (hereafter: ‘ICCO Council’) </w:t>
      </w:r>
      <w:r>
        <w:rPr>
          <w:rFonts w:eastAsia="Arial Unicode MS"/>
          <w:noProof/>
        </w:rPr>
        <w:t xml:space="preserve">in connection with the envisaged adoption of </w:t>
      </w:r>
      <w:r>
        <w:rPr>
          <w:noProof/>
        </w:rPr>
        <w:t xml:space="preserve">the extension of the International Cocoa Agreement (ICA, 2010). </w:t>
      </w:r>
      <w:r>
        <w:rPr>
          <w:rStyle w:val="FootnoteReference"/>
          <w:rFonts w:eastAsia="Arial Unicode MS"/>
          <w:noProof/>
        </w:rPr>
        <w:footnoteReference w:id="2"/>
      </w:r>
    </w:p>
    <w:p>
      <w:pPr>
        <w:pStyle w:val="ManualHeading1"/>
        <w:rPr>
          <w:noProof/>
        </w:rPr>
      </w:pPr>
      <w:r>
        <w:t>2.</w:t>
      </w:r>
      <w:r>
        <w:tab/>
      </w:r>
      <w:r>
        <w:rPr>
          <w:noProof/>
        </w:rPr>
        <w:t>Context of the proposal</w:t>
      </w:r>
    </w:p>
    <w:p>
      <w:pPr>
        <w:pStyle w:val="ManualHeading2"/>
        <w:rPr>
          <w:noProof/>
        </w:rPr>
      </w:pPr>
      <w:r>
        <w:t>2.1.</w:t>
      </w:r>
      <w:r>
        <w:tab/>
      </w:r>
      <w:r>
        <w:rPr>
          <w:noProof/>
        </w:rPr>
        <w:t>The International Cocoa Agreement (ICA, 2010)</w:t>
      </w:r>
    </w:p>
    <w:p>
      <w:pPr>
        <w:pBdr>
          <w:top w:val="nil"/>
          <w:left w:val="nil"/>
          <w:bottom w:val="nil"/>
          <w:right w:val="nil"/>
          <w:between w:val="nil"/>
          <w:bar w:val="nil"/>
        </w:pBdr>
        <w:spacing w:before="0" w:after="240"/>
        <w:rPr>
          <w:noProof/>
          <w:lang w:val="en-IE"/>
        </w:rPr>
      </w:pPr>
      <w:r>
        <w:rPr>
          <w:rFonts w:eastAsia="Arial Unicode MS"/>
          <w:noProof/>
        </w:rPr>
        <w:t xml:space="preserve">The </w:t>
      </w:r>
      <w:r>
        <w:rPr>
          <w:noProof/>
        </w:rPr>
        <w:t>International Cocoa Agreement (ICA, 2010)</w:t>
      </w:r>
      <w:r>
        <w:rPr>
          <w:rFonts w:eastAsia="Arial Unicode MS"/>
          <w:noProof/>
        </w:rPr>
        <w:t xml:space="preserve"> (hereafter ‘the ICA’ or ‘the Agreement’) aims to</w:t>
      </w:r>
      <w:r>
        <w:rPr>
          <w:noProof/>
        </w:rPr>
        <w:t xml:space="preserve"> ensure enhanced international cooperation in connection with world cocoa matters and related issues, provide a forum for intergovernmental consultations on cocoa and on ways to improve the world cocoa economy, to facilitate trade by collecting and providing information on the world cocoa market and to encourage increased demand for cocoa.</w:t>
      </w:r>
    </w:p>
    <w:p>
      <w:pPr>
        <w:pBdr>
          <w:top w:val="nil"/>
          <w:left w:val="nil"/>
          <w:bottom w:val="nil"/>
          <w:right w:val="nil"/>
          <w:between w:val="nil"/>
          <w:bar w:val="nil"/>
        </w:pBdr>
        <w:spacing w:before="0" w:after="240"/>
        <w:rPr>
          <w:noProof/>
        </w:rPr>
      </w:pPr>
      <w:r>
        <w:rPr>
          <w:noProof/>
          <w:lang w:val="en-IE"/>
        </w:rPr>
        <w:t xml:space="preserve">The ICA entered into force on </w:t>
      </w:r>
      <w:r>
        <w:rPr>
          <w:noProof/>
        </w:rPr>
        <w:t>1 October 2012 for a period of ten years until 30 September 2022 (Article 62(1) ICA).</w:t>
      </w:r>
    </w:p>
    <w:p>
      <w:pPr>
        <w:pBdr>
          <w:top w:val="nil"/>
          <w:left w:val="nil"/>
          <w:bottom w:val="nil"/>
          <w:right w:val="nil"/>
          <w:between w:val="nil"/>
          <w:bar w:val="nil"/>
        </w:pBdr>
        <w:spacing w:before="0" w:after="240"/>
        <w:rPr>
          <w:noProof/>
          <w:lang w:val="en-IE"/>
        </w:rPr>
      </w:pPr>
      <w:r>
        <w:rPr>
          <w:noProof/>
          <w:lang w:val="en-IE"/>
        </w:rPr>
        <w:t>The European Union is a party to the ICA</w:t>
      </w:r>
      <w:r>
        <w:rPr>
          <w:rStyle w:val="FootnoteReference"/>
          <w:noProof/>
          <w:lang w:val="en-IE"/>
        </w:rPr>
        <w:footnoteReference w:id="3"/>
      </w:r>
      <w:r>
        <w:rPr>
          <w:noProof/>
          <w:lang w:val="en-IE"/>
        </w:rPr>
        <w:t>.</w:t>
      </w:r>
    </w:p>
    <w:p>
      <w:pPr>
        <w:pStyle w:val="ManualHeading2"/>
        <w:rPr>
          <w:noProof/>
        </w:rPr>
      </w:pPr>
      <w:r>
        <w:t>2.2.</w:t>
      </w:r>
      <w:r>
        <w:tab/>
      </w:r>
      <w:r>
        <w:rPr>
          <w:noProof/>
        </w:rPr>
        <w:t>The International Cocoa Council</w:t>
      </w:r>
    </w:p>
    <w:p>
      <w:pPr>
        <w:rPr>
          <w:noProof/>
        </w:rPr>
      </w:pPr>
      <w:r>
        <w:rPr>
          <w:noProof/>
        </w:rPr>
        <w:t>As per Article 6(1) of the ICA, the International Cocoa Council shall consist of all the members of the Organization. As per Article 7 of the ICA, the Council shall exercise all such powers and perform or arrange for the performance of all such functions as are necessary to carry out the express provisions of the ICA.</w:t>
      </w:r>
    </w:p>
    <w:p>
      <w:pPr>
        <w:rPr>
          <w:rFonts w:eastAsia="Arial Unicode MS"/>
          <w:noProof/>
          <w:lang w:val="en-IE"/>
        </w:rPr>
      </w:pPr>
      <w:r>
        <w:rPr>
          <w:rFonts w:eastAsia="Arial Unicode MS"/>
          <w:noProof/>
        </w:rPr>
        <w:t xml:space="preserve">As a general rule, the ICCO Council holds one regular session in each half of the cocoa year but has the possibility to meet in special session (Article 9 (1)(2) ICA). </w:t>
      </w:r>
      <w:r>
        <w:rPr>
          <w:rFonts w:eastAsia="Arial Unicode MS"/>
          <w:noProof/>
          <w:lang w:val="en-IE"/>
        </w:rPr>
        <w:t>Article 12 of the ICA stipulates that all decisions of the ICCO Council are in principle by consensus. In the absence of consensus, decisions are made by a special vote according to the procedure as laid down in Article 12(1) ICA. Article 10 and 11 ICA provide for a specific distribution of votes and voting procedure between the Organization’s exporting and importing members.</w:t>
      </w:r>
    </w:p>
    <w:p>
      <w:pPr>
        <w:pStyle w:val="ManualHeading2"/>
        <w:rPr>
          <w:noProof/>
        </w:rPr>
      </w:pPr>
      <w:r>
        <w:t>2.3.</w:t>
      </w:r>
      <w:r>
        <w:tab/>
      </w:r>
      <w:r>
        <w:rPr>
          <w:noProof/>
        </w:rPr>
        <w:t>The envisaged act of the International Cocoa Council</w:t>
      </w:r>
    </w:p>
    <w:p>
      <w:pPr>
        <w:pBdr>
          <w:top w:val="nil"/>
          <w:left w:val="nil"/>
          <w:bottom w:val="nil"/>
          <w:right w:val="nil"/>
          <w:between w:val="nil"/>
          <w:bar w:val="nil"/>
        </w:pBdr>
        <w:spacing w:before="0" w:after="240"/>
        <w:rPr>
          <w:noProof/>
        </w:rPr>
      </w:pPr>
      <w:r>
        <w:rPr>
          <w:noProof/>
        </w:rPr>
        <w:t>In September 2020, during its 102nd session, the ICCO Council recommended to extend the ICA beyond its current expiration date. This would allow for a substantial revision to be adopted in the future.</w:t>
      </w:r>
      <w:r>
        <w:rPr>
          <w:rFonts w:eastAsia="Times New Roman"/>
          <w:noProof/>
          <w:szCs w:val="20"/>
        </w:rPr>
        <w:t xml:space="preserve"> The ICCO Council </w:t>
      </w:r>
      <w:r>
        <w:rPr>
          <w:rFonts w:eastAsia="Arial Unicode MS"/>
          <w:noProof/>
        </w:rPr>
        <w:t>is to decide on the extension of the agreement, as per Article 62(4) ICA, which stipulates that the Council may extend the Agreement in whole or in part for two periods not exceeding two cocoa years each.</w:t>
      </w:r>
    </w:p>
    <w:p>
      <w:pPr>
        <w:rPr>
          <w:rFonts w:eastAsia="Arial Unicode MS"/>
          <w:noProof/>
        </w:rPr>
      </w:pPr>
      <w:r>
        <w:rPr>
          <w:rFonts w:eastAsia="Arial Unicode MS"/>
          <w:noProof/>
        </w:rPr>
        <w:lastRenderedPageBreak/>
        <w:t xml:space="preserve">On </w:t>
      </w:r>
      <w:r>
        <w:rPr>
          <w:noProof/>
        </w:rPr>
        <w:t xml:space="preserve">22-23 April 2021, </w:t>
      </w:r>
      <w:r>
        <w:rPr>
          <w:rFonts w:eastAsia="Arial Unicode MS"/>
          <w:noProof/>
        </w:rPr>
        <w:t>during its</w:t>
      </w:r>
      <w:r>
        <w:rPr>
          <w:noProof/>
        </w:rPr>
        <w:t xml:space="preserve"> 103</w:t>
      </w:r>
      <w:r>
        <w:rPr>
          <w:noProof/>
          <w:vertAlign w:val="superscript"/>
        </w:rPr>
        <w:t>rd</w:t>
      </w:r>
      <w:r>
        <w:rPr>
          <w:noProof/>
        </w:rPr>
        <w:t xml:space="preserve"> </w:t>
      </w:r>
      <w:r>
        <w:rPr>
          <w:rFonts w:eastAsia="Arial Unicode MS"/>
          <w:noProof/>
        </w:rPr>
        <w:t>session, the</w:t>
      </w:r>
      <w:r>
        <w:rPr>
          <w:noProof/>
        </w:rPr>
        <w:t xml:space="preserve"> ICCO Council </w:t>
      </w:r>
      <w:r>
        <w:rPr>
          <w:rFonts w:eastAsia="Arial Unicode MS"/>
          <w:noProof/>
        </w:rPr>
        <w:t>is to adopt a</w:t>
      </w:r>
      <w:r>
        <w:rPr>
          <w:noProof/>
        </w:rPr>
        <w:t xml:space="preserve"> decision </w:t>
      </w:r>
      <w:r>
        <w:rPr>
          <w:rFonts w:eastAsia="Arial Unicode MS"/>
          <w:noProof/>
        </w:rPr>
        <w:t xml:space="preserve">regarding </w:t>
      </w:r>
      <w:r>
        <w:rPr>
          <w:noProof/>
        </w:rPr>
        <w:t xml:space="preserve">the extension of the ICA 2010 </w:t>
      </w:r>
      <w:r>
        <w:rPr>
          <w:rFonts w:eastAsia="Arial Unicode MS"/>
          <w:noProof/>
        </w:rPr>
        <w:t>(‘the envisaged act’). This decision may be postponed to the next sessions of the Council.</w:t>
      </w:r>
    </w:p>
    <w:p>
      <w:pPr>
        <w:rPr>
          <w:noProof/>
        </w:rPr>
      </w:pPr>
      <w:r>
        <w:rPr>
          <w:rFonts w:eastAsia="Arial Unicode MS"/>
          <w:noProof/>
        </w:rPr>
        <w:t>The purpose of the envisaged act is to</w:t>
      </w:r>
      <w:r>
        <w:rPr>
          <w:noProof/>
        </w:rPr>
        <w:t xml:space="preserve"> approve the extension of the ICA 2010 in the ICCO Council. The extension of the ICA 2010 will give the appropriate time to ICCO Members to conduct the negotiations on the revision of the ICA.</w:t>
      </w:r>
    </w:p>
    <w:p>
      <w:pPr>
        <w:rPr>
          <w:rFonts w:eastAsia="Arial Unicode MS"/>
          <w:noProof/>
        </w:rPr>
      </w:pPr>
      <w:r>
        <w:rPr>
          <w:rFonts w:eastAsia="Arial Unicode MS"/>
          <w:noProof/>
        </w:rPr>
        <w:t>The envisaged act will become binding on the parties in accordance with Article 12(3) ICA, which stipulates that Members are committed to accept as binding all decisions of the Council under the provisions of the Agreement.</w:t>
      </w:r>
    </w:p>
    <w:p>
      <w:pPr>
        <w:pStyle w:val="ManualHeading1"/>
        <w:rPr>
          <w:noProof/>
        </w:rPr>
      </w:pPr>
      <w:r>
        <w:t>3.</w:t>
      </w:r>
      <w:r>
        <w:tab/>
      </w:r>
      <w:r>
        <w:rPr>
          <w:noProof/>
        </w:rPr>
        <w:t>Position to be taken on the Union's behalf</w:t>
      </w:r>
    </w:p>
    <w:p>
      <w:pPr>
        <w:rPr>
          <w:noProof/>
        </w:rPr>
      </w:pPr>
      <w:r>
        <w:rPr>
          <w:noProof/>
        </w:rPr>
        <w:t>The purpose of this proposal is to seek the Council’s authorisation to the Commission to vote, on behalf of the Union, in favour of the extension of ICA within the ICCO Council.</w:t>
      </w:r>
    </w:p>
    <w:p>
      <w:pPr>
        <w:pBdr>
          <w:between w:val="nil"/>
          <w:bar w:val="nil"/>
        </w:pBdr>
        <w:spacing w:before="0" w:after="240"/>
        <w:rPr>
          <w:noProof/>
        </w:rPr>
      </w:pPr>
      <w:r>
        <w:rPr>
          <w:noProof/>
        </w:rPr>
        <w:t>Extending the ICA for a maximum of four years will give the appropriate time to ICCO Members to undergo a substantial revision that would focus on the modernisation and simplification of the Agreement.</w:t>
      </w:r>
    </w:p>
    <w:p>
      <w:pPr>
        <w:widowControl w:val="0"/>
        <w:shd w:val="clear" w:color="auto" w:fill="FFFFFF"/>
        <w:autoSpaceDE w:val="0"/>
        <w:autoSpaceDN w:val="0"/>
        <w:adjustRightInd w:val="0"/>
        <w:spacing w:line="276" w:lineRule="auto"/>
        <w:ind w:right="86"/>
        <w:rPr>
          <w:noProof/>
        </w:rPr>
      </w:pPr>
      <w:r>
        <w:rPr>
          <w:rFonts w:eastAsia="Times New Roman"/>
          <w:noProof/>
          <w:lang w:val="en-IE"/>
        </w:rPr>
        <w:t>The negotiations to partially review the ICA will be opened at the 103</w:t>
      </w:r>
      <w:r>
        <w:rPr>
          <w:rFonts w:eastAsia="Times New Roman"/>
          <w:noProof/>
          <w:vertAlign w:val="superscript"/>
          <w:lang w:val="en-IE"/>
        </w:rPr>
        <w:t>rd</w:t>
      </w:r>
      <w:r>
        <w:rPr>
          <w:rFonts w:eastAsia="Times New Roman"/>
          <w:noProof/>
          <w:lang w:val="en-IE"/>
        </w:rPr>
        <w:t xml:space="preserve"> session of the ICCO Council in April 2021. The need to extend will be assessed against progress in the negotiations, to allow sufficient time to partially review the ICA.</w:t>
      </w:r>
    </w:p>
    <w:p>
      <w:pPr>
        <w:pBdr>
          <w:between w:val="nil"/>
          <w:bar w:val="nil"/>
        </w:pBdr>
        <w:spacing w:before="0" w:after="240"/>
        <w:rPr>
          <w:rFonts w:eastAsia="Arial Unicode MS"/>
          <w:noProof/>
        </w:rPr>
      </w:pPr>
      <w:r>
        <w:rPr>
          <w:noProof/>
        </w:rPr>
        <w:t>Currently, the EU's participation in the ICCO is beneficial both to the Union and to other ICCO Member states and the ICA can be extended as it is. Extending the agreement beyond 2022 and working in parallel in a separate procedure on modernising the Agreement will lead to a reengagement of Members and a discussion on the relevance of the ICCO to meet current challenges. The possible revision of the ICA after 2022 would potentially increase its value added and the relevance of its work and possibly attract more interest in the ICCO.</w:t>
      </w:r>
      <w:r>
        <w:rPr>
          <w:rFonts w:ascii="Tahoma" w:hAnsi="Tahoma" w:cs="Tahoma"/>
          <w:noProof/>
          <w:sz w:val="26"/>
          <w:szCs w:val="26"/>
          <w:shd w:val="clear" w:color="auto" w:fill="FFFFFF"/>
        </w:rPr>
        <w:t xml:space="preserve"> </w:t>
      </w:r>
      <w:r>
        <w:rPr>
          <w:noProof/>
        </w:rPr>
        <w:t>An extension of the Agreement  is therefore in the interest of the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4.1.2.</w:t>
      </w:r>
      <w:r>
        <w:tab/>
      </w:r>
      <w:r>
        <w:rPr>
          <w:noProof/>
        </w:rPr>
        <w:t>Application to the present case</w:t>
      </w:r>
    </w:p>
    <w:p>
      <w:pPr>
        <w:rPr>
          <w:noProof/>
        </w:rPr>
      </w:pPr>
      <w:r>
        <w:rPr>
          <w:noProof/>
        </w:rPr>
        <w:t>The ICCO Council is a body set up by an agreement, namely the International Cocoa Agreement 2010.</w:t>
      </w:r>
    </w:p>
    <w:p>
      <w:pPr>
        <w:rPr>
          <w:noProof/>
        </w:rPr>
      </w:pPr>
      <w:r>
        <w:rPr>
          <w:noProof/>
        </w:rPr>
        <w:lastRenderedPageBreak/>
        <w:t>The act which the ICCO Council is called upon to adopt constitutes an act having legal effects. The envisaged act will be binding under international law in accordance with Article 12(3) and Article 62(4) of the ICA 2010.</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Cocoa Council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International Cocoa Agreement 2010 (‘the Agreement’) was concluded by the Union by Council Decision </w:t>
      </w:r>
      <w:r>
        <w:rPr>
          <w:bCs/>
          <w:noProof/>
        </w:rPr>
        <w:t>2012/189/EU</w:t>
      </w:r>
      <w:r>
        <w:rPr>
          <w:rStyle w:val="FootnoteReference"/>
          <w:noProof/>
        </w:rPr>
        <w:footnoteReference w:id="5"/>
      </w:r>
      <w:r>
        <w:rPr>
          <w:noProof/>
        </w:rPr>
        <w:t xml:space="preserve"> and entered into force on 1 October 2012.</w:t>
      </w:r>
    </w:p>
    <w:p>
      <w:pPr>
        <w:pStyle w:val="ManualConsidrant"/>
        <w:rPr>
          <w:noProof/>
        </w:rPr>
      </w:pPr>
      <w:r>
        <w:t>(2)</w:t>
      </w:r>
      <w:r>
        <w:tab/>
      </w:r>
      <w:r>
        <w:rPr>
          <w:noProof/>
        </w:rPr>
        <w:t>Pursuant to Article 62(1) of the Agreement, the Agreement remains in force until 30 September 2022, unless extended.</w:t>
      </w:r>
    </w:p>
    <w:p>
      <w:pPr>
        <w:pStyle w:val="ManualConsidrant"/>
        <w:rPr>
          <w:noProof/>
        </w:rPr>
      </w:pPr>
      <w:r>
        <w:t>(3)</w:t>
      </w:r>
      <w:r>
        <w:tab/>
      </w:r>
      <w:r>
        <w:rPr>
          <w:noProof/>
        </w:rPr>
        <w:t xml:space="preserve">Pursuant to Article 7(1) of the Agreement, the International Cocoa Council of </w:t>
      </w:r>
      <w:r>
        <w:rPr>
          <w:rFonts w:eastAsia="Arial Unicode MS"/>
          <w:noProof/>
        </w:rPr>
        <w:t xml:space="preserve">the </w:t>
      </w:r>
      <w:r>
        <w:rPr>
          <w:noProof/>
        </w:rPr>
        <w:t xml:space="preserve">International Cocoa Organization (‘the ICCO Council’) is to exercise all such powers and perform or arrange for the performance of all such functions as are necessary to carry out the express provisions of the Agreement. Pursuant to Article 62(4) of the Agreement, the ICCO Council may adopt a decision on </w:t>
      </w:r>
      <w:r>
        <w:rPr>
          <w:rFonts w:eastAsia="Arial Unicode MS"/>
          <w:noProof/>
        </w:rPr>
        <w:t xml:space="preserve">the extension of the Agreement beyond its current expiry date </w:t>
      </w:r>
      <w:r>
        <w:rPr>
          <w:noProof/>
        </w:rPr>
        <w:t>‘for two periods not exceeding two cocoa years each’, that is, until 30 September 2024 for the first period and until 30 September 2026 for the second period.</w:t>
      </w:r>
    </w:p>
    <w:p>
      <w:pPr>
        <w:pStyle w:val="ManualConsidrant"/>
        <w:rPr>
          <w:noProof/>
        </w:rPr>
      </w:pPr>
      <w:r>
        <w:t>(4)</w:t>
      </w:r>
      <w:r>
        <w:tab/>
      </w:r>
      <w:r>
        <w:rPr>
          <w:noProof/>
        </w:rPr>
        <w:t>The ICCO Council, during its 103</w:t>
      </w:r>
      <w:r>
        <w:rPr>
          <w:noProof/>
          <w:vertAlign w:val="superscript"/>
        </w:rPr>
        <w:t>rd</w:t>
      </w:r>
      <w:r>
        <w:rPr>
          <w:noProof/>
        </w:rPr>
        <w:t xml:space="preserve"> session on 22 and 23 April 2021, is to adopt a decision on the extension of the Agreement. This decision may be postponed to a later date.</w:t>
      </w:r>
    </w:p>
    <w:p>
      <w:pPr>
        <w:pStyle w:val="ManualConsidrant"/>
        <w:rPr>
          <w:noProof/>
        </w:rPr>
      </w:pPr>
      <w:r>
        <w:t>(5)</w:t>
      </w:r>
      <w:r>
        <w:tab/>
      </w:r>
      <w:r>
        <w:rPr>
          <w:noProof/>
        </w:rPr>
        <w:t>It is appropriate to establish the position to be taken on the Union's behalf in the ICCO Council, as the ICCO Council’s decision on the extension of the Agreement will be binding on the Union.</w:t>
      </w:r>
    </w:p>
    <w:p>
      <w:pPr>
        <w:pStyle w:val="ManualConsidrant"/>
        <w:rPr>
          <w:noProof/>
        </w:rPr>
      </w:pPr>
      <w:r>
        <w:t>(6)</w:t>
      </w:r>
      <w:r>
        <w:tab/>
      </w:r>
      <w:r>
        <w:rPr>
          <w:noProof/>
        </w:rPr>
        <w:t>It is in the Union's interests to continue to participate within the ICA, considering the importance of the cocoa sector for a number of Member States and for the economy of the Union.</w:t>
      </w:r>
    </w:p>
    <w:p>
      <w:pPr>
        <w:pStyle w:val="ManualConsidrant"/>
        <w:rPr>
          <w:noProof/>
        </w:rPr>
      </w:pPr>
      <w:r>
        <w:t>(7)</w:t>
      </w:r>
      <w:r>
        <w:tab/>
      </w:r>
      <w:r>
        <w:rPr>
          <w:noProof/>
        </w:rPr>
        <w:t>Extending the Agreement for a maximum of four years should give the ICCO Council members the appropriate time to undergo a substantial revision in the future that would focus on the modernisation and simplification of the Agreement</w:t>
      </w:r>
      <w:r>
        <w:rPr>
          <w:i/>
          <w:noProof/>
        </w:rPr>
        <w:t xml:space="preserve">”. </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 xml:space="preserve">The position to be taken on the Union's behalf in the 103rd session of the International Cocoa Council of the International Cocoa Organization, or in subsequent sessions, shall be to vote in favour of the extension of the International Cocoa Agreement 2010 for two periods not exceeding two cocoa years each, that is until 30 September 2024 for the first period and until 30 September 2026 for the second period. </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Established by the 1972 Cocoa Agreement: United Nations, Treaty Series , vol. 882, p. 67.</w:t>
      </w:r>
    </w:p>
  </w:footnote>
  <w:footnote w:id="2">
    <w:p>
      <w:pPr>
        <w:pStyle w:val="FootnoteText"/>
      </w:pPr>
      <w:r>
        <w:rPr>
          <w:rStyle w:val="FootnoteReference"/>
        </w:rPr>
        <w:footnoteRef/>
      </w:r>
      <w:r>
        <w:tab/>
        <w:t>United Nations, Treaty Series, vol. 2871.</w:t>
      </w:r>
    </w:p>
  </w:footnote>
  <w:footnote w:id="3">
    <w:p>
      <w:pPr>
        <w:pStyle w:val="FootnoteText"/>
        <w:rPr>
          <w:lang w:val="en-IE"/>
        </w:rPr>
      </w:pPr>
      <w:r>
        <w:rPr>
          <w:rStyle w:val="FootnoteReference"/>
        </w:rPr>
        <w:footnoteRef/>
      </w:r>
      <w:r>
        <w:tab/>
        <w:t>Council Decision of 26 March 2012 on the conclusion of the International Cocoa Agreement 2010, OJ 12.04.2012, L102, p. 1; Council Decision of 17 May 2011 on the signing, on behalf of the European Union, and provisional application of the International Cocoa Agreement 2010; OJ L259 of 04.10.2011, p.7.</w:t>
      </w:r>
    </w:p>
  </w:footnote>
  <w:footnote w:id="4">
    <w:p>
      <w:pPr>
        <w:pStyle w:val="FootnoteText"/>
      </w:pPr>
      <w:r>
        <w:rPr>
          <w:rStyle w:val="FootnoteReference"/>
        </w:rPr>
        <w:footnoteRef/>
      </w:r>
      <w:r>
        <w:tab/>
        <w:t xml:space="preserve">Judgment of the Court of Justice of 7 October 2014, Germany v Council, C-399/12, ECLI:EU:C:2014:2258, paragraphs 61 to 64. </w:t>
      </w:r>
    </w:p>
  </w:footnote>
  <w:footnote w:id="5">
    <w:p>
      <w:pPr>
        <w:pStyle w:val="FootnoteText"/>
      </w:pPr>
      <w:r>
        <w:rPr>
          <w:rStyle w:val="FootnoteReference"/>
        </w:rPr>
        <w:footnoteRef/>
      </w:r>
      <w:r>
        <w:tab/>
        <w:t>Council Decision 2012/189/EU of 26 March 2012 on the conclusion of the International Cocoa Agreement 2010 (OJ L102, 12.4.2012,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86D6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E442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98E9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EC9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BCB7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500B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44E868"/>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040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48: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54A5318-39E7-4761-8DBE-B2DE74F9E209"/>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4"/>
    <w:docVar w:name="LW_REF.II.NEW.CP_YEAR" w:val="2021"/>
    <w:docVar w:name="LW_REF.INST.NEW" w:val="COM"/>
    <w:docVar w:name="LW_REF.INST.NEW_ADOPTED" w:val="final"/>
    <w:docVar w:name="LW_REF.INST.NEW_TEXT" w:val="(2021)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Cocoa Counci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ED9A-E3AB-4403-BF01-50C850A0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1552</Words>
  <Characters>7764</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2021-03-18T12:02:00Z</dcterms:created>
  <dcterms:modified xsi:type="dcterms:W3CDTF">2021-03-30T11:48:00Z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