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12F7B27-0CF3-4C84-AAE3-259C8C5B8030"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определя правната рамка за предоставянето на финансова помощ от Съюза на държавите членки, които изпитват или са сериозно застрашени от тежко икономическо смущение, причинено от разпространението на COVID-19. Предвидената в Регламента за SURE подкрепа е предназначена за финансирането преди всичко на режими на работа при непълно работно време или подобни мерки, предназначени за защита на работниците и самостоятелно заетите лица, и съответно за намаляване на безработицата и загубата на доходи, както и за финансирането на някои свързани със здравето мерки, по‐специално на работното място.</w:t>
      </w:r>
    </w:p>
    <w:p>
      <w:pPr>
        <w:rPr>
          <w:noProof/>
        </w:rPr>
      </w:pPr>
      <w:r>
        <w:rPr>
          <w:noProof/>
        </w:rPr>
        <w:t>На 25 септември 2020 г. Съюзът отпусна финансова помощ на Белгия, целта на която е да се допълнят нейните национални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w:t>
      </w:r>
    </w:p>
    <w:p>
      <w:pPr>
        <w:rPr>
          <w:noProof/>
        </w:rPr>
      </w:pPr>
      <w:r>
        <w:rPr>
          <w:noProof/>
        </w:rPr>
        <w:t xml:space="preserve">На 11 март 2021 г. Белгия изпрати ново искане за финансова помощ от Съюза по силата на Регламента за SURE. </w:t>
      </w:r>
    </w:p>
    <w:p>
      <w:pPr>
        <w:rPr>
          <w:noProof/>
        </w:rPr>
      </w:pPr>
      <w:r>
        <w:rPr>
          <w:noProof/>
        </w:rPr>
        <w:t xml:space="preserve">В изпълнение на член 6, параграф 2 от Регламента за SURE Комисията се консултира с белгийските органи, за да провери внезапното и съществено увеличение на извършените и планираните разходи, пряко свързани с белгийските мерки на трудовия пазар и мерките, свързани със здравеопазването, и причинени от пандемията от COVID-19. По-специално, увеличените разходи, за които се иска допълнителна финансова помощ, са свързани със съчетание от една нова мярка и съществуващи мерки, посочени в Решение за изпълнение (ЕС) 2020/1342 на Съвета: </w:t>
      </w:r>
    </w:p>
    <w:p>
      <w:pPr>
        <w:pStyle w:val="Point0"/>
        <w:ind w:left="0" w:firstLine="0"/>
        <w:rPr>
          <w:noProof/>
        </w:rPr>
      </w:pPr>
      <w:r>
        <w:rPr>
          <w:noProof/>
        </w:rPr>
        <w:t xml:space="preserve">няколко регионални и общностни схеми, по които се предоставя подпомагане на доходите на самостоятелно заети лица, еднолични търговци и другите видове работници, които не отговарят на условията за други видове подпомагане на доходите. По-специално компенсационните премии, предназначени за предприятията и предприемачите, както и една нова мярка за спешна подкрепа за предприемачите и едноличните търговци в регион Брюксел-столица, премията за вреди, компенсационната премия и премията за подкрепа (и трите ѝ последващи удължавания) в регион Фландрия и фламандската общност, както и компенсационната премия за прекъсване на стопанска дейност (и двете ѝ удължавания) в регион Валония предоставят обща еднократна и секторна подкрепа за предприятията и самостоятелно заетите лица, които са били принудени да прекъснат дейността си вследствие на COVID-19 или чийто оборот значително е намалял. Други мерки (компенсационната премия за работници с непостоянна работа в регион Брюксел-столица, субсидията за детски ясли и субсидията за културни дейци във френската общност, дейностите по обучение във Валония) са предназначени за самостоятелно заети лица и работници, които нямат достъп до схемата за временна безработица в конкретни сектори (културата, грижите и обученията). </w:t>
      </w:r>
    </w:p>
    <w:p>
      <w:pPr>
        <w:rPr>
          <w:noProof/>
        </w:rPr>
      </w:pPr>
      <w:r>
        <w:rPr>
          <w:noProof/>
        </w:rPr>
        <w:t xml:space="preserve">Белгия предостави на Комисията необходимите сведения. </w:t>
      </w:r>
    </w:p>
    <w:p>
      <w:pPr>
        <w:rPr>
          <w:noProof/>
        </w:rPr>
      </w:pPr>
      <w:r>
        <w:rPr>
          <w:noProof/>
        </w:rPr>
        <w:lastRenderedPageBreak/>
        <w:t>Предвид наличните доказателства Комисията предлага на Съвета да приеме решение за изпълнение, с което на Белгия да се предостави финансова помощ по силата на Регламента за SURE в подкрепа на горепосочените мерки.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политиката</w:t>
      </w:r>
    </w:p>
    <w:p>
      <w:pPr>
        <w:spacing w:before="0" w:after="240"/>
        <w:rPr>
          <w:noProof/>
          <w:color w:val="000000" w:themeColor="text1"/>
        </w:rPr>
      </w:pPr>
      <w:r>
        <w:rPr>
          <w:noProof/>
        </w:rPr>
        <w:t>Настоящото предложение е напълно съобразено с Регламент (ЕС) 2020/672 на Съвета, по силата на който е изготвено.</w:t>
      </w:r>
    </w:p>
    <w:p>
      <w:pP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а именно Регламент (ЕО) № 2012/2002 на Съвета от 11 ноември 2002 г. за създаване на фонд „Солидарност“ на Европейския съюз („Регламент (ЕО) № 2012/2002“). Регламент (ЕС) 2020/461 на Европейския парламент и на Съвета, с който се изменя този инструмент, като в обхвата му се включват тежките извънредни ситуации в областта на общественото здраве и се определят специални операции, допустими за финансиране, бе приет на 30 март.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например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свързан с пандемията от COVID-19, настоящото предложение служи като втора защитна линия за финансиране на режими на работа при непълно работно време и подобни мерки, които спомагат за съхраняването на работните места и оттам — за защитата на работниците и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e проява на европейска солидарност, тъй като на засегната от разпространението на COVID-19 държава членка се предоставя финансова помощ от Съюза под формата на временни заеми. Като втора защитна линия тази финансова помощ ще облекчи временно увеличените публични разходи на правителството, свързани с режими на работа при непълно работно време и подобни мерки, и ще му помогне за съхраняването на работните места, а оттам и за защитата на работниците и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спомогне за смекчаване на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lastRenderedPageBreak/>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беше изготвено в съкратени срокове, за да може да се приеме своевременно от Съвета, поради което не бе възможно провеждането на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spacing w:val="-4"/>
        </w:rPr>
      </w:pPr>
      <w:r>
        <w:rPr>
          <w:noProof/>
          <w:color w:val="000000" w:themeColor="text1"/>
          <w:spacing w:val="-4"/>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ще може да заеме средства на финансовите пазари с цел след това да ги предостави под формата на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в рамката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ограничават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2020/1342 за предоставяне на временна подкрепа на Кралство Белгия съгласно Регламент (ЕС) 2020/672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 xml:space="preserve">На 25 септември 2020 г. Съветът отпусна финансова помощ на Белгия под формата на заем с максимален размер 7 803 380 000 EUR и с максимален среден срок до падежа от 15 години въз основа на искане от Белгия от 7 август 2020 г. за финансова помощ, с която да допълни националните си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 </w:t>
      </w:r>
    </w:p>
    <w:p>
      <w:pPr>
        <w:pStyle w:val="ManualConsidrant"/>
        <w:rPr>
          <w:noProof/>
        </w:rPr>
      </w:pPr>
      <w:r>
        <w:rPr>
          <w:noProof/>
        </w:rPr>
        <w:t>(2)</w:t>
      </w:r>
      <w:r>
        <w:rPr>
          <w:noProof/>
        </w:rPr>
        <w:tab/>
        <w:t>Съгласно Решение за изпълнение (ЕС) 2020/1342 на Съвета</w:t>
      </w:r>
      <w:r>
        <w:rPr>
          <w:rStyle w:val="FootnoteReference"/>
          <w:noProof/>
        </w:rPr>
        <w:footnoteReference w:id="2"/>
      </w:r>
      <w:r>
        <w:rPr>
          <w:noProof/>
        </w:rPr>
        <w:t xml:space="preserve"> заемът имаше за цел да се финансират режимите на работа при непълно работно време, подобни мерки и свързани със здравеопазването мерки, приети от Белгия. </w:t>
      </w:r>
    </w:p>
    <w:p>
      <w:pPr>
        <w:pStyle w:val="ManualConsidrant"/>
        <w:rPr>
          <w:noProof/>
        </w:rPr>
      </w:pPr>
      <w:r>
        <w:rPr>
          <w:noProof/>
        </w:rPr>
        <w:t>(3)</w:t>
      </w:r>
      <w:r>
        <w:rPr>
          <w:noProof/>
        </w:rPr>
        <w:tab/>
        <w:t xml:space="preserve">Разпространението на COVID-19 продължава да блокира значителна част от работната сила в Белгия. Това доведе до внезапно и съществено увеличение на публичните разходи на Белгия във връзка с нова мярка за подкрепа на малките предприятия в регион Брюксел-столица и други съществуващи регионални мерки, както са посочени в член 3, буква г), подточки i)—iv) от Решение за изпълнение (EС) 2020/1342, като някои от тях бяха удължени. </w:t>
      </w:r>
    </w:p>
    <w:p>
      <w:pPr>
        <w:pStyle w:val="ManualConsidrant"/>
        <w:rPr>
          <w:noProof/>
        </w:rPr>
      </w:pPr>
      <w:r>
        <w:rPr>
          <w:noProof/>
        </w:rPr>
        <w:t>(4)</w:t>
      </w:r>
      <w:r>
        <w:rPr>
          <w:noProof/>
        </w:rPr>
        <w:tab/>
        <w:t>Разпространението на COVID-19 и предприетите от Белгия през 2020 г. и 2021 г. извънредни мерки за овладяване на разпространението на вируса и неговите социално-икономически и здравни последици се отразиха, и продължават да се отразяват, изключително сериозно на публичните финанси.</w:t>
      </w:r>
      <w:r>
        <w:rPr>
          <w:noProof/>
          <w:color w:val="000000"/>
          <w:shd w:val="clear" w:color="auto" w:fill="FFFFFF"/>
        </w:rPr>
        <w:t xml:space="preserve"> Според прогнозата на Комисията от есента на 2020 г.</w:t>
      </w:r>
      <w:r>
        <w:rPr>
          <w:noProof/>
        </w:rPr>
        <w:t xml:space="preserve"> бюджетният дефицит на Белгия </w:t>
      </w:r>
      <w:r>
        <w:rPr>
          <w:noProof/>
          <w:color w:val="000000"/>
          <w:shd w:val="clear" w:color="auto" w:fill="FFFFFF"/>
        </w:rPr>
        <w:t xml:space="preserve">се очакваше </w:t>
      </w:r>
      <w:r>
        <w:rPr>
          <w:noProof/>
          <w:color w:val="000000"/>
          <w:shd w:val="clear" w:color="auto" w:fill="FFFFFF"/>
        </w:rPr>
        <w:lastRenderedPageBreak/>
        <w:t>да достигне</w:t>
      </w:r>
      <w:r>
        <w:rPr>
          <w:noProof/>
        </w:rPr>
        <w:t xml:space="preserve"> 11,2 % от брутния вътрешен продукт (БВП), а държавният дълг — 117,7 % от БВП, до края на 2020 г. През 2021 г. бюджетният дефицит на Белгия се прогнозира да възлиза на 7,1 %, а държавният дълг на 117,8 % от БВП. Според междинната прогноза на Комисията от зимата на 2021 г. БВП на Белгия се очаква да нарасне с 3,9 % през 2021 г. </w:t>
      </w:r>
    </w:p>
    <w:p>
      <w:pPr>
        <w:pStyle w:val="Default"/>
        <w:ind w:left="709" w:hanging="709"/>
        <w:jc w:val="both"/>
        <w:rPr>
          <w:noProof/>
          <w:lang w:val="bg-BG"/>
        </w:rPr>
      </w:pPr>
      <w:r>
        <w:rPr>
          <w:noProof/>
          <w:lang w:val="bg-BG"/>
        </w:rPr>
        <w:t>(5)</w:t>
      </w:r>
      <w:r>
        <w:rPr>
          <w:noProof/>
          <w:lang w:val="bg-BG"/>
        </w:rPr>
        <w:tab/>
        <w:t xml:space="preserve">На 11 март 2021 г. Белгия поиска допълнителна финансова помощ от Съюза в размер на 394 150 000 </w:t>
      </w:r>
      <w:r>
        <w:rPr>
          <w:noProof/>
        </w:rPr>
        <w:t>EUR</w:t>
      </w:r>
      <w:r>
        <w:rPr>
          <w:noProof/>
          <w:lang w:val="bg-BG"/>
        </w:rPr>
        <w:t xml:space="preserve"> с цел да продължи да допълва националните си усилия, предприети през 2020 г. и 2021 г. за преодоляване на въздействието от разпространението на </w:t>
      </w:r>
      <w:r>
        <w:rPr>
          <w:noProof/>
        </w:rPr>
        <w:t>COVID</w:t>
      </w:r>
      <w:r>
        <w:rPr>
          <w:noProof/>
          <w:lang w:val="bg-BG"/>
        </w:rPr>
        <w:t xml:space="preserve">-19 и неговите социално-икономически последици за работниците и самостоятелно заетите лица. По-специално това засяга мерките, посочени в съображения 6—7. </w:t>
      </w:r>
    </w:p>
    <w:p>
      <w:pPr>
        <w:pStyle w:val="ManualConsidrant"/>
        <w:rPr>
          <w:noProof/>
        </w:rPr>
      </w:pPr>
      <w:r>
        <w:rPr>
          <w:noProof/>
          <w:color w:val="000000"/>
          <w:szCs w:val="24"/>
        </w:rPr>
        <w:t>(6)</w:t>
      </w:r>
      <w:r>
        <w:rPr>
          <w:noProof/>
        </w:rPr>
        <w:tab/>
        <w:t xml:space="preserve">Това е свързано с удължаване на съществуващите регионални и общностни схеми за подпомагане на доходите, посочени в член 3, буква г), подточки i)—iv) от Решение за изпълнение (EС) 2020/1342, на регион Брюксел-столица, регион Фландрия и фламандската общност, регион Валония и френската общност: </w:t>
      </w:r>
    </w:p>
    <w:p>
      <w:pPr>
        <w:pStyle w:val="Text1"/>
        <w:rPr>
          <w:noProof/>
        </w:rPr>
      </w:pPr>
      <w:r>
        <w:rPr>
          <w:noProof/>
        </w:rPr>
        <w:t>„Arrêté du Gouvernement de la Région de Bruxelles-Capitale de pouvoirs spéciaux n° 2020/019 du 23 avril 2020/Bijzondere machtenbesluit van de Brusselse Hoofdstedelijke Regering nr. 2020/019 van 23 april 2020</w:t>
      </w:r>
      <w:r>
        <w:rPr>
          <w:rStyle w:val="FootnoteReference"/>
          <w:noProof/>
        </w:rPr>
        <w:footnoteReference w:id="3"/>
      </w:r>
      <w:r>
        <w:rPr>
          <w:noProof/>
        </w:rPr>
        <w:t xml:space="preserve">“; </w:t>
      </w:r>
    </w:p>
    <w:p>
      <w:pPr>
        <w:pStyle w:val="Text1"/>
        <w:rPr>
          <w:noProof/>
        </w:rPr>
      </w:pPr>
      <w:r>
        <w:rPr>
          <w:noProof/>
        </w:rPr>
        <w:t>„Arrêté du Gouvernement de la Région de Bruxelles-Capitale de pouvoirs spéciaux n° 2020/030 du 28 mai 2020/Bijzondere machtenbesluit nr. 2020/030 van de Brusselse Hoofdstedelijke Regering van 28 mei 2020</w:t>
      </w:r>
      <w:r>
        <w:rPr>
          <w:rStyle w:val="FootnoteReference"/>
          <w:noProof/>
        </w:rPr>
        <w:footnoteReference w:id="4"/>
      </w:r>
      <w:r>
        <w:rPr>
          <w:noProof/>
        </w:rPr>
        <w:t>“, удължена с „Arrêté du Gouvernement de la Région de Bruxelles-Capitale du 15 octobre 2020 relatif à une aide aux secteurs de l'événementiel, du monde de la nuit, du tourisme et de la culture dans le cadre de la crise sanitaire du COVID-19/Besluit van de Brusselse Hoofdstedelijke Regering van 15 oktober 2020 betreffende steun aan de evenementen-, uitgaans-, toeristische en culturele sector in het kader van de gezondheidscrisis COVID-19“ и „Arrêté du Gouvernement de la Région de Bruxelles-Capitale du 12 novembre 2020 relatif à une aide aux entreprises débits de boissons et restaurants dans le cadre de la crise sanitaire du COVID-19 /“</w:t>
      </w:r>
      <w:r>
        <w:rPr>
          <w:noProof/>
          <w:shd w:val="clear" w:color="auto" w:fill="FFFFFF"/>
        </w:rPr>
        <w:t>„Besluit van de Brusselse Hoofdstedelijke Regering van 12 november 2020 betreffende steun aan de eet- en drankgelegenhedenondernemingen in het kader van de gezondheidscrisis COVID-19“</w:t>
      </w:r>
      <w:r>
        <w:rPr>
          <w:noProof/>
        </w:rPr>
        <w:t>. По двете удължени схеми се предоставя компенсационна премия за самостоятелно заети лица и еднолични търговци в сектори, които бяха принудени да прекъснат дейността си вследствие на пандемията;</w:t>
      </w:r>
    </w:p>
    <w:p>
      <w:pPr>
        <w:pStyle w:val="Text1"/>
        <w:rPr>
          <w:noProof/>
        </w:rPr>
      </w:pPr>
      <w:r>
        <w:rPr>
          <w:noProof/>
        </w:rPr>
        <w:t xml:space="preserve">„Notification de la réunion du conseil des ministres du gouvernement de la région de Bruxelles-Capitale du jeudi 14 mai 2020/Betekening van de vergadering van de </w:t>
      </w:r>
      <w:r>
        <w:rPr>
          <w:noProof/>
        </w:rPr>
        <w:lastRenderedPageBreak/>
        <w:t>Ministerraad van de Brusselse Hoofdstedelijke Regering van donderdag 14 mei 2020“, транспонирана в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r>
        <w:rPr>
          <w:rStyle w:val="FootnoteReference"/>
          <w:noProof/>
        </w:rPr>
        <w:footnoteReference w:id="5"/>
      </w:r>
      <w:r>
        <w:rPr>
          <w:noProof/>
        </w:rPr>
        <w:t xml:space="preserve">; </w:t>
      </w:r>
    </w:p>
    <w:p>
      <w:pPr>
        <w:pStyle w:val="Text1"/>
        <w:rPr>
          <w:noProof/>
        </w:rPr>
      </w:pPr>
      <w:r>
        <w:rPr>
          <w:noProof/>
        </w:rPr>
        <w:t>„Besluit van de Vlaamse Regering van 20 maart 2020</w:t>
      </w:r>
      <w:r>
        <w:rPr>
          <w:rStyle w:val="FootnoteReference"/>
          <w:noProof/>
        </w:rPr>
        <w:footnoteReference w:id="6"/>
      </w:r>
      <w:r>
        <w:rPr>
          <w:noProof/>
        </w:rPr>
        <w:t xml:space="preserve">“; </w:t>
      </w:r>
    </w:p>
    <w:p>
      <w:pPr>
        <w:pStyle w:val="Text1"/>
        <w:rPr>
          <w:noProof/>
        </w:rPr>
      </w:pPr>
      <w:r>
        <w:rPr>
          <w:noProof/>
        </w:rPr>
        <w:t>„Besluit van de Vlaamse Regering van 10 april 2020</w:t>
      </w:r>
      <w:r>
        <w:rPr>
          <w:rStyle w:val="FootnoteReference"/>
          <w:noProof/>
        </w:rPr>
        <w:footnoteReference w:id="7"/>
      </w:r>
      <w:r>
        <w:rPr>
          <w:noProof/>
        </w:rPr>
        <w:t>“;</w:t>
      </w:r>
    </w:p>
    <w:p>
      <w:pPr>
        <w:pStyle w:val="Text1"/>
        <w:rPr>
          <w:noProof/>
        </w:rPr>
      </w:pPr>
      <w:r>
        <w:rPr>
          <w:noProof/>
        </w:rPr>
        <w:t>„Besluit van de Vlaamse Regering van 12 juni 2020</w:t>
      </w:r>
      <w:r>
        <w:rPr>
          <w:rStyle w:val="FootnoteReference"/>
          <w:noProof/>
        </w:rPr>
        <w:footnoteReference w:id="8"/>
      </w:r>
      <w:r>
        <w:rPr>
          <w:noProof/>
        </w:rPr>
        <w:t xml:space="preserve"> за създаване на „премия за подкрепа“, удължено с „Besluit van de Vlaamse Regering van 23 oktober 2020“, „Besluit van de Vlaamse Regering van 7 augustus 2020“ и „Besluit van de Vlaamse Regering van 13 november 2020“. По трите удължени схеми, наричани също „фламандски механизъм за защита“ съответно 1, 2 и 3, се предоставя премия за подкрепа на предприятия, които продължават да извършват дейност, но чийто оборот е намалял с поне 60 %, или които са прекъснали дейността си вследствие на федералните мерки за сигурност и безопасност; </w:t>
      </w:r>
    </w:p>
    <w:p>
      <w:pPr>
        <w:pStyle w:val="Text1"/>
        <w:rPr>
          <w:noProof/>
        </w:rPr>
      </w:pPr>
      <w:r>
        <w:rPr>
          <w:noProof/>
        </w:rPr>
        <w:t>„Arrêté du Gouvernement de la Communauté française de pouvoirs spéciaux n° 4 du 23 avril 2020</w:t>
      </w:r>
      <w:r>
        <w:rPr>
          <w:rStyle w:val="FootnoteReference"/>
          <w:noProof/>
        </w:rPr>
        <w:footnoteReference w:id="9"/>
      </w:r>
      <w:r>
        <w:rPr>
          <w:noProof/>
        </w:rPr>
        <w:t>“, „Arrêté du Gouvernement de la Communauté française du 7 avril 2020</w:t>
      </w:r>
      <w:r>
        <w:rPr>
          <w:rStyle w:val="FootnoteReference"/>
          <w:noProof/>
        </w:rPr>
        <w:footnoteReference w:id="10"/>
      </w:r>
      <w:r>
        <w:rPr>
          <w:noProof/>
        </w:rPr>
        <w:t>“; „Arrêté ministériel du 8 avril 2020 portant exécution de l’arrêté du Gouvernement wallon du 20 mars 2020</w:t>
      </w:r>
      <w:r>
        <w:rPr>
          <w:rStyle w:val="FootnoteReference"/>
          <w:noProof/>
        </w:rPr>
        <w:footnoteReference w:id="11"/>
      </w:r>
      <w:r>
        <w:rPr>
          <w:noProof/>
        </w:rPr>
        <w:t>“; „Arrêté du Gouvernement wallon du 19 juin 2020</w:t>
      </w:r>
      <w:r>
        <w:rPr>
          <w:rStyle w:val="FootnoteReference"/>
          <w:noProof/>
        </w:rPr>
        <w:footnoteReference w:id="12"/>
      </w:r>
      <w:r>
        <w:rPr>
          <w:noProof/>
        </w:rPr>
        <w:t xml:space="preserve">“; </w:t>
      </w:r>
    </w:p>
    <w:p>
      <w:pPr>
        <w:pStyle w:val="Text1"/>
        <w:rPr>
          <w:noProof/>
        </w:rPr>
      </w:pPr>
      <w:r>
        <w:rPr>
          <w:noProof/>
        </w:rPr>
        <w:lastRenderedPageBreak/>
        <w:t xml:space="preserve">Гореспоменатите мерки са част от схеми, по които се предоставя подпомагане на доходите на самостоятелно заетите лица, едноличните търговци и други видове работници, които не отговарят на условията за други видове подпомагане на доходите. По-специално компенсационните премии, предназначени за предприятията и предприемачите в регион Брюксел-столица, премията за вреди, компенсационната премия и премията за подкрепа в регион Фландрия и фламандската общност и компенсационната премия за прекъсване на стопанска дейност в регион Валония предоставят обща еднократна подкрепа за предприятията и самостоятелно заетите лица, които са били принудени да прекъснат дейността си вследствие на COVID-19 или чийто оборот значително е намалял. </w:t>
      </w:r>
    </w:p>
    <w:p>
      <w:pPr>
        <w:pStyle w:val="Text1"/>
        <w:rPr>
          <w:noProof/>
          <w:highlight w:val="green"/>
        </w:rPr>
      </w:pPr>
      <w:r>
        <w:rPr>
          <w:noProof/>
        </w:rPr>
        <w:t xml:space="preserve">Когато мерките са предназначени за по-широк кръг бенефициери, са поискани само сумите за разходи, свързани с подкрепата за самостоятелно заетите лица и едноличните търговци. Други мерки (компенсационната премия за работници с непостоянна работа в регион Брюксел-столица, субсидията за детски ясли и субсидията за културни дейци във френската общност, дейностите по обучение в регион Валония, субсидията за културните дейци и самостоятелно заетите лица) са предназначени за самостоятелно заети лица и работници, които нямат достъп до схемата за временна безработица в конкретни сектори (културата, грижите и обученията). </w:t>
      </w:r>
    </w:p>
    <w:p>
      <w:pPr>
        <w:pStyle w:val="ManualConsidrant"/>
        <w:rPr>
          <w:noProof/>
        </w:rPr>
      </w:pPr>
      <w:r>
        <w:rPr>
          <w:noProof/>
        </w:rPr>
        <w:t>(7)</w:t>
      </w:r>
      <w:r>
        <w:rPr>
          <w:noProof/>
        </w:rPr>
        <w:tab/>
        <w:t>Искането за подкрепа се отнася и за нова мярка на регион Брюксел-столица. То е свързано с „Arrêté du Gouvernement de la Région de Bruxelles-Capitale concernant l’octroi d’une subvention de 1.625.000,00 EUR à la SA Brusoc dans le cadre de l’octroi de micro-crédits de trésorerie pour les indépendants et les micro-entreprises en raison de la crise sanitaire du COVID-19/Toekenning van micro-kaskredieten voor zelfstandigen en zko’s“. По-специално, по мярката се предоставят микрокредити на предприемачи и еднолични търговци в регион Брюксел-столица. Искането засяга само частта от публичните разходи, свързана с очакваните загуби. Сумата, поискана за разходи, е свързана само с подкрепата за самостоятелно заетите лица и едноличните търговци.</w:t>
      </w:r>
    </w:p>
    <w:p>
      <w:pPr>
        <w:pStyle w:val="ManualConsidrant"/>
        <w:rPr>
          <w:noProof/>
        </w:rPr>
      </w:pPr>
      <w:r>
        <w:rPr>
          <w:noProof/>
        </w:rPr>
        <w:t>(8)</w:t>
      </w:r>
      <w:r>
        <w:rPr>
          <w:noProof/>
        </w:rPr>
        <w:tab/>
        <w:t>Белгия изпълнява условията за отпускане на финансова помощ по член 3 от Регламент (ЕС) 2020/672. Белгия предостави на Комисията подходящи доказателства, че извършените и планираните публични разходи са се увеличили с 10 103</w:t>
      </w:r>
      <w:r>
        <w:rPr>
          <w:noProof/>
          <w:lang w:val="en-US"/>
        </w:rPr>
        <w:t> </w:t>
      </w:r>
      <w:r>
        <w:rPr>
          <w:noProof/>
        </w:rPr>
        <w:t>933 459</w:t>
      </w:r>
      <w:r>
        <w:rPr>
          <w:noProof/>
          <w:lang w:val="en-US"/>
        </w:rPr>
        <w:t> </w:t>
      </w:r>
      <w:r>
        <w:rPr>
          <w:noProof/>
        </w:rPr>
        <w:t xml:space="preserve">EUR, считано от 1 февруари 2020 г., вследствие на националните мерки за справяне със социално-икономическите последици от разпространението на COVID-19. Това представлява внезапно и съществено увеличение, тъй като то засяга както нова мярка, така и съществуващи мерки, които са пряко свързани с режимите на работа при непълно работно време и подобни мерки, някои от които бяха удължени, обхващащи значителна част от предприятията и работната сила в Белгия. Белгия възнамерява да финансира сама 1 906 403 459 EUR от увеличения размер на публичните разходи. </w:t>
      </w:r>
    </w:p>
    <w:p>
      <w:pPr>
        <w:pStyle w:val="ManualConsidrant"/>
        <w:rPr>
          <w:noProof/>
        </w:rPr>
      </w:pPr>
      <w:r>
        <w:rPr>
          <w:noProof/>
        </w:rPr>
        <w:t>(9)</w:t>
      </w:r>
      <w:r>
        <w:rPr>
          <w:noProof/>
        </w:rPr>
        <w:tab/>
        <w:t>В съответствие с член 6 от Регламент (ЕС) 2020/672 Комисията се консултира с Белгия и провери внезапното и съществено увеличение на извършените и планираните публични разходи, пряко свързани с посочените в искането от 11</w:t>
      </w:r>
      <w:r>
        <w:rPr>
          <w:noProof/>
          <w:lang w:val="en-US"/>
        </w:rPr>
        <w:t> </w:t>
      </w:r>
      <w:r>
        <w:rPr>
          <w:noProof/>
        </w:rPr>
        <w:t xml:space="preserve">март 2021 г. режими на работа при непълно работно време и подобни мерки. </w:t>
      </w:r>
    </w:p>
    <w:p>
      <w:pPr>
        <w:pStyle w:val="ManualConsidrant"/>
        <w:rPr>
          <w:noProof/>
        </w:rPr>
      </w:pPr>
      <w:r>
        <w:rPr>
          <w:noProof/>
        </w:rPr>
        <w:t>(10)</w:t>
      </w:r>
      <w:r>
        <w:rPr>
          <w:noProof/>
        </w:rPr>
        <w:tab/>
        <w:t xml:space="preserve">Поради това на Белгия следва да се предостави финансова помощ, за да ѝ се съдейства да се справи със социално-икономическите последици от тежкото икономическо сътресение, причинено от разпространението на COVID-19. </w:t>
      </w:r>
      <w:r>
        <w:rPr>
          <w:noProof/>
        </w:rPr>
        <w:lastRenderedPageBreak/>
        <w:t>Комисията следва да вземе решенията относно сроковете до падежа, размера и отпускането на траншовете и вноските в тясно сътрудничество с националните органи.</w:t>
      </w:r>
    </w:p>
    <w:p>
      <w:pPr>
        <w:pStyle w:val="ManualConsidrant"/>
        <w:rPr>
          <w:noProof/>
        </w:rPr>
      </w:pPr>
      <w:r>
        <w:rPr>
          <w:noProof/>
        </w:rPr>
        <w:t>(11)</w:t>
      </w:r>
      <w:r>
        <w:rPr>
          <w:noProof/>
        </w:rPr>
        <w:tab/>
        <w:t>Белгия и Комисията следва да вземат предвид настоящото решение в споразумението за заем, посочено в член 8, параграф 2 от Регламент (ЕС)</w:t>
      </w:r>
      <w:r>
        <w:rPr>
          <w:noProof/>
          <w:lang w:val="en-US"/>
        </w:rPr>
        <w:t> </w:t>
      </w:r>
      <w:r>
        <w:rPr>
          <w:noProof/>
        </w:rPr>
        <w:t>2020/672.</w:t>
      </w:r>
    </w:p>
    <w:p>
      <w:pPr>
        <w:pStyle w:val="ManualConsidrant"/>
        <w:rPr>
          <w:noProof/>
        </w:rPr>
      </w:pPr>
      <w:r>
        <w:rPr>
          <w:noProof/>
        </w:rPr>
        <w:t>(12)</w:t>
      </w:r>
      <w:r>
        <w:rPr>
          <w:noProof/>
        </w:rPr>
        <w:tab/>
        <w:t>Настоящото решение не засяга резултата от евентуални процедури относно нарушения на функционирането на вътрешния пазар, които биха могли да бъдат открити, по-специално по силата на членове 107 и 108 от Договора. То не отменя посоченото в член 108 от Договора изискване към държавите членки да уведомяват Комисията за случаите на евентуална държавна помощ.</w:t>
      </w:r>
    </w:p>
    <w:p>
      <w:pPr>
        <w:pStyle w:val="ManualConsidrant"/>
        <w:rPr>
          <w:noProof/>
        </w:rPr>
      </w:pPr>
      <w:r>
        <w:rPr>
          <w:noProof/>
        </w:rPr>
        <w:t>(13)</w:t>
      </w:r>
      <w:r>
        <w:rPr>
          <w:noProof/>
        </w:rPr>
        <w:tab/>
        <w:t>Белгия следва редовно да уведомява Комисията за изпълнението на планираните публични разходи, за да ѝ позволи да прецени доколко те са били изпълнени от Белгия.</w:t>
      </w:r>
    </w:p>
    <w:p>
      <w:pPr>
        <w:pStyle w:val="ManualConsidrant"/>
        <w:rPr>
          <w:noProof/>
        </w:rPr>
      </w:pPr>
      <w:r>
        <w:rPr>
          <w:noProof/>
        </w:rPr>
        <w:t>(14)</w:t>
      </w:r>
      <w:r>
        <w:rPr>
          <w:noProof/>
        </w:rPr>
        <w:tab/>
        <w:t xml:space="preserve">Решението за предоставяне на финансова помощ се взима при отчитане на съществуващите и очакваните нужди на Белгия, както и на исканията за финансова помощ съгласно Регламент (ЕС) 2020/672, които вече са представени или се планира да бъдат представени от други държави членки, при прилагане на принципите на равно третиране, солидарност, пропорционалност и прозрачност,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Решение за изпълнение (ЕС) 2020/1342 се изменя, както следва: </w:t>
      </w:r>
    </w:p>
    <w:p>
      <w:pPr>
        <w:rPr>
          <w:noProof/>
        </w:rPr>
      </w:pPr>
    </w:p>
    <w:p>
      <w:pPr>
        <w:pStyle w:val="Point0"/>
        <w:rPr>
          <w:noProof/>
        </w:rPr>
      </w:pPr>
      <w:r>
        <w:t>(1)</w:t>
      </w:r>
      <w:r>
        <w:tab/>
      </w:r>
      <w:r>
        <w:rPr>
          <w:noProof/>
        </w:rPr>
        <w:t>Член 2 се изменя, както следва:</w:t>
      </w:r>
    </w:p>
    <w:p>
      <w:pPr>
        <w:pStyle w:val="Point1"/>
        <w:rPr>
          <w:noProof/>
        </w:rPr>
      </w:pPr>
      <w:r>
        <w:rPr>
          <w:noProof/>
        </w:rPr>
        <w:t>а)</w:t>
      </w:r>
      <w:r>
        <w:rPr>
          <w:noProof/>
        </w:rPr>
        <w:tab/>
        <w:t xml:space="preserve">параграф 1 се заменя със следното: </w:t>
      </w:r>
    </w:p>
    <w:p>
      <w:pPr>
        <w:ind w:left="720"/>
        <w:rPr>
          <w:noProof/>
        </w:rPr>
      </w:pPr>
      <w:r>
        <w:rPr>
          <w:noProof/>
        </w:rPr>
        <w:t>„1. Съюзът отпуска на Белгия заем с максимален размер 8 197 530 000</w:t>
      </w:r>
      <w:r>
        <w:rPr>
          <w:noProof/>
          <w:lang w:val="en-US"/>
        </w:rPr>
        <w:t> </w:t>
      </w:r>
      <w:r>
        <w:rPr>
          <w:noProof/>
        </w:rPr>
        <w:t>EUR. Неговият максимален среден срок до падежа е 15 години.“;</w:t>
      </w:r>
    </w:p>
    <w:p>
      <w:pPr>
        <w:pStyle w:val="Point1"/>
        <w:rPr>
          <w:noProof/>
        </w:rPr>
      </w:pPr>
      <w:r>
        <w:rPr>
          <w:noProof/>
        </w:rPr>
        <w:t>б)</w:t>
      </w:r>
      <w:r>
        <w:rPr>
          <w:noProof/>
        </w:rPr>
        <w:tab/>
        <w:t xml:space="preserve">параграф 4 се заменя със следното: </w:t>
      </w:r>
    </w:p>
    <w:p>
      <w:pPr>
        <w:ind w:left="720"/>
        <w:rPr>
          <w:noProof/>
        </w:rPr>
      </w:pPr>
      <w:r>
        <w:rPr>
          <w:noProof/>
        </w:rPr>
        <w:t>„4. Отпускането на първия транш е предмет на влизането в сила на споразумението за заем, посочено в член 8, параграф 2 от Регламент (ЕС) 2020/672. Всеки следващ транш се отпуска в съответствие с условията на това споразумение за заем или, когато е приложимо, е предмет на влизането в сила на допълнение към него, или на изменено споразумение за заем, сключено между Белгия и Комисията.“;</w:t>
      </w:r>
    </w:p>
    <w:p>
      <w:pPr>
        <w:rPr>
          <w:noProof/>
        </w:rPr>
      </w:pPr>
    </w:p>
    <w:p>
      <w:pPr>
        <w:pStyle w:val="Point0"/>
        <w:rPr>
          <w:noProof/>
        </w:rPr>
      </w:pPr>
      <w:r>
        <w:t>(2)</w:t>
      </w:r>
      <w:r>
        <w:tab/>
      </w:r>
      <w:r>
        <w:rPr>
          <w:noProof/>
        </w:rPr>
        <w:t xml:space="preserve">Член 3 се заменя със следното: </w:t>
      </w:r>
    </w:p>
    <w:p>
      <w:pPr>
        <w:ind w:firstLine="720"/>
        <w:jc w:val="center"/>
        <w:rPr>
          <w:noProof/>
        </w:rPr>
      </w:pPr>
      <w:r>
        <w:rPr>
          <w:noProof/>
        </w:rPr>
        <w:t>„</w:t>
      </w:r>
      <w:r>
        <w:rPr>
          <w:i/>
          <w:noProof/>
        </w:rPr>
        <w:t>Член 3</w:t>
      </w:r>
    </w:p>
    <w:p>
      <w:pPr>
        <w:ind w:firstLine="720"/>
        <w:rPr>
          <w:noProof/>
        </w:rPr>
      </w:pPr>
      <w:r>
        <w:rPr>
          <w:noProof/>
        </w:rPr>
        <w:t>Белгия може да финансира следните мерки:</w:t>
      </w:r>
    </w:p>
    <w:p>
      <w:pPr>
        <w:pStyle w:val="Point1"/>
        <w:rPr>
          <w:noProof/>
        </w:rPr>
      </w:pPr>
      <w:r>
        <w:rPr>
          <w:noProof/>
        </w:rPr>
        <w:t>а)</w:t>
      </w:r>
      <w:r>
        <w:rPr>
          <w:noProof/>
        </w:rPr>
        <w:tab/>
        <w:t xml:space="preserve">схемата за временна безработица „chômage temporaire/tijdelijke werkloosheid“, както е предвидена в „Koninklijk besluit van 30 maart 2020 tot aanpassing van de procedures in het kader van tijdelijke werkloosheid omwille van het Covid-19-virus en tot wijziging van artikel 10 van het </w:t>
      </w:r>
      <w:r>
        <w:rPr>
          <w:noProof/>
        </w:rPr>
        <w:lastRenderedPageBreak/>
        <w:t>koninklijk besluit van 6 mei 2019 tot wijziging van de artikelen 27, 51, 52а, 58, 58/3 en 63 van het koninklijk besluit van 25 november 1991 houdende de werkloosheidsreglementering en tot invoeging van de artikelen 36д, 63а en 124а in hetzelfde besluit/Arrêté royal du 30 mars 2020 visant à adapter les procédures dans le cadre du chômage temporaire dû au virus Covid-19 et à modifier l’article 10 de l’arrêté royal du 6 mai 2019 modifiant les articles 27, 51, 52а, 58, 58/3 et 63 de l’arrêté royal du 25 novembre 1991 portant réglementation du chômage et insérant les articles 36д, 63а et 124а dans le même arrêté“;</w:t>
      </w:r>
    </w:p>
    <w:p>
      <w:pPr>
        <w:pStyle w:val="Point1"/>
        <w:rPr>
          <w:noProof/>
        </w:rPr>
      </w:pPr>
      <w:r>
        <w:rPr>
          <w:noProof/>
        </w:rPr>
        <w:t>б)</w:t>
      </w:r>
      <w:r>
        <w:rPr>
          <w:noProof/>
        </w:rPr>
        <w:tab/>
        <w:t>заместващия доход за самостоятелно заети лица, свързан с COVID-19 — „временни права през кризата“, предвиден в „Loi du 23 mars 2020 modifiant la loi du 22 décembre 2016 instaurant un droit passerelle en faveur des travailleurs indépendants et introduisant les mesures temporaires dans le cadre du COVID-19 en faveur des travailleurs indépendants/Wet van 23 maart 2020 tot wijziging van de wet van 22 december 2016 houdende invoering van een overbruggingsrecht ten gunste van zelfstandigen en tot invoering van tijdelijke maatregelen in het kader van COVID-19 ten gunste van zelfstandigen“;</w:t>
      </w:r>
    </w:p>
    <w:p>
      <w:pPr>
        <w:pStyle w:val="Point1"/>
        <w:rPr>
          <w:noProof/>
        </w:rPr>
      </w:pPr>
      <w:r>
        <w:rPr>
          <w:noProof/>
        </w:rPr>
        <w:t>в)</w:t>
      </w:r>
      <w:r>
        <w:rPr>
          <w:noProof/>
        </w:rPr>
        <w:tab/>
        <w:t>родителския отпуск, свързан с COVID-19, предвиден в „Arrêté royal № 23 du 13 mai 2020 pris en exécution de l’article 5, § 1, 5°, de la loi du 27 mars 2020 accordant des pouvoirs au Roi afin de prendre des mesures dans la lutte contre la propagation du coronavirus COVID-19 (II) visant le congé parental corona/Koninklijk besluit nr. 23 van 13 mei 2020, tot uitvoering van artikel 5, § 1, 5°, van de wet van 27 maart 2020 die machtiging verleent aan de Koning om maatregelen te nemen in de strijd tegen de verspreiding van het coronavirus COVID-19 (II) houdende het corona ouderschapsverlof“;</w:t>
      </w:r>
    </w:p>
    <w:p>
      <w:pPr>
        <w:pStyle w:val="Point1"/>
        <w:rPr>
          <w:noProof/>
        </w:rPr>
      </w:pPr>
      <w:r>
        <w:rPr>
          <w:noProof/>
        </w:rPr>
        <w:t>г)</w:t>
      </w:r>
      <w:r>
        <w:rPr>
          <w:noProof/>
        </w:rPr>
        <w:tab/>
        <w:t xml:space="preserve">регионалните и общностните схеми за подпомагане на доходите, както следва: </w:t>
      </w:r>
    </w:p>
    <w:p>
      <w:pPr>
        <w:pStyle w:val="Point2"/>
        <w:rPr>
          <w:noProof/>
        </w:rPr>
      </w:pPr>
      <w:r>
        <w:rPr>
          <w:noProof/>
        </w:rPr>
        <w:t xml:space="preserve">i) за регион Брюксел-столица: </w:t>
      </w:r>
    </w:p>
    <w:p>
      <w:pPr>
        <w:pStyle w:val="Tiret2"/>
        <w:numPr>
          <w:ilvl w:val="0"/>
          <w:numId w:val="11"/>
        </w:numPr>
        <w:rPr>
          <w:noProof/>
        </w:rPr>
      </w:pPr>
      <w:r>
        <w:rPr>
          <w:noProof/>
        </w:rPr>
        <w:t xml:space="preserve">компенсаторната премия за предприятията, предвидена в „Arrêté de la Région de Bruxelles-Capitale de pouvoirs spéciaux № 2020/019 du 23 avril 2020/Bijzondere machtenbesluit van de Brusselse Hoofdstedelijke Regering nr. 2020/019 van 23 april 2020“, за частта от разходите, свързана с подкрепата за самостоятелно заетите лица и едноличните търговци; </w:t>
      </w:r>
    </w:p>
    <w:p>
      <w:pPr>
        <w:pStyle w:val="Tiret2"/>
        <w:rPr>
          <w:noProof/>
        </w:rPr>
      </w:pPr>
      <w:r>
        <w:rPr>
          <w:noProof/>
        </w:rPr>
        <w:t xml:space="preserve">компенсационната премия за предприемачите, предвидена в „Bijzondere machtenbesluit nr. 2020/030 van de Brusselse Hoofdstedelijke Regering van 28 mei 2020/Arrêté du Gouvernement de la Région de Bruxelles-Capitale de pouvoirs spéciaux n° 2020/030 du 28 mai 2020“, за частта от разходите, свързана с подкрепата за самостоятелно заетите лица и едноличните търговци, както беше удължена с „Arrêté du Gouvernement de la Région de Bruxelles-Capitale du 15 octobre 2020 relatif à une aide aux secteurs de l'événementiel, du monde de la nuit, du tourisme et de la culture dans le cadre de la crise sanitaire du COVID-19/Besluit van de Brusselse Hoofdstedelijke Regering van 15 oktober 2020 betreffende steun aan de evenementen-, uitgaans-, toeristische en culturele sector in het kader van de gezondheidscrisis COVID-19“ и с „Arrêté du Gouvernement de la </w:t>
      </w:r>
      <w:r>
        <w:rPr>
          <w:noProof/>
        </w:rPr>
        <w:lastRenderedPageBreak/>
        <w:t>Région de Bruxelles-Capitale du 12 novembre 2020 relatif à une aide aux entreprises débits de boissons et restaurants dans le cadre de la crise sanitaire du COVID-19/</w:t>
      </w:r>
      <w:r>
        <w:rPr>
          <w:noProof/>
          <w:shd w:val="clear" w:color="auto" w:fill="FFFFFF"/>
        </w:rPr>
        <w:t xml:space="preserve"> Besluit van de Brusselse Hoofdstedelijke Regering van 12 november 2020 betreffende steun aan de eet- en drankgelegenhedenondernemingen in het kader van de gezondheidscrisis COVID-19“</w:t>
      </w:r>
      <w:r>
        <w:rPr>
          <w:noProof/>
        </w:rPr>
        <w:t xml:space="preserve">; </w:t>
      </w:r>
    </w:p>
    <w:p>
      <w:pPr>
        <w:pStyle w:val="Tiret2"/>
        <w:rPr>
          <w:noProof/>
        </w:rPr>
      </w:pPr>
      <w:r>
        <w:rPr>
          <w:noProof/>
        </w:rPr>
        <w:t>компенсационна премия за работници с непостоянна работа, предвидена в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p>
    <w:p>
      <w:pPr>
        <w:pStyle w:val="Tiret2"/>
        <w:rPr>
          <w:noProof/>
        </w:rPr>
      </w:pPr>
      <w:r>
        <w:rPr>
          <w:noProof/>
        </w:rPr>
        <w:t xml:space="preserve">схемата за спешна подкрепа за предприемачи и еднолични търговци, предвидена в „Arrêté du Gouvernement de la Région de Bruxelles-Capitale concernant l’octroi d’une subvention de 1.625.000,00 EUR à la SA Brusoc dans le cadre de l’octroi de micro-crédits de trésorerie pour les indépendants et les micro-entreprises en raison de la crise sanitaire du COVID-19/Toekenning van micro-kaskredieten voor zelfstandigen en zko’s“, за частта от публичните разходи, свързана с очакваните загуби по заеми, предоставени на самостоятелно заети лица и еднолични търговци. </w:t>
      </w:r>
    </w:p>
    <w:p>
      <w:pPr>
        <w:pStyle w:val="Point2"/>
        <w:rPr>
          <w:noProof/>
        </w:rPr>
      </w:pPr>
      <w:r>
        <w:rPr>
          <w:noProof/>
        </w:rPr>
        <w:t>ii) за регион Фландрия и фламандската общност:</w:t>
      </w:r>
    </w:p>
    <w:p>
      <w:pPr>
        <w:pStyle w:val="Tiret2"/>
        <w:rPr>
          <w:noProof/>
        </w:rPr>
      </w:pPr>
      <w:r>
        <w:rPr>
          <w:noProof/>
        </w:rPr>
        <w:t xml:space="preserve">премията за вреди, предвидена в „Besluit van de Vlaamse regering van 20 maart 2020“, за частта от разходите, свързана с подкрепата за самостоятелно заетите лица и едноличните търговци; </w:t>
      </w:r>
    </w:p>
    <w:p>
      <w:pPr>
        <w:pStyle w:val="Tiret2"/>
        <w:rPr>
          <w:noProof/>
        </w:rPr>
      </w:pPr>
      <w:r>
        <w:rPr>
          <w:noProof/>
        </w:rPr>
        <w:t xml:space="preserve">компенсационна премия, предвидена в „Besluit van de Vlaamse regering van 10 april 2020“, за частта от разходите, свързана с подкрепата за самостоятелно заетите лица и едноличните търговци; </w:t>
      </w:r>
    </w:p>
    <w:p>
      <w:pPr>
        <w:pStyle w:val="Tiret2"/>
        <w:rPr>
          <w:noProof/>
        </w:rPr>
      </w:pPr>
      <w:r>
        <w:rPr>
          <w:noProof/>
        </w:rPr>
        <w:t>премията за подкрепа, предвидена в „Besluit van de Vlaamse regering van 12 juni 2020“, за частта от разходите, свързана с подкрепата за самостоятелно заетите лица и едноличните търговци, както беше удължена с „Besluit van de Vlaamse Regering van 23 oktober 2020“, „Besluit van de Vlaamse Regering van 7 augustus 2020“ и „Besluit van de Vlaamse Regering van 13 november 2020“ („фламандска схема за защита“ 1, 2 и 3).</w:t>
      </w:r>
    </w:p>
    <w:p>
      <w:pPr>
        <w:pStyle w:val="Point2"/>
        <w:rPr>
          <w:noProof/>
        </w:rPr>
      </w:pPr>
      <w:r>
        <w:rPr>
          <w:noProof/>
        </w:rPr>
        <w:t xml:space="preserve">iii) за френската общност: </w:t>
      </w:r>
    </w:p>
    <w:p>
      <w:pPr>
        <w:pStyle w:val="Tiret2"/>
        <w:rPr>
          <w:noProof/>
        </w:rPr>
      </w:pPr>
      <w:r>
        <w:rPr>
          <w:noProof/>
        </w:rPr>
        <w:t xml:space="preserve">субсидията за културни дейци, предвидена в „Arrêté du Gouvernement de la Communauté française de pouvoirs spéciaux № 4 du 23 avril 2020“; </w:t>
      </w:r>
    </w:p>
    <w:p>
      <w:pPr>
        <w:pStyle w:val="Tiret2"/>
        <w:rPr>
          <w:noProof/>
        </w:rPr>
      </w:pPr>
      <w:r>
        <w:rPr>
          <w:noProof/>
        </w:rPr>
        <w:t>субсидията за детски ясли, предвидена в „Arrêté du Gouvernement de la Communauté française du 7 avril 2020“, за частта от разходите, свързана с подкрепата за самостоятелно заетите лица и едноличните търговци;</w:t>
      </w:r>
    </w:p>
    <w:p>
      <w:pPr>
        <w:pStyle w:val="Point2"/>
        <w:rPr>
          <w:noProof/>
        </w:rPr>
      </w:pPr>
      <w:r>
        <w:rPr>
          <w:noProof/>
        </w:rPr>
        <w:t xml:space="preserve">iv) за регион Валония: </w:t>
      </w:r>
    </w:p>
    <w:p>
      <w:pPr>
        <w:pStyle w:val="Tiret2"/>
        <w:rPr>
          <w:noProof/>
        </w:rPr>
      </w:pPr>
      <w:r>
        <w:rPr>
          <w:noProof/>
        </w:rPr>
        <w:t xml:space="preserve">компенсационната премия за прекъсване на стопанската дейност, предвидена в „Arrêté ministériel du 8 avril 2020 portant exécution de </w:t>
      </w:r>
      <w:r>
        <w:rPr>
          <w:noProof/>
        </w:rPr>
        <w:lastRenderedPageBreak/>
        <w:t>l’arrêté du Gouvernement wallon du 20 mars 2020“, за частта от разходите, свързана с подкрепата за самостоятелно заетите лица и едноличните търговци;</w:t>
      </w:r>
    </w:p>
    <w:p>
      <w:pPr>
        <w:pStyle w:val="Tiret2"/>
        <w:rPr>
          <w:noProof/>
        </w:rPr>
      </w:pPr>
      <w:r>
        <w:rPr>
          <w:noProof/>
        </w:rPr>
        <w:t xml:space="preserve">дейностите по обучение, предвидени в „Arrêté du Gouvernement wallon du 19 juin 2020“; </w:t>
      </w:r>
    </w:p>
    <w:p>
      <w:pPr>
        <w:pStyle w:val="Point2"/>
        <w:rPr>
          <w:noProof/>
        </w:rPr>
      </w:pPr>
      <w:r>
        <w:rPr>
          <w:noProof/>
        </w:rPr>
        <w:t xml:space="preserve">v) за немскоезичната общност: </w:t>
      </w:r>
    </w:p>
    <w:p>
      <w:pPr>
        <w:pStyle w:val="Tiret2"/>
        <w:rPr>
          <w:noProof/>
        </w:rPr>
      </w:pPr>
      <w:r>
        <w:rPr>
          <w:noProof/>
        </w:rPr>
        <w:t xml:space="preserve">субсидията за културни дейци и самостоятелно заети лица, предвидена в член 7 от „Parlament der Deutschsprachigen Gemeinschaft, Corona-Krisendekret I vom 6. April 2020“, за частта от разходите, свързана със заеми, които са били преобразувани в безвъзмездни средства; </w:t>
      </w:r>
    </w:p>
    <w:p>
      <w:pPr>
        <w:pStyle w:val="Tiret2"/>
        <w:rPr>
          <w:noProof/>
        </w:rPr>
      </w:pPr>
      <w:r>
        <w:rPr>
          <w:noProof/>
        </w:rPr>
        <w:t xml:space="preserve">субсидията за туристически оператори, предвидена в член 4 от „Parlament der Deutschsprachigen Gemeinschaft, Corona-Krisendekret III vom 20. Juli 2020“, за частта от разходите, свързана с подкрепата за самостоятелно заетите лица и едноличните търговци; </w:t>
      </w:r>
    </w:p>
    <w:p>
      <w:pPr>
        <w:pStyle w:val="Point1"/>
        <w:rPr>
          <w:noProof/>
        </w:rPr>
      </w:pPr>
      <w:r>
        <w:rPr>
          <w:noProof/>
        </w:rPr>
        <w:t>д)</w:t>
      </w:r>
      <w:r>
        <w:rPr>
          <w:noProof/>
        </w:rPr>
        <w:tab/>
        <w:t xml:space="preserve">мерките, свързани със здравеопазването в немскоезичната общност, предвидени в член 7 от „Parlament der Deutschsprachigen Gemeinschaft, Corona-Krisendekret I vom 6. April 2020“. </w:t>
      </w:r>
    </w:p>
    <w:p>
      <w:pPr>
        <w:rPr>
          <w:noProof/>
        </w:rPr>
      </w:pPr>
    </w:p>
    <w:p>
      <w:pPr>
        <w:pStyle w:val="Point0"/>
        <w:rPr>
          <w:noProof/>
        </w:rPr>
      </w:pPr>
      <w:r>
        <w:t>(3)</w:t>
      </w:r>
      <w:r>
        <w:tab/>
      </w:r>
      <w:r>
        <w:rPr>
          <w:noProof/>
        </w:rPr>
        <w:t xml:space="preserve">Член 4 се заменя със следното: </w:t>
      </w:r>
    </w:p>
    <w:p>
      <w:pPr>
        <w:pStyle w:val="Point0"/>
        <w:rPr>
          <w:noProof/>
        </w:rPr>
      </w:pPr>
    </w:p>
    <w:p>
      <w:pPr>
        <w:pStyle w:val="Point0"/>
        <w:jc w:val="center"/>
        <w:rPr>
          <w:noProof/>
        </w:rPr>
      </w:pPr>
      <w:r>
        <w:rPr>
          <w:noProof/>
        </w:rPr>
        <w:t>„</w:t>
      </w:r>
      <w:r>
        <w:rPr>
          <w:i/>
          <w:noProof/>
        </w:rPr>
        <w:t>Член 4</w:t>
      </w:r>
    </w:p>
    <w:p>
      <w:pPr>
        <w:pStyle w:val="Point0"/>
        <w:ind w:left="1435" w:hanging="585"/>
        <w:rPr>
          <w:noProof/>
        </w:rPr>
      </w:pPr>
      <w:r>
        <w:rPr>
          <w:noProof/>
        </w:rPr>
        <w:t>1.</w:t>
      </w:r>
      <w:r>
        <w:rPr>
          <w:noProof/>
        </w:rPr>
        <w:tab/>
        <w:t xml:space="preserve">Белгия уведомява Комисията до 30 март 2021 г. и на всеки шест месеца след тази дата за изпълнението на планираните публични разходи, докато тези планирани публични разходи не бъдат изцяло изпълнени. </w:t>
      </w:r>
    </w:p>
    <w:p>
      <w:pPr>
        <w:pStyle w:val="Point0"/>
        <w:ind w:left="1435" w:hanging="715"/>
        <w:rPr>
          <w:noProof/>
        </w:rPr>
      </w:pPr>
      <w:r>
        <w:rPr>
          <w:noProof/>
        </w:rPr>
        <w:t>2.</w:t>
      </w:r>
      <w:r>
        <w:rPr>
          <w:noProof/>
        </w:rPr>
        <w:tab/>
        <w:t>Когато мерките, посочени в член 3, се основават на планираните публични разходи и са били предмет на решение за изпълнение за изменение на Решение за изпълнение (EС) 2020/1342, Белгия уведомява Комисията в рамките на 6 месеца след датата на приемане на това решение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rPr>
          <w:noProof/>
        </w:rPr>
      </w:pPr>
    </w:p>
    <w:p>
      <w:pPr>
        <w:pStyle w:val="Titrearticle"/>
        <w:rPr>
          <w:noProof/>
        </w:rPr>
      </w:pPr>
      <w:r>
        <w:rPr>
          <w:noProof/>
        </w:rPr>
        <w:t>Член 2</w:t>
      </w:r>
    </w:p>
    <w:p>
      <w:pPr>
        <w:keepNext/>
        <w:keepLines/>
        <w:rPr>
          <w:noProof/>
        </w:rPr>
      </w:pPr>
      <w:r>
        <w:rPr>
          <w:noProof/>
        </w:rPr>
        <w:t>Адресат на настоящото решение е Кралство Белгия.</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 1.</w:t>
      </w:r>
    </w:p>
  </w:footnote>
  <w:footnote w:id="2">
    <w:p>
      <w:pPr>
        <w:pStyle w:val="FootnoteText"/>
      </w:pPr>
      <w:r>
        <w:rPr>
          <w:rStyle w:val="FootnoteReference"/>
        </w:rPr>
        <w:footnoteRef/>
      </w:r>
      <w:r>
        <w:tab/>
        <w:t xml:space="preserve">Решение за изпълнение (ЕС) 2020/1342 на Съвета от 25 септември 2020 г. за предоставяне на временна подкрепа на Кралство Белгия съгласно Регламент (ЕС) 2020/672 с цел смекчаване на рисковете от безработица при извънредните обстоятелства вследствие на избухването на COVID-19 (OВ L 314, 29.9.2020 г., стр. 4—9). </w:t>
      </w:r>
    </w:p>
  </w:footnote>
  <w:footnote w:id="3">
    <w:p>
      <w:pPr>
        <w:pStyle w:val="FootnoteText"/>
      </w:pPr>
      <w:r>
        <w:rPr>
          <w:rStyle w:val="FootnoteReference"/>
        </w:rPr>
        <w:footnoteRef/>
      </w:r>
      <w:r>
        <w:tab/>
        <w:t>Arrêté du Gouvernement de la Région de Bruxelles-Capitale de pouvoirs spéciaux n° 2020/019 du 23 avril 2020 modifiant l’arrêté de pouvoirs spéciaux n° 2020/013 du 7 avril 2020 relatif à une aide en vue de l’indemnisation des entreprises affectées par les mesures d’urgence pour limiter la propagation du coronavirus COVID-19/Bijzondere machtenbesluit van de Brusselse Hoofdstedelijke Regering nr. 2020/019 van 23 april 2020 tot wijziging van het bijzondere machtenbesluit nr. 2020/013 van 7 april 2020 betreffende de steun tot vergoeding van de ondernemingen getroffen door de dringende maatregelen om de verspreiding van het coronavirus COVID-19 te beperken.</w:t>
      </w:r>
    </w:p>
  </w:footnote>
  <w:footnote w:id="4">
    <w:p>
      <w:pPr>
        <w:pStyle w:val="FootnoteText"/>
      </w:pPr>
      <w:r>
        <w:rPr>
          <w:rStyle w:val="FootnoteReference"/>
        </w:rPr>
        <w:footnoteRef/>
      </w:r>
      <w:r>
        <w:tab/>
        <w:t>Arrêté du Gouvernement de la Région de Bruxelles-Capitale de pouvoirs spéciaux n° 2020/030 du 28 mai 2020 relatif à l’aide aux entreprises qui subissent une baisse d’activité en raison de la crise sanitaire du COVID-19/Bijzondere machtenbesluit nr. 2020/030 van de Brusselse Hoofdstedelijke Regering van 28 mei 2020 betreffende de steun aan ondernemingen die een terugval van hun activiteit ondergaan als gevolg van de gezondheidscrisis COVID-19.</w:t>
      </w:r>
    </w:p>
  </w:footnote>
  <w:footnote w:id="5">
    <w:p>
      <w:pPr>
        <w:pStyle w:val="FootnoteText"/>
      </w:pPr>
      <w:r>
        <w:rPr>
          <w:rStyle w:val="FootnoteReference"/>
        </w:rPr>
        <w:footnoteRef/>
      </w:r>
      <w:r>
        <w:tab/>
        <w:t>Notification de la réunion du conseil des ministres du gouvernement de la région de Bruxelles-Capitale du jeudi 14 mai 2020, point 25/Betekening van de vergadering van de Ministerraad van de Brusselse Hoofdstedelijke Regering van donderdag 14 mei 2020, punt 25. Това политическо решение беше транспонирано в законодателен акт с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p>
  </w:footnote>
  <w:footnote w:id="6">
    <w:p>
      <w:pPr>
        <w:pStyle w:val="FootnoteText"/>
      </w:pPr>
      <w:r>
        <w:rPr>
          <w:rStyle w:val="FootnoteReference"/>
        </w:rPr>
        <w:footnoteRef/>
      </w:r>
      <w:r>
        <w:tab/>
        <w:t>Besluit van de Vlaamse Regering van 20 maart 2020 tot toekenning van steun aan ondernemingen die verplicht moeten sluiten ten gevolge van de maatregelen genomen door de Nationale Veiligheidsraad vanaf 12 maart 2020 inzake het coronavirus.</w:t>
      </w:r>
    </w:p>
  </w:footnote>
  <w:footnote w:id="7">
    <w:p>
      <w:pPr>
        <w:pStyle w:val="FootnoteText"/>
      </w:pPr>
      <w:r>
        <w:rPr>
          <w:rStyle w:val="FootnoteReference"/>
        </w:rPr>
        <w:footnoteRef/>
      </w:r>
      <w: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8">
    <w:p>
      <w:pPr>
        <w:pStyle w:val="FootnoteText"/>
      </w:pPr>
      <w:r>
        <w:rPr>
          <w:rStyle w:val="FootnoteReference"/>
        </w:rPr>
        <w:footnoteRef/>
      </w:r>
      <w: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pPr>
      <w:r>
        <w:rPr>
          <w:rStyle w:val="FootnoteReference"/>
        </w:rPr>
        <w:footnoteRef/>
      </w:r>
      <w:r>
        <w:tab/>
        <w:t>Arrêté du Gouvernement de la Communauté française de pouvoirs spéciaux n° 4 du 23 avril 2020 relatif au soutien du secteur culturel et du cinéma dans le cadre de la crise sanitaire du COVID-19.</w:t>
      </w:r>
    </w:p>
  </w:footnote>
  <w:footnote w:id="10">
    <w:p>
      <w:pPr>
        <w:pStyle w:val="FootnoteText"/>
      </w:pPr>
      <w:r>
        <w:rPr>
          <w:rStyle w:val="FootnoteReference"/>
        </w:rPr>
        <w:footnoteRef/>
      </w:r>
      <w:r>
        <w:tab/>
        <w:t>Arrêté du Gouvernement de la Communauté française du 7 avril 2020 relatif au soutien des milieux d’accueil dans le cadre de la crise sanitaire du COVID-19.</w:t>
      </w:r>
    </w:p>
  </w:footnote>
  <w:footnote w:id="11">
    <w:p>
      <w:pPr>
        <w:pStyle w:val="FootnoteText"/>
      </w:pPr>
      <w:r>
        <w:rPr>
          <w:rStyle w:val="FootnoteReference"/>
        </w:rPr>
        <w:footnoteRef/>
      </w:r>
      <w:r>
        <w:tab/>
        <w:t>Arrêté ministériel du 8 avril 2020 portant exécution de l’arrêté du Gouvernement wallon du 20 mars 2020 relatif à l’octroi d’indemnités compensatoires dans le cadre des mesures contre le coronavirus COVID-19 и Arrêté du Gouvernement wallon du 20 mars 2020 relatif à l’octroi d’indemnités compensatoires dans le cadre des mesures contre le coronavirus COVID-19.</w:t>
      </w:r>
    </w:p>
  </w:footnote>
  <w:footnote w:id="12">
    <w:p>
      <w:pPr>
        <w:pStyle w:val="FootnoteText"/>
      </w:pPr>
      <w:r>
        <w:rPr>
          <w:rStyle w:val="FootnoteReference"/>
        </w:rPr>
        <w:footnoteRef/>
      </w:r>
      <w:r>
        <w:tab/>
        <w:t>Arrêté du Gouvernement wallon du 19 juin 2020 portant des dispositions diverses relatives aux formateurs et au subventionnement des activités de formation des centres de formation du réseau IFAPME.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11:09: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12F7B27-0CF3-4C84-AAE3-259C8C5B8030"/>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1"/>
    <w:docVar w:name="LW_REF.II.NEW.CP_YEAR" w:val="2021"/>
    <w:docVar w:name="LW_REF.INST.NEW" w:val="COM"/>
    <w:docVar w:name="LW_REF.INST.NEW_ADOPTED" w:val="final"/>
    <w:docVar w:name="LW_REF.INST.NEW_TEXT" w:val="(2021)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20/1342 \u1079?\u1072? \u1087?\u1088?\u1077?\u1076?\u1086?\u1089?\u1090?\u1072?\u1074?\u1103?\u1085?\u1077? \u1085?\u1072? \u1074?\u1088?\u1077?\u1084?\u1077?\u1085?\u1085?\u1072? \u1087?\u1086?\u1076?\u1082?\u1088?\u1077?\u1087?\u1072? \u1085?\u1072? \u1050?\u1088?\u1072?\u1083?\u1089?\u1090?\u1074?\u1086? \u1041?\u1077?\u1083?\u1075?\u1080?\u1103? \u1089?\u1098?\u1075?\u1083?\u1072?\u1089?\u1085?\u1086? \u1056?\u1077?\u1075?\u1083?\u1072?\u1084?\u1077?\u1085?\u1090? (\u1045?\u1057?) 2020/672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66414465">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36718050">
      <w:bodyDiv w:val="1"/>
      <w:marLeft w:val="0"/>
      <w:marRight w:val="0"/>
      <w:marTop w:val="0"/>
      <w:marBottom w:val="0"/>
      <w:divBdr>
        <w:top w:val="none" w:sz="0" w:space="0" w:color="auto"/>
        <w:left w:val="none" w:sz="0" w:space="0" w:color="auto"/>
        <w:bottom w:val="none" w:sz="0" w:space="0" w:color="auto"/>
        <w:right w:val="none" w:sz="0" w:space="0" w:color="auto"/>
      </w:divBdr>
    </w:div>
    <w:div w:id="957026765">
      <w:bodyDiv w:val="1"/>
      <w:marLeft w:val="0"/>
      <w:marRight w:val="0"/>
      <w:marTop w:val="0"/>
      <w:marBottom w:val="0"/>
      <w:divBdr>
        <w:top w:val="none" w:sz="0" w:space="0" w:color="auto"/>
        <w:left w:val="none" w:sz="0" w:space="0" w:color="auto"/>
        <w:bottom w:val="none" w:sz="0" w:space="0" w:color="auto"/>
        <w:right w:val="none" w:sz="0" w:space="0" w:color="auto"/>
      </w:divBdr>
    </w:div>
    <w:div w:id="1364744241">
      <w:bodyDiv w:val="1"/>
      <w:marLeft w:val="0"/>
      <w:marRight w:val="0"/>
      <w:marTop w:val="0"/>
      <w:marBottom w:val="0"/>
      <w:divBdr>
        <w:top w:val="none" w:sz="0" w:space="0" w:color="auto"/>
        <w:left w:val="none" w:sz="0" w:space="0" w:color="auto"/>
        <w:bottom w:val="none" w:sz="0" w:space="0" w:color="auto"/>
        <w:right w:val="none" w:sz="0" w:space="0" w:color="auto"/>
      </w:divBdr>
    </w:div>
    <w:div w:id="1472670707">
      <w:bodyDiv w:val="1"/>
      <w:marLeft w:val="0"/>
      <w:marRight w:val="0"/>
      <w:marTop w:val="0"/>
      <w:marBottom w:val="0"/>
      <w:divBdr>
        <w:top w:val="none" w:sz="0" w:space="0" w:color="auto"/>
        <w:left w:val="none" w:sz="0" w:space="0" w:color="auto"/>
        <w:bottom w:val="none" w:sz="0" w:space="0" w:color="auto"/>
        <w:right w:val="none" w:sz="0" w:space="0" w:color="auto"/>
      </w:divBdr>
    </w:div>
    <w:div w:id="1586837693">
      <w:bodyDiv w:val="1"/>
      <w:marLeft w:val="0"/>
      <w:marRight w:val="0"/>
      <w:marTop w:val="0"/>
      <w:marBottom w:val="0"/>
      <w:divBdr>
        <w:top w:val="none" w:sz="0" w:space="0" w:color="auto"/>
        <w:left w:val="none" w:sz="0" w:space="0" w:color="auto"/>
        <w:bottom w:val="none" w:sz="0" w:space="0" w:color="auto"/>
        <w:right w:val="none" w:sz="0" w:space="0" w:color="auto"/>
      </w:divBdr>
    </w:div>
    <w:div w:id="20806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3E7549-8E26-4572-B8A7-54C8C02E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3964</Words>
  <Characters>22597</Characters>
  <Application>Microsoft Office Word</Application>
  <DocSecurity>0</DocSecurity>
  <Lines>434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2021-04-08T10:30:00Z</dcterms:created>
  <dcterms:modified xsi:type="dcterms:W3CDTF">2021-04-13T09:09:00Z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