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A5BDFBC-4876-47E2-8D4C-9AB350E0B1C7" style="width:450.55pt;height:379.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ab/>
      </w:r>
    </w:p>
    <w:p>
      <w:pPr>
        <w:rPr>
          <w:noProof/>
        </w:rPr>
      </w:pPr>
      <w:r>
        <w:rPr>
          <w:noProof/>
        </w:rPr>
        <w:t>С Регламент (ЕС) 2020/672 („Регламентът за SURE“) се определя правната рамка за предоставянето на финансова помощ от Съюза на държавите членки, които изпитват или са сериозно застрашени от тежко икономическо смущение, причинено от разпространението на COVID-19. Предвидената в Регламента за SURE подкрепа е предназначена за финансирането преди всичко на режими на работа при непълно работно време или подобни мерки, предназначени за защита на работниците и самостоятелно заетите лица, и съответно за намаляване на безработицата и загубата на доходи, както и за финансирането на някои свързани със здравето мерки, по‐специално на работното място.</w:t>
      </w:r>
    </w:p>
    <w:p>
      <w:pPr>
        <w:rPr>
          <w:noProof/>
        </w:rPr>
      </w:pPr>
      <w:r>
        <w:rPr>
          <w:noProof/>
        </w:rPr>
        <w:t>На 25 септември 2020 г. Съюзът отпусна финансова помощ на Малта, целта на която е да се допълнят нейните национални усилия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w:t>
      </w:r>
    </w:p>
    <w:p>
      <w:pPr>
        <w:rPr>
          <w:noProof/>
        </w:rPr>
      </w:pPr>
      <w:r>
        <w:rPr>
          <w:noProof/>
        </w:rPr>
        <w:t>На 10 март 2021 г. Малта представи ново искане за финансова помощ от Съюза по силата на Регламента за SURE.</w:t>
      </w:r>
    </w:p>
    <w:p>
      <w:pPr>
        <w:rPr>
          <w:noProof/>
        </w:rPr>
      </w:pPr>
      <w:r>
        <w:rPr>
          <w:noProof/>
        </w:rPr>
        <w:t>В изпълнение на член 6, параграф 2 от Регламента за SURE Комисията се консултира с малтийските органи, за да провери внезапното и съществено увеличение на извършените и планираните разходи, пряко свързани с мерките на трудовия пазар на Малта и причинени от пандемията от COVID-19. По-специално, увеличените разходи, за които се иска допълнителна финансова помощ, са свързани със съществуващата мярка, посочена в Решение за изпълнение (ЕС) 2020/1352 на Съвета:</w:t>
      </w:r>
    </w:p>
    <w:p>
      <w:pPr>
        <w:pStyle w:val="Point0"/>
        <w:rPr>
          <w:noProof/>
        </w:rPr>
      </w:pPr>
      <w:r>
        <w:rPr>
          <w:noProof/>
        </w:rPr>
        <w:t>a)</w:t>
      </w:r>
      <w:r>
        <w:rPr>
          <w:noProof/>
        </w:rPr>
        <w:tab/>
        <w:t>добавка към заплатата с оглед на COVID-19, която обхваща наетите лица и самостоятелно заетите лица, с цел да им се помогне да се справят с причиненото от пандемията сътресение. В периода март—юни 2020 г. лицата, наети на пълно работно време в най-тежко засегнатите от кризата сектори, посочени в приложение А, имаха право на добавка към заплатата в размер на 800 EUR месечно (500 EUR месечно за наетите лица на непълно работно време). В по-слабо засегнатите сектори, изброени в приложение Б, лицата, наети на пълно работно време, можеха да получават по 160 EUR на месец (100</w:t>
      </w:r>
      <w:r>
        <w:rPr>
          <w:noProof/>
          <w:lang w:val="en-US"/>
        </w:rPr>
        <w:t> </w:t>
      </w:r>
      <w:r>
        <w:rPr>
          <w:noProof/>
        </w:rPr>
        <w:t xml:space="preserve">EUR месечно за наетите лица на непълно работно време). През юли 2020 г. списъкът на секторите, включени в двете приложения, беше изменен. Лицата, наети на пълно работно време в секторите, които преди това са били подпомагани по схемата, но са останали извън актуализираното приложение А или Б, получиха добавка към заплатата в размер на 600 EUR. Схемата, в която се съдържат тези условия, беше удължена до края на 2020 г. От януари 2021 г. размерът на добавката към заплатата отразява спад в продажбите за период от шест месеца между март и октомври 2019 г. спрямо оборота, деклариран за период от шест месеца между март и октомври 2020 г. Когато няма данни за ДДС, добавката към заплатата се изплаща въз основа на критериите, приложими през 2020 г. Предвижда се схемата да продължи до края на 2021 г. През втората половина на 2021 г. подкрепата ще остане в сила в съответствие с определените параметри за дейностите за настаняване и кетъринг. За други </w:t>
      </w:r>
      <w:r>
        <w:rPr>
          <w:noProof/>
        </w:rPr>
        <w:lastRenderedPageBreak/>
        <w:t xml:space="preserve">допустими дейности тя ще намалее до 66 % през третото тримесечие и ще намалее допълнително до 33% през последното тримесечие на годината. Схемата ще остане достъпна само за онези субекти, които вече са отговаряли на условията за подпомагане по първоначалната схема. Съгласно новите правила схемата ще обхваща и заместването на наети лица (т.е. заместване на наети лица, които доброволно са прекратили заетостта си след юни 2020 г.), при условие че първоначалният брой наети лица към края на май 2020 г. не е надвишен. Само частта от публичните разходи, свързана с наетите лица, които са работили непрекъснато, беше поискана от органите, като не се включва частта за тези новоназначени наети лица. </w:t>
      </w:r>
    </w:p>
    <w:p>
      <w:pPr>
        <w:rPr>
          <w:noProof/>
        </w:rPr>
      </w:pPr>
      <w:r>
        <w:rPr>
          <w:noProof/>
        </w:rPr>
        <w:t xml:space="preserve">Малта предостави на Комисията необходимите сведения. </w:t>
      </w:r>
    </w:p>
    <w:p>
      <w:pPr>
        <w:rPr>
          <w:noProof/>
        </w:rPr>
      </w:pPr>
      <w:r>
        <w:rPr>
          <w:noProof/>
        </w:rPr>
        <w:t xml:space="preserve">Предвид наличните доказателства Комисията предлага на Съвета да приеме решение за изпълнение, с което на Малта да се предостави финансова помощ по силата на Регламента за SURE в подкрепа на горепосочената мярка. </w:t>
      </w:r>
    </w:p>
    <w:p>
      <w:pPr>
        <w:rPr>
          <w:noProof/>
        </w:rPr>
      </w:pP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политиката</w:t>
      </w:r>
    </w:p>
    <w:p>
      <w:pPr>
        <w:spacing w:before="0" w:after="240"/>
        <w:rPr>
          <w:noProof/>
          <w:color w:val="000000" w:themeColor="text1"/>
        </w:rPr>
      </w:pPr>
      <w:r>
        <w:rPr>
          <w:noProof/>
        </w:rPr>
        <w:t>Настоящото предложение е напълно съобразено с Регламент (ЕС) 2020/672 на Съвета, по силата на който е изготвено.</w:t>
      </w:r>
    </w:p>
    <w:p>
      <w:pPr>
        <w:spacing w:before="0" w:after="240"/>
        <w:rPr>
          <w:noProof/>
          <w:color w:val="000000" w:themeColor="text1"/>
        </w:rPr>
      </w:pPr>
      <w:r>
        <w:rPr>
          <w:noProof/>
          <w:color w:val="000000" w:themeColor="text1"/>
        </w:rPr>
        <w:t>С настоящото предложение се допълва друг правен инструмент на Съюза за предоставяне на подкрепа на държавите членки при извънредни ситуации, а именно Регламент (ЕО) № 2012/2002 на Съвета от 11 ноември 2002 г. за създаване на фонд „Солидарност“ на Европейския съюз („Регламент (ЕО) № 2012/2002“). Регламент (ЕС)</w:t>
      </w:r>
      <w:r>
        <w:rPr>
          <w:noProof/>
          <w:color w:val="000000" w:themeColor="text1"/>
          <w:lang w:val="en-US"/>
        </w:rPr>
        <w:t> </w:t>
      </w:r>
      <w:r>
        <w:rPr>
          <w:noProof/>
          <w:color w:val="000000" w:themeColor="text1"/>
        </w:rPr>
        <w:t xml:space="preserve">2020/461 на Европейския парламент и на Съвета, с който се изменя този инструмент, като в обхвата му се включват тежките извънредни ситуации в областта на общественото здраве и се определят специални операции, допустими за финансиране, бе приет на 30 март.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например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свързан с пандемията от COVID-19, настоящото предложение служи като втора защитна линия за финансиране на режими на работа при непълно работно време и подобни мерки, които спомагат за съхраняването на работните места и оттам — за защитата на наетите лица и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 xml:space="preserve">Предложението е в резултат на отправено от държава членка искане и e проява на европейска солидарност, тъй като на засегната от разпространението на COVID-19 </w:t>
      </w:r>
      <w:r>
        <w:rPr>
          <w:noProof/>
        </w:rPr>
        <w:lastRenderedPageBreak/>
        <w:t>държава членка се предоставя финансова помощ от Съюза под формата на временни заеми. Като втора защитна линия тази финансова помощ ще облекчи временно увеличените публични разходи на правителството, свързани с режимите на работа при непълно работно време и подобни мерки, и ще му помогне за съхраняването на работните места, а оттам и за защитата на наетите лица и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спомогне за смекчаване на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беше изготвено в съкратени срокове, за да може да се приеме своевременно от Съвета, поради което не бе възможно провеждането на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ще може да заеме средства на финансовите пазари с цел след това да ги предостави под формата на заем на държавата членка, подала искане за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в рамката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ограничават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(ЕС) 2020/1352 за предоставяне на временна подкрепа на Република Малта съгласно Регламент (ЕС) 2020/672 с цел смекчаване на рисковете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25 септември 2020</w:t>
      </w:r>
      <w:r>
        <w:rPr>
          <w:noProof/>
          <w:lang w:val="en-US"/>
        </w:rPr>
        <w:t> </w:t>
      </w:r>
      <w:r>
        <w:rPr>
          <w:noProof/>
        </w:rPr>
        <w:t xml:space="preserve">г. Съветът отпусна финансова помощ на Малта под формата на заем с максимален размер 243 632 000 EUR и с максимален среден срок до падежа от 15 години въз основа на искане от Малта от 7 август 2020 г. за финансова помощ, с която да допълни националните си усилия за преодоляване на въздействието на разпространението на COVID-19 и на неговите социално-икономически последици за работниците и самостоятелно заетите лица. </w:t>
      </w:r>
    </w:p>
    <w:p>
      <w:pPr>
        <w:pStyle w:val="ManualConsidrant"/>
        <w:rPr>
          <w:noProof/>
        </w:rPr>
      </w:pPr>
      <w:r>
        <w:rPr>
          <w:noProof/>
        </w:rPr>
        <w:t>(2)</w:t>
      </w:r>
      <w:r>
        <w:rPr>
          <w:noProof/>
        </w:rPr>
        <w:tab/>
        <w:t>Съгласно Решение за изпълнение (ЕС) 2020/1352 на Съвета</w:t>
      </w:r>
      <w:r>
        <w:rPr>
          <w:rStyle w:val="FootnoteReference"/>
          <w:noProof/>
        </w:rPr>
        <w:footnoteReference w:id="3"/>
      </w:r>
      <w:r>
        <w:rPr>
          <w:noProof/>
        </w:rPr>
        <w:t xml:space="preserve"> заемът имаше за цел да се финансират режимите на работа при непълно работно време, подобни мерки и свързани със здравеопазването мерки, приети от Малта. </w:t>
      </w:r>
    </w:p>
    <w:p>
      <w:pPr>
        <w:pStyle w:val="ManualConsidrant"/>
        <w:rPr>
          <w:noProof/>
        </w:rPr>
      </w:pPr>
      <w:r>
        <w:rPr>
          <w:noProof/>
        </w:rPr>
        <w:t>(3)</w:t>
      </w:r>
      <w:r>
        <w:rPr>
          <w:noProof/>
        </w:rPr>
        <w:tab/>
        <w:t xml:space="preserve">Разпространението на COVID-19 продължава да блокира значителна част от работната сила в Малта. Това доведе до все още внезапно и съществено увеличение на публичните разходи от страна на Малта по отношение на мярката, посочена в член 3, буква а) от Решение за изпълнение (ЕС) 2020/1352. </w:t>
      </w:r>
    </w:p>
    <w:p>
      <w:pPr>
        <w:pStyle w:val="ManualConsidrant"/>
        <w:rPr>
          <w:noProof/>
        </w:rPr>
      </w:pPr>
      <w:r>
        <w:rPr>
          <w:noProof/>
        </w:rPr>
        <w:t>(4)</w:t>
      </w:r>
      <w:r>
        <w:rPr>
          <w:noProof/>
        </w:rPr>
        <w:tab/>
        <w:t>Разпространението на COVID-19 и предприетите от Малта през 2020 г. и 2021</w:t>
      </w:r>
      <w:r>
        <w:rPr>
          <w:noProof/>
          <w:lang w:val="en-US"/>
        </w:rPr>
        <w:t> </w:t>
      </w:r>
      <w:r>
        <w:rPr>
          <w:noProof/>
        </w:rPr>
        <w:t xml:space="preserve">г. извънредни мерки за овладяване на разпространението на вируса и неговите социално-икономически и здравни последици се отразиха, и продължават да се отразяват, изключително сериозно на публичните финанси. </w:t>
      </w:r>
      <w:r>
        <w:rPr>
          <w:noProof/>
          <w:color w:val="000000"/>
          <w:shd w:val="clear" w:color="auto" w:fill="FFFFFF"/>
        </w:rPr>
        <w:t>Според прогнозата на Комисията от есента на 2020 г.</w:t>
      </w:r>
      <w:r>
        <w:rPr>
          <w:noProof/>
        </w:rPr>
        <w:t xml:space="preserve"> бюджетният дефицит на Малта </w:t>
      </w:r>
      <w:r>
        <w:rPr>
          <w:noProof/>
          <w:color w:val="000000"/>
          <w:shd w:val="clear" w:color="auto" w:fill="FFFFFF"/>
        </w:rPr>
        <w:t>се очакваше да достигне</w:t>
      </w:r>
      <w:r>
        <w:rPr>
          <w:noProof/>
        </w:rPr>
        <w:t xml:space="preserve"> 9,4 % от брутния вътрешен продукт (БВП), а държавният дълг — 55,2 % от БВП, до края на 2020 г. През 2021 г. се очаква бюджетният дефицит на </w:t>
      </w:r>
      <w:r>
        <w:rPr>
          <w:noProof/>
        </w:rPr>
        <w:lastRenderedPageBreak/>
        <w:t>Малта да намалее до 6,3 %, а държавният дълг да нарасне до 60,0 % от БВП. Според междинната зимна прогноза на Комисията от 2021 г. БВП на Малта се очаква да нарасне с 4,5 % през 2021 г.</w:t>
      </w:r>
    </w:p>
    <w:p>
      <w:pPr>
        <w:pStyle w:val="ManualConsidrant"/>
        <w:rPr>
          <w:noProof/>
        </w:rPr>
      </w:pPr>
      <w:r>
        <w:rPr>
          <w:noProof/>
        </w:rPr>
        <w:t>(5)</w:t>
      </w:r>
      <w:r>
        <w:rPr>
          <w:noProof/>
        </w:rPr>
        <w:tab/>
        <w:t xml:space="preserve">На 10 март 2021 г. Малта поиска допълнителна финансова помощ от Съюза в размер на 177 185 000 EUR с цел да продължи да допълва националните си усилия, предприети през 2020 г. и 2021 г. за преодоляване на въздействието от разпространението на COVID-19 и на неговите социално-икономически последици за работниците и самостоятелно заетите лица. По-специално това засяга мярката, посочена в съображение 6. </w:t>
      </w:r>
    </w:p>
    <w:p>
      <w:pPr>
        <w:pStyle w:val="ManualConsidrant"/>
        <w:rPr>
          <w:noProof/>
        </w:rPr>
      </w:pPr>
      <w:r>
        <w:rPr>
          <w:noProof/>
        </w:rPr>
        <w:t>(6)</w:t>
      </w:r>
      <w:r>
        <w:rPr>
          <w:noProof/>
        </w:rPr>
        <w:tab/>
        <w:t>С „Малтийския закон за предприятията (глава 463 от Законите на Малта) (Malta Enterprise Act (Chap. 463 of the Laws of Malta)“/„L-Att dwar il-Korporazzjoni għall-Intrapriża ta’ Malta (Kap. 463 tal-Liġijiet ta’ Malta)“ и „Правителствено известие №</w:t>
      </w:r>
      <w:r>
        <w:rPr>
          <w:noProof/>
          <w:lang w:val="en-US"/>
        </w:rPr>
        <w:t> </w:t>
      </w:r>
      <w:r>
        <w:rPr>
          <w:noProof/>
        </w:rPr>
        <w:t xml:space="preserve">389 от 13 април 2020 г.“ (Government Notice No 389 of 13 April 2020)/„Notifikazzjoni tal-Gvern Nru 389 tat-13 ta’ April 2020“, което е посочено в член 3, буква а) от Решение за изпълнение (ЕС) 2020/1352, беше въведена добавка към заплатата на наетите лица и самостоятелно заетите лица с оглед на COVID-19, с цел да им се помогне да се справят с причинения от пандемията шок. Между март и юни 2020 г. наетите на пълно работно време лица, работещи в секторите, които са най-силно засегнати от кризата, изброени в приложение А, посочени в Правителственото известие, бяха допустими за добавка към заплатата в размер на 800 EUR. В по-слабо засегнатите сектори, изброени в приложение Б към Правителственото известие, наетите лица на пълно работно време можеха да получават по 160 EUR на месец. Подкрепа в по-малък размер беше на предоставена на разположение и на наетите лица на непълно работно време. През юли 2020 г. списъкът на секторите, включени в двете приложения, беше изменен. Лицата, наети на пълно работно време в секторите, които преди това са били подпомагани по схемата, но са останали извън актуализираното приложение А или Б, получиха добавка към заплатата в размер на 600 EUR. Схемата, в която се съдържат тези условия, беше удължена до края на 2020 г. От януари 2021 г. размерът на добавката към заплатата отразява спад в продажбите за период от шест месеца между март и октомври 2019 г. спрямо оборота, деклариран за период от шест месеца между март и октомври 2020 г. Когато няма данни за ДДС, добавката към заплатата се изплаща въз основа на критериите, приложими през 2020 г. Предвижда се схемата да продължи до края на 2021 г. През втората половина на 2021 г. подкрепата ще остане в сила в съответствие с определените параметри за дейностите по настаняване и кетъринг. За други допустими дейности тя ще намалее до 66 % през третото тримесечие и допълнително до 33 % през последното тримесечие на годината. Схемата ще остане достъпна само за онези субекти, които са отговаряли на условията за подпомагане по първоначалната схема. Понастоящем тя се прилага на практика с Малтийския закон за предприятията и ще бъде уточнена в предстоящо правителствено известие. Съгласно новите правила схемата ще обхваща и заместването на наети лица (т.е. заместване на наети лица, които доброволно са прекратили заетостта си след юни 2020 г.), при условие че първоначалният брой наети лица към края на май 2020 г. не е надвишен. Само частта от публичните разходи, свързана с наетите лица, които са работили непрекъснато, беше поискана от органите, като не се включва частта за тези новоназначени наети лица. </w:t>
      </w:r>
    </w:p>
    <w:p>
      <w:pPr>
        <w:pStyle w:val="ManualConsidrant"/>
        <w:rPr>
          <w:noProof/>
        </w:rPr>
      </w:pPr>
      <w:r>
        <w:rPr>
          <w:noProof/>
        </w:rPr>
        <w:lastRenderedPageBreak/>
        <w:t>(7)</w:t>
      </w:r>
      <w:r>
        <w:rPr>
          <w:noProof/>
        </w:rPr>
        <w:tab/>
        <w:t>Малта изпълнява условията по член 3 от Регламент (ЕС) 2020/672 за отпускане на финансова помощ. Малта предостави на Комисията убедителни доказателства, че, считано от 1 февруари 2020 г., нейните извършени и планирани публични разходи са се увеличили с 427 961 805 EUR в резултат на националните мерки за справяне със социално-икономическите последици от разпространението на COVID-19. Това представлява внезапно и съществено увеличение, тъй като то е пряко свързано с разширяването на обхвата на съществуваща национална мярка за заетост, подобна на работата при непълно работно време, която обхваща значителна част от предприятията и работната сила в Малта. Малта финансира сама 7 144 805 EUR от увеличения размер на публичните разходи.</w:t>
      </w:r>
    </w:p>
    <w:p>
      <w:pPr>
        <w:pStyle w:val="ManualConsidrant"/>
        <w:rPr>
          <w:noProof/>
        </w:rPr>
      </w:pPr>
      <w:r>
        <w:rPr>
          <w:noProof/>
        </w:rPr>
        <w:t>(8)</w:t>
      </w:r>
      <w:r>
        <w:rPr>
          <w:noProof/>
        </w:rPr>
        <w:tab/>
        <w:t>В съответствие с член 6 от Регламент (ЕС) 2020/672 Комисията се консултира с Малта и провери внезапното и съществено увеличение на извършените и планирани публични разходи, пряко свързани с посочената в искането от 10 март 2021 г. мярка, подобна на работа при непълно работно време.</w:t>
      </w:r>
    </w:p>
    <w:p>
      <w:pPr>
        <w:pStyle w:val="ManualConsidrant"/>
        <w:rPr>
          <w:noProof/>
        </w:rPr>
      </w:pPr>
      <w:r>
        <w:rPr>
          <w:noProof/>
        </w:rPr>
        <w:t>(9)</w:t>
      </w:r>
      <w:r>
        <w:rPr>
          <w:noProof/>
        </w:rPr>
        <w:tab/>
        <w:t>Следователно на Малта следва да се предостави финансова помощ, за да ѝ се съдейства да се справи със социално-икономическите последици от тежкото икономическо сътресение, причинено от разпространението на COVID-19. Комисията следва да вземе решенията относно сроковете до падежа, размера и отпускането на траншовете и вноските в тясно сътрудничество с националните органи.</w:t>
      </w:r>
    </w:p>
    <w:p>
      <w:pPr>
        <w:pStyle w:val="ManualConsidrant"/>
        <w:rPr>
          <w:noProof/>
        </w:rPr>
      </w:pPr>
      <w:r>
        <w:rPr>
          <w:noProof/>
        </w:rPr>
        <w:t>(10)</w:t>
      </w:r>
      <w:r>
        <w:rPr>
          <w:noProof/>
        </w:rPr>
        <w:tab/>
        <w:t xml:space="preserve">Малта и Комисията следва да вземат предвид настоящото решение в споразумението за заем, посочено в член 8, параграф 2 от Регламент (ЕС) 2020/672. </w:t>
      </w:r>
    </w:p>
    <w:p>
      <w:pPr>
        <w:pStyle w:val="ManualConsidrant"/>
        <w:rPr>
          <w:noProof/>
        </w:rPr>
      </w:pPr>
      <w:r>
        <w:rPr>
          <w:noProof/>
        </w:rPr>
        <w:t>(11)</w:t>
      </w:r>
      <w:r>
        <w:rPr>
          <w:noProof/>
        </w:rPr>
        <w:tab/>
        <w:t>Настоящото решение не засяга резултата от евентуални процедури относно нарушения на функционирането на вътрешния пазар, които биха могли да бъдат открити, по-специално по силата на членове 107 и 108 от Договора. То не отменя посоченото в член 108 от Договора изискване към държавите членки да уведомяват Комисията за случаи на евентуална държавна помощ.</w:t>
      </w:r>
    </w:p>
    <w:p>
      <w:pPr>
        <w:pStyle w:val="ManualConsidrant"/>
        <w:rPr>
          <w:noProof/>
        </w:rPr>
      </w:pPr>
      <w:r>
        <w:rPr>
          <w:noProof/>
        </w:rPr>
        <w:t>(12)</w:t>
      </w:r>
      <w:r>
        <w:rPr>
          <w:noProof/>
        </w:rPr>
        <w:tab/>
        <w:t>Малта следва редовно да уведомява Комисията за изпълнението на планираните публични разходи, за да ѝ позволи да прецени доколко те са били изпълнени от Малта.</w:t>
      </w:r>
    </w:p>
    <w:p>
      <w:pPr>
        <w:pStyle w:val="ManualConsidrant"/>
        <w:rPr>
          <w:noProof/>
        </w:rPr>
      </w:pPr>
      <w:r>
        <w:rPr>
          <w:noProof/>
        </w:rPr>
        <w:t>(13)</w:t>
      </w:r>
      <w:r>
        <w:rPr>
          <w:noProof/>
        </w:rPr>
        <w:tab/>
        <w:t xml:space="preserve">Решението за предоставяне на финансова помощ се взима с отчитане на съществуващите и очакваните нужди на Малта, както и на исканията за финансова помощ съгласно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Решение за изпълнение (ЕС) 2020/1352 се изменя, както следва: </w:t>
      </w:r>
    </w:p>
    <w:p>
      <w:pPr>
        <w:rPr>
          <w:noProof/>
        </w:rPr>
      </w:pPr>
    </w:p>
    <w:p>
      <w:pPr>
        <w:pStyle w:val="Point0"/>
        <w:rPr>
          <w:noProof/>
        </w:rPr>
      </w:pPr>
      <w:r>
        <w:t>(1)</w:t>
      </w:r>
      <w:r>
        <w:tab/>
      </w:r>
      <w:r>
        <w:rPr>
          <w:noProof/>
        </w:rPr>
        <w:t>Член 2 се изменя, както следва:</w:t>
      </w:r>
    </w:p>
    <w:p>
      <w:pPr>
        <w:pStyle w:val="Point1"/>
        <w:rPr>
          <w:noProof/>
        </w:rPr>
      </w:pPr>
      <w:r>
        <w:rPr>
          <w:noProof/>
        </w:rPr>
        <w:t>а)</w:t>
      </w:r>
      <w:r>
        <w:rPr>
          <w:noProof/>
        </w:rPr>
        <w:tab/>
        <w:t xml:space="preserve">параграф 1 се заменя със следното: </w:t>
      </w:r>
    </w:p>
    <w:p>
      <w:pPr>
        <w:pStyle w:val="Text1"/>
        <w:rPr>
          <w:noProof/>
        </w:rPr>
      </w:pPr>
      <w:r>
        <w:rPr>
          <w:noProof/>
        </w:rPr>
        <w:lastRenderedPageBreak/>
        <w:t>„1. Съюзът отпуска на Малта заем с максимален размер 420 817 000 EUR. Неговият максимален среден срок до падежа е 15 години.“;</w:t>
      </w:r>
    </w:p>
    <w:p>
      <w:pPr>
        <w:pStyle w:val="Point1"/>
        <w:rPr>
          <w:noProof/>
        </w:rPr>
      </w:pPr>
      <w:r>
        <w:rPr>
          <w:noProof/>
        </w:rPr>
        <w:t>б)</w:t>
      </w:r>
      <w:r>
        <w:rPr>
          <w:noProof/>
        </w:rPr>
        <w:tab/>
        <w:t xml:space="preserve">параграф 4 се заменя със следното: </w:t>
      </w:r>
    </w:p>
    <w:p>
      <w:pPr>
        <w:pStyle w:val="Text1"/>
        <w:rPr>
          <w:noProof/>
        </w:rPr>
      </w:pPr>
      <w:r>
        <w:rPr>
          <w:noProof/>
        </w:rPr>
        <w:t>„4. Отпускането на първия транш е предмет на влизането в сила на споразумението за заем, посочено в член 8, параграф 2 от Регламент (ЕС) 2020/672. Всеки следващ транш се отпуска в съответствие с условията на това споразумение за заем или, когато е приложимо, е предмет на влизането в сила на допълнение към него, или на изменено споразумение за заем, сключено между Малта и Комисията.“;</w:t>
      </w:r>
    </w:p>
    <w:p>
      <w:pPr>
        <w:pStyle w:val="Text1"/>
        <w:rPr>
          <w:noProof/>
        </w:rPr>
      </w:pPr>
    </w:p>
    <w:p>
      <w:pPr>
        <w:pStyle w:val="Point0"/>
        <w:rPr>
          <w:noProof/>
        </w:rPr>
      </w:pPr>
      <w:r>
        <w:t>(2)</w:t>
      </w:r>
      <w:r>
        <w:tab/>
      </w:r>
      <w:r>
        <w:rPr>
          <w:noProof/>
        </w:rPr>
        <w:t xml:space="preserve">Член 3 се заменя със следното: </w:t>
      </w:r>
    </w:p>
    <w:p>
      <w:pPr>
        <w:pStyle w:val="Text1"/>
        <w:ind w:left="3730" w:firstLine="590"/>
        <w:rPr>
          <w:i/>
          <w:noProof/>
        </w:rPr>
      </w:pPr>
      <w:r>
        <w:rPr>
          <w:i/>
          <w:noProof/>
        </w:rPr>
        <w:t>„Член 3</w:t>
      </w:r>
    </w:p>
    <w:p>
      <w:pPr>
        <w:pStyle w:val="Text1"/>
        <w:rPr>
          <w:noProof/>
        </w:rPr>
      </w:pPr>
      <w:r>
        <w:rPr>
          <w:noProof/>
        </w:rPr>
        <w:t>Малта може да финансира следните мерки:</w:t>
      </w:r>
    </w:p>
    <w:p>
      <w:pPr>
        <w:pStyle w:val="Point1"/>
        <w:rPr>
          <w:noProof/>
        </w:rPr>
      </w:pPr>
      <w:r>
        <w:rPr>
          <w:noProof/>
        </w:rPr>
        <w:t>а)</w:t>
      </w:r>
      <w:r>
        <w:rPr>
          <w:noProof/>
        </w:rPr>
        <w:tab/>
        <w:t>добавката към заплатата с оглед на COVID-19 — както е предвидено в „Малтийски закон за предприятията (глава 463 от Законите на Малта)“/„L-Att dwar il-Korporazzjoni għall-Intrapriża ta’ Malta (Kap. 463 tal-Liġijiet ta’ Malta)“ и в „Правителствено известие № 389 от 13 април 2020 г.“/„Notifikazzjoni tal-Gvern Nru 389 tat-13 ta’ April 2020“, както е удължена и изменена през 2020 г. и 2021 г.;</w:t>
      </w:r>
    </w:p>
    <w:p>
      <w:pPr>
        <w:pStyle w:val="Point1"/>
        <w:rPr>
          <w:noProof/>
        </w:rPr>
      </w:pPr>
      <w:r>
        <w:rPr>
          <w:noProof/>
        </w:rPr>
        <w:t>б)</w:t>
      </w:r>
      <w:r>
        <w:rPr>
          <w:noProof/>
        </w:rPr>
        <w:tab/>
        <w:t>помощите за лицата с увреждания с оглед на COVID-19 — както е предвидено в „Правителствено известие № 331 от 25 март 2020 г.“/„Notifikazzjoni tal-Gvern Nru 331 tal-25 ta’ Marzu 2020“;</w:t>
      </w:r>
    </w:p>
    <w:p>
      <w:pPr>
        <w:pStyle w:val="Point1"/>
        <w:rPr>
          <w:noProof/>
        </w:rPr>
      </w:pPr>
      <w:r>
        <w:rPr>
          <w:noProof/>
        </w:rPr>
        <w:t>в)</w:t>
      </w:r>
      <w:r>
        <w:rPr>
          <w:noProof/>
        </w:rPr>
        <w:tab/>
        <w:t>помощите за родителите с оглед на COVID-19 — както е предвидено в „Правителствено известие № 330 от 25 март 2020 г.“/„Notifikazzjoni tal-Gvern Nru 330 tal-25 ta’ Marzu 2020“;</w:t>
      </w:r>
    </w:p>
    <w:p>
      <w:pPr>
        <w:pStyle w:val="Point1"/>
        <w:rPr>
          <w:noProof/>
        </w:rPr>
      </w:pPr>
      <w:r>
        <w:rPr>
          <w:noProof/>
        </w:rPr>
        <w:t>г)</w:t>
      </w:r>
      <w:r>
        <w:rPr>
          <w:noProof/>
        </w:rPr>
        <w:tab/>
        <w:t xml:space="preserve">подпомагането във връзка със съображенията за здравеопазване с оглед на COVID-19 — както е предвидено в „Правителствено известие № 353 от 30 март 2020 г.“/„Notifikazzjoni tal-Gvern Nru 353 tat-30 ta’ Marzu 2020“; </w:t>
      </w:r>
    </w:p>
    <w:p>
      <w:pPr>
        <w:pStyle w:val="Text1"/>
        <w:rPr>
          <w:noProof/>
        </w:rPr>
      </w:pPr>
    </w:p>
    <w:p>
      <w:pPr>
        <w:pStyle w:val="Point0"/>
        <w:rPr>
          <w:noProof/>
          <w:szCs w:val="24"/>
        </w:rPr>
      </w:pPr>
      <w:r>
        <w:t>(3)</w:t>
      </w:r>
      <w:r>
        <w:tab/>
      </w:r>
      <w:r>
        <w:rPr>
          <w:noProof/>
        </w:rPr>
        <w:t xml:space="preserve">Член 4 се заменя със следното: </w:t>
      </w:r>
    </w:p>
    <w:p>
      <w:pPr>
        <w:pStyle w:val="Text1"/>
        <w:ind w:left="3730" w:firstLine="590"/>
        <w:rPr>
          <w:i/>
          <w:noProof/>
          <w:szCs w:val="24"/>
        </w:rPr>
      </w:pPr>
      <w:r>
        <w:rPr>
          <w:i/>
          <w:noProof/>
          <w:szCs w:val="24"/>
        </w:rPr>
        <w:t>„Член 4</w:t>
      </w:r>
    </w:p>
    <w:p>
      <w:pPr>
        <w:pStyle w:val="Point0"/>
        <w:ind w:left="1435" w:hanging="585"/>
        <w:rPr>
          <w:noProof/>
        </w:rPr>
      </w:pPr>
      <w:r>
        <w:rPr>
          <w:noProof/>
        </w:rPr>
        <w:t>1.</w:t>
      </w:r>
      <w:r>
        <w:rPr>
          <w:noProof/>
        </w:rPr>
        <w:tab/>
        <w:t xml:space="preserve">Малта уведомява Комисията до 30 март 2021 г. и на всеки шест месеца след тази дата за изпълнението на планираните публични разходи, докато тези разходи не бъдат изцяло изпълнени. </w:t>
      </w:r>
    </w:p>
    <w:p>
      <w:pPr>
        <w:pStyle w:val="Point0"/>
        <w:ind w:left="1435" w:hanging="585"/>
        <w:rPr>
          <w:noProof/>
        </w:rPr>
      </w:pPr>
      <w:r>
        <w:rPr>
          <w:noProof/>
        </w:rPr>
        <w:t>2.</w:t>
      </w:r>
      <w:r>
        <w:rPr>
          <w:noProof/>
        </w:rPr>
        <w:tab/>
        <w:t>Когато мерките, посочени в член 3, се основават на планираните публични разходи и са били предмет на решение за изпълнение за изменение на Решение за изпълнение (EС) 2020/1352, Малта уведомява Комисията в рамките на 6 месеца след датата на приемане на това решение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Point0"/>
        <w:rPr>
          <w:noProof/>
        </w:rPr>
      </w:pPr>
    </w:p>
    <w:p>
      <w:pPr>
        <w:pStyle w:val="Titrearticle"/>
        <w:rPr>
          <w:i w:val="0"/>
          <w:noProof/>
        </w:rPr>
      </w:pPr>
      <w:r>
        <w:rPr>
          <w:noProof/>
        </w:rPr>
        <w:lastRenderedPageBreak/>
        <w:t>Член 2</w:t>
      </w:r>
    </w:p>
    <w:p>
      <w:pPr>
        <w:keepNext/>
        <w:keepLines/>
        <w:rPr>
          <w:noProof/>
        </w:rPr>
      </w:pPr>
      <w:r>
        <w:rPr>
          <w:noProof/>
        </w:rPr>
        <w:t>Адресат на настоящото решение е Република Малта.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159, 20.5.2020 г., стр. 1.</w:t>
      </w:r>
    </w:p>
  </w:footnote>
  <w:footnote w:id="3">
    <w:p>
      <w:pPr>
        <w:pStyle w:val="FootnoteText"/>
      </w:pPr>
      <w:r>
        <w:rPr>
          <w:rStyle w:val="FootnoteReference"/>
        </w:rPr>
        <w:footnoteRef/>
      </w:r>
      <w:r>
        <w:tab/>
        <w:t xml:space="preserve">Решение за изпълнение (ЕС) 2020/1352 на Съвета от 25 септември 2020 г. за предоставяне на временна подкрепа на Република Малта съгласно Регламент (ЕС) 2020/672 с цел смекчаване на рисковете от безработица при извънредните обстоятелства вследствие на избухването на COVID-19 (ОВ L 314, 29.9.2020 г., стр. 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13 09:09: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5BDFBC-4876-47E2-8D4C-9AB350E0B1C7"/>
    <w:docVar w:name="LW_COVERPAGE_TYPE" w:val="1"/>
    <w:docVar w:name="LW_CROSSREFERENCE" w:val="&lt;UNUSED&gt;"/>
    <w:docVar w:name="LW_DocType" w:val="COM"/>
    <w:docVar w:name="LW_EMISSION" w:val="29.3.2021"/>
    <w:docVar w:name="LW_EMISSION_ISODATE" w:val="2021-03-29"/>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6"/>
    <w:docVar w:name="LW_REF.II.NEW.CP_YEAR" w:val="2021"/>
    <w:docVar w:name="LW_REF.INST.NEW" w:val="COM"/>
    <w:docVar w:name="LW_REF.INST.NEW_ADOPTED" w:val="final"/>
    <w:docVar w:name="LW_REF.INST.NEW_TEXT" w:val="(2021)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u1045?\u1057?) 2020/1352 \u1079?\u1072? \u1087?\u1088?\u1077?\u1076?\u1086?\u1089?\u1090?\u1072?\u1074?\u1103?\u1085?\u1077? \u1085?\u1072? \u1074?\u1088?\u1077?\u1084?\u1077?\u1085?\u1085?\u1072? \u1087?\u1086?\u1076?\u1082?\u1088?\u1077?\u1087?\u1072? \u1085?\u1072? \u1056?\u1077?\u1087?\u1091?\u1073?\u1083?\u1080?\u1082?\u1072? \u1052?\u1072?\u1083?\u1090?\u1072? \u1089?\u1098?\u1075?\u1083?\u1072?\u1089?\u1085?\u1086? \u1056?\u1077?\u1075?\u1083?\u1072?\u1084?\u1077?\u1085?\u1090? (\u1045?\u1057?) 2020/672 \u1089? \u1094?\u1077?\u1083? \u1089?\u1084?\u1077?\u1082?\u1095?\u1072?\u1074?\u1072?\u1085?\u1077? \u1085?\u1072? \u1088?\u1080?\u1089?\u1082?\u1086?\u1074?\u1077?\u1090?\u1077?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4895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4D585C-1257-42E4-A707-BAEC99F2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2883</Words>
  <Characters>15745</Characters>
  <Application>Microsoft Office Word</Application>
  <DocSecurity>0</DocSecurity>
  <Lines>302</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2021-04-09T07:54:00Z</dcterms:created>
  <dcterms:modified xsi:type="dcterms:W3CDTF">2021-04-13T07:09:00Z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