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9103B3ED-9542-4840-AA69-EC55ADB00AF1"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ab/>
      </w:r>
    </w:p>
    <w:p>
      <w:pPr>
        <w:rPr>
          <w:noProof/>
        </w:rPr>
      </w:pPr>
      <w:r>
        <w:rPr>
          <w:noProof/>
        </w:rPr>
        <w:t>С Регламент (ЕС) 2020/672 („Регламентът за SURE“) се урежда предоставянето на финансова помощ от Съюза на държавите членки, които изпитват или са сериозно застрашени от тежък икономически шок, причинен от избухването на COVID-19. Предвидената в Регламента за SURE подкрепа е предназначена преди всичко за финансирането на режими на работа при непълно работно време или подобни мерки за защита на наетите и самостоятелно заетите лица, и съответно — за намаляване на последиците от безработица и загуба на доходи, както и, в допълнителен аспект, за финансирането на някои здравни мерки, по‐специално на работното място.</w:t>
      </w:r>
    </w:p>
    <w:p>
      <w:pPr>
        <w:rPr>
          <w:noProof/>
        </w:rPr>
      </w:pPr>
      <w:r>
        <w:rPr>
          <w:noProof/>
        </w:rPr>
        <w:t>На 25 септември 2020 г. Съветът предостави финансова помощ на Латвия, с която да допълни националните ѝ усилия за преодоляване на въздействието от избухването на COVID-19 и на социално-икономическите му последици за наетите и самостоятелно заетите лица.</w:t>
      </w:r>
    </w:p>
    <w:p>
      <w:pPr>
        <w:rPr>
          <w:noProof/>
        </w:rPr>
      </w:pPr>
      <w:r>
        <w:rPr>
          <w:noProof/>
        </w:rPr>
        <w:t xml:space="preserve">На 11 март 2021 г. Латвия подаде ново искане за финансова помощ от Съюза по силата на Регламента за SURE. </w:t>
      </w:r>
    </w:p>
    <w:p>
      <w:pPr>
        <w:rPr>
          <w:noProof/>
        </w:rPr>
      </w:pPr>
      <w:r>
        <w:rPr>
          <w:noProof/>
        </w:rPr>
        <w:t>В изпълнение на член 6, параграф 2 от Регламента за SURE Комисията се консултира с латвийските органи, за да провери внезапното и съществено увеличение на извършените и планирани разходи, пряко свързани с въведените в отговор на пандемията от COVID-19 латвийски мерки на пазара на труда и здравни мерки. По-специално увеличените разходи, за които се иска допълнителна финансова помощ, са свързани с комбинация от нови мерки и съществуващи мерки, посочени в Решение за изпълнение (ЕС) 2020/1351 на Съвета:</w:t>
      </w:r>
    </w:p>
    <w:p>
      <w:pPr>
        <w:pStyle w:val="Point0"/>
        <w:rPr>
          <w:noProof/>
        </w:rPr>
      </w:pPr>
      <w:r>
        <w:rPr>
          <w:noProof/>
        </w:rPr>
        <w:t>а)</w:t>
      </w:r>
      <w:r>
        <w:rPr>
          <w:noProof/>
        </w:rPr>
        <w:tab/>
        <w:t>срокът на действие на съществуваща компенсаторна схема за работници в принудителен отпуск и схемата за помощи за детски грижи се удължава за периода от 9 ноември 2020 г. до 30 юни 2021 г. По схемата се изплащат обезщетения за наетите и самостоятелно заетите лица в принудителен отпуск в размер на 50 % или 70 % от техните заплати или доходи в зависимост от данъчния режим, при който те извършват дейност. Минималният размер на подкрепата се определя на 500 евро, а максималният – на 1000 евро на наето лице на календарен месец. Схемата се прилага за дружества, самостоятелно заети лица и платци на лицензионна такса, чиито доходи от икономическа дейност са намалели средно най-малко с 20 % в сравнение с периода август—октомври 2020 г. Със схемата за помощи за детски грижи допълнително се подпомагат работници в принудителен отпуск, които издържат деца. Бонусът възлиза на 50 евро на месец на дете;</w:t>
      </w:r>
    </w:p>
    <w:p>
      <w:pPr>
        <w:pStyle w:val="Point0"/>
        <w:rPr>
          <w:noProof/>
        </w:rPr>
      </w:pPr>
      <w:r>
        <w:rPr>
          <w:noProof/>
        </w:rPr>
        <w:t>б)</w:t>
      </w:r>
      <w:r>
        <w:rPr>
          <w:noProof/>
        </w:rPr>
        <w:tab/>
        <w:t xml:space="preserve">срокът на действие на съществуваща схема за субсидии за заплати се удължава за всички засегнати дружества за периода от 9 ноември 2020 г. до 30 юни 2021 г. Подкрепата се предоставя на работодателите, изправени пред спад на приходите от икономическа дейност с най-малко 20 %. Схемата възлиза на 50 % от средната месечна брутна заплата, но не повече от 500 евро на календарен месец. Работодателите бенефициери са задължени да поддържат заетостта на подпомаганите работници и да допълват субсидията за заплати до пълния размер на редовната работна заплата; </w:t>
      </w:r>
    </w:p>
    <w:p>
      <w:pPr>
        <w:pStyle w:val="Point0"/>
        <w:rPr>
          <w:noProof/>
        </w:rPr>
      </w:pPr>
      <w:r>
        <w:rPr>
          <w:noProof/>
        </w:rPr>
        <w:lastRenderedPageBreak/>
        <w:t>в)</w:t>
      </w:r>
      <w:r>
        <w:rPr>
          <w:noProof/>
        </w:rPr>
        <w:tab/>
        <w:t>нова мярка, състояща се от обезщетения за болест за родители и лица, полагащи грижи, предоставя подкрепа на наети лица, които не могат да работят дистанционно и трябва да се грижат за деца до 10-годишна възраст или за лица с увреждания, когато училищата и центровете за дневни грижи са затворени поради заразата от COVID-19. Обезщетението възлиза на 60 % от средната заплата на бенефициера през предходните 12 месеца. Работодателят на бенефициера трябва да удостовери, че бенефициерът не е в състояние да работи дистанционно, а училището или общината трябва да потвърдят затварянето на училището или липсата на услуги за дневни грижи;</w:t>
      </w:r>
    </w:p>
    <w:p>
      <w:pPr>
        <w:pStyle w:val="Point0"/>
        <w:rPr>
          <w:noProof/>
        </w:rPr>
      </w:pPr>
      <w:r>
        <w:rPr>
          <w:noProof/>
        </w:rPr>
        <w:t>г)</w:t>
      </w:r>
      <w:r>
        <w:rPr>
          <w:noProof/>
        </w:rPr>
        <w:tab/>
        <w:t xml:space="preserve">съществуващите обезщетения за болест, свързани с COVID-19, се удължават за периода от 16 ноември 2020 г. до 30 юни 2021 г. Правителството изплаща изцяло обезщетенията за отпуск по болест на лица, които е трябвало да пропуснат работа поради изискването за самоизолация или подлагане на карантина, докато обикновено част от обезщетението за болест се поделя с работодателя; </w:t>
      </w:r>
    </w:p>
    <w:p>
      <w:pPr>
        <w:pStyle w:val="Point0"/>
        <w:rPr>
          <w:noProof/>
        </w:rPr>
      </w:pPr>
      <w:r>
        <w:rPr>
          <w:noProof/>
        </w:rPr>
        <w:t>д)</w:t>
      </w:r>
      <w:r>
        <w:rPr>
          <w:noProof/>
        </w:rPr>
        <w:tab/>
        <w:t>съществуващи разходи, свързани със здравето, за защитно лично оборудване и други медицински консумативи, за гарантиране на здравето и безопасността на служителите в публичния сектор и по-специално на здравните работници;</w:t>
      </w:r>
    </w:p>
    <w:p>
      <w:pPr>
        <w:pStyle w:val="Point0"/>
        <w:rPr>
          <w:noProof/>
        </w:rPr>
      </w:pPr>
      <w:r>
        <w:rPr>
          <w:noProof/>
        </w:rPr>
        <w:t>е)</w:t>
      </w:r>
      <w:r>
        <w:rPr>
          <w:noProof/>
        </w:rPr>
        <w:tab/>
        <w:t>нова мярка, състояща се от премии за лекари и служители, които работят за справяне с кризата, предизвикана от COVID-19, като възнаграждение за тяхната работа в условия на повишен риск и повишено натоварване. Тези премии в размер на 20 % до 100 % от месечните заплати надвишават максималните премии, разрешени за служителите в публични институции.</w:t>
      </w:r>
    </w:p>
    <w:p>
      <w:pPr>
        <w:rPr>
          <w:noProof/>
        </w:rPr>
      </w:pPr>
      <w:r>
        <w:rPr>
          <w:noProof/>
        </w:rPr>
        <w:t xml:space="preserve">Латвия предостави на Комисията необходимите сведения. </w:t>
      </w:r>
    </w:p>
    <w:p>
      <w:pPr>
        <w:rPr>
          <w:noProof/>
        </w:rPr>
      </w:pPr>
      <w:r>
        <w:rPr>
          <w:noProof/>
        </w:rPr>
        <w:t xml:space="preserve">Предвид наличните доказателства Комисията предлага на Съвета да приеме решение за изпълнение, с което на Латвия по силата на Регламента за SURE да се предостави финансова помощ в подкрепа на горепосочените мерки. </w:t>
      </w:r>
    </w:p>
    <w:p>
      <w:pPr>
        <w:rPr>
          <w:noProof/>
        </w:rPr>
      </w:pPr>
      <w:r>
        <w:rPr>
          <w:noProof/>
        </w:rPr>
        <w:t>Мерките, свързани със здравето, поискани от Латвия на 11 март 2021 г., възлизат на 22 304 365 евро.</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rPr>
        <w:t>Съгласуваност с действащите разпоредби в тази област на политика</w:t>
      </w:r>
    </w:p>
    <w:p>
      <w:pPr>
        <w:spacing w:before="0" w:after="240"/>
        <w:rPr>
          <w:noProof/>
          <w:color w:val="000000" w:themeColor="text1"/>
        </w:rPr>
      </w:pPr>
      <w:r>
        <w:rPr>
          <w:noProof/>
          <w:color w:val="000000" w:themeColor="text1"/>
        </w:rPr>
        <w:t>Настоящото предложение е напълно съобразено</w:t>
      </w:r>
      <w:r>
        <w:rPr>
          <w:noProof/>
        </w:rPr>
        <w:t xml:space="preserve"> с Регламент (ЕС) 2020/672 на Съвета, по силата на който е изготвено.</w:t>
      </w:r>
    </w:p>
    <w:p>
      <w:pPr>
        <w:spacing w:before="0" w:after="240"/>
        <w:rPr>
          <w:noProof/>
          <w:color w:val="000000" w:themeColor="text1"/>
        </w:rPr>
      </w:pPr>
      <w:r>
        <w:rPr>
          <w:noProof/>
          <w:color w:val="000000" w:themeColor="text1"/>
        </w:rPr>
        <w:t xml:space="preserve">С настоящото предложение се допълва друг правен инструмент на Съюза за предоставяне на подкрепа на държавите членки при извънредни ситуации — Регламент (ЕО) № 2012/2002 на Съвета от 11 ноември 2002 г. за създаване на фонд „Солидарност“ на Европейския съюз („Регламент (ЕО) № 2012/2002“). На 30 март бе приет Регламент (ЕС) 2020/461 на Европейския парламент и на Съвета, с който в обхвата на посочения инструмент се включват тежките извънредни ситуации в областта на общественото здраве и се определят специални операции, допустими за финансиране. </w:t>
      </w:r>
    </w:p>
    <w:p>
      <w:pPr>
        <w:pStyle w:val="ManualHeading2"/>
        <w:rPr>
          <w:rFonts w:eastAsia="Arial Unicode MS"/>
          <w:noProof/>
          <w:color w:val="000000" w:themeColor="text1"/>
        </w:rPr>
      </w:pPr>
      <w:r>
        <w:rPr>
          <w:noProof/>
          <w:color w:val="000000" w:themeColor="text1"/>
          <w:bdr w:val="none" w:sz="0" w:space="0" w:color="auto" w:frame="1"/>
        </w:rPr>
        <w:t>•</w:t>
      </w:r>
      <w:r>
        <w:rPr>
          <w:noProof/>
        </w:rPr>
        <w:tab/>
      </w:r>
      <w:r>
        <w:rPr>
          <w:noProof/>
          <w:color w:val="000000" w:themeColor="text1"/>
        </w:rPr>
        <w:t>Съгласуваност с други политики на Съюза</w:t>
      </w:r>
    </w:p>
    <w:p>
      <w:pPr>
        <w:spacing w:before="0" w:after="240"/>
        <w:rPr>
          <w:rFonts w:eastAsia="Arial Unicode MS"/>
          <w:noProof/>
          <w:color w:val="000000" w:themeColor="text1"/>
        </w:rPr>
      </w:pPr>
      <w:r>
        <w:rPr>
          <w:noProof/>
        </w:rPr>
        <w:t xml:space="preserve">Предложението е част от набор от мерки, разработени в отговор на настоящата пандемия от COVID-19, като „инвестиционната инициатива в отговор на коронавируса“, и допълва други инструменти в подкрепа на заетостта, като Европейския социален фонд и Европейския фонд за стратегически инвестиции (ЕФСИ)/InvestEU. Като предвижда заемането на средства и след това отпускането на </w:t>
      </w:r>
      <w:r>
        <w:rPr>
          <w:noProof/>
        </w:rPr>
        <w:lastRenderedPageBreak/>
        <w:t xml:space="preserve">заеми в подкрепа на държавите членки в този конкретен случай на пандемия от COVID-19, настоящото предложение служи като втора защитна линия за финансиране на режими на работа при непълно работно време и подобни мерки, които спомагат за съхраняването на работните места и оттам — за защитата на наетите и самостоятелно заетите лица срещу риска от безработица. </w:t>
      </w:r>
    </w:p>
    <w:p>
      <w:pPr>
        <w:pStyle w:val="ManualHeading1"/>
        <w:rPr>
          <w:noProof/>
          <w:color w:val="000000" w:themeColor="text1"/>
        </w:rPr>
      </w:pPr>
      <w:r>
        <w:rPr>
          <w:noProof/>
          <w:color w:val="000000" w:themeColor="text1"/>
        </w:rPr>
        <w:t>2.</w:t>
      </w:r>
      <w:r>
        <w:rPr>
          <w:noProof/>
        </w:rPr>
        <w:tab/>
      </w:r>
      <w:r>
        <w:rPr>
          <w:noProof/>
          <w:color w:val="000000" w:themeColor="text1"/>
        </w:rPr>
        <w:t>ПРАВНО ОСНОВАНИЕ, СУБСИДИАРНОСТ И ПРОПОРЦИОНАЛНОСТ</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Правно основание</w:t>
      </w:r>
    </w:p>
    <w:p>
      <w:pPr>
        <w:spacing w:before="0" w:after="240"/>
        <w:rPr>
          <w:rFonts w:eastAsia="Arial Unicode MS"/>
          <w:noProof/>
          <w:color w:val="000000" w:themeColor="text1"/>
        </w:rPr>
      </w:pPr>
      <w:r>
        <w:rPr>
          <w:noProof/>
        </w:rPr>
        <w:t xml:space="preserve">Правното основание на настоящия инструмент е Регламент (ЕС) 2020/672 на Съвета. </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 xml:space="preserve">Субсидиарност (при неизключителна компетентност) </w:t>
      </w:r>
    </w:p>
    <w:p>
      <w:pPr>
        <w:spacing w:before="0" w:after="240"/>
        <w:rPr>
          <w:noProof/>
        </w:rPr>
      </w:pPr>
      <w:r>
        <w:rPr>
          <w:noProof/>
        </w:rPr>
        <w:t>Предложението е в резултат на отправено от държава членка искане и като проява на европейската солидарност предоставя на тази засегната от избухването на COVID-19 държава членка финансова помощ от Съюза под формата на временни заеми. Като втора защитна линия такава финансова помощ ще облекчи временно увеличените публични разходи на правителството за режими на работа при непълно работно време и подобни мерки и ще спомогне за съхраняването на работните места и оттам — за защитата на наетите и самостоятелно заетите лица срещу риска от безработица и загуба на доходи.</w:t>
      </w:r>
    </w:p>
    <w:p>
      <w:pPr>
        <w:spacing w:before="0" w:after="240"/>
        <w:rPr>
          <w:rFonts w:eastAsia="Arial Unicode MS"/>
          <w:noProof/>
        </w:rPr>
      </w:pPr>
      <w:r>
        <w:rPr>
          <w:noProof/>
        </w:rPr>
        <w:t xml:space="preserve">Тази подкрепа ще е от полза на засегнатото население и ще смекчи прякото социално и икономическо въздействие, причинено от настоящата криза с COVID-19. </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Пропорционалност</w:t>
      </w:r>
    </w:p>
    <w:p>
      <w:pPr>
        <w:spacing w:before="0" w:after="240"/>
        <w:rPr>
          <w:rFonts w:eastAsia="Arial Unicode MS"/>
          <w:noProof/>
          <w:color w:val="000000" w:themeColor="text1"/>
        </w:rPr>
      </w:pPr>
      <w:r>
        <w:rPr>
          <w:noProof/>
        </w:rPr>
        <w:t xml:space="preserve">Предложението е съобразено с принципа на пропорционалност. То не надхвърля необходимото за постигането на целите на инструмента. </w:t>
      </w:r>
    </w:p>
    <w:p>
      <w:pPr>
        <w:pStyle w:val="ManualHeading1"/>
        <w:rPr>
          <w:noProof/>
          <w:color w:val="000000" w:themeColor="text1"/>
        </w:rPr>
      </w:pPr>
      <w:r>
        <w:rPr>
          <w:noProof/>
          <w:color w:val="000000" w:themeColor="text1"/>
        </w:rPr>
        <w:t>3.</w:t>
      </w:r>
      <w:r>
        <w:rPr>
          <w:noProof/>
        </w:rPr>
        <w:tab/>
      </w:r>
      <w:r>
        <w:rPr>
          <w:noProof/>
          <w:color w:val="000000" w:themeColor="text1"/>
        </w:rPr>
        <w:t>РЕЗУЛТАТИ ОТ ПОСЛЕДВАЩИТЕ ОЦЕНКИ, КОНСУЛТАЦИИТЕ СЪС ЗАИНТЕРЕСОВАНИТЕ СТРАНИ И ОЦЕНКИТЕ НА ВЪЗДЕЙСТВИЕТО</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Консултации със заинтересованите страни</w:t>
      </w:r>
    </w:p>
    <w:p>
      <w:pPr>
        <w:spacing w:before="0" w:after="240"/>
        <w:rPr>
          <w:rFonts w:eastAsia="Arial Unicode MS"/>
          <w:noProof/>
          <w:color w:val="000000" w:themeColor="text1"/>
        </w:rPr>
      </w:pPr>
      <w:r>
        <w:rPr>
          <w:noProof/>
          <w:color w:val="000000" w:themeColor="text1"/>
        </w:rPr>
        <w:t>Предложението трябваше да се изготви в съкратени срокове, за да може да се приеме своевременно от Съвета, поради което не бе възможно да се проведе консултация със заинтересованите страни.</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Оценка на въздействието</w:t>
      </w:r>
    </w:p>
    <w:p>
      <w:pPr>
        <w:spacing w:before="0" w:after="240"/>
        <w:rPr>
          <w:rFonts w:eastAsia="Arial Unicode MS"/>
          <w:noProof/>
          <w:color w:val="000000" w:themeColor="text1"/>
        </w:rPr>
      </w:pPr>
      <w:r>
        <w:rPr>
          <w:noProof/>
          <w:color w:val="000000" w:themeColor="text1"/>
        </w:rPr>
        <w:t>Поради спешния характер на предложението не беше направена оценка на въздействието.</w:t>
      </w:r>
    </w:p>
    <w:p>
      <w:pPr>
        <w:pStyle w:val="ManualHeading1"/>
        <w:rPr>
          <w:noProof/>
          <w:color w:val="000000" w:themeColor="text1"/>
        </w:rPr>
      </w:pPr>
      <w:r>
        <w:rPr>
          <w:noProof/>
          <w:color w:val="000000" w:themeColor="text1"/>
        </w:rPr>
        <w:t>4.</w:t>
      </w:r>
      <w:r>
        <w:rPr>
          <w:noProof/>
        </w:rPr>
        <w:tab/>
      </w:r>
      <w:r>
        <w:rPr>
          <w:noProof/>
          <w:color w:val="000000" w:themeColor="text1"/>
        </w:rPr>
        <w:t>ОТРАЖЕНИЕ ВЪРХУ БЮДЖЕТА</w:t>
      </w:r>
    </w:p>
    <w:p>
      <w:pPr>
        <w:spacing w:before="0" w:after="240"/>
        <w:rPr>
          <w:rFonts w:eastAsia="Arial Unicode MS"/>
          <w:noProof/>
          <w:color w:val="000000" w:themeColor="text1"/>
        </w:rPr>
      </w:pPr>
      <w:r>
        <w:rPr>
          <w:noProof/>
          <w:color w:val="000000" w:themeColor="text1"/>
        </w:rPr>
        <w:t xml:space="preserve">Комисията следва да може да заема средства на финансовите пазари, които след това да предоставя в заем на държавата членка, искаща финансова помощ по инструмента SURE. </w:t>
      </w:r>
    </w:p>
    <w:p>
      <w:pPr>
        <w:rPr>
          <w:noProof/>
          <w:color w:val="000000" w:themeColor="text1"/>
        </w:rPr>
      </w:pPr>
      <w:r>
        <w:rPr>
          <w:noProof/>
          <w:color w:val="000000" w:themeColor="text1"/>
        </w:rPr>
        <w:t>Освен предоставянето на гаранции от държавите членки са предвидени и други мерки с оглед на финансовата стабилност на схемата:</w:t>
      </w:r>
    </w:p>
    <w:p>
      <w:pPr>
        <w:pStyle w:val="Bullet1"/>
        <w:numPr>
          <w:ilvl w:val="0"/>
          <w:numId w:val="5"/>
        </w:numPr>
        <w:rPr>
          <w:noProof/>
          <w:color w:val="000000" w:themeColor="text1"/>
        </w:rPr>
      </w:pPr>
      <w:r>
        <w:rPr>
          <w:noProof/>
          <w:color w:val="000000" w:themeColor="text1"/>
        </w:rPr>
        <w:t>стриктен и консервативен подход към финансовото управление;</w:t>
      </w:r>
    </w:p>
    <w:p>
      <w:pPr>
        <w:pStyle w:val="Bullet1"/>
        <w:numPr>
          <w:ilvl w:val="0"/>
          <w:numId w:val="5"/>
        </w:numPr>
        <w:rPr>
          <w:noProof/>
          <w:color w:val="000000" w:themeColor="text1"/>
        </w:rPr>
      </w:pPr>
      <w:r>
        <w:rPr>
          <w:noProof/>
          <w:color w:val="000000" w:themeColor="text1"/>
        </w:rPr>
        <w:lastRenderedPageBreak/>
        <w:t>изграждане на портфейл от заеми, при който се ограничава рискът от концентрация, годишната експозиция и прекомерната експозиция към отделни държави членки, като същевременно се осигуряват достатъчни ресурси за най-нуждаещите се държави членки; както и</w:t>
      </w:r>
    </w:p>
    <w:p>
      <w:pPr>
        <w:pStyle w:val="Bullet1"/>
        <w:numPr>
          <w:ilvl w:val="0"/>
          <w:numId w:val="5"/>
        </w:numPr>
        <w:rPr>
          <w:noProof/>
          <w:color w:val="000000" w:themeColor="text1"/>
        </w:rPr>
      </w:pPr>
      <w:r>
        <w:rPr>
          <w:noProof/>
          <w:color w:val="000000" w:themeColor="text1"/>
        </w:rPr>
        <w:t>възможности за подновяване на дълга.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2021/0088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изменение на Решение за изпълнение (EС) 2020/1351 за предоставяне на временна подкрепа на Република Латвия съгласно Регламент (ЕС) 2020/672 с цел смекчаване на рисковете от безработица при извънредните обстоятелства вследствие на избухването на COVID-19</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w:t>
      </w:r>
    </w:p>
    <w:p>
      <w:pPr>
        <w:rPr>
          <w:noProof/>
        </w:rPr>
      </w:pPr>
      <w:r>
        <w:rPr>
          <w:noProof/>
        </w:rPr>
        <w:t>като взе предвид Регламент (ЕС) 2020/672 на Съвета от 19 май 2020 г. за създаване на Европейски инструмент за временна подкрепа с цел смекчаване на рисковете от безработица при извънредни обстоятелства (SURE) вследствие на избухването на COVID-19</w:t>
      </w:r>
      <w:r>
        <w:rPr>
          <w:rStyle w:val="FootnoteReference"/>
          <w:noProof/>
        </w:rPr>
        <w:footnoteReference w:id="1"/>
      </w:r>
      <w:r>
        <w:rPr>
          <w:noProof/>
        </w:rPr>
        <w:t>, и по-специално член 6, параграф 1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 xml:space="preserve">На 25 септември 2020 г. Съветът предостави финансова помощ на Латвия под формата на заем с максимален размер 192 700 000 евро с максимален среден срок до падежа 15 години, вследствие на искането на Латвия от 7 август 2020 г., с цел допълване на националните ѝ усилия за преодоляване на въздействието от избухването на COVID-19 и на социално-икономическите му последици за наетите и самостоятелно заетите лица. </w:t>
      </w:r>
    </w:p>
    <w:p>
      <w:pPr>
        <w:pStyle w:val="ManualConsidrant"/>
        <w:rPr>
          <w:noProof/>
        </w:rPr>
      </w:pPr>
      <w:r>
        <w:rPr>
          <w:noProof/>
        </w:rPr>
        <w:t>(2)</w:t>
      </w:r>
      <w:r>
        <w:rPr>
          <w:noProof/>
        </w:rPr>
        <w:tab/>
        <w:t>Заемът е предназначен за финансиране на режими на работа при непълно работно време, подобни мерки и мерки, свързани със здравето, приети от Латвия, както е посочено в Решение за изпълнение (ЕС) 2020/1351 на Съвета</w:t>
      </w:r>
      <w:r>
        <w:rPr>
          <w:rStyle w:val="FootnoteReference"/>
          <w:noProof/>
        </w:rPr>
        <w:footnoteReference w:id="2"/>
      </w:r>
      <w:r>
        <w:rPr>
          <w:noProof/>
        </w:rPr>
        <w:t xml:space="preserve">. </w:t>
      </w:r>
    </w:p>
    <w:p>
      <w:pPr>
        <w:pStyle w:val="ManualConsidrant"/>
        <w:rPr>
          <w:noProof/>
        </w:rPr>
      </w:pPr>
      <w:r>
        <w:rPr>
          <w:noProof/>
        </w:rPr>
        <w:t>(3)</w:t>
      </w:r>
      <w:r>
        <w:rPr>
          <w:noProof/>
        </w:rPr>
        <w:tab/>
        <w:t xml:space="preserve">Избухването на COVID-19 продължава да блокира значителна част от работната сила в Латвия. Това доведе до все още внезапно и съществено увеличение на публичните разходи на Латвия във връзка с нови мерки, а именно обезщетения за болест за родители и лица, полагащи грижи, и премии за лекари и служители, които работят за справяне с кризата, предизвикана от COVID-19, и мерките, посочени в член 3, букви а), в), г), е) и ж) от Решение за изпълнение (ЕС) 2020/1351. </w:t>
      </w:r>
    </w:p>
    <w:p>
      <w:pPr>
        <w:pStyle w:val="ManualConsidrant"/>
        <w:rPr>
          <w:noProof/>
        </w:rPr>
      </w:pPr>
      <w:r>
        <w:rPr>
          <w:noProof/>
        </w:rPr>
        <w:t>(4)</w:t>
      </w:r>
      <w:r>
        <w:rPr>
          <w:noProof/>
        </w:rPr>
        <w:tab/>
        <w:t xml:space="preserve">Избухването на COVID-19 и предприетите от Латвия през 2020 г. и 2021 г. извънредни мерки за преодоляване на разпространението на вируса и на социално-икономическите и свързаните със здравето последици от него се отразиха и продължават да се отразяват изключително сериозно на публичните финанси. </w:t>
      </w:r>
      <w:r>
        <w:rPr>
          <w:noProof/>
          <w:color w:val="000000"/>
          <w:shd w:val="clear" w:color="auto" w:fill="FFFFFF"/>
        </w:rPr>
        <w:t>Според прогнозата на Комисията за Латвия от есента на 2020 г.</w:t>
      </w:r>
      <w:r>
        <w:rPr>
          <w:noProof/>
        </w:rPr>
        <w:t xml:space="preserve">, към </w:t>
      </w:r>
      <w:r>
        <w:rPr>
          <w:noProof/>
        </w:rPr>
        <w:lastRenderedPageBreak/>
        <w:t xml:space="preserve">края на 2020 г. дефицитът по консолидирания държавен бюджет </w:t>
      </w:r>
      <w:r>
        <w:rPr>
          <w:noProof/>
          <w:color w:val="000000"/>
          <w:shd w:val="clear" w:color="auto" w:fill="FFFFFF"/>
        </w:rPr>
        <w:t>се е очаквало да достигне</w:t>
      </w:r>
      <w:r>
        <w:rPr>
          <w:noProof/>
        </w:rPr>
        <w:t xml:space="preserve"> 7,4 % от брутния вътрешен продукт (БВП), а консолидираният държавен дълг — 47,5 % от БВП. През 2021 г. се очаква дефицитът по консолидирания държавен бюджет и консолидиран държавен дълг на Латвия да намалее съответно до 3,5 % и 45,9 % от БВП. Според междинната прогноза на Комисията от зимата на 2021 г., реалният БВП на Латвия се очаква да нарасне с 3,5 % през 2021 г.</w:t>
      </w:r>
    </w:p>
    <w:p>
      <w:pPr>
        <w:pStyle w:val="ManualConsidrant"/>
        <w:rPr>
          <w:noProof/>
        </w:rPr>
      </w:pPr>
      <w:r>
        <w:rPr>
          <w:noProof/>
        </w:rPr>
        <w:t>(5)</w:t>
      </w:r>
      <w:r>
        <w:rPr>
          <w:noProof/>
        </w:rPr>
        <w:tab/>
        <w:t xml:space="preserve">На 11 март 2021 г. Латвия поиска допълнителна финансова помощ от Съюза в размер на 112 500 000 евро, с която продължи да допълва националните си усилия, предприети през 2020 г. и 2021 г., за преодоляване на въздействието от избухването на COVID-19 и на социално-икономическите му последици за работниците и самостоятелно заетите лица. По-специално то се отнася до мерките, изложени в съображения 6—8. </w:t>
      </w:r>
    </w:p>
    <w:p>
      <w:pPr>
        <w:pStyle w:val="ManualConsidrant"/>
        <w:rPr>
          <w:noProof/>
        </w:rPr>
      </w:pPr>
      <w:r>
        <w:rPr>
          <w:noProof/>
        </w:rPr>
        <w:t>(6)</w:t>
      </w:r>
      <w:r>
        <w:rPr>
          <w:noProof/>
        </w:rPr>
        <w:tab/>
        <w:t>Постановление № 709 (прието на 24 ноември 2020 г. и изменено на 12 януари 2021 г.) „Разпоредби относно обезщетяване за принудителен отпуск за данъкоплатците за продължаване на дейността им в условията на кризата с COVID-19“</w:t>
      </w:r>
      <w:r>
        <w:rPr>
          <w:rStyle w:val="FootnoteReference"/>
          <w:noProof/>
        </w:rPr>
        <w:footnoteReference w:id="3"/>
      </w:r>
      <w:r>
        <w:rPr>
          <w:noProof/>
        </w:rPr>
        <w:t xml:space="preserve"> удължи и измени схемата за компенсиране на принудителен отпуск на работниците, както е посочено в член 3, буква а) от Решение за изпълнение (ЕС) 2020/1351. Схемата се прилага за дружества, самостоятелно заети лица и платци на лицензионна такса, чиито доходи от икономическа дейност са намалели средно най-малко с 20 % в сравнение с август—октомври 2020 г. По схемата се изплащат обезщетения за наетите или самостоятелно заетите лица в принудителен отпуск в размер на 50 % или 70 % от техните заплати или доходи в зависимост от данъчния режим, при който те извършват дейност. Минималният размер на подкрепата се определя на 500 евро, а максималният – на 1000 евро на работник на календарен месец.</w:t>
      </w:r>
    </w:p>
    <w:p>
      <w:pPr>
        <w:pStyle w:val="ManualConsidrant"/>
        <w:ind w:firstLine="0"/>
        <w:rPr>
          <w:noProof/>
        </w:rPr>
      </w:pPr>
      <w:r>
        <w:rPr>
          <w:noProof/>
        </w:rPr>
        <w:t>С компенсаторната схема за работниците в принудителен отпуск е свързана схемата за помощи за детски грижи, както е посочено в член 3, буква в) от Решение за изпълнение (ЕС) 2020/1351. Бонусът от 50 евро на месец на дете осигурява допълнителна подкрепа за работниците в принудителен отпуск, които имат право на данъчно облекчение върху доходите на физическите лица за лицата на издръжка. Мерките за подкрепа са установени с „Постановление № 706 на Министерския съвет за осигуряване на финансови ресурси от бюджетния фонд за национални извънредни ситуации“</w:t>
      </w:r>
      <w:r>
        <w:rPr>
          <w:rStyle w:val="FootnoteReference"/>
          <w:noProof/>
        </w:rPr>
        <w:footnoteReference w:id="4"/>
      </w:r>
      <w:r>
        <w:rPr>
          <w:noProof/>
        </w:rPr>
        <w:t xml:space="preserve"> и „Постановление № 15 на Министерския съвет за осигуряване на финансови ресурси от бюджетния фонд за непредвидени обстоятелства“</w:t>
      </w:r>
      <w:r>
        <w:rPr>
          <w:rStyle w:val="FootnoteReference"/>
          <w:noProof/>
        </w:rPr>
        <w:footnoteReference w:id="5"/>
      </w:r>
      <w:r>
        <w:rPr>
          <w:noProof/>
        </w:rPr>
        <w:t xml:space="preserve"> Мярката може да се приеме за подобна мярка на схемите за подпомагане на работата на непълно работно време съгласно Регламент (ЕС) 2020/672, тъй като с нея се подпомагат доходите на наетите и самостоятелно заетите лица във връзка с разходите за детски грижи по време на затварянето на училищата, с което се помага на родителите да продължат да работят и оттам — да съхранят трудовите си правоотношения. </w:t>
      </w:r>
    </w:p>
    <w:p>
      <w:pPr>
        <w:pStyle w:val="ManualConsidrant"/>
        <w:rPr>
          <w:noProof/>
        </w:rPr>
      </w:pPr>
      <w:r>
        <w:rPr>
          <w:noProof/>
        </w:rPr>
        <w:t>(7)</w:t>
      </w:r>
      <w:r>
        <w:rPr>
          <w:noProof/>
        </w:rPr>
        <w:tab/>
        <w:t xml:space="preserve">Със схемата за субсидиране на заплатите се предоставя подкрепа на работодателите, изправени пред спад на приходите от икономическа дейност с най-малко 20 %. Схемата възлиза на 50 % от средната месечна брутна заплата, но не повече от 500 евро на календарен месец. Работодателите бенефициери са </w:t>
      </w:r>
      <w:r>
        <w:rPr>
          <w:noProof/>
        </w:rPr>
        <w:lastRenderedPageBreak/>
        <w:t>задължени да поддържат заетостта на подпомаганите работници и да допълват субсидията за заплати до пълния размер на редовната работна заплата. Схемата е създадена с Постановление № 675 на Министерския съвет за „Разпоредби за предоставяне на помощ на данъкоплатците за продължаване на тяхната дейност в условията на кризата във връзка с COVID-19“</w:t>
      </w:r>
      <w:r>
        <w:rPr>
          <w:rStyle w:val="FootnoteReference"/>
          <w:rFonts w:eastAsia="Times New Roman"/>
          <w:noProof/>
          <w:lang w:eastAsia="en-GB"/>
        </w:rPr>
        <w:footnoteReference w:id="6"/>
      </w:r>
      <w:r>
        <w:rPr>
          <w:noProof/>
        </w:rPr>
        <w:t xml:space="preserve"> и Постановление № 128 на Министерския съвет „Осигуряване на финансови ресурси от бюджетния фонд за непредвидени събития“</w:t>
      </w:r>
      <w:r>
        <w:rPr>
          <w:rStyle w:val="FootnoteReference"/>
          <w:noProof/>
        </w:rPr>
        <w:footnoteReference w:id="7"/>
      </w:r>
      <w:r>
        <w:rPr>
          <w:noProof/>
        </w:rPr>
        <w:t>. Мярката разширява обхвата на схемата за субсидиране на заплатите в туризма и износа, както е посочено в член 3, буква г) от Решение за изпълнение (ЕС) 2020/1351, и разширява обхвата, така че да включва всички отговарящи на условията работодатели.</w:t>
      </w:r>
    </w:p>
    <w:p>
      <w:pPr>
        <w:pStyle w:val="ManualConsidrant"/>
        <w:rPr>
          <w:noProof/>
        </w:rPr>
      </w:pPr>
      <w:r>
        <w:rPr>
          <w:noProof/>
        </w:rPr>
        <w:t>(8)</w:t>
      </w:r>
      <w:r>
        <w:rPr>
          <w:noProof/>
        </w:rPr>
        <w:tab/>
        <w:t>Обезщетенията за болест за родители и лица, полагащи грижи, предоставят подкрепа на работници, които не могат да работят дистанционно и трябва да се грижат за деца до 10-годишна възраст или за лица с увреждания, когато училищата и центровете за дневни грижи са затворени поради заразата от COVID-19. Мярката може да се приеме за подобна мярка на схемите за подпомагане на работата на непълно работно време съгласно Регламент (ЕС) 2020/672, тъй като с нея се подпомагат доходите на родителите и лицата, полагащи грижи, и се спомага за запазване на заетостта, като се предотвратява необходимостта родителите и лицата, полагащи грижи за децата си или за лица с увреждания, докато училищата и центровете за дневни грижи са затворени, да прекратят трудовите с правоотношения. Обезщетението за болест е предвидено в изменението на Закона за осигуряване при майчинство и болест от 27 ноември 2020 г.</w:t>
      </w:r>
      <w:r>
        <w:rPr>
          <w:rStyle w:val="FootnoteReference"/>
          <w:noProof/>
        </w:rPr>
        <w:footnoteReference w:id="8"/>
      </w:r>
      <w:r>
        <w:rPr>
          <w:noProof/>
        </w:rPr>
        <w:t xml:space="preserve"> </w:t>
      </w:r>
    </w:p>
    <w:p>
      <w:pPr>
        <w:pStyle w:val="ManualConsidrant"/>
        <w:rPr>
          <w:noProof/>
        </w:rPr>
      </w:pPr>
      <w:r>
        <w:rPr>
          <w:noProof/>
        </w:rPr>
        <w:t xml:space="preserve"> (9)</w:t>
      </w:r>
      <w:r>
        <w:rPr>
          <w:noProof/>
        </w:rPr>
        <w:tab/>
        <w:t xml:space="preserve">Латвия също така разшири допълнително и въведе редица свързани със здравето мерки за преодоляване на въздействието от избухването на COVID-19. По-специално това се отнася до мерките, изложени в съображения 10—12. </w:t>
      </w:r>
    </w:p>
    <w:p>
      <w:pPr>
        <w:pStyle w:val="ManualConsidrant"/>
        <w:rPr>
          <w:noProof/>
        </w:rPr>
      </w:pPr>
      <w:r>
        <w:rPr>
          <w:noProof/>
        </w:rPr>
        <w:t>(10)</w:t>
      </w:r>
      <w:r>
        <w:rPr>
          <w:noProof/>
        </w:rPr>
        <w:tab/>
        <w:t>С изменението на Закона за осигуряване за майчинство и болест от 13 ноември 2020 г.</w:t>
      </w:r>
      <w:r>
        <w:rPr>
          <w:rStyle w:val="FootnoteReference"/>
          <w:noProof/>
        </w:rPr>
        <w:footnoteReference w:id="9"/>
      </w:r>
      <w:r>
        <w:rPr>
          <w:noProof/>
        </w:rPr>
        <w:t xml:space="preserve"> се установява удължаване на срока на действие на обезщетенията за заболявания, свързани с Covid-19, както е посочено в член 3, буква ж) от Решение за изпълнение (ЕС) 2020/1351, до 30 юни 2021 г. С мерките се предоставят платени от държавата обезщетения за отпуск по болест на лица, които е трябвало да пропуснат работа поради изискването за самоизолация или подлагане на карантина, докато обикновено част от обезщетението за болест се поделя с работодателя.</w:t>
      </w:r>
    </w:p>
    <w:p>
      <w:pPr>
        <w:pStyle w:val="ManualConsidrant"/>
        <w:rPr>
          <w:noProof/>
        </w:rPr>
      </w:pPr>
      <w:r>
        <w:rPr>
          <w:noProof/>
        </w:rPr>
        <w:t>(11)</w:t>
      </w:r>
      <w:r>
        <w:rPr>
          <w:noProof/>
        </w:rPr>
        <w:tab/>
        <w:t>Допълнително подпомагане за свързани със здравето разходи за лични предпазни средства, както е посочено в член 3, буква е) от Решение за изпълнение (ЕС) 2020/1351. Разходите вече са извършени през 2020 г., включително разходите, определени с Постановление № 380 на Министерския съвет за осигуряване на финансови ресурси от бюджетния фонд за извънредни ситуации.</w:t>
      </w:r>
      <w:r>
        <w:rPr>
          <w:rStyle w:val="FootnoteReference"/>
          <w:noProof/>
        </w:rPr>
        <w:t xml:space="preserve"> </w:t>
      </w:r>
      <w:r>
        <w:rPr>
          <w:rStyle w:val="FootnoteReference"/>
          <w:noProof/>
        </w:rPr>
        <w:footnoteReference w:id="10"/>
      </w:r>
    </w:p>
    <w:p>
      <w:pPr>
        <w:pStyle w:val="ManualConsidrant"/>
        <w:rPr>
          <w:noProof/>
        </w:rPr>
      </w:pPr>
      <w:r>
        <w:rPr>
          <w:noProof/>
        </w:rPr>
        <w:t>(12)</w:t>
      </w:r>
      <w:r>
        <w:rPr>
          <w:noProof/>
        </w:rPr>
        <w:tab/>
        <w:t xml:space="preserve">Премии за лекари и служители, които работят за справяне с кризата, предизвикана от COVID-19, в размер на 20 % до 100 % от месечните възнаграждения за работа в условия на повишен риск и повишено натоварване, </w:t>
      </w:r>
      <w:r>
        <w:rPr>
          <w:noProof/>
        </w:rPr>
        <w:lastRenderedPageBreak/>
        <w:t>както е предвидено в постановления № 137 и № 656 на Министерския съвет относно осигуряването на финансови ресурси от бюджетния фонд за непредвидени събития</w:t>
      </w:r>
      <w:r>
        <w:rPr>
          <w:rStyle w:val="FootnoteReference"/>
          <w:noProof/>
        </w:rPr>
        <w:footnoteReference w:id="11"/>
      </w:r>
      <w:r>
        <w:rPr>
          <w:noProof/>
        </w:rPr>
        <w:t>, Постановление № 743 на Министерския съвет „Изменение на Постановление № 655 на Министерския съвет от 6 ноември 2020 г. за обявяване на извънредно положение“</w:t>
      </w:r>
      <w:r>
        <w:rPr>
          <w:rStyle w:val="FootnoteReference"/>
          <w:noProof/>
        </w:rPr>
        <w:footnoteReference w:id="12"/>
      </w:r>
      <w:r>
        <w:rPr>
          <w:noProof/>
        </w:rPr>
        <w:t xml:space="preserve"> и Постановление № 37 на Министерския съвет от 21 януари 2021 г. „Осигуряване на финансови ресурси от бюджетния фонд за непредвидени събития“</w:t>
      </w:r>
      <w:r>
        <w:rPr>
          <w:rStyle w:val="FootnoteReference"/>
          <w:noProof/>
        </w:rPr>
        <w:footnoteReference w:id="13"/>
      </w:r>
      <w:r>
        <w:rPr>
          <w:noProof/>
        </w:rPr>
        <w:t xml:space="preserve">. Тези премии са в допълнение към максималната премия, определена в Закона за възнагражденията на длъжностните лица и служителите на държавните и местните органи на управление. Мярката подпомага заетостта, като гарантира безопасността на здравето на служителите и непрекъснатостта на основните обществени услуги. </w:t>
      </w:r>
    </w:p>
    <w:p>
      <w:pPr>
        <w:pStyle w:val="ManualConsidrant"/>
        <w:rPr>
          <w:noProof/>
        </w:rPr>
      </w:pPr>
      <w:r>
        <w:rPr>
          <w:noProof/>
        </w:rPr>
        <w:t>(13)</w:t>
      </w:r>
      <w:r>
        <w:rPr>
          <w:noProof/>
        </w:rPr>
        <w:tab/>
        <w:t>Латвия изпълнява условията по член 3 от Регламент (ЕС) 2020/672 за отпускане на финансова помощ. Латвия предостави на Комисията подходящи доказателства, че нейните извършени и планирани публични разходи са се увеличили с 405 297 901 евро, считано от 1 февруари 2020 г., в резултат на националните мерки за справяне със социално-икономическите последици от избухването на COVID-19. Това представлява внезапно и съществено увеличение, тъй като е свързано както с нова мярка, така и с удължаване на срока на съществуващите мерки, пряко свързани с режимите на работа при непълно работно време и подобни мерки, които обхващат значителна част от предприятията и работната сила в Латвия. Латвия възнамерява сама да финансира 100 097 901 евро от увеличения размер на публичните разходи.</w:t>
      </w:r>
    </w:p>
    <w:p>
      <w:pPr>
        <w:pStyle w:val="ManualConsidrant"/>
        <w:rPr>
          <w:noProof/>
        </w:rPr>
      </w:pPr>
      <w:r>
        <w:rPr>
          <w:noProof/>
        </w:rPr>
        <w:t>(14)</w:t>
      </w:r>
      <w:r>
        <w:rPr>
          <w:noProof/>
        </w:rPr>
        <w:tab/>
        <w:t xml:space="preserve">В съответствие с член 6 от Регламент (ЕС) 2020/672 Комисията се консултира с Латвия и провери внезапното и съществено увеличение на извършените и планирани публични разходи, пряко свързани с посочените в искането от 11 март 2021 г. режими на работа при непълно работно време и подобни мерки, както и прибягването до съответните здравни мерки във връзка с избухването на COVID-19. </w:t>
      </w:r>
    </w:p>
    <w:p>
      <w:pPr>
        <w:pStyle w:val="ManualConsidrant"/>
        <w:rPr>
          <w:noProof/>
        </w:rPr>
      </w:pPr>
      <w:r>
        <w:rPr>
          <w:noProof/>
        </w:rPr>
        <w:t>(15)</w:t>
      </w:r>
      <w:r>
        <w:rPr>
          <w:noProof/>
        </w:rPr>
        <w:tab/>
        <w:t xml:space="preserve">Мерките, свързани със здравето, поискани от Латвия на 11 март 2021 г. и посочени в съображения 10—12, възлизат на 22 304 365 евро. </w:t>
      </w:r>
    </w:p>
    <w:p>
      <w:pPr>
        <w:pStyle w:val="ManualConsidrant"/>
        <w:rPr>
          <w:noProof/>
        </w:rPr>
      </w:pPr>
      <w:r>
        <w:rPr>
          <w:noProof/>
        </w:rPr>
        <w:t>(16)</w:t>
      </w:r>
      <w:r>
        <w:rPr>
          <w:noProof/>
        </w:rPr>
        <w:tab/>
        <w:t xml:space="preserve">Поради това на Латвия следва да се предостави финансова помощ, за да ѝ се съдейства да се справи със социално-икономическите последици от тежкия икономически шок, причинен от избухването на COVID-19. Комисията следва да взема решенията относно падежа, размера и отпускането на траншовете и вноските в тясно сътрудничество с националните органи. </w:t>
      </w:r>
    </w:p>
    <w:p>
      <w:pPr>
        <w:pStyle w:val="ManualConsidrant"/>
        <w:rPr>
          <w:noProof/>
        </w:rPr>
      </w:pPr>
      <w:r>
        <w:rPr>
          <w:noProof/>
        </w:rPr>
        <w:t>(17)</w:t>
      </w:r>
      <w:r>
        <w:rPr>
          <w:noProof/>
        </w:rPr>
        <w:tab/>
        <w:t xml:space="preserve">Латвия и Комисията следва да вземат предвид настоящото решение в споразумението за заем, посочено в член 8, параграф 2 от Регламент (ЕС) 2020/672. </w:t>
      </w:r>
    </w:p>
    <w:p>
      <w:pPr>
        <w:pStyle w:val="ManualConsidrant"/>
        <w:rPr>
          <w:noProof/>
        </w:rPr>
      </w:pPr>
      <w:r>
        <w:rPr>
          <w:noProof/>
        </w:rPr>
        <w:t>(18)</w:t>
      </w:r>
      <w:r>
        <w:rPr>
          <w:noProof/>
        </w:rPr>
        <w:tab/>
        <w:t>Настоящото решение не засяга резултата от евентуалните процедури относно нарушения на функционирането на вътрешния пазар, които биха могли да бъдат открити в частност по силата на членове 107 и 108 от Договора. То не отменя посоченото в член 108 от Договора изискване към държавите членки да уведомяват Комисията за случаите, които биха могли да представляват държавна помощ.</w:t>
      </w:r>
    </w:p>
    <w:p>
      <w:pPr>
        <w:pStyle w:val="ManualConsidrant"/>
        <w:rPr>
          <w:noProof/>
        </w:rPr>
      </w:pPr>
      <w:r>
        <w:rPr>
          <w:noProof/>
        </w:rPr>
        <w:lastRenderedPageBreak/>
        <w:t>(19)</w:t>
      </w:r>
      <w:r>
        <w:rPr>
          <w:noProof/>
        </w:rPr>
        <w:tab/>
        <w:t>Латвия следва редовно да уведомява Комисията за изпълнението на планираните публични разходи, за да ѝ позволи да прецени доколко те са били изпълнени от Латвия.</w:t>
      </w:r>
    </w:p>
    <w:p>
      <w:pPr>
        <w:pStyle w:val="ManualConsidrant"/>
        <w:rPr>
          <w:noProof/>
        </w:rPr>
      </w:pPr>
      <w:r>
        <w:rPr>
          <w:noProof/>
        </w:rPr>
        <w:t>(20)</w:t>
      </w:r>
      <w:r>
        <w:rPr>
          <w:noProof/>
        </w:rPr>
        <w:tab/>
        <w:t xml:space="preserve">Решението за предоставяне на финансова помощ се взима с отчитане на съществуващите и очакваните нужди на Латвия, както и на исканията за финансова помощ съгласно Регламент (ЕС) 2020/672, които вече са представени или за които е планирано да бъдат представени от други държави членки, при прилагане на принципите на равно третиране, солидарност, пропорционалност и прозрачност, </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 xml:space="preserve">Решение за изпълнение (ЕС) 2020/1351 се изменя, както следва: </w:t>
      </w:r>
    </w:p>
    <w:p>
      <w:pPr>
        <w:rPr>
          <w:noProof/>
        </w:rPr>
      </w:pPr>
    </w:p>
    <w:p>
      <w:pPr>
        <w:pStyle w:val="Point0"/>
        <w:rPr>
          <w:noProof/>
        </w:rPr>
      </w:pPr>
      <w:r>
        <w:t>(1)</w:t>
      </w:r>
      <w:r>
        <w:tab/>
      </w:r>
      <w:r>
        <w:rPr>
          <w:noProof/>
        </w:rPr>
        <w:t>Член 2 се изменя, както следва:</w:t>
      </w:r>
    </w:p>
    <w:p>
      <w:pPr>
        <w:pStyle w:val="Point1"/>
        <w:rPr>
          <w:noProof/>
        </w:rPr>
      </w:pPr>
      <w:r>
        <w:rPr>
          <w:noProof/>
        </w:rPr>
        <w:t>a)</w:t>
      </w:r>
      <w:r>
        <w:rPr>
          <w:noProof/>
        </w:rPr>
        <w:tab/>
        <w:t xml:space="preserve">параграф 1 се заменя със следното: </w:t>
      </w:r>
    </w:p>
    <w:p>
      <w:pPr>
        <w:ind w:left="720"/>
        <w:rPr>
          <w:noProof/>
        </w:rPr>
      </w:pPr>
      <w:r>
        <w:rPr>
          <w:noProof/>
        </w:rPr>
        <w:t>„1. Съюзът отпуска на Латвия заем с максимален размер 305 200 000 евро. Неговият максимален среден срок до падежа е 15 години.“</w:t>
      </w:r>
    </w:p>
    <w:p>
      <w:pPr>
        <w:pStyle w:val="Point1"/>
        <w:rPr>
          <w:noProof/>
        </w:rPr>
      </w:pPr>
      <w:r>
        <w:rPr>
          <w:noProof/>
        </w:rPr>
        <w:t>б)</w:t>
      </w:r>
      <w:r>
        <w:rPr>
          <w:noProof/>
        </w:rPr>
        <w:tab/>
        <w:t xml:space="preserve">параграф 4 се заменя със следното: </w:t>
      </w:r>
    </w:p>
    <w:p>
      <w:pPr>
        <w:ind w:left="720"/>
        <w:rPr>
          <w:noProof/>
        </w:rPr>
      </w:pPr>
      <w:r>
        <w:rPr>
          <w:noProof/>
        </w:rPr>
        <w:t>„4. Отпускането на първия транш зависи от влизането в сила на споразумението за заем, посочено в член 8, параграф 2 от Регламент (ЕС) 2020/672. Всички следващи вноски се отпускат в съответствие с условията на такова споразумение за заем или, когато е приложимо, зависят от влизането в сила на допълнение към него или на изменено споразумение за заем, сключено между Латвия и Комисията.“;</w:t>
      </w:r>
    </w:p>
    <w:p>
      <w:pPr>
        <w:rPr>
          <w:noProof/>
        </w:rPr>
      </w:pPr>
    </w:p>
    <w:p>
      <w:pPr>
        <w:pStyle w:val="Point0"/>
        <w:rPr>
          <w:noProof/>
        </w:rPr>
      </w:pPr>
      <w:r>
        <w:t>(2)</w:t>
      </w:r>
      <w:r>
        <w:tab/>
      </w:r>
      <w:r>
        <w:rPr>
          <w:noProof/>
        </w:rPr>
        <w:t xml:space="preserve">Член 3 се заменя със следното: </w:t>
      </w:r>
    </w:p>
    <w:p>
      <w:pPr>
        <w:ind w:firstLine="720"/>
        <w:jc w:val="center"/>
        <w:rPr>
          <w:i/>
          <w:noProof/>
        </w:rPr>
      </w:pPr>
      <w:r>
        <w:rPr>
          <w:noProof/>
        </w:rPr>
        <w:t>„</w:t>
      </w:r>
      <w:r>
        <w:rPr>
          <w:i/>
          <w:noProof/>
        </w:rPr>
        <w:t>Член 3</w:t>
      </w:r>
    </w:p>
    <w:p>
      <w:pPr>
        <w:ind w:firstLine="720"/>
        <w:rPr>
          <w:noProof/>
        </w:rPr>
      </w:pPr>
      <w:r>
        <w:rPr>
          <w:noProof/>
        </w:rPr>
        <w:t>Латвия може да финансира следните мерки:</w:t>
      </w:r>
    </w:p>
    <w:p>
      <w:pPr>
        <w:pStyle w:val="Point1"/>
        <w:rPr>
          <w:noProof/>
        </w:rPr>
      </w:pPr>
      <w:r>
        <w:rPr>
          <w:noProof/>
        </w:rPr>
        <w:t>а)</w:t>
      </w:r>
      <w:r>
        <w:rPr>
          <w:noProof/>
        </w:rPr>
        <w:tab/>
        <w:t>компенсаторната схема за работниците в принудителен отпуск, както е предвидена в приетото на 31 март 2020 г. „Постановление № 179 за обезщетяване за принудителен отпуск на самостоятелно заетите лица, засегнати от разпространението на COVID-19“, и приетото на 26 март 2020 г. „Постановление № 165 за работодателите, засегнати от причинената от COVID-19 криза, които изпълняват условията за получаване на компенсации за принудителен отпуск и разделяне на плащането на просрочените данъци на вноски или отлагането му за период до три години“, чийто срок на действие беше удължен;</w:t>
      </w:r>
    </w:p>
    <w:p>
      <w:pPr>
        <w:pStyle w:val="Point1"/>
        <w:rPr>
          <w:noProof/>
        </w:rPr>
      </w:pPr>
      <w:r>
        <w:rPr>
          <w:noProof/>
        </w:rPr>
        <w:t>б)</w:t>
      </w:r>
      <w:r>
        <w:rPr>
          <w:noProof/>
        </w:rPr>
        <w:tab/>
        <w:t xml:space="preserve">схемата за помощи за периода на принудителен отпуск, както е предвидена в „Постановление на Министерския съвет № 236 за подпомагане и обезщетяване за принудителен отпуск на наети или самостоятелно заети лица, засегнати от разпространението на COVID-19“; </w:t>
      </w:r>
    </w:p>
    <w:p>
      <w:pPr>
        <w:pStyle w:val="Point1"/>
        <w:rPr>
          <w:noProof/>
        </w:rPr>
      </w:pPr>
      <w:r>
        <w:rPr>
          <w:noProof/>
        </w:rPr>
        <w:lastRenderedPageBreak/>
        <w:t>в)</w:t>
      </w:r>
      <w:r>
        <w:rPr>
          <w:noProof/>
        </w:rPr>
        <w:tab/>
        <w:t>схемата за помощи за детски грижи — както е предвидена в „Постановление на Министерския съвет № 178 за осигуряване на финансови ресурси от бюджетния фонд за национални извънредни ситуации“, чийто срок на действие беше удължен;</w:t>
      </w:r>
    </w:p>
    <w:p>
      <w:pPr>
        <w:pStyle w:val="Point1"/>
        <w:rPr>
          <w:noProof/>
        </w:rPr>
      </w:pPr>
      <w:r>
        <w:rPr>
          <w:noProof/>
        </w:rPr>
        <w:t>г)</w:t>
      </w:r>
      <w:r>
        <w:rPr>
          <w:noProof/>
        </w:rPr>
        <w:tab/>
        <w:t>схемата за субсидиране на заплатите в туризма и износа, както е предвидена в „Информационен доклад за мерките за преодоляване на кризата с Covid-19 и за икономическо възстановяване“, чийто срок на действие беше удължен;</w:t>
      </w:r>
    </w:p>
    <w:p>
      <w:pPr>
        <w:pStyle w:val="Point1"/>
        <w:rPr>
          <w:noProof/>
        </w:rPr>
      </w:pPr>
      <w:r>
        <w:rPr>
          <w:noProof/>
        </w:rPr>
        <w:t>д)</w:t>
      </w:r>
      <w:r>
        <w:rPr>
          <w:noProof/>
        </w:rPr>
        <w:tab/>
        <w:t>схемата за субсидиране на заплатите на медицинските работници и културните дейци, както е предвидена в „Закон за мерките за предотвратяване и премахване на причинената от разпространението на заразата от COVID-19 опасност за държавата и на нейните последици“, „Закон за премахване на последиците от разпространението на заразата от COVID-19“ и „Постановление № 303 на Министерския съвет за осигуряване на финансови ресурси от бюджетния фонд за непредвидени обстоятелства“;</w:t>
      </w:r>
    </w:p>
    <w:p>
      <w:pPr>
        <w:pStyle w:val="Point1"/>
        <w:rPr>
          <w:noProof/>
        </w:rPr>
      </w:pPr>
      <w:r>
        <w:rPr>
          <w:noProof/>
        </w:rPr>
        <w:t>е)</w:t>
      </w:r>
      <w:r>
        <w:rPr>
          <w:noProof/>
        </w:rPr>
        <w:tab/>
        <w:t>разходите във връзка със здравето за защитно лично оборудване, както са предвидени в постановления на Министерския съвет № 79, 118 и 220 за осигуряване на финансови ресурси от бюджетния фонд за извънредни ситуации, чиито срокове на действие бяха удължени;</w:t>
      </w:r>
    </w:p>
    <w:p>
      <w:pPr>
        <w:pStyle w:val="Point1"/>
        <w:rPr>
          <w:noProof/>
        </w:rPr>
      </w:pPr>
      <w:r>
        <w:rPr>
          <w:noProof/>
        </w:rPr>
        <w:t>ж)</w:t>
      </w:r>
      <w:r>
        <w:rPr>
          <w:noProof/>
        </w:rPr>
        <w:tab/>
        <w:t>обезщетенията във връзка със заболяванията от COVID-19, както са предвидени в „9 юни 2020 г. Постановление № 380 на Министерския съвет от 9.6.2020 г. за заделяне на необходимите ресурси за недопускане на зараза в приоритетните институции и по отношение на приоритетните потребности“, чийто срок на действие беше удължен;</w:t>
      </w:r>
    </w:p>
    <w:p>
      <w:pPr>
        <w:pStyle w:val="Point1"/>
        <w:rPr>
          <w:noProof/>
        </w:rPr>
      </w:pPr>
      <w:r>
        <w:rPr>
          <w:noProof/>
        </w:rPr>
        <w:t>з)</w:t>
      </w:r>
      <w:r>
        <w:rPr>
          <w:noProof/>
        </w:rPr>
        <w:tab/>
        <w:t>обезщетения за болест за родители и лица, полагащи грижи, както е предвидено в членове 48 и 49 от преходните разпоредби на Закона за осигуряване при майчинство и болест и Постановление № 707 на Министерския съвет „Относно разпределянето на финансови ресурси за програмата на държавния бюджет „Фондове за национални извънредни ситуации“ и Постановление № 13 на Министерския съвет „Отпускане на финансови средства от държавната бюджетна програма „Фондове за непредвидени обстоятелства“;</w:t>
      </w:r>
    </w:p>
    <w:p>
      <w:pPr>
        <w:pStyle w:val="Point1"/>
        <w:rPr>
          <w:noProof/>
        </w:rPr>
      </w:pPr>
      <w:r>
        <w:rPr>
          <w:noProof/>
        </w:rPr>
        <w:t>и)</w:t>
      </w:r>
      <w:r>
        <w:rPr>
          <w:noProof/>
        </w:rPr>
        <w:tab/>
      </w:r>
      <w:r>
        <w:rPr>
          <w:noProof/>
          <w:spacing w:val="6"/>
        </w:rPr>
        <w:t>Премии за лекари и служители, които работят за справяне с кризата, предизвикана от COVID-19, както е предвидено в Постановление № 136 на Министерския съвет от 27 март 2020 г. относно осигуряването на финансови ресурси от бюджетния фонд за непредвидени събития, Постановление № 656 на Министерския съвет от 6 ноември 2020 г. „Осигуряване на финансови ресурси от бюджетния фонд за непредвидени събития“, Постановление № 743 на Министерския съвет от 8.12.2020 г. „Изменение на Постановление № 655 на Министерския съвет от 6 ноември 2020 г. за обявяване на извънредно положение“ и Постановление № 37 на Министерския съвет от 21 януари 2021 г. „Осигуряване на финансови ресурси от бюджетния фонд за непредвидени събития“.</w:t>
      </w:r>
    </w:p>
    <w:p>
      <w:pPr>
        <w:rPr>
          <w:noProof/>
        </w:rPr>
      </w:pPr>
    </w:p>
    <w:p>
      <w:pPr>
        <w:pStyle w:val="Point0"/>
        <w:rPr>
          <w:noProof/>
        </w:rPr>
      </w:pPr>
      <w:r>
        <w:t>(3)</w:t>
      </w:r>
      <w:r>
        <w:tab/>
      </w:r>
      <w:r>
        <w:rPr>
          <w:noProof/>
        </w:rPr>
        <w:t xml:space="preserve">Член 4 се заменя със следното: </w:t>
      </w:r>
    </w:p>
    <w:p>
      <w:pPr>
        <w:pStyle w:val="Point0"/>
        <w:jc w:val="center"/>
        <w:rPr>
          <w:noProof/>
        </w:rPr>
      </w:pPr>
      <w:r>
        <w:rPr>
          <w:noProof/>
        </w:rPr>
        <w:lastRenderedPageBreak/>
        <w:t>„</w:t>
      </w:r>
      <w:r>
        <w:rPr>
          <w:i/>
          <w:noProof/>
        </w:rPr>
        <w:t>Член 4</w:t>
      </w:r>
    </w:p>
    <w:p>
      <w:pPr>
        <w:pStyle w:val="Point0"/>
        <w:ind w:left="1435" w:hanging="585"/>
        <w:rPr>
          <w:noProof/>
        </w:rPr>
      </w:pPr>
      <w:r>
        <w:rPr>
          <w:noProof/>
        </w:rPr>
        <w:t>1.</w:t>
      </w:r>
      <w:r>
        <w:rPr>
          <w:noProof/>
        </w:rPr>
        <w:tab/>
        <w:t xml:space="preserve">Латвия уведомява Комисията до 30 март 2021 г. и на всеки шест месеца след тази дата за изпълнението на планираните публични разходи , докато тези публични разходи не бъдат изцяло изпълнени. </w:t>
      </w:r>
    </w:p>
    <w:p>
      <w:pPr>
        <w:pStyle w:val="Point0"/>
        <w:ind w:left="1435" w:hanging="585"/>
        <w:rPr>
          <w:noProof/>
        </w:rPr>
      </w:pPr>
      <w:r>
        <w:rPr>
          <w:noProof/>
        </w:rPr>
        <w:t>2.</w:t>
      </w:r>
      <w:r>
        <w:rPr>
          <w:noProof/>
        </w:rPr>
        <w:tab/>
        <w:t>Когато мерките, посочени в член 3, се основават на планирани публични разходи и са били предмет на решение за изпълнение за изменение на Решение за изпълнение (ЕС) 2020/1351, Латвия уведомява Комисията в срок от 6 месеца след датата на приемане на това решение и на всеки 6 месеца след това за изпълнението на планираните публични разходи, докато тези планирани публични разходи не бъдат изцяло изпълнени.“ .</w:t>
      </w:r>
    </w:p>
    <w:p>
      <w:pPr>
        <w:pStyle w:val="Point0"/>
        <w:rPr>
          <w:noProof/>
        </w:rPr>
      </w:pPr>
    </w:p>
    <w:p>
      <w:pPr>
        <w:pStyle w:val="Titrearticle"/>
        <w:rPr>
          <w:noProof/>
        </w:rPr>
      </w:pPr>
      <w:r>
        <w:rPr>
          <w:noProof/>
        </w:rPr>
        <w:t>Член 2</w:t>
      </w:r>
    </w:p>
    <w:p>
      <w:pPr>
        <w:keepNext/>
        <w:keepLines/>
        <w:rPr>
          <w:noProof/>
        </w:rPr>
      </w:pPr>
      <w:r>
        <w:rPr>
          <w:noProof/>
        </w:rPr>
        <w:t>Адресат на настоящото решение е Република Латвия.</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159, 20.5.2020 г., стр.1.</w:t>
      </w:r>
    </w:p>
  </w:footnote>
  <w:footnote w:id="2">
    <w:p>
      <w:pPr>
        <w:pStyle w:val="FootnoteText"/>
      </w:pPr>
      <w:r>
        <w:rPr>
          <w:rStyle w:val="FootnoteReference"/>
        </w:rPr>
        <w:footnoteRef/>
      </w:r>
      <w:r>
        <w:tab/>
        <w:t xml:space="preserve">Решение за изпълнение (EС) 2020/1351 на Съвета от 25 септември 2020 г. за предоставяне на временна подкрепа на Република Латвия съгласно Регламент (ЕС) 2020/672 с цел смекчаване на рисковете от безработица при извънредните обстоятелства вследствие на избухването на COVID-19 (ОВ L 314, 29.9.2020 г., стр. 38). </w:t>
      </w:r>
    </w:p>
  </w:footnote>
  <w:footnote w:id="3">
    <w:p>
      <w:pPr>
        <w:pStyle w:val="FootnoteText"/>
      </w:pPr>
      <w:r>
        <w:rPr>
          <w:rStyle w:val="FootnoteReference"/>
        </w:rPr>
        <w:footnoteRef/>
      </w:r>
      <w:r>
        <w:tab/>
        <w:t>Latvijas Vēstnesis, 230B, 27.11.2020 г.</w:t>
      </w:r>
    </w:p>
  </w:footnote>
  <w:footnote w:id="4">
    <w:p>
      <w:pPr>
        <w:pStyle w:val="FootnoteText"/>
      </w:pPr>
      <w:r>
        <w:rPr>
          <w:rStyle w:val="FootnoteReference"/>
        </w:rPr>
        <w:footnoteRef/>
      </w:r>
      <w:r>
        <w:tab/>
        <w:t>Latvijas Vēstnesis, 234, 3.12.2020 г.</w:t>
      </w:r>
    </w:p>
  </w:footnote>
  <w:footnote w:id="5">
    <w:p>
      <w:pPr>
        <w:pStyle w:val="FootnoteText"/>
      </w:pPr>
      <w:r>
        <w:rPr>
          <w:rStyle w:val="FootnoteReference"/>
        </w:rPr>
        <w:footnoteRef/>
      </w:r>
      <w:r>
        <w:tab/>
        <w:t>Latvijas Vēstnesis, 9, 14.1.2021 г.</w:t>
      </w:r>
    </w:p>
  </w:footnote>
  <w:footnote w:id="6">
    <w:p>
      <w:pPr>
        <w:pStyle w:val="FootnoteText"/>
      </w:pPr>
      <w:r>
        <w:rPr>
          <w:rStyle w:val="FootnoteReference"/>
        </w:rPr>
        <w:footnoteRef/>
      </w:r>
      <w:r>
        <w:tab/>
        <w:t>Latvijas Vēstnesis, 222A, 16.11.2020 г.</w:t>
      </w:r>
    </w:p>
  </w:footnote>
  <w:footnote w:id="7">
    <w:p>
      <w:pPr>
        <w:pStyle w:val="FootnoteText"/>
      </w:pPr>
      <w:r>
        <w:rPr>
          <w:rStyle w:val="FootnoteReference"/>
        </w:rPr>
        <w:footnoteRef/>
      </w:r>
      <w:r>
        <w:tab/>
        <w:t>Latvijas Vēstnesis, 42, 2.3.2021 г.</w:t>
      </w:r>
    </w:p>
  </w:footnote>
  <w:footnote w:id="8">
    <w:p>
      <w:pPr>
        <w:pStyle w:val="FootnoteText"/>
      </w:pPr>
      <w:r>
        <w:rPr>
          <w:rStyle w:val="FootnoteReference"/>
        </w:rPr>
        <w:footnoteRef/>
      </w:r>
      <w:r>
        <w:tab/>
        <w:t>Latvijas Vēstnesis, 230A, 27.11.2020 г.</w:t>
      </w:r>
    </w:p>
  </w:footnote>
  <w:footnote w:id="9">
    <w:p>
      <w:pPr>
        <w:pStyle w:val="FootnoteText"/>
      </w:pPr>
      <w:r>
        <w:rPr>
          <w:rStyle w:val="FootnoteReference"/>
        </w:rPr>
        <w:footnoteRef/>
      </w:r>
      <w:r>
        <w:tab/>
        <w:t>Latvijas Vēstnesis, 221A, 13.11.2020 г.</w:t>
      </w:r>
    </w:p>
  </w:footnote>
  <w:footnote w:id="10">
    <w:p>
      <w:pPr>
        <w:pStyle w:val="FootnoteText"/>
      </w:pPr>
      <w:r>
        <w:rPr>
          <w:rStyle w:val="FootnoteReference"/>
        </w:rPr>
        <w:footnoteRef/>
      </w:r>
      <w:r>
        <w:tab/>
        <w:t>Latvijas Vēstnesis, 113A, 12.6.2020 г.</w:t>
      </w:r>
    </w:p>
  </w:footnote>
  <w:footnote w:id="11">
    <w:p>
      <w:pPr>
        <w:pStyle w:val="FootnoteText"/>
      </w:pPr>
      <w:r>
        <w:rPr>
          <w:rStyle w:val="FootnoteReference"/>
        </w:rPr>
        <w:footnoteRef/>
      </w:r>
      <w:r>
        <w:tab/>
        <w:t>Latvijas Vēstnesis, 62B, 27.3.2020 г., Latvijas Vēstnesis, 218, 10.11.2020 г.</w:t>
      </w:r>
    </w:p>
  </w:footnote>
  <w:footnote w:id="12">
    <w:p>
      <w:pPr>
        <w:pStyle w:val="FootnoteText"/>
      </w:pPr>
      <w:r>
        <w:rPr>
          <w:rStyle w:val="FootnoteReference"/>
        </w:rPr>
        <w:footnoteRef/>
      </w:r>
      <w:r>
        <w:tab/>
        <w:t>Latvijas Vēstnesis, 237A, 8.12.2020 г.</w:t>
      </w:r>
    </w:p>
  </w:footnote>
  <w:footnote w:id="13">
    <w:p>
      <w:pPr>
        <w:pStyle w:val="FootnoteText"/>
      </w:pPr>
      <w:r>
        <w:rPr>
          <w:rStyle w:val="FootnoteReference"/>
        </w:rPr>
        <w:footnoteRef/>
      </w:r>
      <w:r>
        <w:tab/>
        <w:t>Latvijas Vēstnesis, 16, 25.1.2021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D0A2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C200C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E0E54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1C2C36"/>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4-13 09:14:0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103B3ED-9542-4840-AA69-EC55ADB00AF1"/>
    <w:docVar w:name="LW_COVERPAGE_TYPE" w:val="1"/>
    <w:docVar w:name="LW_CROSSREFERENCE" w:val="&lt;UNUSED&gt;"/>
    <w:docVar w:name="LW_DocType" w:val="COM"/>
    <w:docVar w:name="LW_EMISSION" w:val="29.3.2021"/>
    <w:docVar w:name="LW_EMISSION_ISODATE" w:val="2021-03-29"/>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88"/>
    <w:docVar w:name="LW_REF.II.NEW.CP_YEAR" w:val="2021"/>
    <w:docVar w:name="LW_REF.INST.NEW" w:val="COM"/>
    <w:docVar w:name="LW_REF.INST.NEW_ADOPTED" w:val="final"/>
    <w:docVar w:name="LW_REF.INST.NEW_TEXT" w:val="(2021) 1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96?\u1077?\u1085?\u1080?\u1077? \u1079?\u1072? \u1080?\u1079?\u1087?\u1098?\u1083?\u1085?\u1077?\u1085?\u1080?\u1077? (E\u1057?) 2020/1351 \u1079?\u1072? \u1087?\u1088?\u1077?\u1076?\u1086?\u1089?\u1090?\u1072?\u1074?\u1103?\u1085?\u1077? \u1085?\u1072? \u1074?\u1088?\u1077?\u1084?\u1077?\u1085?\u1085?\u1072? \u1087?\u1086?\u1076?\u1082?\u1088?\u1077?\u1087?\u1072? \u1085?\u1072? \u1056?\u1077?\u1087?\u1091?\u1073?\u1083?\u1080?\u1082?\u1072? \u1051?\u1072?\u1090?\u1074?\u1080?\u1103? \u1089?\u1098?\u1075?\u1083?\u1072?\u1089?\u1085?\u1086? \u1056?\u1077?\u1075?\u1083?\u1072?\u1084?\u1077?\u1085?\u1090? (\u1045?\u1057?) 2020/672 \u1089? \u1094?\u1077?\u1083? \u1089?\u1084?\u1077?\u1082?\u1095?\u1072?\u1074?\u1072?\u1085?\u1077? \u1085?\u1072? \u1088?\u1080?\u1089?\u1082?\u1086?\u1074?\u1077?\u1090?\u1077? \u1086?\u1090? \u1073?\u1077?\u1079?\u1088?\u1072?\u1073?\u1086?\u1090?\u1080?\u1094?\u1072? \u1087?\u1088?\u1080? \u1080?\u1079?\u1074?\u1098?\u1085?\u1088?\u1077?\u1076?\u1085?\u1080?\u1090?\u1077? \u1086?\u1073?\u1089?\u1090?\u1086?\u1103?\u1090?\u1077?\u1083?\u1089?\u1090?\u1074?\u1072? \u1074?\u1089?\u1083?\u1077?\u1076?\u1089?\u1090?\u1074?\u1080?\u1077? \u1085?\u1072? \u1080?\u1079?\u1073?\u1091?\u1093?\u1074?\u1072?\u1085?\u1077?\u1090?\u1086? \u1085?\u1072? COVID-19"/>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7254">
      <w:bodyDiv w:val="1"/>
      <w:marLeft w:val="0"/>
      <w:marRight w:val="0"/>
      <w:marTop w:val="0"/>
      <w:marBottom w:val="0"/>
      <w:divBdr>
        <w:top w:val="none" w:sz="0" w:space="0" w:color="auto"/>
        <w:left w:val="none" w:sz="0" w:space="0" w:color="auto"/>
        <w:bottom w:val="none" w:sz="0" w:space="0" w:color="auto"/>
        <w:right w:val="none" w:sz="0" w:space="0" w:color="auto"/>
      </w:divBdr>
    </w:div>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480077670">
      <w:bodyDiv w:val="1"/>
      <w:marLeft w:val="0"/>
      <w:marRight w:val="0"/>
      <w:marTop w:val="0"/>
      <w:marBottom w:val="0"/>
      <w:divBdr>
        <w:top w:val="none" w:sz="0" w:space="0" w:color="auto"/>
        <w:left w:val="none" w:sz="0" w:space="0" w:color="auto"/>
        <w:bottom w:val="none" w:sz="0" w:space="0" w:color="auto"/>
        <w:right w:val="none" w:sz="0" w:space="0" w:color="auto"/>
      </w:divBdr>
    </w:div>
    <w:div w:id="578444523">
      <w:bodyDiv w:val="1"/>
      <w:marLeft w:val="0"/>
      <w:marRight w:val="0"/>
      <w:marTop w:val="0"/>
      <w:marBottom w:val="0"/>
      <w:divBdr>
        <w:top w:val="none" w:sz="0" w:space="0" w:color="auto"/>
        <w:left w:val="none" w:sz="0" w:space="0" w:color="auto"/>
        <w:bottom w:val="none" w:sz="0" w:space="0" w:color="auto"/>
        <w:right w:val="none" w:sz="0" w:space="0" w:color="auto"/>
      </w:divBdr>
    </w:div>
    <w:div w:id="680398505">
      <w:bodyDiv w:val="1"/>
      <w:marLeft w:val="0"/>
      <w:marRight w:val="0"/>
      <w:marTop w:val="0"/>
      <w:marBottom w:val="0"/>
      <w:divBdr>
        <w:top w:val="none" w:sz="0" w:space="0" w:color="auto"/>
        <w:left w:val="none" w:sz="0" w:space="0" w:color="auto"/>
        <w:bottom w:val="none" w:sz="0" w:space="0" w:color="auto"/>
        <w:right w:val="none" w:sz="0" w:space="0" w:color="auto"/>
      </w:divBdr>
    </w:div>
    <w:div w:id="734549241">
      <w:bodyDiv w:val="1"/>
      <w:marLeft w:val="0"/>
      <w:marRight w:val="0"/>
      <w:marTop w:val="0"/>
      <w:marBottom w:val="0"/>
      <w:divBdr>
        <w:top w:val="none" w:sz="0" w:space="0" w:color="auto"/>
        <w:left w:val="none" w:sz="0" w:space="0" w:color="auto"/>
        <w:bottom w:val="none" w:sz="0" w:space="0" w:color="auto"/>
        <w:right w:val="none" w:sz="0" w:space="0" w:color="auto"/>
      </w:divBdr>
    </w:div>
    <w:div w:id="739793338">
      <w:bodyDiv w:val="1"/>
      <w:marLeft w:val="0"/>
      <w:marRight w:val="0"/>
      <w:marTop w:val="0"/>
      <w:marBottom w:val="0"/>
      <w:divBdr>
        <w:top w:val="none" w:sz="0" w:space="0" w:color="auto"/>
        <w:left w:val="none" w:sz="0" w:space="0" w:color="auto"/>
        <w:bottom w:val="none" w:sz="0" w:space="0" w:color="auto"/>
        <w:right w:val="none" w:sz="0" w:space="0" w:color="auto"/>
      </w:divBdr>
    </w:div>
    <w:div w:id="769815923">
      <w:bodyDiv w:val="1"/>
      <w:marLeft w:val="0"/>
      <w:marRight w:val="0"/>
      <w:marTop w:val="0"/>
      <w:marBottom w:val="0"/>
      <w:divBdr>
        <w:top w:val="none" w:sz="0" w:space="0" w:color="auto"/>
        <w:left w:val="none" w:sz="0" w:space="0" w:color="auto"/>
        <w:bottom w:val="none" w:sz="0" w:space="0" w:color="auto"/>
        <w:right w:val="none" w:sz="0" w:space="0" w:color="auto"/>
      </w:divBdr>
    </w:div>
    <w:div w:id="993491481">
      <w:bodyDiv w:val="1"/>
      <w:marLeft w:val="0"/>
      <w:marRight w:val="0"/>
      <w:marTop w:val="0"/>
      <w:marBottom w:val="0"/>
      <w:divBdr>
        <w:top w:val="none" w:sz="0" w:space="0" w:color="auto"/>
        <w:left w:val="none" w:sz="0" w:space="0" w:color="auto"/>
        <w:bottom w:val="none" w:sz="0" w:space="0" w:color="auto"/>
        <w:right w:val="none" w:sz="0" w:space="0" w:color="auto"/>
      </w:divBdr>
    </w:div>
    <w:div w:id="1005136932">
      <w:bodyDiv w:val="1"/>
      <w:marLeft w:val="0"/>
      <w:marRight w:val="0"/>
      <w:marTop w:val="0"/>
      <w:marBottom w:val="0"/>
      <w:divBdr>
        <w:top w:val="none" w:sz="0" w:space="0" w:color="auto"/>
        <w:left w:val="none" w:sz="0" w:space="0" w:color="auto"/>
        <w:bottom w:val="none" w:sz="0" w:space="0" w:color="auto"/>
        <w:right w:val="none" w:sz="0" w:space="0" w:color="auto"/>
      </w:divBdr>
    </w:div>
    <w:div w:id="1843885407">
      <w:bodyDiv w:val="1"/>
      <w:marLeft w:val="0"/>
      <w:marRight w:val="0"/>
      <w:marTop w:val="0"/>
      <w:marBottom w:val="0"/>
      <w:divBdr>
        <w:top w:val="none" w:sz="0" w:space="0" w:color="auto"/>
        <w:left w:val="none" w:sz="0" w:space="0" w:color="auto"/>
        <w:bottom w:val="none" w:sz="0" w:space="0" w:color="auto"/>
        <w:right w:val="none" w:sz="0" w:space="0" w:color="auto"/>
      </w:divBdr>
    </w:div>
    <w:div w:id="187696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CF2BC6D-31F7-49A3-B16E-EC2941885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12</Pages>
  <Words>3947</Words>
  <Characters>21792</Characters>
  <Application>Microsoft Office Word</Application>
  <DocSecurity>0</DocSecurity>
  <Lines>411</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2021-04-12T12:24:00Z</dcterms:created>
  <dcterms:modified xsi:type="dcterms:W3CDTF">2021-04-13T07:14:00Z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