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765537C-0FE2-4EFD-A7DB-568953642317" style="width:450.8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hAnsi="Times New Roman"/>
          <w:b/>
          <w:noProof/>
          <w:sz w:val="24"/>
        </w:rPr>
      </w:pPr>
      <w:bookmarkStart w:id="1" w:name="_GoBack"/>
      <w:bookmarkEnd w:id="1"/>
      <w:r>
        <w:rPr>
          <w:rFonts w:ascii="Times New Roman" w:hAnsi="Times New Roman"/>
          <w:b/>
          <w:noProof/>
          <w:sz w:val="24"/>
        </w:rPr>
        <w:lastRenderedPageBreak/>
        <w:t>RAPPORT DE LA COMMISSION AU PARLEMENT EUROPÉEN ET AU CONSEIL</w:t>
      </w:r>
    </w:p>
    <w:p>
      <w:pPr>
        <w:spacing w:before="360" w:after="360" w:line="240" w:lineRule="auto"/>
        <w:jc w:val="center"/>
        <w:rPr>
          <w:rFonts w:ascii="Times New Roman" w:hAnsi="Times New Roman"/>
          <w:b/>
          <w:noProof/>
          <w:sz w:val="24"/>
        </w:rPr>
      </w:pPr>
      <w:r>
        <w:rPr>
          <w:rFonts w:ascii="Times New Roman" w:hAnsi="Times New Roman"/>
          <w:b/>
          <w:noProof/>
          <w:sz w:val="24"/>
        </w:rPr>
        <w:t xml:space="preserve">concernant l’exercice du pouvoir d’adopter des actes délégués conféré à la Commission en vertu du règlement (UE) nº 70/2012 </w:t>
      </w:r>
      <w:r>
        <w:rPr>
          <w:rFonts w:ascii="Times New Roman" w:hAnsi="Times New Roman"/>
          <w:b/>
          <w:noProof/>
          <w:sz w:val="24"/>
          <w:szCs w:val="24"/>
        </w:rPr>
        <w:t>du Parlement européen et du Conseil</w:t>
      </w:r>
      <w:r>
        <w:rPr>
          <w:rFonts w:ascii="Times New Roman" w:hAnsi="Times New Roman"/>
          <w:b/>
          <w:noProof/>
          <w:sz w:val="24"/>
        </w:rPr>
        <w:t xml:space="preserve"> </w:t>
      </w:r>
      <w:r>
        <w:rPr>
          <w:rFonts w:ascii="Times New Roman" w:hAnsi="Times New Roman"/>
          <w:b/>
          <w:noProof/>
          <w:sz w:val="24"/>
          <w:szCs w:val="24"/>
        </w:rPr>
        <w:t>du 18 janvier 2012</w:t>
      </w:r>
      <w:r>
        <w:rPr>
          <w:rFonts w:ascii="Times New Roman" w:hAnsi="Times New Roman"/>
          <w:b/>
          <w:noProof/>
          <w:sz w:val="24"/>
        </w:rPr>
        <w:t xml:space="preserve"> relatif au relevé statistique des transports de marchandises par route</w:t>
      </w:r>
    </w:p>
    <w:p>
      <w:pPr>
        <w:keepNext/>
        <w:numPr>
          <w:ilvl w:val="0"/>
          <w:numId w:val="7"/>
        </w:numPr>
        <w:shd w:val="clear" w:color="auto" w:fill="FFFFFF"/>
        <w:spacing w:before="720" w:after="120" w:line="240" w:lineRule="auto"/>
        <w:jc w:val="both"/>
        <w:outlineLvl w:val="0"/>
        <w:rPr>
          <w:rFonts w:ascii="Times New Roman Bold" w:hAnsi="Times New Roman Bold" w:hint="eastAsia"/>
          <w:b/>
          <w:bCs/>
          <w:caps/>
          <w:noProof/>
          <w:sz w:val="24"/>
          <w:szCs w:val="28"/>
        </w:rPr>
      </w:pPr>
      <w:r>
        <w:rPr>
          <w:rFonts w:ascii="Times New Roman Bold" w:hAnsi="Times New Roman Bold"/>
          <w:b/>
          <w:bCs/>
          <w:caps/>
          <w:noProof/>
          <w:sz w:val="24"/>
          <w:szCs w:val="28"/>
        </w:rPr>
        <w:t>Introduction</w:t>
      </w:r>
    </w:p>
    <w:p>
      <w:pPr>
        <w:spacing w:before="240" w:after="0" w:line="276" w:lineRule="auto"/>
        <w:jc w:val="both"/>
        <w:rPr>
          <w:rFonts w:ascii="Times New Roman" w:hAnsi="Times New Roman"/>
          <w:noProof/>
          <w:sz w:val="24"/>
        </w:rPr>
      </w:pPr>
      <w:r>
        <w:rPr>
          <w:rFonts w:ascii="Times New Roman" w:hAnsi="Times New Roman"/>
          <w:noProof/>
          <w:sz w:val="24"/>
        </w:rPr>
        <w:t xml:space="preserve">L’article 3, paragraphe 4, du règlement (UE) nº 70/2012 </w:t>
      </w:r>
      <w:r>
        <w:rPr>
          <w:rFonts w:ascii="Times New Roman" w:hAnsi="Times New Roman"/>
          <w:noProof/>
          <w:sz w:val="24"/>
          <w:szCs w:val="24"/>
        </w:rPr>
        <w:t>du Parlement européen et du Conseil</w:t>
      </w:r>
      <w:r>
        <w:rPr>
          <w:rStyle w:val="FootnoteReference"/>
          <w:rFonts w:ascii="Times New Roman" w:hAnsi="Times New Roman"/>
          <w:noProof/>
          <w:sz w:val="24"/>
          <w:lang w:eastAsia="en-GB"/>
        </w:rPr>
        <w:footnoteReference w:id="1"/>
      </w:r>
      <w:r>
        <w:rPr>
          <w:rFonts w:ascii="Times New Roman" w:hAnsi="Times New Roman"/>
          <w:noProof/>
          <w:sz w:val="24"/>
        </w:rPr>
        <w:t xml:space="preserve"> habilite la Commission à adopter, le cas échéant, des actes délégués en conformité avec l’article 8 visant à: </w:t>
      </w:r>
    </w:p>
    <w:p>
      <w:pPr>
        <w:pStyle w:val="ListParagraph"/>
        <w:numPr>
          <w:ilvl w:val="0"/>
          <w:numId w:val="8"/>
        </w:numPr>
        <w:spacing w:before="120" w:after="0" w:line="276" w:lineRule="auto"/>
        <w:ind w:left="709" w:hanging="283"/>
        <w:jc w:val="both"/>
        <w:rPr>
          <w:rFonts w:ascii="Times New Roman" w:hAnsi="Times New Roman"/>
          <w:noProof/>
          <w:sz w:val="24"/>
        </w:rPr>
      </w:pPr>
      <w:r>
        <w:rPr>
          <w:rFonts w:ascii="Times New Roman" w:hAnsi="Times New Roman"/>
          <w:noProof/>
          <w:sz w:val="24"/>
        </w:rPr>
        <w:t>mettre à jour la partie 1 de l’annexe I, uniquement pour tenir compte d’évolutions économiques et techniques, à l’exclusion de toute modification du caractère facultatif des informations requises; et</w:t>
      </w:r>
    </w:p>
    <w:p>
      <w:pPr>
        <w:pStyle w:val="ListParagraph"/>
        <w:numPr>
          <w:ilvl w:val="0"/>
          <w:numId w:val="8"/>
        </w:numPr>
        <w:spacing w:before="120" w:after="0" w:line="276" w:lineRule="auto"/>
        <w:ind w:left="709" w:hanging="284"/>
        <w:contextualSpacing w:val="0"/>
        <w:jc w:val="both"/>
        <w:rPr>
          <w:rFonts w:ascii="Times New Roman" w:hAnsi="Times New Roman"/>
          <w:noProof/>
          <w:sz w:val="24"/>
        </w:rPr>
      </w:pPr>
      <w:r>
        <w:rPr>
          <w:rFonts w:ascii="Times New Roman" w:hAnsi="Times New Roman"/>
          <w:noProof/>
          <w:sz w:val="24"/>
        </w:rPr>
        <w:t xml:space="preserve">adapter les annexes II à VII pour tenir compte d’évolutions économiques et techniques. </w:t>
      </w:r>
    </w:p>
    <w:p>
      <w:pPr>
        <w:spacing w:before="240" w:after="0" w:line="276" w:lineRule="auto"/>
        <w:jc w:val="both"/>
        <w:rPr>
          <w:rFonts w:ascii="Times New Roman" w:hAnsi="Times New Roman"/>
          <w:noProof/>
          <w:sz w:val="24"/>
        </w:rPr>
      </w:pPr>
      <w:r>
        <w:rPr>
          <w:rFonts w:ascii="Times New Roman" w:hAnsi="Times New Roman"/>
          <w:noProof/>
          <w:sz w:val="24"/>
        </w:rPr>
        <w:t>En vertu de l’article 3, paragraphe 4, dudit règlement, lorsqu’elle exerce cette compétence, la Commission doit veiller à ce que tout acte délégué qu’elle adopte n’impose pas un surcroît important de charge administrative aux États membres ou aux entités répondantes.</w:t>
      </w:r>
    </w:p>
    <w:p>
      <w:pPr>
        <w:keepNext/>
        <w:numPr>
          <w:ilvl w:val="0"/>
          <w:numId w:val="7"/>
        </w:numPr>
        <w:shd w:val="clear" w:color="auto" w:fill="FFFFFF"/>
        <w:spacing w:before="480" w:after="120" w:line="240" w:lineRule="auto"/>
        <w:jc w:val="both"/>
        <w:outlineLvl w:val="0"/>
        <w:rPr>
          <w:rFonts w:ascii="Times New Roman Bold" w:hAnsi="Times New Roman Bold" w:hint="eastAsia"/>
          <w:b/>
          <w:bCs/>
          <w:caps/>
          <w:noProof/>
          <w:sz w:val="24"/>
          <w:szCs w:val="28"/>
        </w:rPr>
      </w:pPr>
      <w:r>
        <w:rPr>
          <w:rFonts w:ascii="Times New Roman Bold" w:hAnsi="Times New Roman Bold"/>
          <w:b/>
          <w:bCs/>
          <w:caps/>
          <w:noProof/>
          <w:sz w:val="24"/>
          <w:szCs w:val="28"/>
        </w:rPr>
        <w:t>Base juridique</w:t>
      </w:r>
    </w:p>
    <w:p>
      <w:pPr>
        <w:spacing w:before="240" w:after="0" w:line="276" w:lineRule="auto"/>
        <w:jc w:val="both"/>
        <w:rPr>
          <w:rFonts w:ascii="Times New Roman" w:hAnsi="Times New Roman"/>
          <w:noProof/>
          <w:sz w:val="24"/>
        </w:rPr>
      </w:pPr>
      <w:r>
        <w:rPr>
          <w:rFonts w:ascii="Times New Roman" w:hAnsi="Times New Roman"/>
          <w:noProof/>
          <w:sz w:val="24"/>
        </w:rPr>
        <w:t xml:space="preserve">En vertu de l’article 8, paragraphe 2, du règlement (UE) nº 70/2012, le pouvoir d’adopter des actes délégués visés à l’article 3, paragraphe 4, est conféré à la Commission pour une période de cinq ans à compter du 23 février 2012. La délégation de pouvoir est tacitement prorogée pour des périodes de cinq ans supplémentaires, sauf si le Parlement européen ou le Conseil s’oppose à cette prorogation. </w:t>
      </w:r>
    </w:p>
    <w:p>
      <w:pPr>
        <w:spacing w:before="240" w:after="0" w:line="276" w:lineRule="auto"/>
        <w:jc w:val="both"/>
        <w:rPr>
          <w:rFonts w:ascii="Times New Roman" w:hAnsi="Times New Roman"/>
          <w:noProof/>
          <w:sz w:val="24"/>
        </w:rPr>
      </w:pPr>
      <w:r>
        <w:rPr>
          <w:rFonts w:ascii="Times New Roman" w:hAnsi="Times New Roman"/>
          <w:noProof/>
          <w:sz w:val="24"/>
        </w:rPr>
        <w:t xml:space="preserve">La Commission doit élaborer un rapport relatif à la délégation de pouvoir au plus tard neuf mois avant la fin de la période de cinq ans. </w:t>
      </w:r>
    </w:p>
    <w:p>
      <w:pPr>
        <w:spacing w:before="240" w:after="0" w:line="276" w:lineRule="auto"/>
        <w:jc w:val="both"/>
        <w:rPr>
          <w:rFonts w:ascii="Times New Roman" w:hAnsi="Times New Roman"/>
          <w:noProof/>
          <w:sz w:val="24"/>
        </w:rPr>
      </w:pPr>
      <w:r>
        <w:rPr>
          <w:rFonts w:ascii="Times New Roman" w:hAnsi="Times New Roman"/>
          <w:noProof/>
          <w:sz w:val="24"/>
        </w:rPr>
        <w:t>La Commission a présenté un premier rapport en 2016</w:t>
      </w:r>
      <w:r>
        <w:rPr>
          <w:rStyle w:val="FootnoteReference"/>
          <w:rFonts w:ascii="Times New Roman" w:hAnsi="Times New Roman"/>
          <w:noProof/>
          <w:sz w:val="24"/>
          <w:lang w:eastAsia="en-GB"/>
        </w:rPr>
        <w:footnoteReference w:id="2"/>
      </w:r>
      <w:r>
        <w:rPr>
          <w:rFonts w:ascii="Times New Roman" w:hAnsi="Times New Roman"/>
          <w:noProof/>
          <w:sz w:val="24"/>
        </w:rPr>
        <w:t>. La délégation de pouvoir a été automatiquement renouvelée pour une période supplémentaire de cinq ans, de février 2017 à février 2022, étant donné que ni le Parlement ni le Conseil ne l’ont révoquée conformément à l’article 8, paragraphe 3.</w:t>
      </w:r>
    </w:p>
    <w:p>
      <w:pPr>
        <w:spacing w:before="240" w:after="0" w:line="276" w:lineRule="auto"/>
        <w:jc w:val="both"/>
        <w:rPr>
          <w:rFonts w:ascii="Times New Roman" w:hAnsi="Times New Roman"/>
          <w:noProof/>
          <w:sz w:val="24"/>
        </w:rPr>
      </w:pPr>
      <w:r>
        <w:rPr>
          <w:rFonts w:ascii="Times New Roman" w:hAnsi="Times New Roman"/>
          <w:noProof/>
          <w:sz w:val="24"/>
        </w:rPr>
        <w:t>Le présent rapport satisfait à l’obligation qui incombe à la Commission d’élaborer un deuxième rapport sur l’exercice de son pouvoir d’adopter des actes délégués.</w:t>
      </w:r>
    </w:p>
    <w:p>
      <w:pPr>
        <w:keepNext/>
        <w:numPr>
          <w:ilvl w:val="0"/>
          <w:numId w:val="7"/>
        </w:numPr>
        <w:shd w:val="clear" w:color="auto" w:fill="FFFFFF"/>
        <w:spacing w:before="480" w:after="0" w:line="240" w:lineRule="auto"/>
        <w:jc w:val="both"/>
        <w:outlineLvl w:val="0"/>
        <w:rPr>
          <w:rFonts w:ascii="Times New Roman Bold" w:eastAsia="Times New Roman" w:hAnsi="Times New Roman Bold"/>
          <w:b/>
          <w:bCs/>
          <w:caps/>
          <w:noProof/>
          <w:sz w:val="24"/>
          <w:szCs w:val="28"/>
        </w:rPr>
      </w:pPr>
      <w:r>
        <w:rPr>
          <w:rFonts w:ascii="Times New Roman Bold" w:hAnsi="Times New Roman Bold"/>
          <w:b/>
          <w:bCs/>
          <w:caps/>
          <w:noProof/>
          <w:sz w:val="24"/>
          <w:szCs w:val="28"/>
        </w:rPr>
        <w:t>Exercice de la délégation</w:t>
      </w:r>
    </w:p>
    <w:p>
      <w:pPr>
        <w:spacing w:before="240" w:after="0" w:line="276" w:lineRule="auto"/>
        <w:jc w:val="both"/>
        <w:rPr>
          <w:rFonts w:ascii="Times New Roman" w:hAnsi="Times New Roman"/>
          <w:noProof/>
          <w:sz w:val="24"/>
        </w:rPr>
      </w:pPr>
      <w:r>
        <w:rPr>
          <w:rFonts w:ascii="Times New Roman" w:hAnsi="Times New Roman"/>
          <w:noProof/>
          <w:sz w:val="24"/>
        </w:rPr>
        <w:t>La Commission n’a pas encore exercé le pouvoir d’adopter des actes délégués qui lui est conféré par le règlement (UE) nº 70/2012.</w:t>
      </w:r>
    </w:p>
    <w:p>
      <w:pPr>
        <w:spacing w:before="240" w:after="240" w:line="276" w:lineRule="auto"/>
        <w:jc w:val="both"/>
        <w:rPr>
          <w:rFonts w:ascii="Times New Roman" w:hAnsi="Times New Roman"/>
          <w:noProof/>
          <w:sz w:val="24"/>
        </w:rPr>
      </w:pPr>
      <w:r>
        <w:rPr>
          <w:rFonts w:ascii="Times New Roman" w:hAnsi="Times New Roman"/>
          <w:noProof/>
          <w:sz w:val="24"/>
        </w:rPr>
        <w:t xml:space="preserve">La Commission examine constamment avec les États membres les possibilités d’amélioration des statistiques des transports de marchandises par route à l’aune des évolutions techniques et des nouvelles exigences économiques, environnementales et sociétales. La Commission, en collaboration avec le groupe d’experts sur les statistiques des transports de marchandises par route et le </w:t>
      </w:r>
      <w:r>
        <w:rPr>
          <w:rFonts w:ascii="Times New Roman" w:hAnsi="Times New Roman"/>
          <w:noProof/>
          <w:sz w:val="24"/>
          <w:szCs w:val="24"/>
        </w:rPr>
        <w:t xml:space="preserve">groupe de coordination des statistiques des transports, envisage des améliorations à apporter </w:t>
      </w:r>
      <w:r>
        <w:rPr>
          <w:rFonts w:ascii="Times New Roman" w:hAnsi="Times New Roman"/>
          <w:noProof/>
          <w:sz w:val="24"/>
        </w:rPr>
        <w:t>aux statistiques des transports de marchandises par route, tout en tenant compte des coûts et charges susceptibles de peser sur les pays et les entités répondantes.</w:t>
      </w:r>
    </w:p>
    <w:p>
      <w:pPr>
        <w:spacing w:after="120" w:line="276" w:lineRule="auto"/>
        <w:jc w:val="both"/>
        <w:rPr>
          <w:rFonts w:ascii="Times New Roman" w:hAnsi="Times New Roman"/>
          <w:noProof/>
          <w:sz w:val="24"/>
          <w:szCs w:val="24"/>
        </w:rPr>
      </w:pPr>
      <w:r>
        <w:rPr>
          <w:rFonts w:ascii="Times New Roman" w:hAnsi="Times New Roman"/>
          <w:noProof/>
          <w:sz w:val="24"/>
          <w:szCs w:val="24"/>
        </w:rPr>
        <w:t>Les besoins statistiques dans le cadre de la stratégie de mobilité durable et intelligente</w:t>
      </w:r>
      <w:r>
        <w:rPr>
          <w:rStyle w:val="FootnoteReference"/>
          <w:rFonts w:ascii="Times New Roman" w:hAnsi="Times New Roman"/>
          <w:noProof/>
          <w:sz w:val="24"/>
          <w:szCs w:val="24"/>
          <w:lang w:eastAsia="de-DE"/>
        </w:rPr>
        <w:footnoteReference w:id="3"/>
      </w:r>
      <w:r>
        <w:rPr>
          <w:rFonts w:ascii="Times New Roman" w:hAnsi="Times New Roman"/>
          <w:noProof/>
          <w:sz w:val="24"/>
          <w:szCs w:val="24"/>
        </w:rPr>
        <w:t xml:space="preserve"> et les initiatives stratégiques établies dans la communication de la Commission sur le pacte vert pour l’Europe</w:t>
      </w:r>
      <w:r>
        <w:rPr>
          <w:rStyle w:val="FootnoteReference"/>
          <w:rFonts w:ascii="Times New Roman" w:hAnsi="Times New Roman"/>
          <w:noProof/>
          <w:sz w:val="24"/>
          <w:szCs w:val="24"/>
          <w:lang w:eastAsia="de-DE"/>
        </w:rPr>
        <w:footnoteReference w:id="4"/>
      </w:r>
      <w:r>
        <w:rPr>
          <w:rFonts w:ascii="Times New Roman" w:hAnsi="Times New Roman"/>
          <w:noProof/>
          <w:sz w:val="24"/>
          <w:szCs w:val="24"/>
        </w:rPr>
        <w:t xml:space="preserve"> nécessiteront peut-être que la Commission adopte des actes délégués afin d’adapter les annexes du règlement (UE) nº 70/2012 mentionnées précédemment aux évolutions économiques et techniques et d’améliorer le suivi des objectifs stratégiques et des tendances politiques. </w:t>
      </w:r>
    </w:p>
    <w:p>
      <w:pPr>
        <w:keepNext/>
        <w:numPr>
          <w:ilvl w:val="0"/>
          <w:numId w:val="7"/>
        </w:numPr>
        <w:shd w:val="clear" w:color="auto" w:fill="FFFFFF"/>
        <w:spacing w:before="480" w:after="120" w:line="240" w:lineRule="auto"/>
        <w:jc w:val="both"/>
        <w:outlineLvl w:val="0"/>
        <w:rPr>
          <w:rFonts w:ascii="Times New Roman Bold" w:hAnsi="Times New Roman Bold" w:hint="eastAsia"/>
          <w:b/>
          <w:bCs/>
          <w:caps/>
          <w:noProof/>
          <w:sz w:val="24"/>
          <w:szCs w:val="28"/>
        </w:rPr>
      </w:pPr>
      <w:r>
        <w:rPr>
          <w:rFonts w:ascii="Times New Roman Bold" w:hAnsi="Times New Roman Bold"/>
          <w:b/>
          <w:bCs/>
          <w:caps/>
          <w:noProof/>
          <w:sz w:val="24"/>
          <w:szCs w:val="28"/>
        </w:rPr>
        <w:t>Conclusions</w:t>
      </w:r>
    </w:p>
    <w:p>
      <w:pPr>
        <w:spacing w:before="240" w:after="120" w:line="276" w:lineRule="auto"/>
        <w:jc w:val="both"/>
        <w:rPr>
          <w:rFonts w:ascii="Times New Roman" w:hAnsi="Times New Roman"/>
          <w:noProof/>
          <w:sz w:val="24"/>
        </w:rPr>
      </w:pPr>
      <w:r>
        <w:rPr>
          <w:rFonts w:ascii="Times New Roman" w:hAnsi="Times New Roman"/>
          <w:noProof/>
          <w:sz w:val="24"/>
        </w:rPr>
        <w:t>La Commission n’a pas encore exercé son pouvoir d’adopter des actes délégués en vertu du règlement (UE) nº 70/2012.</w:t>
      </w:r>
    </w:p>
    <w:p>
      <w:pPr>
        <w:spacing w:before="240" w:after="0" w:line="276" w:lineRule="auto"/>
        <w:jc w:val="both"/>
        <w:rPr>
          <w:rFonts w:ascii="Times New Roman" w:eastAsia="Calibri" w:hAnsi="Times New Roman" w:cs="Times New Roman"/>
          <w:noProof/>
          <w:sz w:val="24"/>
          <w:szCs w:val="24"/>
        </w:rPr>
      </w:pPr>
      <w:r>
        <w:rPr>
          <w:rFonts w:ascii="Times New Roman" w:hAnsi="Times New Roman"/>
          <w:noProof/>
          <w:sz w:val="24"/>
          <w:szCs w:val="24"/>
        </w:rPr>
        <w:t>La Commission estime qu’elle devrait continuer à disposer de ces pouvoirs délégués, étant donné qu’il pourrait être nécessaire, à l’avenir, d’adopter des actes délégués pour soutenir l’évolution des statistiques des transports de marchandises par route.</w:t>
      </w:r>
    </w:p>
    <w:p>
      <w:pPr>
        <w:spacing w:before="240" w:after="0" w:line="276" w:lineRule="auto"/>
        <w:jc w:val="both"/>
        <w:rPr>
          <w:rFonts w:ascii="Times New Roman" w:hAnsi="Times New Roman"/>
          <w:noProof/>
          <w:sz w:val="24"/>
          <w:szCs w:val="24"/>
          <w:lang w:eastAsia="de-D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860516"/>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356002"/>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line="240" w:lineRule="auto"/>
        <w:jc w:val="both"/>
        <w:rPr>
          <w:rFonts w:ascii="Times New Roman" w:hAnsi="Times New Roman"/>
          <w:noProof/>
        </w:rPr>
      </w:pPr>
      <w:r>
        <w:rPr>
          <w:rStyle w:val="FootnoteReference"/>
          <w:rFonts w:ascii="Times New Roman" w:hAnsi="Times New Roman"/>
        </w:rPr>
        <w:footnoteRef/>
      </w:r>
      <w:r>
        <w:rPr>
          <w:rFonts w:ascii="Times New Roman" w:hAnsi="Times New Roman"/>
        </w:rPr>
        <w:t xml:space="preserve"> Règlement (UE) nº 70/2012 du Parlement européen et du Conseil du 18 janvier 2012 relatif au relevé statistique des transports de marchandises par route (JO L 32 du 3.2.2012, p. 1).</w:t>
      </w:r>
    </w:p>
  </w:footnote>
  <w:footnote w:id="2">
    <w:p>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Rapport de la Commission au Parlement européen et au Conseil concernant l’exercice du pouvoir d’adopter des actes délégués conféré à la Commission au titre du règlement (UE) nº 70/2012 du 18 janvier 2012 relatif au relevé statistique des transports de marchandises par route [COM(2016) 562 final du 12.9.2016].</w:t>
      </w:r>
    </w:p>
  </w:footnote>
  <w:footnote w:id="3">
    <w:p>
      <w:pPr>
        <w:pStyle w:val="FootnoteText"/>
      </w:pPr>
      <w:r>
        <w:rPr>
          <w:rStyle w:val="FootnoteReference"/>
          <w:rFonts w:ascii="Times New Roman" w:hAnsi="Times New Roman"/>
        </w:rPr>
        <w:footnoteRef/>
      </w:r>
      <w:r>
        <w:rPr>
          <w:rFonts w:ascii="Times New Roman" w:hAnsi="Times New Roman"/>
        </w:rPr>
        <w:t xml:space="preserve"> COM(2020) 789 final.</w:t>
      </w:r>
    </w:p>
  </w:footnote>
  <w:footnote w:id="4">
    <w:p>
      <w:pPr>
        <w:pStyle w:val="FootnoteText"/>
      </w:pPr>
      <w:r>
        <w:rPr>
          <w:rStyle w:val="FootnoteReference"/>
          <w:rFonts w:ascii="Times New Roman" w:hAnsi="Times New Roman"/>
        </w:rPr>
        <w:footnoteRef/>
      </w:r>
      <w:r>
        <w:rPr>
          <w:rFonts w:ascii="Times New Roman" w:hAnsi="Times New Roman"/>
        </w:rPr>
        <w:t xml:space="preserve"> COM(2019) 640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10C4"/>
    <w:multiLevelType w:val="hybridMultilevel"/>
    <w:tmpl w:val="E15881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B155F3"/>
    <w:multiLevelType w:val="hybridMultilevel"/>
    <w:tmpl w:val="2CAE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063AF2"/>
    <w:multiLevelType w:val="hybridMultilevel"/>
    <w:tmpl w:val="23CCC4EE"/>
    <w:lvl w:ilvl="0" w:tplc="01EC09CE">
      <w:start w:val="1"/>
      <w:numFmt w:val="bullet"/>
      <w:lvlText w:val=""/>
      <w:lvlJc w:val="left"/>
      <w:pPr>
        <w:ind w:left="2216" w:hanging="360"/>
      </w:pPr>
      <w:rPr>
        <w:rFonts w:ascii="Symbol" w:hAnsi="Symbol" w:hint="default"/>
      </w:rPr>
    </w:lvl>
    <w:lvl w:ilvl="1" w:tplc="08090003" w:tentative="1">
      <w:start w:val="1"/>
      <w:numFmt w:val="bullet"/>
      <w:lvlText w:val="o"/>
      <w:lvlJc w:val="left"/>
      <w:pPr>
        <w:ind w:left="2936" w:hanging="360"/>
      </w:pPr>
      <w:rPr>
        <w:rFonts w:ascii="Courier New" w:hAnsi="Courier New" w:cs="Courier New" w:hint="default"/>
      </w:rPr>
    </w:lvl>
    <w:lvl w:ilvl="2" w:tplc="08090005" w:tentative="1">
      <w:start w:val="1"/>
      <w:numFmt w:val="bullet"/>
      <w:lvlText w:val=""/>
      <w:lvlJc w:val="left"/>
      <w:pPr>
        <w:ind w:left="3656" w:hanging="360"/>
      </w:pPr>
      <w:rPr>
        <w:rFonts w:ascii="Wingdings" w:hAnsi="Wingdings" w:hint="default"/>
      </w:rPr>
    </w:lvl>
    <w:lvl w:ilvl="3" w:tplc="08090001" w:tentative="1">
      <w:start w:val="1"/>
      <w:numFmt w:val="bullet"/>
      <w:lvlText w:val=""/>
      <w:lvlJc w:val="left"/>
      <w:pPr>
        <w:ind w:left="4376" w:hanging="360"/>
      </w:pPr>
      <w:rPr>
        <w:rFonts w:ascii="Symbol" w:hAnsi="Symbol" w:hint="default"/>
      </w:rPr>
    </w:lvl>
    <w:lvl w:ilvl="4" w:tplc="08090003" w:tentative="1">
      <w:start w:val="1"/>
      <w:numFmt w:val="bullet"/>
      <w:lvlText w:val="o"/>
      <w:lvlJc w:val="left"/>
      <w:pPr>
        <w:ind w:left="5096" w:hanging="360"/>
      </w:pPr>
      <w:rPr>
        <w:rFonts w:ascii="Courier New" w:hAnsi="Courier New" w:cs="Courier New" w:hint="default"/>
      </w:rPr>
    </w:lvl>
    <w:lvl w:ilvl="5" w:tplc="08090005" w:tentative="1">
      <w:start w:val="1"/>
      <w:numFmt w:val="bullet"/>
      <w:lvlText w:val=""/>
      <w:lvlJc w:val="left"/>
      <w:pPr>
        <w:ind w:left="5816" w:hanging="360"/>
      </w:pPr>
      <w:rPr>
        <w:rFonts w:ascii="Wingdings" w:hAnsi="Wingdings" w:hint="default"/>
      </w:rPr>
    </w:lvl>
    <w:lvl w:ilvl="6" w:tplc="08090001" w:tentative="1">
      <w:start w:val="1"/>
      <w:numFmt w:val="bullet"/>
      <w:lvlText w:val=""/>
      <w:lvlJc w:val="left"/>
      <w:pPr>
        <w:ind w:left="6536" w:hanging="360"/>
      </w:pPr>
      <w:rPr>
        <w:rFonts w:ascii="Symbol" w:hAnsi="Symbol" w:hint="default"/>
      </w:rPr>
    </w:lvl>
    <w:lvl w:ilvl="7" w:tplc="08090003" w:tentative="1">
      <w:start w:val="1"/>
      <w:numFmt w:val="bullet"/>
      <w:lvlText w:val="o"/>
      <w:lvlJc w:val="left"/>
      <w:pPr>
        <w:ind w:left="7256" w:hanging="360"/>
      </w:pPr>
      <w:rPr>
        <w:rFonts w:ascii="Courier New" w:hAnsi="Courier New" w:cs="Courier New" w:hint="default"/>
      </w:rPr>
    </w:lvl>
    <w:lvl w:ilvl="8" w:tplc="08090005" w:tentative="1">
      <w:start w:val="1"/>
      <w:numFmt w:val="bullet"/>
      <w:lvlText w:val=""/>
      <w:lvlJc w:val="left"/>
      <w:pPr>
        <w:ind w:left="7976" w:hanging="360"/>
      </w:pPr>
      <w:rPr>
        <w:rFonts w:ascii="Wingdings" w:hAnsi="Wingdings" w:hint="default"/>
      </w:rPr>
    </w:lvl>
  </w:abstractNum>
  <w:abstractNum w:abstractNumId="3">
    <w:nsid w:val="33172DD4"/>
    <w:multiLevelType w:val="hybridMultilevel"/>
    <w:tmpl w:val="B3B24934"/>
    <w:lvl w:ilvl="0" w:tplc="428A1060">
      <w:numFmt w:val="bullet"/>
      <w:lvlText w:val="-"/>
      <w:lvlJc w:val="left"/>
      <w:pPr>
        <w:ind w:left="1210" w:hanging="360"/>
      </w:pPr>
      <w:rPr>
        <w:rFonts w:ascii="Times New Roman" w:eastAsiaTheme="minorEastAsia"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355F3A3C"/>
    <w:multiLevelType w:val="hybridMultilevel"/>
    <w:tmpl w:val="0B1CA37E"/>
    <w:lvl w:ilvl="0" w:tplc="08090017">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6412804"/>
    <w:multiLevelType w:val="hybridMultilevel"/>
    <w:tmpl w:val="9906E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9EC207B"/>
    <w:multiLevelType w:val="hybridMultilevel"/>
    <w:tmpl w:val="6BA88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0"/>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765537C-0FE2-4EFD-A7DB-568953642317"/>
    <w:docVar w:name="LW_COVERPAGE_TYPE" w:val="1"/>
    <w:docVar w:name="LW_CROSSREFERENCE" w:val="&lt;UNUSED&gt;"/>
    <w:docVar w:name="LW_DocType" w:val="NORMAL"/>
    <w:docVar w:name="LW_EMISSION" w:val="14.4.2021"/>
    <w:docVar w:name="LW_EMISSION_ISODATE" w:val="2021-04-1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1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concernant l\u8217?exercice du pouvoir d\u8217?adopter des actes délégués conféré à la Commission en vertu du règlement (UE) nº 70/2012 du Parlement européen et du Conseil du 18 janvier 2012 relatif au relevé statistique des transports de marchandises par route&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semiHidden/>
    <w:unhideWhenUsed/>
    <w:pPr>
      <w:spacing w:after="200" w:line="276" w:lineRule="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semiHidden/>
    <w:rPr>
      <w:rFonts w:ascii="Calibri" w:eastAsia="Calibri" w:hAnsi="Calibri" w:cs="Times New Roman"/>
      <w:sz w:val="20"/>
      <w:szCs w:val="20"/>
      <w:lang w:eastAsia="en-US"/>
    </w:rPr>
  </w:style>
  <w:style w:type="character" w:styleId="FootnoteReference">
    <w:name w:val="footnote reference"/>
    <w:semiHidden/>
    <w:rPr>
      <w:shd w:val="clear" w:color="auto" w:fill="auto"/>
      <w:vertAlign w:val="superscript"/>
    </w:r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semiHidden/>
    <w:unhideWhenUsed/>
    <w:pPr>
      <w:spacing w:after="200" w:line="276" w:lineRule="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semiHidden/>
    <w:rPr>
      <w:rFonts w:ascii="Calibri" w:eastAsia="Calibri" w:hAnsi="Calibri" w:cs="Times New Roman"/>
      <w:sz w:val="20"/>
      <w:szCs w:val="20"/>
      <w:lang w:eastAsia="en-US"/>
    </w:rPr>
  </w:style>
  <w:style w:type="character" w:styleId="FootnoteReference">
    <w:name w:val="footnote reference"/>
    <w:semiHidden/>
    <w:rPr>
      <w:shd w:val="clear" w:color="auto" w:fill="auto"/>
      <w:vertAlign w:val="superscript"/>
    </w:r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83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6B033DD-7EA1-483A-BABA-7B339837F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574</Words>
  <Characters>3180</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Road_2921 Report_Exercise power to adopt delegated acts</vt:lpstr>
    </vt:vector>
  </TitlesOfParts>
  <Manager/>
  <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Road_2921 Report_Exercise power to adopt delegated acts</dc:title>
  <dc:subject>Road_2921 Report_Exercise power to adopt delegated acts</dc:subject>
  <dc:creator/>
  <cp:keywords/>
  <dc:description/>
  <cp:lastModifiedBy>DIGIT/C6</cp:lastModifiedBy>
  <cp:revision>15</cp:revision>
  <dcterms:created xsi:type="dcterms:W3CDTF">2021-03-17T14:07:00Z</dcterms:created>
  <dcterms:modified xsi:type="dcterms:W3CDTF">2021-03-30T15:56:00Z</dcterms:modified>
  <cp:category>Road freight transport statistics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ies>
</file>