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907E4DF1-C7C3-4777-8322-C5BF8108ADCF" style="width:451pt;height:333.9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360" w:after="0" w:line="240" w:lineRule="auto"/>
        <w:jc w:val="center"/>
        <w:rPr>
          <w:rFonts w:ascii="Times New Roman" w:hAnsi="Times New Roman"/>
          <w:b/>
          <w:noProof/>
          <w:sz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ДОКЛАД НА КОМИСИЯТА ДО ЕВРОПЕЙСКИЯ ПАРЛАМЕНТ И СЪВЕТА</w:t>
      </w:r>
    </w:p>
    <w:p>
      <w:pPr>
        <w:spacing w:before="360" w:after="360" w:line="240" w:lineRule="auto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относно упражняването на правомощието за приемане на делегирани актове, предоставено на Комисията по силата на Регламент (ЕС) № 70/2012 </w:t>
      </w:r>
      <w:r>
        <w:rPr>
          <w:rFonts w:ascii="Times New Roman" w:hAnsi="Times New Roman"/>
          <w:b/>
          <w:noProof/>
          <w:sz w:val="24"/>
          <w:szCs w:val="24"/>
        </w:rPr>
        <w:t>на Европейския парламент и на Съвета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от 18 януари 2012 г.</w:t>
      </w:r>
      <w:r>
        <w:rPr>
          <w:rFonts w:ascii="Times New Roman" w:hAnsi="Times New Roman"/>
          <w:b/>
          <w:noProof/>
          <w:sz w:val="24"/>
        </w:rPr>
        <w:t xml:space="preserve"> относно статистическите отчети във връзка с автомобилен превоз на товари</w:t>
      </w:r>
    </w:p>
    <w:p>
      <w:pPr>
        <w:keepNext/>
        <w:numPr>
          <w:ilvl w:val="0"/>
          <w:numId w:val="7"/>
        </w:numPr>
        <w:shd w:val="clear" w:color="auto" w:fill="FFFFFF"/>
        <w:spacing w:before="720" w:after="120" w:line="240" w:lineRule="auto"/>
        <w:jc w:val="both"/>
        <w:outlineLvl w:val="0"/>
        <w:rPr>
          <w:rFonts w:ascii="Times New Roman Bold" w:hAnsi="Times New Roman Bold" w:hint="eastAsia"/>
          <w:b/>
          <w:bCs/>
          <w:caps/>
          <w:noProof/>
          <w:sz w:val="24"/>
          <w:szCs w:val="28"/>
        </w:rPr>
      </w:pPr>
      <w:r>
        <w:rPr>
          <w:rFonts w:ascii="Times New Roman Bold" w:hAnsi="Times New Roman Bold"/>
          <w:b/>
          <w:bCs/>
          <w:caps/>
          <w:noProof/>
          <w:sz w:val="24"/>
          <w:szCs w:val="28"/>
        </w:rPr>
        <w:t>Въведение</w:t>
      </w:r>
    </w:p>
    <w:p>
      <w:pPr>
        <w:spacing w:before="240"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С член 3, параграф 4 от Регламент (ЕС) № 70/2012 </w:t>
      </w:r>
      <w:r>
        <w:rPr>
          <w:rFonts w:ascii="Times New Roman" w:hAnsi="Times New Roman"/>
          <w:noProof/>
          <w:sz w:val="24"/>
          <w:szCs w:val="24"/>
        </w:rPr>
        <w:t>на Европейския парламент и на Съвета</w:t>
      </w:r>
      <w:r>
        <w:rPr>
          <w:rStyle w:val="FootnoteReference"/>
          <w:rFonts w:ascii="Times New Roman" w:hAnsi="Times New Roman"/>
          <w:noProof/>
          <w:sz w:val="24"/>
          <w:lang w:eastAsia="en-GB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на Комисията се предоставя правомощието да приема при необходимост делегирани актове в съответствие с член 8: </w:t>
      </w:r>
    </w:p>
    <w:p>
      <w:pPr>
        <w:pStyle w:val="ListParagraph"/>
        <w:numPr>
          <w:ilvl w:val="0"/>
          <w:numId w:val="8"/>
        </w:numPr>
        <w:spacing w:before="120" w:after="0" w:line="276" w:lineRule="auto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за да актуализира част 1 от приложение I, единствено с цел отчитане на икономическото и техническото развитие, с изключение на всякакви промени по отношение на незадължителния характер на изискваната информация;</w:t>
      </w:r>
    </w:p>
    <w:p>
      <w:pPr>
        <w:pStyle w:val="ListParagraph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за да адаптира приложения II—VII с цел отчитане на икономическото и техническото развитие. </w:t>
      </w:r>
    </w:p>
    <w:p>
      <w:pPr>
        <w:spacing w:before="240"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Съгласно член 3, параграф 4 от същия регламент при упражняването на това правомощие Комисията трябва да гарантира, че приеманите от нея делегирани актове не налагат значителна допълнителна административна тежест на държавите членки или респондентите.</w:t>
      </w:r>
    </w:p>
    <w:p>
      <w:pPr>
        <w:keepNext/>
        <w:numPr>
          <w:ilvl w:val="0"/>
          <w:numId w:val="7"/>
        </w:numPr>
        <w:shd w:val="clear" w:color="auto" w:fill="FFFFFF"/>
        <w:spacing w:before="480" w:after="120" w:line="240" w:lineRule="auto"/>
        <w:jc w:val="both"/>
        <w:outlineLvl w:val="0"/>
        <w:rPr>
          <w:rFonts w:ascii="Times New Roman Bold" w:hAnsi="Times New Roman Bold" w:hint="eastAsia"/>
          <w:b/>
          <w:bCs/>
          <w:caps/>
          <w:noProof/>
          <w:sz w:val="24"/>
          <w:szCs w:val="28"/>
        </w:rPr>
      </w:pPr>
      <w:r>
        <w:rPr>
          <w:rFonts w:ascii="Times New Roman Bold" w:hAnsi="Times New Roman Bold"/>
          <w:b/>
          <w:bCs/>
          <w:caps/>
          <w:noProof/>
          <w:sz w:val="24"/>
          <w:szCs w:val="28"/>
        </w:rPr>
        <w:t>Правно основание</w:t>
      </w:r>
    </w:p>
    <w:p>
      <w:pPr>
        <w:spacing w:before="240"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Съгласно член 8, параграф 2 от Регламент (ЕС) № 70/2012 правомощието да приема делегирани актове, посочено в член 3, параграф 4, се предоставя на Комисията за срок от 5 години, считано от 23 февруари 2012 г. Делегирането на правомощия се продължава мълчаливо за срокове от 5 години, освен ако Европейският парламент или Съветът възрази срещу подобно продължаване. </w:t>
      </w:r>
    </w:p>
    <w:p>
      <w:pPr>
        <w:spacing w:before="240"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Комисията трябва да изготви доклад относно делегирането на правомощия не по-късно от 9 месеца преди изтичането на 5-годишния срок. </w:t>
      </w:r>
    </w:p>
    <w:p>
      <w:pPr>
        <w:spacing w:before="240"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Комисията представи първия си доклад през 2016 г.</w:t>
      </w:r>
      <w:r>
        <w:rPr>
          <w:rStyle w:val="FootnoteReference"/>
          <w:rFonts w:ascii="Times New Roman" w:hAnsi="Times New Roman"/>
          <w:noProof/>
          <w:sz w:val="24"/>
          <w:lang w:eastAsia="en-GB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Делегираното правомощие бе автоматично продължено за още 5 години от февруари 2017 г. до февруари 2022 г., тъй като то не бе оттеглено от Европейския парламент или Съвета по реда на член 8, параграф 3.</w:t>
      </w:r>
    </w:p>
    <w:p>
      <w:pPr>
        <w:spacing w:before="240"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 настоящия доклад се изпълнява задължението на Комисията да изготви втори доклад относно упражняването на правомощието ѝ да приема делегирани актове.</w:t>
      </w:r>
    </w:p>
    <w:p>
      <w:pPr>
        <w:keepNext/>
        <w:numPr>
          <w:ilvl w:val="0"/>
          <w:numId w:val="7"/>
        </w:numPr>
        <w:shd w:val="clear" w:color="auto" w:fill="FFFFFF"/>
        <w:spacing w:before="480" w:after="0" w:line="240" w:lineRule="auto"/>
        <w:jc w:val="both"/>
        <w:outlineLvl w:val="0"/>
        <w:rPr>
          <w:rFonts w:ascii="Times New Roman Bold" w:eastAsia="Times New Roman" w:hAnsi="Times New Roman Bold"/>
          <w:b/>
          <w:bCs/>
          <w:caps/>
          <w:noProof/>
          <w:sz w:val="24"/>
          <w:szCs w:val="28"/>
        </w:rPr>
      </w:pPr>
      <w:r>
        <w:rPr>
          <w:rFonts w:ascii="Times New Roman Bold" w:hAnsi="Times New Roman Bold"/>
          <w:b/>
          <w:bCs/>
          <w:caps/>
          <w:noProof/>
          <w:sz w:val="24"/>
          <w:szCs w:val="28"/>
        </w:rPr>
        <w:t>Упражняване на делегирането</w:t>
      </w:r>
    </w:p>
    <w:p>
      <w:pPr>
        <w:spacing w:before="240"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Комисията все още не е упражнявала правомощието за приемане на делегирани актове, предоставено ѝ с Регламент (ЕС) № 70/2012.</w:t>
      </w:r>
    </w:p>
    <w:p>
      <w:pPr>
        <w:spacing w:before="240" w:after="24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Комисията редовно обсъжда с държавите членки евентуални подобрения на статистиката за товарния автомобилен транспорт в контекста на техническото развитие и новите икономически, екологични и обществени изисквания. Комисията, заедно с Експертната група по статистиката за товарния автомобилен транспорт и </w:t>
      </w:r>
      <w:r>
        <w:rPr>
          <w:rFonts w:ascii="Times New Roman" w:hAnsi="Times New Roman"/>
          <w:noProof/>
          <w:sz w:val="24"/>
          <w:szCs w:val="24"/>
        </w:rPr>
        <w:t>Координационната група по статистиката за транспорта, обмисля подобрения на</w:t>
      </w:r>
      <w:r>
        <w:rPr>
          <w:rFonts w:ascii="Times New Roman" w:hAnsi="Times New Roman"/>
          <w:noProof/>
          <w:sz w:val="24"/>
        </w:rPr>
        <w:t xml:space="preserve"> статистиката за товарния автомобилен транспорт, като отчита потенциалните разходи и тежест за държавите и респондентите.</w:t>
      </w:r>
    </w:p>
    <w:p>
      <w:pPr>
        <w:spacing w:after="12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Статистическите потребности в контекста на стратегията за устойчива и интелигентна мобилност</w:t>
      </w:r>
      <w:r>
        <w:rPr>
          <w:rStyle w:val="FootnoteReference"/>
          <w:rFonts w:ascii="Times New Roman" w:hAnsi="Times New Roman"/>
          <w:noProof/>
          <w:sz w:val="24"/>
          <w:szCs w:val="24"/>
          <w:lang w:eastAsia="de-DE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 и инициативите на политиката, изложени в съобщението на Комисията относно Европейския зелен пакт</w:t>
      </w:r>
      <w:r>
        <w:rPr>
          <w:rStyle w:val="FootnoteReference"/>
          <w:rFonts w:ascii="Times New Roman" w:hAnsi="Times New Roman"/>
          <w:noProof/>
          <w:sz w:val="24"/>
          <w:szCs w:val="24"/>
          <w:lang w:eastAsia="de-DE"/>
        </w:rPr>
        <w:footnoteReference w:id="4"/>
      </w:r>
      <w:r>
        <w:rPr>
          <w:rFonts w:ascii="Times New Roman" w:hAnsi="Times New Roman"/>
          <w:noProof/>
          <w:sz w:val="24"/>
          <w:szCs w:val="24"/>
        </w:rPr>
        <w:t>, може да наложат Комисията да приема делегирани актове, за да адаптира горепосочените приложения към</w:t>
      </w:r>
      <w:r>
        <w:rPr>
          <w:rFonts w:ascii="Times New Roman" w:hAnsi="Times New Roman"/>
          <w:noProof/>
          <w:sz w:val="24"/>
        </w:rPr>
        <w:t xml:space="preserve"> Регламент (ЕС) № 70/2012</w:t>
      </w:r>
      <w:r>
        <w:rPr>
          <w:rFonts w:ascii="Times New Roman" w:hAnsi="Times New Roman"/>
          <w:noProof/>
          <w:sz w:val="24"/>
          <w:szCs w:val="24"/>
        </w:rPr>
        <w:t xml:space="preserve"> с цел отчитане на икономическото и техническото развитие и да подобрява мониторинга на целите и тенденциите на политиката. </w:t>
      </w:r>
    </w:p>
    <w:p>
      <w:pPr>
        <w:keepNext/>
        <w:numPr>
          <w:ilvl w:val="0"/>
          <w:numId w:val="7"/>
        </w:numPr>
        <w:shd w:val="clear" w:color="auto" w:fill="FFFFFF"/>
        <w:spacing w:before="480" w:after="120" w:line="240" w:lineRule="auto"/>
        <w:jc w:val="both"/>
        <w:outlineLvl w:val="0"/>
        <w:rPr>
          <w:rFonts w:ascii="Times New Roman Bold" w:hAnsi="Times New Roman Bold" w:hint="eastAsia"/>
          <w:b/>
          <w:bCs/>
          <w:caps/>
          <w:noProof/>
          <w:sz w:val="24"/>
          <w:szCs w:val="28"/>
        </w:rPr>
      </w:pPr>
      <w:r>
        <w:rPr>
          <w:rFonts w:ascii="Times New Roman Bold" w:hAnsi="Times New Roman Bold"/>
          <w:b/>
          <w:bCs/>
          <w:caps/>
          <w:noProof/>
          <w:sz w:val="24"/>
          <w:szCs w:val="28"/>
        </w:rPr>
        <w:t>Заключения</w:t>
      </w:r>
    </w:p>
    <w:p>
      <w:pPr>
        <w:spacing w:before="240" w:after="12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Комисията все още не е упражнявала своето правомощие за приемане на делегирани актове, предоставено ѝ по силата на Регламент (ЕС) № 70/2012.</w:t>
      </w:r>
    </w:p>
    <w:p>
      <w:pPr>
        <w:spacing w:before="240"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Комисията смята, че</w:t>
      </w:r>
      <w:r>
        <w:rPr>
          <w:rFonts w:ascii="Times New Roman" w:hAnsi="Times New Roman"/>
          <w:noProof/>
          <w:sz w:val="24"/>
        </w:rPr>
        <w:t xml:space="preserve"> следва да продължи да разполага с това делегирано правомощие</w:t>
      </w:r>
      <w:r>
        <w:rPr>
          <w:rFonts w:ascii="Times New Roman" w:hAnsi="Times New Roman"/>
          <w:noProof/>
          <w:sz w:val="24"/>
          <w:szCs w:val="24"/>
        </w:rPr>
        <w:t>, тъй като в бъдеще може да се наложи да приема делегирани актове в подкрепа на развитието в областта на статистиката за товарния автомобилен транспорт.</w:t>
      </w:r>
    </w:p>
    <w:p>
      <w:pPr>
        <w:spacing w:before="240" w:after="0" w:line="276" w:lineRule="auto"/>
        <w:jc w:val="both"/>
        <w:rPr>
          <w:rFonts w:ascii="Times New Roman" w:hAnsi="Times New Roman"/>
          <w:noProof/>
          <w:sz w:val="24"/>
          <w:szCs w:val="24"/>
          <w:lang w:eastAsia="de-DE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860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56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60" w:line="240" w:lineRule="auto"/>
        <w:jc w:val="both"/>
        <w:rPr>
          <w:rFonts w:ascii="Times New Roman" w:hAnsi="Times New Roman"/>
          <w:noProof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Регламент (ЕС) № 70/2012 на Европейския парламент и на Съвета от 18 януари 2012 г. относно статистическите отчети във връзка с автомобилен превоз на товари (OВ L 32, 3.2.2012 г., стр. 1).</w:t>
      </w:r>
    </w:p>
  </w:footnote>
  <w:footnote w:id="2">
    <w:p>
      <w:pPr>
        <w:pStyle w:val="FootnoteText"/>
        <w:spacing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Доклад на Комисията до Европейския парламент и Съвета относно упражняването на правомощието за приемане на делегирани актове, предоставено на Комисията по силата на Регламент (ЕС) № 70/2012 от 18 януари 2012 г. относно статистическите отчети във връзка с автомобилен превоз на товари (COM(2016) 562 final, 12.9.2016 г.).</w:t>
      </w:r>
    </w:p>
  </w:footnote>
  <w:footnote w:id="3">
    <w:p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COM(2020) 789 final.</w:t>
      </w:r>
    </w:p>
  </w:footnote>
  <w:footnote w:id="4">
    <w:p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COM(2019) 640 final.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10C4"/>
    <w:multiLevelType w:val="hybridMultilevel"/>
    <w:tmpl w:val="E15881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55F3"/>
    <w:multiLevelType w:val="hybridMultilevel"/>
    <w:tmpl w:val="2CAE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AF2"/>
    <w:multiLevelType w:val="hybridMultilevel"/>
    <w:tmpl w:val="23CCC4EE"/>
    <w:lvl w:ilvl="0" w:tplc="01EC09CE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3">
    <w:nsid w:val="33172DD4"/>
    <w:multiLevelType w:val="hybridMultilevel"/>
    <w:tmpl w:val="B3B24934"/>
    <w:lvl w:ilvl="0" w:tplc="428A1060">
      <w:numFmt w:val="bullet"/>
      <w:lvlText w:val="-"/>
      <w:lvlJc w:val="left"/>
      <w:pPr>
        <w:ind w:left="121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355F3A3C"/>
    <w:multiLevelType w:val="hybridMultilevel"/>
    <w:tmpl w:val="0B1CA37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6412804"/>
    <w:multiLevelType w:val="hybridMultilevel"/>
    <w:tmpl w:val="9906E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C207B"/>
    <w:multiLevelType w:val="hybridMultilevel"/>
    <w:tmpl w:val="6BA88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907E4DF1-C7C3-4777-8322-C5BF8108ADCF"/>
    <w:docVar w:name="LW_COVERPAGE_TYPE" w:val="1"/>
    <w:docVar w:name="LW_CROSSREFERENCE" w:val="&lt;UNUSED&gt;"/>
    <w:docVar w:name="LW_DocType" w:val="NORMAL"/>
    <w:docVar w:name="LW_EMISSION" w:val="14.4.2021"/>
    <w:docVar w:name="LW_EMISSION_ISODATE" w:val="2021-04-14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1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56?\u1077?\u1075?\u1083?\u1072?\u1084?\u1077?\u1085?\u1090? (\u1045?\u1057?) \u8470? 70/2012 \u1085?\u1072? \u1045?\u1074?\u1088?\u1086?\u1087?\u1077?\u1081?\u1089?\u1082?\u1080?\u1103? \u1087?\u1072?\u1088?\u1083?\u1072?\u1084?\u1077?\u1085?\u1090? \u1080? \u1085?\u1072? \u1057?\u1098?\u1074?\u1077?\u1090?\u1072?&lt;/FMT&gt; &lt;FMT:Bold&gt;\u1086?\u1090? 18 \u1103?\u1085?\u1091?\u1072?\u1088?\u1080? 2012 \u1075?. \u1086?\u1090?\u1085?\u1086?\u1089?\u1085?\u1086? \u1089?\u1090?\u1072?\u1090?\u1080?\u1089?\u1090?\u1080?\u1095?\u1077?\u1089?\u1082?\u1080?\u1090?\u1077? \u1086?\u1090?\u1095?\u1077?\u1090?\u1080? \u1074?\u1098?\u1074? \u1074?\u1088?\u1098?\u1079?\u1082?\u1072? \u1089? \u1072?\u1074?\u1090?\u1086?\u1084?\u1086?\u1073?\u1080?\u1083?\u1077?\u1085? \u1087?\u1088?\u1077?\u1074?\u1086?\u1079? \u1085?\u1072? \u1090?\u1086?\u1074?\u1072?\u1088?\u1080?&lt;/FMT&gt;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semiHidden/>
    <w:unhideWhenUsed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semiHidden/>
    <w:unhideWhenUsed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DA8177B-D84D-4C42-B16F-D0FD2F59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2976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Road_2921 Report_Exercise power to adopt delegated acts</vt:lpstr>
    </vt:vector>
  </TitlesOfParts>
  <Manager/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Road_2921 Report_Exercise power to adopt delegated acts</dc:title>
  <dc:subject>Road_2921 Report_Exercise power to adopt delegated acts</dc:subject>
  <dc:creator/>
  <cp:keywords/>
  <dc:description/>
  <cp:lastModifiedBy>DIGIT/C6</cp:lastModifiedBy>
  <cp:revision>15</cp:revision>
  <dcterms:created xsi:type="dcterms:W3CDTF">2021-03-17T14:07:00Z</dcterms:created>
  <dcterms:modified xsi:type="dcterms:W3CDTF">2021-03-30T15:56:00Z</dcterms:modified>
  <cp:category>Road freight transport statistics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7.0.1, Build 20190916</vt:lpwstr>
  </property>
  <property fmtid="{D5CDD505-2E9C-101B-9397-08002B2CF9AE}" pid="8" name="Created using">
    <vt:lpwstr>LW 7.0.1, Build 20190916</vt:lpwstr>
  </property>
</Properties>
</file>