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D853373-6E02-42A9-8092-F81671B83EAC" style="width:450.75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b/>
          <w:noProof/>
          <w:sz w:val="24"/>
          <w:lang w:eastAsia="en-GB"/>
        </w:rPr>
      </w:pPr>
      <w:bookmarkStart w:id="1" w:name="_GoBack"/>
      <w:bookmarkEnd w:id="1"/>
      <w:r>
        <w:rPr>
          <w:rFonts w:ascii="Times New Roman" w:hAnsi="Times New Roman"/>
          <w:b/>
          <w:noProof/>
          <w:sz w:val="24"/>
          <w:lang w:eastAsia="en-GB"/>
        </w:rPr>
        <w:lastRenderedPageBreak/>
        <w:t>REPORT FROM THE COMMISSION TO THE EUROPEAN PARLIAMENT AND THE COUNCIL</w:t>
      </w:r>
    </w:p>
    <w:p>
      <w:pPr>
        <w:spacing w:before="360" w:after="360" w:line="240" w:lineRule="auto"/>
        <w:jc w:val="center"/>
        <w:rPr>
          <w:rFonts w:ascii="Times New Roman" w:hAnsi="Times New Roman"/>
          <w:b/>
          <w:noProof/>
          <w:sz w:val="24"/>
          <w:lang w:eastAsia="en-GB"/>
        </w:rPr>
      </w:pPr>
      <w:r>
        <w:rPr>
          <w:rFonts w:ascii="Times New Roman" w:hAnsi="Times New Roman"/>
          <w:b/>
          <w:noProof/>
          <w:sz w:val="24"/>
          <w:lang w:eastAsia="en-GB"/>
        </w:rPr>
        <w:t xml:space="preserve">on the exercise of the power to adopt delegated acts conferred on the Commission pursuant to Regulation (EU) No 70/2012 </w:t>
      </w:r>
      <w:r>
        <w:rPr>
          <w:rFonts w:ascii="Times New Roman" w:eastAsia="Times New Roman" w:hAnsi="Times New Roman" w:cs="Times New Roman"/>
          <w:b/>
          <w:noProof/>
          <w:sz w:val="24"/>
          <w:szCs w:val="24"/>
          <w:lang w:val="en-US" w:eastAsia="fr-BE"/>
        </w:rPr>
        <w:t>of the European Parliament and of the Council</w:t>
      </w:r>
      <w:r>
        <w:rPr>
          <w:rFonts w:ascii="Times New Roman" w:eastAsia="Times New Roman" w:hAnsi="Times New Roman" w:cs="Times New Roman"/>
          <w:noProof/>
          <w:sz w:val="24"/>
          <w:szCs w:val="24"/>
          <w:lang w:val="en-US" w:eastAsia="fr-BE"/>
        </w:rPr>
        <w:t xml:space="preserve"> </w:t>
      </w:r>
      <w:r>
        <w:rPr>
          <w:rFonts w:ascii="Times New Roman" w:eastAsia="Times New Roman" w:hAnsi="Times New Roman" w:cs="Times New Roman"/>
          <w:b/>
          <w:noProof/>
          <w:sz w:val="24"/>
          <w:szCs w:val="24"/>
          <w:lang w:val="en-US" w:eastAsia="fr-BE"/>
        </w:rPr>
        <w:t xml:space="preserve">of 18 January 2012 </w:t>
      </w:r>
      <w:r>
        <w:rPr>
          <w:rFonts w:ascii="Times New Roman" w:hAnsi="Times New Roman"/>
          <w:b/>
          <w:noProof/>
          <w:sz w:val="24"/>
          <w:lang w:eastAsia="en-GB"/>
        </w:rPr>
        <w:t>on statistical returns in respect of the carriage of goods by road</w:t>
      </w:r>
    </w:p>
    <w:p>
      <w:pPr>
        <w:keepNext/>
        <w:numPr>
          <w:ilvl w:val="0"/>
          <w:numId w:val="7"/>
        </w:numPr>
        <w:shd w:val="clear" w:color="auto" w:fill="FFFFFF"/>
        <w:spacing w:before="720" w:after="120" w:line="240" w:lineRule="auto"/>
        <w:jc w:val="both"/>
        <w:outlineLvl w:val="0"/>
        <w:rPr>
          <w:rFonts w:ascii="Times New Roman Bold" w:hAnsi="Times New Roman Bold" w:hint="eastAsia"/>
          <w:b/>
          <w:bCs/>
          <w:caps/>
          <w:noProof/>
          <w:sz w:val="24"/>
          <w:szCs w:val="28"/>
        </w:rPr>
      </w:pPr>
      <w:r>
        <w:rPr>
          <w:rFonts w:ascii="Times New Roman Bold" w:hAnsi="Times New Roman Bold"/>
          <w:b/>
          <w:bCs/>
          <w:caps/>
          <w:noProof/>
          <w:sz w:val="24"/>
          <w:szCs w:val="28"/>
        </w:rPr>
        <w:t>Introduction</w:t>
      </w:r>
    </w:p>
    <w:p>
      <w:pPr>
        <w:spacing w:before="240" w:after="0" w:line="276" w:lineRule="auto"/>
        <w:jc w:val="both"/>
        <w:rPr>
          <w:rFonts w:ascii="Times New Roman" w:hAnsi="Times New Roman"/>
          <w:noProof/>
          <w:sz w:val="24"/>
          <w:lang w:eastAsia="en-GB"/>
        </w:rPr>
      </w:pPr>
      <w:r>
        <w:rPr>
          <w:rFonts w:ascii="Times New Roman" w:hAnsi="Times New Roman"/>
          <w:noProof/>
          <w:sz w:val="24"/>
          <w:lang w:eastAsia="en-GB"/>
        </w:rPr>
        <w:t xml:space="preserve">Article 3(4) of Regulation (EU) No 70/2012 </w:t>
      </w:r>
      <w:r>
        <w:rPr>
          <w:rFonts w:ascii="Times New Roman" w:eastAsia="Calibri" w:hAnsi="Times New Roman" w:cs="Times New Roman"/>
          <w:noProof/>
          <w:sz w:val="24"/>
          <w:szCs w:val="24"/>
          <w:lang w:eastAsia="en-US"/>
        </w:rPr>
        <w:t>of the European Parliament and of the Council</w:t>
      </w:r>
      <w:r>
        <w:rPr>
          <w:rStyle w:val="FootnoteReference"/>
          <w:rFonts w:ascii="Times New Roman" w:hAnsi="Times New Roman"/>
          <w:noProof/>
          <w:sz w:val="24"/>
          <w:lang w:eastAsia="en-GB"/>
        </w:rPr>
        <w:footnoteReference w:id="1"/>
      </w:r>
      <w:r>
        <w:rPr>
          <w:rFonts w:ascii="Times New Roman" w:hAnsi="Times New Roman"/>
          <w:noProof/>
          <w:sz w:val="24"/>
          <w:lang w:eastAsia="en-GB"/>
        </w:rPr>
        <w:t xml:space="preserve"> empowers the Commission to adopt, where necessary, delegated acts in accordance with Article 8 to: </w:t>
      </w:r>
    </w:p>
    <w:p>
      <w:pPr>
        <w:pStyle w:val="ListParagraph"/>
        <w:numPr>
          <w:ilvl w:val="0"/>
          <w:numId w:val="8"/>
        </w:numPr>
        <w:spacing w:before="120" w:after="0" w:line="276" w:lineRule="auto"/>
        <w:ind w:left="709" w:hanging="283"/>
        <w:jc w:val="both"/>
        <w:rPr>
          <w:rFonts w:ascii="Times New Roman" w:hAnsi="Times New Roman"/>
          <w:noProof/>
          <w:sz w:val="24"/>
          <w:lang w:eastAsia="en-GB"/>
        </w:rPr>
      </w:pPr>
      <w:r>
        <w:rPr>
          <w:rFonts w:ascii="Times New Roman" w:hAnsi="Times New Roman"/>
          <w:noProof/>
          <w:sz w:val="24"/>
          <w:lang w:eastAsia="en-GB"/>
        </w:rPr>
        <w:t>update Part 1 of Annex I, solely in order to take account of economic and technical developments, except for any modifications to the optional nature of the required information;</w:t>
      </w:r>
    </w:p>
    <w:p>
      <w:pPr>
        <w:pStyle w:val="ListParagraph"/>
        <w:numPr>
          <w:ilvl w:val="0"/>
          <w:numId w:val="8"/>
        </w:numPr>
        <w:spacing w:before="120" w:after="0" w:line="276" w:lineRule="auto"/>
        <w:ind w:left="709" w:hanging="284"/>
        <w:contextualSpacing w:val="0"/>
        <w:jc w:val="both"/>
        <w:rPr>
          <w:rFonts w:ascii="Times New Roman" w:hAnsi="Times New Roman"/>
          <w:noProof/>
          <w:sz w:val="24"/>
          <w:lang w:eastAsia="en-GB"/>
        </w:rPr>
      </w:pPr>
      <w:r>
        <w:rPr>
          <w:rFonts w:ascii="Times New Roman" w:hAnsi="Times New Roman"/>
          <w:noProof/>
          <w:sz w:val="24"/>
          <w:lang w:eastAsia="en-GB"/>
        </w:rPr>
        <w:t xml:space="preserve">adapt Annexes II to VII to take account of economic and technical developments. </w:t>
      </w:r>
    </w:p>
    <w:p>
      <w:pPr>
        <w:spacing w:before="240" w:after="0" w:line="276" w:lineRule="auto"/>
        <w:jc w:val="both"/>
        <w:rPr>
          <w:rFonts w:ascii="Times New Roman" w:hAnsi="Times New Roman"/>
          <w:noProof/>
          <w:sz w:val="24"/>
          <w:lang w:eastAsia="en-GB"/>
        </w:rPr>
      </w:pPr>
      <w:r>
        <w:rPr>
          <w:rFonts w:ascii="Times New Roman" w:hAnsi="Times New Roman"/>
          <w:noProof/>
          <w:sz w:val="24"/>
          <w:lang w:eastAsia="en-GB"/>
        </w:rPr>
        <w:t>Under Article 3(4) of the same Regulation, when exercising that power, the Commission must ensure that any delegated acts it adopts do not impose significant additional administrative burdens on the Member States or respondents.</w:t>
      </w:r>
    </w:p>
    <w:p>
      <w:pPr>
        <w:keepNext/>
        <w:numPr>
          <w:ilvl w:val="0"/>
          <w:numId w:val="7"/>
        </w:numPr>
        <w:shd w:val="clear" w:color="auto" w:fill="FFFFFF"/>
        <w:spacing w:before="480" w:after="120" w:line="240" w:lineRule="auto"/>
        <w:jc w:val="both"/>
        <w:outlineLvl w:val="0"/>
        <w:rPr>
          <w:rFonts w:ascii="Times New Roman Bold" w:hAnsi="Times New Roman Bold" w:hint="eastAsia"/>
          <w:b/>
          <w:bCs/>
          <w:caps/>
          <w:noProof/>
          <w:sz w:val="24"/>
          <w:szCs w:val="28"/>
        </w:rPr>
      </w:pPr>
      <w:r>
        <w:rPr>
          <w:rFonts w:ascii="Times New Roman Bold" w:hAnsi="Times New Roman Bold"/>
          <w:b/>
          <w:bCs/>
          <w:caps/>
          <w:noProof/>
          <w:sz w:val="24"/>
          <w:szCs w:val="28"/>
        </w:rPr>
        <w:t>Legal Basis</w:t>
      </w:r>
    </w:p>
    <w:p>
      <w:pPr>
        <w:spacing w:before="240" w:after="0" w:line="276" w:lineRule="auto"/>
        <w:jc w:val="both"/>
        <w:rPr>
          <w:rFonts w:ascii="Times New Roman" w:hAnsi="Times New Roman"/>
          <w:noProof/>
          <w:sz w:val="24"/>
          <w:lang w:eastAsia="en-GB"/>
        </w:rPr>
      </w:pPr>
      <w:r>
        <w:rPr>
          <w:rFonts w:ascii="Times New Roman" w:hAnsi="Times New Roman"/>
          <w:noProof/>
          <w:sz w:val="24"/>
          <w:lang w:eastAsia="en-GB"/>
        </w:rPr>
        <w:t xml:space="preserve">Under Article 8(2) of Regulation (EU) No 70/2012, the power to adopt delegated acts referred to in Article 3(4) is conferred on the Commission for a period of 5 years from 23 February 2012. The delegation of power is to be tacitly extended for periods of 5 years, unless the European Parliament or the Council opposes such extension. </w:t>
      </w:r>
    </w:p>
    <w:p>
      <w:pPr>
        <w:spacing w:before="240" w:after="0" w:line="276" w:lineRule="auto"/>
        <w:jc w:val="both"/>
        <w:rPr>
          <w:rFonts w:ascii="Times New Roman" w:hAnsi="Times New Roman"/>
          <w:noProof/>
          <w:sz w:val="24"/>
          <w:lang w:eastAsia="en-GB"/>
        </w:rPr>
      </w:pPr>
      <w:r>
        <w:rPr>
          <w:rFonts w:ascii="Times New Roman" w:hAnsi="Times New Roman"/>
          <w:noProof/>
          <w:sz w:val="24"/>
          <w:lang w:eastAsia="en-GB"/>
        </w:rPr>
        <w:t xml:space="preserve">The Commission must draw up a report in respect of the delegation of power not later than 9 months before the end of the 5-year period. </w:t>
      </w:r>
    </w:p>
    <w:p>
      <w:pPr>
        <w:spacing w:before="240" w:after="0" w:line="276" w:lineRule="auto"/>
        <w:jc w:val="both"/>
        <w:rPr>
          <w:rFonts w:ascii="Times New Roman" w:hAnsi="Times New Roman"/>
          <w:noProof/>
          <w:sz w:val="24"/>
          <w:lang w:eastAsia="en-GB"/>
        </w:rPr>
      </w:pPr>
      <w:r>
        <w:rPr>
          <w:rFonts w:ascii="Times New Roman" w:hAnsi="Times New Roman"/>
          <w:noProof/>
          <w:sz w:val="24"/>
          <w:lang w:eastAsia="en-GB"/>
        </w:rPr>
        <w:t>The Commission submitted a first report in 2016</w:t>
      </w:r>
      <w:r>
        <w:rPr>
          <w:rStyle w:val="FootnoteReference"/>
          <w:rFonts w:ascii="Times New Roman" w:hAnsi="Times New Roman"/>
          <w:noProof/>
          <w:sz w:val="24"/>
          <w:lang w:eastAsia="en-GB"/>
        </w:rPr>
        <w:footnoteReference w:id="2"/>
      </w:r>
      <w:r>
        <w:rPr>
          <w:rFonts w:ascii="Times New Roman" w:hAnsi="Times New Roman"/>
          <w:noProof/>
          <w:sz w:val="24"/>
          <w:lang w:eastAsia="en-GB"/>
        </w:rPr>
        <w:t>. The delegation of power was automatically extended for another 5 years from February 2017 to February 2022, as the Parliament or the Council did not revoke it pursuant to Article 8(3).</w:t>
      </w:r>
    </w:p>
    <w:p>
      <w:pPr>
        <w:spacing w:before="240" w:after="0" w:line="276" w:lineRule="auto"/>
        <w:jc w:val="both"/>
        <w:rPr>
          <w:rFonts w:ascii="Times New Roman" w:hAnsi="Times New Roman"/>
          <w:noProof/>
          <w:sz w:val="24"/>
          <w:lang w:eastAsia="en-GB"/>
        </w:rPr>
      </w:pPr>
      <w:r>
        <w:rPr>
          <w:rFonts w:ascii="Times New Roman" w:hAnsi="Times New Roman"/>
          <w:noProof/>
          <w:sz w:val="24"/>
          <w:lang w:eastAsia="en-GB"/>
        </w:rPr>
        <w:t>This report fulfils the Commission’s obligation to draw up a second report on the exercise of its power to adopt delegated acts.</w:t>
      </w:r>
    </w:p>
    <w:p>
      <w:pPr>
        <w:keepNext/>
        <w:numPr>
          <w:ilvl w:val="0"/>
          <w:numId w:val="7"/>
        </w:numPr>
        <w:shd w:val="clear" w:color="auto" w:fill="FFFFFF"/>
        <w:spacing w:before="480" w:after="0" w:line="240" w:lineRule="auto"/>
        <w:jc w:val="both"/>
        <w:outlineLvl w:val="0"/>
        <w:rPr>
          <w:rFonts w:ascii="Times New Roman Bold" w:eastAsia="Times New Roman" w:hAnsi="Times New Roman Bold"/>
          <w:b/>
          <w:bCs/>
          <w:caps/>
          <w:noProof/>
          <w:sz w:val="24"/>
          <w:szCs w:val="28"/>
          <w:lang w:eastAsia="en-GB"/>
        </w:rPr>
      </w:pPr>
      <w:r>
        <w:rPr>
          <w:rFonts w:ascii="Times New Roman Bold" w:hAnsi="Times New Roman Bold"/>
          <w:b/>
          <w:bCs/>
          <w:caps/>
          <w:noProof/>
          <w:sz w:val="24"/>
          <w:szCs w:val="28"/>
        </w:rPr>
        <w:t>Exercise of the Delegation</w:t>
      </w:r>
    </w:p>
    <w:p>
      <w:pPr>
        <w:spacing w:before="240" w:after="0" w:line="276" w:lineRule="auto"/>
        <w:jc w:val="both"/>
        <w:rPr>
          <w:rFonts w:ascii="Times New Roman" w:hAnsi="Times New Roman"/>
          <w:noProof/>
          <w:sz w:val="24"/>
          <w:lang w:eastAsia="en-GB"/>
        </w:rPr>
      </w:pPr>
      <w:r>
        <w:rPr>
          <w:rFonts w:ascii="Times New Roman" w:hAnsi="Times New Roman"/>
          <w:noProof/>
          <w:sz w:val="24"/>
          <w:lang w:eastAsia="en-GB"/>
        </w:rPr>
        <w:t>The Commission has not yet exercised the power to adopt delegated acts conferred on it by Regulation (EU) No 70/2012.</w:t>
      </w:r>
    </w:p>
    <w:p>
      <w:pPr>
        <w:spacing w:before="240" w:after="240" w:line="276" w:lineRule="auto"/>
        <w:jc w:val="both"/>
        <w:rPr>
          <w:rFonts w:ascii="Times New Roman" w:hAnsi="Times New Roman"/>
          <w:noProof/>
          <w:sz w:val="24"/>
          <w:lang w:eastAsia="en-GB"/>
        </w:rPr>
      </w:pPr>
      <w:r>
        <w:rPr>
          <w:rFonts w:ascii="Times New Roman" w:hAnsi="Times New Roman"/>
          <w:noProof/>
          <w:sz w:val="24"/>
          <w:lang w:eastAsia="en-GB"/>
        </w:rPr>
        <w:t xml:space="preserve">The Commission regularly discusses possible improvements to road freight transport statistics with the Member States, in the context of technical developments and new economic, environmental and societal requirements. The Commission, together with the Expert Group on Road Freight Transport Statistics and the </w:t>
      </w:r>
      <w:r>
        <w:rPr>
          <w:rFonts w:ascii="Times New Roman" w:hAnsi="Times New Roman"/>
          <w:noProof/>
          <w:sz w:val="24"/>
          <w:szCs w:val="24"/>
          <w:lang w:eastAsia="de-DE"/>
        </w:rPr>
        <w:t xml:space="preserve">Coordinating Group for Statistics on Transport, consider improvements to </w:t>
      </w:r>
      <w:r>
        <w:rPr>
          <w:rFonts w:ascii="Times New Roman" w:hAnsi="Times New Roman"/>
          <w:noProof/>
          <w:sz w:val="24"/>
          <w:lang w:eastAsia="en-GB"/>
        </w:rPr>
        <w:t>road freight transport statistics, while taking into account potential costs and burdens on countries and respondents.</w:t>
      </w:r>
    </w:p>
    <w:p>
      <w:pPr>
        <w:spacing w:after="120" w:line="276" w:lineRule="auto"/>
        <w:jc w:val="both"/>
        <w:rPr>
          <w:rFonts w:ascii="Times New Roman" w:hAnsi="Times New Roman"/>
          <w:noProof/>
          <w:sz w:val="24"/>
          <w:szCs w:val="24"/>
          <w:lang w:eastAsia="de-DE"/>
        </w:rPr>
      </w:pPr>
      <w:r>
        <w:rPr>
          <w:rFonts w:ascii="Times New Roman" w:hAnsi="Times New Roman"/>
          <w:noProof/>
          <w:sz w:val="24"/>
          <w:szCs w:val="24"/>
          <w:lang w:eastAsia="de-DE"/>
        </w:rPr>
        <w:t>Statistical needs in the context of the Sustainable and Smart Mobility Strategy</w:t>
      </w:r>
      <w:r>
        <w:rPr>
          <w:rStyle w:val="FootnoteReference"/>
          <w:rFonts w:ascii="Times New Roman" w:hAnsi="Times New Roman"/>
          <w:noProof/>
          <w:sz w:val="24"/>
          <w:szCs w:val="24"/>
          <w:lang w:eastAsia="de-DE"/>
        </w:rPr>
        <w:footnoteReference w:id="3"/>
      </w:r>
      <w:r>
        <w:rPr>
          <w:rFonts w:ascii="Times New Roman" w:hAnsi="Times New Roman"/>
          <w:noProof/>
          <w:sz w:val="24"/>
          <w:szCs w:val="24"/>
          <w:lang w:eastAsia="de-DE"/>
        </w:rPr>
        <w:t xml:space="preserve"> and policy initiatives set out in the Commission Communication on the European Green Deal</w:t>
      </w:r>
      <w:r>
        <w:rPr>
          <w:rStyle w:val="FootnoteReference"/>
          <w:rFonts w:ascii="Times New Roman" w:hAnsi="Times New Roman"/>
          <w:noProof/>
          <w:sz w:val="24"/>
          <w:szCs w:val="24"/>
          <w:lang w:eastAsia="de-DE"/>
        </w:rPr>
        <w:footnoteReference w:id="4"/>
      </w:r>
      <w:r>
        <w:rPr>
          <w:rFonts w:ascii="Times New Roman" w:hAnsi="Times New Roman"/>
          <w:noProof/>
          <w:sz w:val="24"/>
          <w:szCs w:val="24"/>
          <w:lang w:eastAsia="de-DE"/>
        </w:rPr>
        <w:t xml:space="preserve"> may require the Commission to adopt delegated acts to adapt the aforementioned Annexes to </w:t>
      </w:r>
      <w:r>
        <w:rPr>
          <w:rFonts w:ascii="Times New Roman" w:hAnsi="Times New Roman"/>
          <w:noProof/>
          <w:sz w:val="24"/>
          <w:lang w:eastAsia="en-GB"/>
        </w:rPr>
        <w:t>Regulation (EU) No 70/2012</w:t>
      </w:r>
      <w:r>
        <w:rPr>
          <w:rFonts w:ascii="Times New Roman" w:hAnsi="Times New Roman"/>
          <w:noProof/>
          <w:sz w:val="24"/>
          <w:szCs w:val="24"/>
          <w:lang w:eastAsia="de-DE"/>
        </w:rPr>
        <w:t xml:space="preserve"> to economic and technical developments and improve monitoring of policy targets and trends. </w:t>
      </w:r>
    </w:p>
    <w:p>
      <w:pPr>
        <w:keepNext/>
        <w:numPr>
          <w:ilvl w:val="0"/>
          <w:numId w:val="7"/>
        </w:numPr>
        <w:shd w:val="clear" w:color="auto" w:fill="FFFFFF"/>
        <w:spacing w:before="480" w:after="120" w:line="240" w:lineRule="auto"/>
        <w:jc w:val="both"/>
        <w:outlineLvl w:val="0"/>
        <w:rPr>
          <w:rFonts w:ascii="Times New Roman Bold" w:hAnsi="Times New Roman Bold" w:hint="eastAsia"/>
          <w:b/>
          <w:bCs/>
          <w:caps/>
          <w:noProof/>
          <w:sz w:val="24"/>
          <w:szCs w:val="28"/>
          <w:lang w:eastAsia="en-GB"/>
        </w:rPr>
      </w:pPr>
      <w:r>
        <w:rPr>
          <w:rFonts w:ascii="Times New Roman Bold" w:hAnsi="Times New Roman Bold"/>
          <w:b/>
          <w:bCs/>
          <w:caps/>
          <w:noProof/>
          <w:sz w:val="24"/>
          <w:szCs w:val="28"/>
        </w:rPr>
        <w:t>Conclusions</w:t>
      </w:r>
    </w:p>
    <w:p>
      <w:pPr>
        <w:spacing w:before="240" w:after="120" w:line="276" w:lineRule="auto"/>
        <w:jc w:val="both"/>
        <w:rPr>
          <w:rFonts w:ascii="Times New Roman" w:hAnsi="Times New Roman"/>
          <w:noProof/>
          <w:sz w:val="24"/>
          <w:lang w:eastAsia="en-GB"/>
        </w:rPr>
      </w:pPr>
      <w:r>
        <w:rPr>
          <w:rFonts w:ascii="Times New Roman" w:hAnsi="Times New Roman"/>
          <w:noProof/>
          <w:sz w:val="24"/>
          <w:lang w:eastAsia="en-GB"/>
        </w:rPr>
        <w:t>The Commission has not yet exercised its power to adopt delegated acts under Regulation (EU) No 70/2012.</w:t>
      </w:r>
    </w:p>
    <w:p>
      <w:pPr>
        <w:spacing w:before="240" w:after="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 xml:space="preserve">The Commission considers that it </w:t>
      </w:r>
      <w:r>
        <w:rPr>
          <w:rFonts w:ascii="Times New Roman" w:hAnsi="Times New Roman"/>
          <w:noProof/>
          <w:sz w:val="24"/>
          <w:lang w:eastAsia="en-GB"/>
        </w:rPr>
        <w:t>should continue to have these delegated powers</w:t>
      </w:r>
      <w:r>
        <w:rPr>
          <w:rFonts w:ascii="Times New Roman" w:eastAsia="Calibri" w:hAnsi="Times New Roman" w:cs="Times New Roman"/>
          <w:noProof/>
          <w:sz w:val="24"/>
          <w:szCs w:val="24"/>
          <w:lang w:eastAsia="en-US"/>
        </w:rPr>
        <w:t>, as it may need to adopt delegated acts in the future to support developments in road freight transport statistics.</w:t>
      </w:r>
    </w:p>
    <w:p>
      <w:pPr>
        <w:spacing w:before="240" w:after="0" w:line="276" w:lineRule="auto"/>
        <w:jc w:val="both"/>
        <w:rPr>
          <w:rFonts w:ascii="Times New Roman" w:hAnsi="Times New Roman"/>
          <w:noProof/>
          <w:sz w:val="24"/>
          <w:szCs w:val="24"/>
          <w:lang w:eastAsia="de-D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860516"/>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356002"/>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line="240" w:lineRule="auto"/>
        <w:jc w:val="both"/>
        <w:rPr>
          <w:rFonts w:ascii="Times New Roman" w:hAnsi="Times New Roman"/>
          <w:noProof/>
          <w:lang w:eastAsia="en-GB"/>
        </w:rPr>
      </w:pPr>
      <w:r>
        <w:rPr>
          <w:rStyle w:val="FootnoteReference"/>
          <w:rFonts w:ascii="Times New Roman" w:hAnsi="Times New Roman"/>
        </w:rPr>
        <w:footnoteRef/>
      </w:r>
      <w:r>
        <w:rPr>
          <w:rFonts w:ascii="Times New Roman" w:hAnsi="Times New Roman"/>
          <w:sz w:val="24"/>
          <w:szCs w:val="24"/>
        </w:rPr>
        <w:t xml:space="preserve"> </w:t>
      </w:r>
      <w:r>
        <w:rPr>
          <w:rFonts w:ascii="Times New Roman" w:hAnsi="Times New Roman"/>
          <w:noProof/>
          <w:lang w:eastAsia="en-GB"/>
        </w:rPr>
        <w:t>Regulation (EU) No 70/2012 of the European Parliament and of the Council of 18 January 2012 on statistical returns in respect of the carriage of goods by road (OJ L 32, 3.2.2012, p. 1).</w:t>
      </w:r>
    </w:p>
  </w:footnote>
  <w:footnote w:id="2">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Report from the Commission to the European Parliament and the Council on the exercise of the power to adopt delegated acts conferred on the Commission under Regulation (EU) No 70/2012 of 18 January 2012 on statistical returns in respect of the carriage of goods by road (COM (2016) 562 final, 12.9.2016).</w:t>
      </w:r>
    </w:p>
  </w:footnote>
  <w:footnote w:id="3">
    <w:p>
      <w:pPr>
        <w:pStyle w:val="FootnoteText"/>
      </w:pPr>
      <w:r>
        <w:rPr>
          <w:rStyle w:val="FootnoteReference"/>
          <w:rFonts w:ascii="Times New Roman" w:hAnsi="Times New Roman"/>
        </w:rPr>
        <w:footnoteRef/>
      </w:r>
      <w:r>
        <w:rPr>
          <w:rFonts w:ascii="Times New Roman" w:hAnsi="Times New Roman"/>
        </w:rPr>
        <w:t xml:space="preserve"> COM(2020) 789 final.</w:t>
      </w:r>
    </w:p>
  </w:footnote>
  <w:footnote w:id="4">
    <w:p>
      <w:pPr>
        <w:pStyle w:val="FootnoteText"/>
      </w:pPr>
      <w:r>
        <w:rPr>
          <w:rStyle w:val="FootnoteReference"/>
          <w:rFonts w:ascii="Times New Roman" w:hAnsi="Times New Roman"/>
        </w:rPr>
        <w:footnoteRef/>
      </w:r>
      <w:r>
        <w:rPr>
          <w:rFonts w:ascii="Times New Roman" w:hAnsi="Times New Roman"/>
        </w:rPr>
        <w:t xml:space="preserve"> COM(2019) 640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0C4"/>
    <w:multiLevelType w:val="hybridMultilevel"/>
    <w:tmpl w:val="E1588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B155F3"/>
    <w:multiLevelType w:val="hybridMultilevel"/>
    <w:tmpl w:val="2CA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63AF2"/>
    <w:multiLevelType w:val="hybridMultilevel"/>
    <w:tmpl w:val="23CCC4EE"/>
    <w:lvl w:ilvl="0" w:tplc="01EC09CE">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3">
    <w:nsid w:val="33172DD4"/>
    <w:multiLevelType w:val="hybridMultilevel"/>
    <w:tmpl w:val="B3B24934"/>
    <w:lvl w:ilvl="0" w:tplc="428A1060">
      <w:numFmt w:val="bullet"/>
      <w:lvlText w:val="-"/>
      <w:lvlJc w:val="left"/>
      <w:pPr>
        <w:ind w:left="1210" w:hanging="360"/>
      </w:pPr>
      <w:rPr>
        <w:rFonts w:ascii="Times New Roman" w:eastAsiaTheme="minorEastAsia"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355F3A3C"/>
    <w:multiLevelType w:val="hybridMultilevel"/>
    <w:tmpl w:val="0B1CA37E"/>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6412804"/>
    <w:multiLevelType w:val="hybridMultilevel"/>
    <w:tmpl w:val="9906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EC207B"/>
    <w:multiLevelType w:val="hybridMultilevel"/>
    <w:tmpl w:val="6BA8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D853373-6E02-42A9-8092-F81671B83EAC"/>
    <w:docVar w:name="LW_COVERPAGE_TYPE" w:val="1"/>
    <w:docVar w:name="LW_CROSSREFERENCE" w:val="&lt;UNUSED&gt;"/>
    <w:docVar w:name="LW_DocType" w:val="NORMAL"/>
    <w:docVar w:name="LW_EMISSION" w:val="14.4.2021"/>
    <w:docVar w:name="LW_EMISSION_ISODATE" w:val="2021-04-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Regulation (EU) No 70/2012 &lt;FMT:Bold&gt;of the European Parliament and of the Council &lt;/FMT&gt;of 18 January 2012 on statistical returns in respect of the carriage of goods by roa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8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79648BB-5960-425C-8420-CFB48E70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512</Words>
  <Characters>2696</Characters>
  <Application>Microsoft Office Word</Application>
  <DocSecurity>0</DocSecurity>
  <Lines>49</Lines>
  <Paragraphs>22</Paragraphs>
  <ScaleCrop>false</ScaleCrop>
  <HeadingPairs>
    <vt:vector size="2" baseType="variant">
      <vt:variant>
        <vt:lpstr>Title</vt:lpstr>
      </vt:variant>
      <vt:variant>
        <vt:i4>1</vt:i4>
      </vt:variant>
    </vt:vector>
  </HeadingPairs>
  <TitlesOfParts>
    <vt:vector size="1" baseType="lpstr">
      <vt:lpstr>Road_2921 Report_Exercise power to adopt delegated acts</vt:lpstr>
    </vt:vector>
  </TitlesOfParts>
  <Manager/>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Road_2921 Report_Exercise power to adopt delegated acts</dc:title>
  <dc:subject>Road_2921 Report_Exercise power to adopt delegated acts</dc:subject>
  <dc:creator/>
  <cp:keywords/>
  <dc:description/>
  <cp:lastModifiedBy>WES PDFC Administrator</cp:lastModifiedBy>
  <cp:revision>14</cp:revision>
  <dcterms:created xsi:type="dcterms:W3CDTF">2021-03-17T14:07:00Z</dcterms:created>
  <dcterms:modified xsi:type="dcterms:W3CDTF">2021-03-30T15:57:00Z</dcterms:modified>
  <cp:category>Road freight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