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68" w:rsidRDefault="004B6DC2" w:rsidP="00AD0E7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353CD87-D890-4E6A-8CC3-F92CFBFDF103" style="width:450pt;height:348.65pt">
            <v:imagedata r:id="rId8" o:title=""/>
          </v:shape>
        </w:pict>
      </w:r>
    </w:p>
    <w:bookmarkEnd w:id="0"/>
    <w:p w:rsidR="003C6A68" w:rsidRDefault="003C6A68">
      <w:pPr>
        <w:rPr>
          <w:noProof/>
        </w:rPr>
        <w:sectPr w:rsidR="003C6A68" w:rsidSect="00AD0E7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C6A68" w:rsidRDefault="00610830">
      <w:pPr>
        <w:rPr>
          <w:rFonts w:ascii="Times New Roman" w:hAnsi="Times New Roman" w:cs="Times New Roman"/>
          <w:noProof/>
          <w:sz w:val="24"/>
          <w:szCs w:val="24"/>
        </w:rPr>
      </w:pPr>
      <w:r>
        <w:rPr>
          <w:rFonts w:ascii="Times New Roman" w:hAnsi="Times New Roman" w:cs="Times New Roman"/>
          <w:noProof/>
          <w:sz w:val="24"/>
          <w:szCs w:val="24"/>
        </w:rPr>
        <w:lastRenderedPageBreak/>
        <w:t>Having regard to:</w:t>
      </w:r>
    </w:p>
    <w:p w:rsidR="003C6A68" w:rsidRDefault="00610830">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rsidR="003C6A68" w:rsidRDefault="00610830">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 (…)</w:t>
      </w:r>
      <w:r>
        <w:rPr>
          <w:rStyle w:val="FootnoteReference"/>
          <w:noProof/>
        </w:rPr>
        <w:footnoteReference w:id="1"/>
      </w:r>
      <w:r>
        <w:rPr>
          <w:noProof/>
        </w:rPr>
        <w:t>, and in particular Article 18 and Article 44(1)(a) thereof,</w:t>
      </w:r>
    </w:p>
    <w:p w:rsidR="003C6A68" w:rsidRDefault="00610830">
      <w:pPr>
        <w:pStyle w:val="Tiret0"/>
        <w:tabs>
          <w:tab w:val="clear" w:pos="850"/>
          <w:tab w:val="num" w:pos="927"/>
        </w:tabs>
        <w:rPr>
          <w:noProof/>
        </w:rPr>
      </w:pPr>
      <w:r>
        <w:rPr>
          <w:noProof/>
        </w:rPr>
        <w:t>the general budget of the European Union for the financial year 2021, as adopted on 18 December 2020</w:t>
      </w:r>
      <w:r>
        <w:rPr>
          <w:rStyle w:val="FootnoteReference"/>
          <w:noProof/>
        </w:rPr>
        <w:footnoteReference w:id="2"/>
      </w:r>
      <w:r>
        <w:rPr>
          <w:noProof/>
        </w:rPr>
        <w:t>,</w:t>
      </w:r>
    </w:p>
    <w:p w:rsidR="003C6A68" w:rsidRDefault="00610830">
      <w:pPr>
        <w:pStyle w:val="Tiret0"/>
        <w:rPr>
          <w:noProof/>
        </w:rPr>
      </w:pPr>
      <w:r>
        <w:rPr>
          <w:noProof/>
        </w:rPr>
        <w:t>draft amending budget No°1/2021</w:t>
      </w:r>
      <w:r>
        <w:rPr>
          <w:rStyle w:val="FootnoteReference"/>
          <w:noProof/>
        </w:rPr>
        <w:footnoteReference w:id="3"/>
      </w:r>
      <w:r>
        <w:rPr>
          <w:noProof/>
        </w:rPr>
        <w:t>, adopted on 22 January 2021,</w:t>
      </w:r>
    </w:p>
    <w:p w:rsidR="003C6A68" w:rsidRDefault="00610830">
      <w:pPr>
        <w:pStyle w:val="Tiret0"/>
        <w:rPr>
          <w:noProof/>
        </w:rPr>
      </w:pPr>
      <w:r>
        <w:rPr>
          <w:noProof/>
        </w:rPr>
        <w:t>draft amending budget No°2/2021</w:t>
      </w:r>
      <w:r>
        <w:rPr>
          <w:rStyle w:val="FootnoteReference"/>
          <w:noProof/>
        </w:rPr>
        <w:footnoteReference w:id="4"/>
      </w:r>
      <w:r>
        <w:rPr>
          <w:noProof/>
        </w:rPr>
        <w:t>, adopted on 24 March 2021,</w:t>
      </w:r>
    </w:p>
    <w:p w:rsidR="003C6A68" w:rsidRDefault="00610830">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 3 to the 2021 budget.</w:t>
      </w:r>
    </w:p>
    <w:p w:rsidR="003C6A68" w:rsidRDefault="003C6A68">
      <w:pPr>
        <w:spacing w:after="0" w:line="240" w:lineRule="auto"/>
        <w:rPr>
          <w:rFonts w:ascii="Times New Roman" w:eastAsia="Times New Roman" w:hAnsi="Times New Roman" w:cs="Times New Roman"/>
          <w:b/>
          <w:noProof/>
          <w:sz w:val="24"/>
          <w:szCs w:val="24"/>
          <w:u w:val="single"/>
          <w:lang w:eastAsia="en-GB"/>
        </w:rPr>
      </w:pPr>
    </w:p>
    <w:p w:rsidR="003C6A68" w:rsidRDefault="00610830">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rsidR="003C6A68" w:rsidRDefault="003C6A68">
      <w:pPr>
        <w:spacing w:after="0" w:line="240" w:lineRule="auto"/>
        <w:rPr>
          <w:rFonts w:ascii="Times New Roman" w:eastAsia="Times New Roman" w:hAnsi="Times New Roman" w:cs="Times New Roman"/>
          <w:b/>
          <w:noProof/>
          <w:sz w:val="24"/>
          <w:szCs w:val="24"/>
          <w:u w:val="single"/>
          <w:lang w:eastAsia="ko-KR"/>
        </w:rPr>
      </w:pPr>
    </w:p>
    <w:p w:rsidR="003C6A68" w:rsidRDefault="00610830">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to the individual section III are available on EUR-Lex (</w:t>
      </w:r>
      <w:hyperlink r:id="rId15"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3C6A68" w:rsidRDefault="003C6A68">
      <w:pPr>
        <w:spacing w:after="0" w:line="240" w:lineRule="auto"/>
        <w:rPr>
          <w:rFonts w:ascii="Times New Roman" w:eastAsia="Times New Roman" w:hAnsi="Times New Roman" w:cs="Times New Roman"/>
          <w:noProof/>
          <w:sz w:val="24"/>
          <w:szCs w:val="24"/>
          <w:lang w:eastAsia="en-GB"/>
        </w:rPr>
        <w:sectPr w:rsidR="003C6A68">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3C6A68" w:rsidRDefault="00610830">
      <w:pPr>
        <w:spacing w:before="120" w:after="360" w:line="240" w:lineRule="auto"/>
        <w:jc w:val="center"/>
        <w:rPr>
          <w:rFonts w:ascii="Times New Roman" w:eastAsia="Times New Roman" w:hAnsi="Times New Roman" w:cs="Times New Roman"/>
          <w:b/>
          <w:noProof/>
          <w:sz w:val="24"/>
          <w:szCs w:val="24"/>
          <w:u w:val="single"/>
          <w:lang w:eastAsia="de-DE"/>
        </w:rPr>
      </w:pPr>
      <w:bookmarkStart w:id="2" w:name="_Toc194220890"/>
      <w:bookmarkStart w:id="3" w:name="_Toc294675429"/>
      <w:bookmarkStart w:id="4" w:name="_Toc378575883"/>
      <w:r>
        <w:rPr>
          <w:rFonts w:ascii="Times New Roman" w:eastAsia="Times New Roman" w:hAnsi="Times New Roman" w:cs="Times New Roman"/>
          <w:b/>
          <w:noProof/>
          <w:sz w:val="24"/>
          <w:szCs w:val="24"/>
          <w:u w:val="single"/>
          <w:lang w:eastAsia="de-DE"/>
        </w:rPr>
        <w:lastRenderedPageBreak/>
        <w:t>EXPLANATORY MEMORANDUM</w:t>
      </w:r>
    </w:p>
    <w:p w:rsidR="003C6A68" w:rsidRDefault="00610830">
      <w:pPr>
        <w:spacing w:after="0" w:line="240" w:lineRule="auto"/>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eastAsia="en-GB"/>
        </w:rPr>
        <w:t>Draft Amending Budget (DAB) No 3/2021 is intended to enter in the 2021 budget the surplus resulting from the implementation of the budget year 2020. As provided for in Article 18(3) of the Financial Regulation applicable to the general budget of the Union</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(“Financial Regulation”)</w:t>
      </w:r>
      <w:r>
        <w:rPr>
          <w:rFonts w:ascii="Times New Roman" w:eastAsia="Times New Roman" w:hAnsi="Times New Roman" w:cs="Times New Roman"/>
          <w:noProof/>
          <w:color w:val="000000"/>
          <w:sz w:val="24"/>
          <w:szCs w:val="24"/>
          <w:lang w:eastAsia="en-GB"/>
        </w:rPr>
        <w:t>,</w:t>
      </w:r>
      <w:r>
        <w:rPr>
          <w:rFonts w:ascii="Times New Roman" w:eastAsia="Times New Roman" w:hAnsi="Times New Roman" w:cs="Times New Roman"/>
          <w:noProof/>
          <w:sz w:val="24"/>
          <w:szCs w:val="24"/>
          <w:lang w:eastAsia="en-GB"/>
        </w:rPr>
        <w:t xml:space="preserve"> the surplus is the only subject of this DAB and it has to be submitted </w:t>
      </w:r>
      <w:r>
        <w:rPr>
          <w:rFonts w:ascii="Times New Roman" w:eastAsia="Times New Roman" w:hAnsi="Times New Roman" w:cs="Times New Roman"/>
          <w:noProof/>
          <w:sz w:val="24"/>
          <w:szCs w:val="24"/>
          <w:lang w:val="en-US" w:eastAsia="en-GB"/>
        </w:rPr>
        <w:t>within 15 days of the submission of the provisional accounts at the end of March 2021.</w:t>
      </w:r>
    </w:p>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The implementation of the budget year 2020 shows a surplus of EUR 1 768 617 610, which is therefore entered as revenue in the 2021 budget.</w:t>
      </w:r>
    </w:p>
    <w:p w:rsidR="003C6A68" w:rsidRDefault="00610830">
      <w:pPr>
        <w:spacing w:before="120" w:after="0" w:line="240" w:lineRule="auto"/>
        <w:ind w:left="5954"/>
        <w:jc w:val="both"/>
        <w:rPr>
          <w:rFonts w:ascii="Times New Roman" w:eastAsia="Times New Roman" w:hAnsi="Times New Roman" w:cs="Times New Roman"/>
          <w:i/>
          <w:noProof/>
          <w:sz w:val="20"/>
          <w:szCs w:val="20"/>
          <w:lang w:eastAsia="de-DE"/>
        </w:rPr>
      </w:pPr>
      <w:r>
        <w:rPr>
          <w:rFonts w:ascii="Times New Roman" w:eastAsia="Times New Roman" w:hAnsi="Times New Roman" w:cs="Times New Roman"/>
          <w:i/>
          <w:noProof/>
          <w:sz w:val="20"/>
          <w:szCs w:val="20"/>
          <w:lang w:eastAsia="de-DE"/>
        </w:rPr>
        <w:t>(in EUR)</w:t>
      </w:r>
    </w:p>
    <w:tbl>
      <w:tblPr>
        <w:tblW w:w="3716" w:type="dxa"/>
        <w:jc w:val="center"/>
        <w:tblLook w:val="04A0" w:firstRow="1" w:lastRow="0" w:firstColumn="1" w:lastColumn="0" w:noHBand="0" w:noVBand="1"/>
      </w:tblPr>
      <w:tblGrid>
        <w:gridCol w:w="2159"/>
        <w:gridCol w:w="1557"/>
      </w:tblGrid>
      <w:tr w:rsidR="003C6A68">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Outturn breakdown 2020</w:t>
            </w:r>
          </w:p>
        </w:tc>
      </w:tr>
      <w:tr w:rsidR="003C6A68">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xml:space="preserve">Surplus Revenue </w:t>
            </w:r>
          </w:p>
        </w:tc>
        <w:tc>
          <w:tcPr>
            <w:tcW w:w="1557" w:type="dxa"/>
            <w:tcBorders>
              <w:top w:val="nil"/>
              <w:left w:val="nil"/>
              <w:bottom w:val="nil"/>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1 647 317 114</w:t>
            </w:r>
          </w:p>
        </w:tc>
      </w:tr>
      <w:tr w:rsidR="003C6A68">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Surplus Expenditure</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121 300 497</w:t>
            </w:r>
          </w:p>
        </w:tc>
      </w:tr>
      <w:tr w:rsidR="003C6A68">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 surplus</w:t>
            </w:r>
          </w:p>
        </w:tc>
        <w:tc>
          <w:tcPr>
            <w:tcW w:w="1557" w:type="dxa"/>
            <w:tcBorders>
              <w:top w:val="nil"/>
              <w:left w:val="nil"/>
              <w:bottom w:val="single" w:sz="4" w:space="0" w:color="auto"/>
              <w:right w:val="single" w:sz="4" w:space="0" w:color="auto"/>
            </w:tcBorders>
            <w:shd w:val="clear" w:color="000000" w:fill="E0E0E0"/>
            <w:vAlign w:val="center"/>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1 768 617 610</w:t>
            </w:r>
          </w:p>
        </w:tc>
      </w:tr>
    </w:tbl>
    <w:bookmarkEnd w:id="2"/>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Budgeting the surplus will reduce the total contribution of the Member States to the financing of the 2021 budget accordingly. The contributions by Member States will also be influenced by the revised own resources forecast which will be available after the meeting of the Advisory Committee on Own Resources later in 2021 and will be included in a subsequent Draft Amending Budget in accordance with Article 44(1)(b) of the Financial Regulation.</w:t>
      </w:r>
    </w:p>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The table below presents a breakdown of the outturn for 2020 in terms of the implementation of revenue:</w:t>
      </w:r>
    </w:p>
    <w:p w:rsidR="003C6A68" w:rsidRDefault="00610830">
      <w:pPr>
        <w:spacing w:before="120" w:after="0" w:line="240" w:lineRule="auto"/>
        <w:ind w:left="850" w:hanging="850"/>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i/>
          <w:noProof/>
          <w:sz w:val="20"/>
          <w:szCs w:val="20"/>
          <w:lang w:eastAsia="de-DE"/>
        </w:rPr>
        <w:t>(in EUR)</w:t>
      </w:r>
    </w:p>
    <w:tbl>
      <w:tblPr>
        <w:tblW w:w="9311" w:type="dxa"/>
        <w:tblInd w:w="720" w:type="dxa"/>
        <w:tblLook w:val="04A0" w:firstRow="1" w:lastRow="0" w:firstColumn="1" w:lastColumn="0" w:noHBand="0" w:noVBand="1"/>
      </w:tblPr>
      <w:tblGrid>
        <w:gridCol w:w="377"/>
        <w:gridCol w:w="4114"/>
        <w:gridCol w:w="1701"/>
        <w:gridCol w:w="1560"/>
        <w:gridCol w:w="1559"/>
      </w:tblGrid>
      <w:tr w:rsidR="003C6A68">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bookmarkEnd w:id="3"/>
          <w:bookmarkEnd w:id="4"/>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noProof/>
                <w:lang w:eastAsia="de-DE"/>
              </w:rPr>
              <w:tab/>
            </w:r>
            <w:r>
              <w:rPr>
                <w:rFonts w:ascii="Times New Roman" w:eastAsia="Times New Roman" w:hAnsi="Times New Roman" w:cs="Times New Roman"/>
                <w:b/>
                <w:bCs/>
                <w:noProof/>
                <w:color w:val="000000"/>
                <w:sz w:val="18"/>
                <w:szCs w:val="18"/>
                <w:lang w:eastAsia="en-GB"/>
              </w:rPr>
              <w:t>Outturn breakdown 2020</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2020 Budget</w:t>
            </w:r>
            <w:r>
              <w:rPr>
                <w:rFonts w:ascii="Times New Roman" w:eastAsia="Times New Roman" w:hAnsi="Times New Roman" w:cs="Times New Roman"/>
                <w:b/>
                <w:bCs/>
                <w:noProof/>
                <w:sz w:val="18"/>
                <w:szCs w:val="18"/>
                <w:lang w:eastAsia="en-GB"/>
              </w:rPr>
              <w:br/>
              <w:t>(incl. AB1-9)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Outturn</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Variation</w:t>
            </w:r>
          </w:p>
        </w:tc>
      </w:tr>
      <w:tr w:rsidR="003C6A68">
        <w:trPr>
          <w:trHeight w:val="27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Sub-total Revenue</w:t>
            </w:r>
          </w:p>
        </w:tc>
        <w:tc>
          <w:tcPr>
            <w:tcW w:w="1701" w:type="dxa"/>
            <w:tcBorders>
              <w:top w:val="nil"/>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164 108 041 747</w:t>
            </w:r>
          </w:p>
        </w:tc>
        <w:tc>
          <w:tcPr>
            <w:tcW w:w="1560" w:type="dxa"/>
            <w:tcBorders>
              <w:top w:val="nil"/>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165 755 358 861</w:t>
            </w:r>
          </w:p>
        </w:tc>
        <w:tc>
          <w:tcPr>
            <w:tcW w:w="1559" w:type="dxa"/>
            <w:tcBorders>
              <w:top w:val="nil"/>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1 647 317 114</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1 - Own resources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159 831 817 731</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160 141 480 962</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309 663 231</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Levies and other duties in the sugar sector</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858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858</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Custom duties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18 507 300 000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19 866 544 097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1 359 244 097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Own resources accruing from VAT</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17 344 303 050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17 191 081 738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-153 221 312</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Own resources based on GNI</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123 980 214 681</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122 944 280 683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-1 035 933 998</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Correction of budgetary imbalances granted to UK</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147 188 637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147 188 637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Gross reduction in the annual GNI-based contribution granted to some MS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-7 615 050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-7 615 050</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3 - Surpluses, balances and adjustments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2 101 773 955</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3 166 819 181</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1 065 045 226</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4 - Persons working with the Institutions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1 651 322 700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1 615 079 910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-36 242 790</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5 - Administrative operation of the institutions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15 050 000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23 804 343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8 754 343</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6 - Refunds in connection with Union agreements and programmes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130 000 000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173 311 140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43 311 140</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7 - Interests on late payments and fines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361 000 000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628 994 739</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267 994 739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8 - Borrowing and lending operations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2 076 361</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-2 076 361</w:t>
            </w:r>
          </w:p>
        </w:tc>
      </w:tr>
      <w:tr w:rsidR="003C6A68">
        <w:trPr>
          <w:trHeight w:val="270"/>
        </w:trPr>
        <w:tc>
          <w:tcPr>
            <w:tcW w:w="377" w:type="dxa"/>
            <w:tcBorders>
              <w:top w:val="nil"/>
              <w:left w:val="single" w:sz="4" w:space="0" w:color="auto"/>
              <w:bottom w:val="single"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Title 9 - Miscellaneous</w:t>
            </w:r>
          </w:p>
        </w:tc>
        <w:tc>
          <w:tcPr>
            <w:tcW w:w="1701"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15 001 000</w:t>
            </w:r>
          </w:p>
        </w:tc>
        <w:tc>
          <w:tcPr>
            <w:tcW w:w="1560"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5 868 587</w:t>
            </w:r>
          </w:p>
        </w:tc>
        <w:tc>
          <w:tcPr>
            <w:tcW w:w="1559"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-9 132 413</w:t>
            </w:r>
          </w:p>
        </w:tc>
      </w:tr>
    </w:tbl>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The combined net variations in Title 1 (</w:t>
      </w:r>
      <w:r>
        <w:rPr>
          <w:i/>
          <w:noProof/>
          <w:lang w:eastAsia="de-DE"/>
        </w:rPr>
        <w:t>Own Resources</w:t>
      </w:r>
      <w:r>
        <w:rPr>
          <w:noProof/>
          <w:lang w:eastAsia="de-DE"/>
        </w:rPr>
        <w:t>) and Title 3 (</w:t>
      </w:r>
      <w:r>
        <w:rPr>
          <w:i/>
          <w:noProof/>
          <w:lang w:eastAsia="de-DE"/>
        </w:rPr>
        <w:t>Surpluses, balances and adjustments</w:t>
      </w:r>
      <w:r>
        <w:rPr>
          <w:noProof/>
          <w:lang w:eastAsia="de-DE"/>
        </w:rPr>
        <w:t>) totals EUR 1 375 million. The additional amount budgeted for exchange rate differences (under title 3) more or less covers the shortfall in VAT and GNI own resources under title 1. Therefore, the surplus is predominantly driven by a higher than expected collection of customs duties.</w:t>
      </w:r>
    </w:p>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 xml:space="preserve">The variations in Title 7 </w:t>
      </w:r>
      <w:r>
        <w:rPr>
          <w:i/>
          <w:noProof/>
          <w:lang w:eastAsia="de-DE"/>
        </w:rPr>
        <w:t xml:space="preserve">(Default interest and fines) </w:t>
      </w:r>
      <w:r>
        <w:rPr>
          <w:noProof/>
          <w:lang w:eastAsia="de-DE"/>
        </w:rPr>
        <w:t>amounts to EUR 268 million, which comprises competition fines and default interest, other penalty payments and interest linked to fines and penalty payments.</w:t>
      </w:r>
    </w:p>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lastRenderedPageBreak/>
        <w:t>The table below presents a breakdown of the outturn for 2020 in terms of budget implementation of expenditure for all institutions:</w:t>
      </w:r>
    </w:p>
    <w:p w:rsidR="003C6A68" w:rsidRDefault="00610830">
      <w:pPr>
        <w:spacing w:before="120" w:after="0" w:line="240" w:lineRule="auto"/>
        <w:ind w:left="850" w:hanging="850"/>
        <w:jc w:val="right"/>
        <w:rPr>
          <w:rFonts w:ascii="Times New Roman" w:eastAsia="Times New Roman" w:hAnsi="Times New Roman" w:cs="Times New Roman"/>
          <w:i/>
          <w:noProof/>
          <w:sz w:val="20"/>
          <w:szCs w:val="20"/>
          <w:lang w:eastAsia="de-DE"/>
        </w:rPr>
      </w:pPr>
      <w:r>
        <w:rPr>
          <w:rFonts w:ascii="Times New Roman" w:eastAsia="Times New Roman" w:hAnsi="Times New Roman" w:cs="Times New Roman"/>
          <w:i/>
          <w:noProof/>
          <w:sz w:val="20"/>
          <w:szCs w:val="20"/>
          <w:lang w:eastAsia="de-DE"/>
        </w:rPr>
        <w:t>(in EUR)</w:t>
      </w:r>
    </w:p>
    <w:tbl>
      <w:tblPr>
        <w:tblW w:w="9311" w:type="dxa"/>
        <w:tblInd w:w="720" w:type="dxa"/>
        <w:tblLook w:val="04A0" w:firstRow="1" w:lastRow="0" w:firstColumn="1" w:lastColumn="0" w:noHBand="0" w:noVBand="1"/>
      </w:tblPr>
      <w:tblGrid>
        <w:gridCol w:w="377"/>
        <w:gridCol w:w="4114"/>
        <w:gridCol w:w="1701"/>
        <w:gridCol w:w="1560"/>
        <w:gridCol w:w="1559"/>
      </w:tblGrid>
      <w:tr w:rsidR="003C6A68">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Outturn breakdown 2020</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2020 Budget</w:t>
            </w:r>
            <w:r>
              <w:rPr>
                <w:rFonts w:ascii="Times New Roman" w:eastAsia="Times New Roman" w:hAnsi="Times New Roman" w:cs="Times New Roman"/>
                <w:b/>
                <w:bCs/>
                <w:noProof/>
                <w:sz w:val="18"/>
                <w:szCs w:val="18"/>
                <w:lang w:eastAsia="en-GB"/>
              </w:rPr>
              <w:br/>
              <w:t>(incl. AB1-9)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Outturn</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Variation</w:t>
            </w:r>
          </w:p>
        </w:tc>
      </w:tr>
      <w:tr w:rsidR="003C6A68">
        <w:trPr>
          <w:trHeight w:val="270"/>
        </w:trPr>
        <w:tc>
          <w:tcPr>
            <w:tcW w:w="4491" w:type="dxa"/>
            <w:gridSpan w:val="2"/>
            <w:tcBorders>
              <w:top w:val="single" w:sz="4" w:space="0" w:color="auto"/>
              <w:left w:val="single" w:sz="4" w:space="0" w:color="auto"/>
              <w:bottom w:val="single" w:sz="4" w:space="0" w:color="auto"/>
              <w:right w:val="single" w:sz="4" w:space="0" w:color="000000"/>
            </w:tcBorders>
            <w:shd w:val="clear" w:color="000000" w:fill="E0E0E0"/>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Sub-total Expenditure</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164 108 041 747</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163 986 741 250</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-121 300 497</w:t>
            </w:r>
          </w:p>
        </w:tc>
      </w:tr>
      <w:tr w:rsidR="003C6A68">
        <w:trPr>
          <w:trHeight w:val="270"/>
        </w:trPr>
        <w:tc>
          <w:tcPr>
            <w:tcW w:w="4491" w:type="dxa"/>
            <w:gridSpan w:val="2"/>
            <w:tcBorders>
              <w:top w:val="nil"/>
              <w:left w:val="single" w:sz="4" w:space="0" w:color="auto"/>
              <w:bottom w:val="dotted" w:sz="4" w:space="0" w:color="auto"/>
              <w:right w:val="single" w:sz="4" w:space="0" w:color="000000"/>
            </w:tcBorders>
            <w:shd w:val="clear" w:color="auto" w:fill="auto"/>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Outturn appropriations authorised in the budget</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164 108 041 747</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163 886 682 092</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-221 359 655</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European Commission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159 882 839 662</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159 781 861 767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-100 977 895</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1a - Competitiveness for growth and jobs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21 753 198 170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21 733 892 007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-19 306 164</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1b - Economic, social and territorial cohesion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55 525 172 813</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55 523 775 848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-1 396 964</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2 - Sustainable growth: Natural resources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58 771 501 095</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58 762 251 051</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-9 250 044</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3 - Security and Citizenship</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6 292 509 342</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6 287 474 663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-5 034 679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4 - Global Europe</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10 386 029 342</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10 381 984 160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-4 045 183</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Heading 5 - Administration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6 048 265 458</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5 986 565 846</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-61 699 612</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Other special instruments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1 106 163 442</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1 105 918 193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-245 249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Other Institutions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4 225 202 085</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4 104 820 324</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-120 381 761</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Parliament</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2 038 745 000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2 021 452 993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-17 292 007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Council &amp; European Council</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590 633 000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550 168 962</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-40 464 038</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Court of Justice of the European Union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436 637 500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432 086 272</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-4 551 228</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Court of Auditors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152 237 000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145 698 138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-6 538 862</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Economic &amp; Social Committee</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142 539 393</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130 862 193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-11 677 200</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Committee of the Regions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101 508 480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94 131 888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-7 376 592</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Ombudsman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12 348 231</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11 719 664</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-628 567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Data Protection Supervisor</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19 476 998</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14 211 719</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-5 265 279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External Action Service</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731 076 483</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704 488 497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-26 587 986</w:t>
            </w:r>
          </w:p>
        </w:tc>
      </w:tr>
      <w:tr w:rsidR="003C6A68">
        <w:trPr>
          <w:trHeight w:val="270"/>
        </w:trPr>
        <w:tc>
          <w:tcPr>
            <w:tcW w:w="4491"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Cancellation of appropriations carried over from previous years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-107 353 808</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-107 353 808</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European Commission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-55 438 590</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-55 438 590</w:t>
            </w:r>
          </w:p>
        </w:tc>
      </w:tr>
      <w:tr w:rsidR="003C6A68">
        <w:trPr>
          <w:trHeight w:val="26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Cancellation of unused appropriations carried over from previous years (automatic)</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-49 454 817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-49 454 817</w:t>
            </w:r>
          </w:p>
        </w:tc>
      </w:tr>
      <w:tr w:rsidR="003C6A68">
        <w:trPr>
          <w:trHeight w:val="26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Cancellation of unused appropriations carried over from previous years (by decision)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sz w:val="16"/>
                <w:szCs w:val="16"/>
                <w:lang w:eastAsia="en-GB"/>
              </w:rPr>
            </w:pPr>
            <w:r>
              <w:rPr>
                <w:rFonts w:ascii="Times New Roman" w:eastAsia="Times New Roman" w:hAnsi="Times New Roman" w:cs="Times New Roman"/>
                <w:i/>
                <w:iCs/>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-5 983 773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-5 983 773</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Other Institutions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-51 915 219</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-51 915 219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Parliament</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-27 285 399</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-27 285 399</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Council &amp; European Council</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-7 167 827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-7 167 827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Court of Justice of the European Union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-3 736 777</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-3 736 777</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Court of Auditors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-505 461</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-505 461</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Economic &amp; Social Committee</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-932 521</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-932 521</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Committee of the Regions</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-909 075</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-909 075</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Ombudsman</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-84 603</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-84 603</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Data Protection Supervisor</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-212 892</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-212 892</w:t>
            </w:r>
          </w:p>
        </w:tc>
      </w:tr>
      <w:tr w:rsidR="003C6A68">
        <w:trPr>
          <w:trHeight w:val="270"/>
        </w:trPr>
        <w:tc>
          <w:tcPr>
            <w:tcW w:w="377" w:type="dxa"/>
            <w:tcBorders>
              <w:top w:val="nil"/>
              <w:left w:val="single" w:sz="4" w:space="0" w:color="auto"/>
              <w:bottom w:val="dotted" w:sz="4" w:space="0" w:color="auto"/>
              <w:right w:val="nil"/>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8"/>
                <w:szCs w:val="18"/>
                <w:lang w:eastAsia="en-GB"/>
              </w:rPr>
            </w:pPr>
            <w:r>
              <w:rPr>
                <w:rFonts w:ascii="Times New Roman" w:eastAsia="Times New Roman" w:hAnsi="Times New Roman" w:cs="Times New Roman"/>
                <w:i/>
                <w:iCs/>
                <w:noProof/>
                <w:color w:val="000000"/>
                <w:sz w:val="18"/>
                <w:szCs w:val="18"/>
                <w:lang w:eastAsia="en-GB"/>
              </w:rPr>
              <w:t> </w:t>
            </w:r>
          </w:p>
        </w:tc>
        <w:tc>
          <w:tcPr>
            <w:tcW w:w="4114"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European External Action Service</w:t>
            </w:r>
          </w:p>
        </w:tc>
        <w:tc>
          <w:tcPr>
            <w:tcW w:w="1701"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0</w:t>
            </w:r>
          </w:p>
        </w:tc>
        <w:tc>
          <w:tcPr>
            <w:tcW w:w="1560"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-11 080 664</w:t>
            </w:r>
          </w:p>
        </w:tc>
        <w:tc>
          <w:tcPr>
            <w:tcW w:w="1559" w:type="dxa"/>
            <w:tcBorders>
              <w:top w:val="nil"/>
              <w:left w:val="nil"/>
              <w:bottom w:val="dotted" w:sz="4" w:space="0" w:color="auto"/>
              <w:right w:val="single" w:sz="4" w:space="0" w:color="auto"/>
            </w:tcBorders>
            <w:shd w:val="clear" w:color="auto" w:fill="auto"/>
            <w:vAlign w:val="center"/>
            <w:hideMark/>
          </w:tcPr>
          <w:p w:rsidR="003C6A68" w:rsidRDefault="00610830">
            <w:pPr>
              <w:spacing w:after="0" w:line="240" w:lineRule="auto"/>
              <w:jc w:val="right"/>
              <w:outlineLvl w:val="0"/>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-11 080 664</w:t>
            </w:r>
          </w:p>
        </w:tc>
      </w:tr>
      <w:tr w:rsidR="003C6A68">
        <w:trPr>
          <w:trHeight w:val="270"/>
        </w:trPr>
        <w:tc>
          <w:tcPr>
            <w:tcW w:w="4491"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rsidR="003C6A68" w:rsidRDefault="00610830">
            <w:pPr>
              <w:spacing w:after="0" w:line="240" w:lineRule="auto"/>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Exchange rate variations on expenditure</w:t>
            </w:r>
          </w:p>
        </w:tc>
        <w:tc>
          <w:tcPr>
            <w:tcW w:w="1701"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0</w:t>
            </w:r>
          </w:p>
        </w:tc>
        <w:tc>
          <w:tcPr>
            <w:tcW w:w="1560"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207 412 967</w:t>
            </w:r>
          </w:p>
        </w:tc>
        <w:tc>
          <w:tcPr>
            <w:tcW w:w="1559" w:type="dxa"/>
            <w:tcBorders>
              <w:top w:val="nil"/>
              <w:left w:val="nil"/>
              <w:bottom w:val="single" w:sz="4" w:space="0" w:color="auto"/>
              <w:right w:val="single" w:sz="4" w:space="0" w:color="auto"/>
            </w:tcBorders>
            <w:shd w:val="clear" w:color="auto" w:fill="auto"/>
            <w:vAlign w:val="center"/>
            <w:hideMark/>
          </w:tcPr>
          <w:p w:rsidR="003C6A68" w:rsidRDefault="00610830">
            <w:pPr>
              <w:spacing w:after="0" w:line="240" w:lineRule="auto"/>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207 412 967</w:t>
            </w:r>
          </w:p>
        </w:tc>
      </w:tr>
    </w:tbl>
    <w:p w:rsidR="003C6A68" w:rsidRDefault="003C6A68">
      <w:pPr>
        <w:pStyle w:val="ListParagraph"/>
        <w:spacing w:before="120" w:after="120"/>
        <w:contextualSpacing w:val="0"/>
        <w:jc w:val="both"/>
        <w:rPr>
          <w:noProof/>
          <w:lang w:eastAsia="de-DE"/>
        </w:rPr>
      </w:pPr>
    </w:p>
    <w:p w:rsidR="003C6A68" w:rsidRDefault="00610830">
      <w:pPr>
        <w:pStyle w:val="ListParagraph"/>
        <w:numPr>
          <w:ilvl w:val="0"/>
          <w:numId w:val="32"/>
        </w:numPr>
        <w:tabs>
          <w:tab w:val="num" w:pos="850"/>
        </w:tabs>
        <w:spacing w:before="120" w:after="120"/>
        <w:ind w:hanging="720"/>
        <w:contextualSpacing w:val="0"/>
        <w:jc w:val="both"/>
        <w:rPr>
          <w:noProof/>
          <w:lang w:eastAsia="de-DE"/>
        </w:rPr>
      </w:pPr>
      <w:r>
        <w:rPr>
          <w:noProof/>
          <w:lang w:eastAsia="de-DE"/>
        </w:rPr>
        <w:t>The Commission implemented 99,9 % of the authorised payment appropriations. The amount not implemented was EUR 101 million, of which EUR 62 million under Heading 5 - Administration that is attributable to the exceptional circumstances prevailing in relation to the COVID-19 pandemic, which had a direct impact on the number of missions, meetings, traineeships and recruitments.</w:t>
      </w:r>
    </w:p>
    <w:p w:rsidR="003C6A68" w:rsidRDefault="00610830">
      <w:pPr>
        <w:pStyle w:val="ListParagraph"/>
        <w:numPr>
          <w:ilvl w:val="0"/>
          <w:numId w:val="32"/>
        </w:numPr>
        <w:tabs>
          <w:tab w:val="num" w:pos="850"/>
        </w:tabs>
        <w:spacing w:before="120" w:after="120"/>
        <w:ind w:hanging="720"/>
        <w:contextualSpacing w:val="0"/>
        <w:jc w:val="both"/>
        <w:rPr>
          <w:noProof/>
        </w:rPr>
      </w:pPr>
      <w:r>
        <w:rPr>
          <w:noProof/>
          <w:lang w:eastAsia="de-DE"/>
        </w:rPr>
        <w:t>The under-implementation of the other institutions of EUR 120 million is slighly higher than in 2019 (EUR 82 million).</w:t>
      </w:r>
    </w:p>
    <w:sectPr w:rsidR="003C6A68">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7B" w:rsidRDefault="00D0187B">
      <w:pPr>
        <w:spacing w:after="0" w:line="240" w:lineRule="auto"/>
      </w:pPr>
      <w:r>
        <w:separator/>
      </w:r>
    </w:p>
  </w:endnote>
  <w:endnote w:type="continuationSeparator" w:id="0">
    <w:p w:rsidR="00D0187B" w:rsidRDefault="00D0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FooterCoverPage"/>
      <w:rPr>
        <w:rFonts w:ascii="Arial" w:hAnsi="Arial" w:cs="Arial"/>
        <w:b/>
        <w:sz w:val="48"/>
      </w:rPr>
    </w:pPr>
    <w:r w:rsidRPr="00AD0E72">
      <w:rPr>
        <w:rFonts w:ascii="Arial" w:hAnsi="Arial" w:cs="Arial"/>
        <w:b/>
        <w:sz w:val="48"/>
      </w:rPr>
      <w:t>EN</w:t>
    </w:r>
    <w:r w:rsidRPr="00AD0E72">
      <w:rPr>
        <w:rFonts w:ascii="Arial" w:hAnsi="Arial" w:cs="Arial"/>
        <w:b/>
        <w:sz w:val="48"/>
      </w:rPr>
      <w:tab/>
    </w:r>
    <w:r w:rsidRPr="00AD0E72">
      <w:rPr>
        <w:rFonts w:ascii="Arial" w:hAnsi="Arial" w:cs="Arial"/>
        <w:b/>
        <w:sz w:val="48"/>
      </w:rPr>
      <w:tab/>
    </w:r>
    <w:r w:rsidRPr="00AD0E72">
      <w:tab/>
    </w:r>
    <w:r w:rsidRPr="00AD0E7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610830">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4B6DC2">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610830">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4B6DC2">
      <w:rPr>
        <w:noProof/>
      </w:rPr>
      <w:t>3</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7B" w:rsidRDefault="00D0187B">
      <w:pPr>
        <w:spacing w:after="0" w:line="240" w:lineRule="auto"/>
      </w:pPr>
      <w:r>
        <w:separator/>
      </w:r>
    </w:p>
  </w:footnote>
  <w:footnote w:type="continuationSeparator" w:id="0">
    <w:p w:rsidR="00D0187B" w:rsidRDefault="00D0187B">
      <w:pPr>
        <w:spacing w:after="0" w:line="240" w:lineRule="auto"/>
      </w:pPr>
      <w:r>
        <w:continuationSeparator/>
      </w:r>
    </w:p>
  </w:footnote>
  <w:footnote w:id="1">
    <w:p w:rsidR="003C6A68" w:rsidRDefault="00610830">
      <w:pPr>
        <w:pStyle w:val="FootnoteText"/>
      </w:pPr>
      <w:r>
        <w:rPr>
          <w:rStyle w:val="FootnoteReference"/>
        </w:rPr>
        <w:footnoteRef/>
      </w:r>
      <w:r>
        <w:t xml:space="preserve"> </w:t>
      </w:r>
      <w:r>
        <w:tab/>
        <w:t>OJ L 193, 30.7.2018</w:t>
      </w:r>
      <w:r>
        <w:rPr>
          <w:sz w:val="18"/>
          <w:szCs w:val="18"/>
        </w:rPr>
        <w:t>.</w:t>
      </w:r>
    </w:p>
  </w:footnote>
  <w:footnote w:id="2">
    <w:p w:rsidR="003C6A68" w:rsidRDefault="00610830">
      <w:pPr>
        <w:pStyle w:val="FootnoteText"/>
        <w:rPr>
          <w:lang w:val="en-IE"/>
        </w:rPr>
      </w:pPr>
      <w:r>
        <w:rPr>
          <w:rStyle w:val="FootnoteReference"/>
        </w:rPr>
        <w:footnoteRef/>
      </w:r>
      <w:r>
        <w:rPr>
          <w:lang w:val="en-IE"/>
        </w:rPr>
        <w:t xml:space="preserve"> </w:t>
      </w:r>
      <w:r>
        <w:rPr>
          <w:lang w:val="en-IE"/>
        </w:rPr>
        <w:tab/>
        <w:t>OJ L 93, 17.3.2021.</w:t>
      </w:r>
    </w:p>
  </w:footnote>
  <w:footnote w:id="3">
    <w:p w:rsidR="003C6A68" w:rsidRDefault="00610830">
      <w:pPr>
        <w:pStyle w:val="FootnoteText"/>
        <w:rPr>
          <w:lang w:val="pt-BR"/>
        </w:rPr>
      </w:pPr>
      <w:r>
        <w:rPr>
          <w:rStyle w:val="FootnoteReference"/>
        </w:rPr>
        <w:footnoteRef/>
      </w:r>
      <w:r>
        <w:rPr>
          <w:lang w:val="pt-BR"/>
        </w:rPr>
        <w:t xml:space="preserve"> </w:t>
      </w:r>
      <w:r>
        <w:rPr>
          <w:lang w:val="pt-BR"/>
        </w:rPr>
        <w:tab/>
      </w:r>
      <w:r>
        <w:t>COM(2021) 30 final.</w:t>
      </w:r>
    </w:p>
  </w:footnote>
  <w:footnote w:id="4">
    <w:p w:rsidR="003C6A68" w:rsidRDefault="00610830">
      <w:pPr>
        <w:pStyle w:val="FootnoteText"/>
        <w:rPr>
          <w:lang w:val="pt-BR"/>
        </w:rPr>
      </w:pPr>
      <w:r>
        <w:rPr>
          <w:rStyle w:val="FootnoteReference"/>
        </w:rPr>
        <w:footnoteRef/>
      </w:r>
      <w:r>
        <w:rPr>
          <w:lang w:val="pt-BR"/>
        </w:rPr>
        <w:t xml:space="preserve"> </w:t>
      </w:r>
      <w:r>
        <w:rPr>
          <w:lang w:val="pt-BR"/>
        </w:rPr>
        <w:tab/>
      </w:r>
      <w:r>
        <w:t>COM(2021) 200 final.</w:t>
      </w:r>
    </w:p>
  </w:footnote>
  <w:footnote w:id="5">
    <w:p w:rsidR="003C6A68" w:rsidRDefault="00610830">
      <w:pPr>
        <w:pStyle w:val="FootnoteText"/>
      </w:pPr>
      <w:r>
        <w:rPr>
          <w:rStyle w:val="FootnoteReference"/>
        </w:rPr>
        <w:footnoteRef/>
      </w:r>
      <w:r>
        <w:rPr>
          <w:sz w:val="19"/>
          <w:szCs w:val="19"/>
        </w:rPr>
        <w:tab/>
      </w:r>
      <w:r>
        <w:rPr>
          <w:sz w:val="18"/>
          <w:szCs w:val="18"/>
        </w:rPr>
        <w:t>OJ L 193, 30.7.2018,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72" w:rsidRPr="00AD0E72" w:rsidRDefault="00AD0E72" w:rsidP="00AD0E7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8" w:rsidRDefault="003C6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5EDE2AF6"/>
    <w:multiLevelType w:val="hybridMultilevel"/>
    <w:tmpl w:val="B23E61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2"/>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353CD87-D890-4E6A-8CC3-F92CFBFDF103"/>
    <w:docVar w:name="LW_COVERPAGE_TYPE" w:val="1"/>
    <w:docVar w:name="LW_CROSSREFERENCE" w:val="&lt;UNUSED&gt;"/>
    <w:docVar w:name="LW_DocType" w:val="NORMAL"/>
    <w:docVar w:name="LW_EMISSION" w:val="15.4.2021"/>
    <w:docVar w:name="LW_EMISSION_ISODATE" w:val="2021-04-15"/>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102"/>
    <w:docVar w:name="LW_REF.II.NEW.CP_YEAR" w:val="2021"/>
    <w:docVar w:name="LW_REF.INST.NEW" w:val="COM"/>
    <w:docVar w:name="LW_REF.INST.NEW_ADOPTED" w:val="final"/>
    <w:docVar w:name="LW_REF.INST.NEW_TEXT" w:val="(2021)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TERING THE SURPLUS OF THE FINANCIAL YEAR 2020"/>
    <w:docVar w:name="LW_TYPE.DOC.CP" w:val="DRAFT AMENDING BUDGET No 3_x000b_TO THE GENERAL BUDGET 2021_x000b__x000b_"/>
  </w:docVars>
  <w:rsids>
    <w:rsidRoot w:val="003C6A68"/>
    <w:rsid w:val="003C6A68"/>
    <w:rsid w:val="004B6DC2"/>
    <w:rsid w:val="0058332E"/>
    <w:rsid w:val="00610830"/>
    <w:rsid w:val="00AD0E72"/>
    <w:rsid w:val="00D0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C2CE7B-2FD3-4394-99BA-62EC8146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0297">
      <w:bodyDiv w:val="1"/>
      <w:marLeft w:val="0"/>
      <w:marRight w:val="0"/>
      <w:marTop w:val="0"/>
      <w:marBottom w:val="0"/>
      <w:divBdr>
        <w:top w:val="none" w:sz="0" w:space="0" w:color="auto"/>
        <w:left w:val="none" w:sz="0" w:space="0" w:color="auto"/>
        <w:bottom w:val="none" w:sz="0" w:space="0" w:color="auto"/>
        <w:right w:val="none" w:sz="0" w:space="0" w:color="auto"/>
      </w:divBdr>
    </w:div>
    <w:div w:id="12456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47E2BB-9402-4A04-8ABA-006AF79D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6072</Characters>
  <Application>Microsoft Office Word</Application>
  <DocSecurity>4</DocSecurity>
  <Lines>337</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KOUTZIAVASILI Dimitra (SG)</dc:creator>
  <cp:keywords/>
  <dc:description/>
  <cp:lastModifiedBy>KOUTZIAVASILI Dimitra (SG)</cp:lastModifiedBy>
  <cp:revision>2</cp:revision>
  <dcterms:created xsi:type="dcterms:W3CDTF">2021-04-15T06:58:00Z</dcterms:created>
  <dcterms:modified xsi:type="dcterms:W3CDTF">2021-04-15T06:58:00Z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20200226</vt:lpwstr>
  </property>
  <property fmtid="{D5CDD505-2E9C-101B-9397-08002B2CF9AE}" pid="8" name="Created using">
    <vt:lpwstr>LW 7.0, Build 20190717</vt:lpwstr>
  </property>
</Properties>
</file>